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13"/>
          <w:szCs w:val="13"/>
          <w:b w:val="1"/>
          <w:bCs w:val="1"/>
          <w:color w:val="auto"/>
        </w:rPr>
        <w:t>FORM 6-K</w:t>
      </w:r>
    </w:p>
    <w:p>
      <w:pPr>
        <w:spacing w:after="0" w:line="11" w:lineRule="exact"/>
        <w:rPr>
          <w:sz w:val="24"/>
          <w:szCs w:val="24"/>
          <w:color w:val="auto"/>
        </w:rPr>
      </w:pPr>
    </w:p>
    <w:p>
      <w:pPr>
        <w:jc w:val="center"/>
        <w:ind w:right="-259"/>
        <w:spacing w:after="0"/>
        <w:rPr>
          <w:sz w:val="20"/>
          <w:szCs w:val="20"/>
          <w:color w:val="auto"/>
        </w:rPr>
      </w:pPr>
      <w:r>
        <w:rPr>
          <w:rFonts w:ascii="Arial" w:cs="Arial" w:eastAsia="Arial" w:hAnsi="Arial"/>
          <w:sz w:val="13"/>
          <w:szCs w:val="13"/>
          <w:b w:val="1"/>
          <w:bCs w:val="1"/>
          <w:color w:val="auto"/>
        </w:rPr>
        <w:t>SECURITIES AND EXCHANGE COMMISSION</w:t>
      </w:r>
    </w:p>
    <w:p>
      <w:pPr>
        <w:spacing w:after="0" w:line="189" w:lineRule="exact"/>
        <w:rPr>
          <w:sz w:val="24"/>
          <w:szCs w:val="24"/>
          <w:color w:val="auto"/>
        </w:rPr>
      </w:pPr>
    </w:p>
    <w:p>
      <w:pPr>
        <w:jc w:val="center"/>
        <w:ind w:right="-259"/>
        <w:spacing w:after="0"/>
        <w:rPr>
          <w:sz w:val="20"/>
          <w:szCs w:val="20"/>
          <w:color w:val="auto"/>
        </w:rPr>
      </w:pPr>
      <w:r>
        <w:rPr>
          <w:rFonts w:ascii="Arial" w:cs="Arial" w:eastAsia="Arial" w:hAnsi="Arial"/>
          <w:sz w:val="13"/>
          <w:szCs w:val="13"/>
          <w:color w:val="auto"/>
        </w:rPr>
        <w:t>Washington, D.C. 20549</w:t>
      </w:r>
    </w:p>
    <w:p>
      <w:pPr>
        <w:spacing w:after="0" w:line="190" w:lineRule="exact"/>
        <w:rPr>
          <w:sz w:val="24"/>
          <w:szCs w:val="24"/>
          <w:color w:val="auto"/>
        </w:rPr>
      </w:pPr>
    </w:p>
    <w:p>
      <w:pPr>
        <w:jc w:val="center"/>
        <w:ind w:right="-259"/>
        <w:spacing w:after="0"/>
        <w:rPr>
          <w:sz w:val="20"/>
          <w:szCs w:val="20"/>
          <w:color w:val="auto"/>
        </w:rPr>
      </w:pPr>
      <w:r>
        <w:rPr>
          <w:rFonts w:ascii="Arial" w:cs="Arial" w:eastAsia="Arial" w:hAnsi="Arial"/>
          <w:sz w:val="13"/>
          <w:szCs w:val="13"/>
          <w:b w:val="1"/>
          <w:bCs w:val="1"/>
          <w:color w:val="auto"/>
        </w:rPr>
        <w:t>Report of Foreign Private Issuer</w:t>
      </w:r>
    </w:p>
    <w:p>
      <w:pPr>
        <w:spacing w:after="0" w:line="21" w:lineRule="exact"/>
        <w:rPr>
          <w:sz w:val="24"/>
          <w:szCs w:val="24"/>
          <w:color w:val="auto"/>
        </w:rPr>
      </w:pPr>
    </w:p>
    <w:p>
      <w:pPr>
        <w:jc w:val="center"/>
        <w:ind w:right="-259"/>
        <w:spacing w:after="0"/>
        <w:rPr>
          <w:sz w:val="20"/>
          <w:szCs w:val="20"/>
          <w:color w:val="auto"/>
        </w:rPr>
      </w:pPr>
      <w:r>
        <w:rPr>
          <w:rFonts w:ascii="Arial" w:cs="Arial" w:eastAsia="Arial" w:hAnsi="Arial"/>
          <w:sz w:val="13"/>
          <w:szCs w:val="13"/>
          <w:b w:val="1"/>
          <w:bCs w:val="1"/>
          <w:color w:val="auto"/>
        </w:rPr>
        <w:t>Pursuant to Rule 13a-16 under</w:t>
      </w:r>
    </w:p>
    <w:p>
      <w:pPr>
        <w:jc w:val="center"/>
        <w:ind w:right="-259"/>
        <w:spacing w:after="0"/>
        <w:rPr>
          <w:sz w:val="20"/>
          <w:szCs w:val="20"/>
          <w:color w:val="auto"/>
        </w:rPr>
      </w:pPr>
      <w:r>
        <w:rPr>
          <w:rFonts w:ascii="Arial" w:cs="Arial" w:eastAsia="Arial" w:hAnsi="Arial"/>
          <w:sz w:val="13"/>
          <w:szCs w:val="13"/>
          <w:b w:val="1"/>
          <w:bCs w:val="1"/>
          <w:color w:val="auto"/>
        </w:rPr>
        <w:t>the Securities Exchange Act of 1934</w:t>
      </w:r>
    </w:p>
    <w:p>
      <w:pPr>
        <w:spacing w:after="0" w:line="369" w:lineRule="exact"/>
        <w:rPr>
          <w:sz w:val="24"/>
          <w:szCs w:val="24"/>
          <w:color w:val="auto"/>
        </w:rPr>
      </w:pPr>
    </w:p>
    <w:p>
      <w:pPr>
        <w:jc w:val="center"/>
        <w:ind w:right="-259"/>
        <w:spacing w:after="0"/>
        <w:rPr>
          <w:sz w:val="20"/>
          <w:szCs w:val="20"/>
          <w:color w:val="auto"/>
        </w:rPr>
      </w:pPr>
      <w:r>
        <w:rPr>
          <w:rFonts w:ascii="Arial" w:cs="Arial" w:eastAsia="Arial" w:hAnsi="Arial"/>
          <w:sz w:val="13"/>
          <w:szCs w:val="13"/>
          <w:color w:val="auto"/>
        </w:rPr>
        <w:t>For</w:t>
      </w:r>
    </w:p>
    <w:p>
      <w:pPr>
        <w:spacing w:after="0" w:line="18" w:lineRule="exact"/>
        <w:rPr>
          <w:sz w:val="24"/>
          <w:szCs w:val="24"/>
          <w:color w:val="auto"/>
        </w:rPr>
      </w:pPr>
    </w:p>
    <w:p>
      <w:pPr>
        <w:jc w:val="center"/>
        <w:ind w:right="-259"/>
        <w:spacing w:after="0"/>
        <w:rPr>
          <w:sz w:val="20"/>
          <w:szCs w:val="20"/>
          <w:color w:val="auto"/>
        </w:rPr>
      </w:pPr>
      <w:r>
        <w:rPr>
          <w:rFonts w:ascii="Arial" w:cs="Arial" w:eastAsia="Arial" w:hAnsi="Arial"/>
          <w:sz w:val="13"/>
          <w:szCs w:val="13"/>
          <w:color w:val="auto"/>
        </w:rPr>
        <w:t>the month ended June, 2022</w:t>
      </w:r>
    </w:p>
    <w:p>
      <w:pPr>
        <w:spacing w:after="0" w:line="182" w:lineRule="exact"/>
        <w:rPr>
          <w:sz w:val="24"/>
          <w:szCs w:val="24"/>
          <w:color w:val="auto"/>
        </w:rPr>
      </w:pPr>
    </w:p>
    <w:p>
      <w:pPr>
        <w:jc w:val="center"/>
        <w:ind w:right="-259"/>
        <w:spacing w:after="0"/>
        <w:rPr>
          <w:sz w:val="20"/>
          <w:szCs w:val="20"/>
          <w:color w:val="auto"/>
        </w:rPr>
      </w:pPr>
      <w:r>
        <w:rPr>
          <w:rFonts w:ascii="Arial" w:cs="Arial" w:eastAsia="Arial" w:hAnsi="Arial"/>
          <w:sz w:val="13"/>
          <w:szCs w:val="13"/>
          <w:b w:val="1"/>
          <w:bCs w:val="1"/>
          <w:color w:val="auto"/>
        </w:rPr>
        <w:t>ICON plc</w:t>
      </w:r>
    </w:p>
    <w:p>
      <w:pPr>
        <w:spacing w:after="0" w:line="22" w:lineRule="exact"/>
        <w:rPr>
          <w:sz w:val="24"/>
          <w:szCs w:val="24"/>
          <w:color w:val="auto"/>
        </w:rPr>
      </w:pPr>
    </w:p>
    <w:p>
      <w:pPr>
        <w:jc w:val="center"/>
        <w:ind w:right="-259"/>
        <w:spacing w:after="0"/>
        <w:rPr>
          <w:sz w:val="20"/>
          <w:szCs w:val="20"/>
          <w:color w:val="auto"/>
        </w:rPr>
      </w:pPr>
      <w:r>
        <w:rPr>
          <w:rFonts w:ascii="Arial" w:cs="Arial" w:eastAsia="Arial" w:hAnsi="Arial"/>
          <w:sz w:val="13"/>
          <w:szCs w:val="13"/>
          <w:color w:val="auto"/>
        </w:rPr>
        <w:t>(Registrant's name)</w:t>
      </w:r>
    </w:p>
    <w:p>
      <w:pPr>
        <w:spacing w:after="0" w:line="369" w:lineRule="exact"/>
        <w:rPr>
          <w:sz w:val="24"/>
          <w:szCs w:val="24"/>
          <w:color w:val="auto"/>
        </w:rPr>
      </w:pPr>
    </w:p>
    <w:p>
      <w:pPr>
        <w:jc w:val="center"/>
        <w:ind w:right="-259"/>
        <w:spacing w:after="0"/>
        <w:rPr>
          <w:sz w:val="20"/>
          <w:szCs w:val="20"/>
          <w:color w:val="auto"/>
        </w:rPr>
      </w:pPr>
      <w:r>
        <w:rPr>
          <w:rFonts w:ascii="Arial" w:cs="Arial" w:eastAsia="Arial" w:hAnsi="Arial"/>
          <w:sz w:val="13"/>
          <w:szCs w:val="13"/>
          <w:color w:val="auto"/>
        </w:rPr>
        <w:t>333-08704</w:t>
      </w:r>
    </w:p>
    <w:p>
      <w:pPr>
        <w:spacing w:after="0" w:line="11" w:lineRule="exact"/>
        <w:rPr>
          <w:sz w:val="24"/>
          <w:szCs w:val="24"/>
          <w:color w:val="auto"/>
        </w:rPr>
      </w:pPr>
    </w:p>
    <w:p>
      <w:pPr>
        <w:jc w:val="center"/>
        <w:ind w:right="-259"/>
        <w:spacing w:after="0"/>
        <w:rPr>
          <w:sz w:val="20"/>
          <w:szCs w:val="20"/>
          <w:color w:val="auto"/>
        </w:rPr>
      </w:pPr>
      <w:r>
        <w:rPr>
          <w:rFonts w:ascii="Arial" w:cs="Arial" w:eastAsia="Arial" w:hAnsi="Arial"/>
          <w:sz w:val="13"/>
          <w:szCs w:val="13"/>
          <w:color w:val="auto"/>
        </w:rPr>
        <w:t>(Commission file number)</w:t>
      </w:r>
    </w:p>
    <w:p>
      <w:pPr>
        <w:spacing w:after="0" w:line="380" w:lineRule="exact"/>
        <w:rPr>
          <w:sz w:val="24"/>
          <w:szCs w:val="24"/>
          <w:color w:val="auto"/>
        </w:rPr>
      </w:pPr>
    </w:p>
    <w:p>
      <w:pPr>
        <w:jc w:val="center"/>
        <w:ind w:right="-259"/>
        <w:spacing w:after="0"/>
        <w:rPr>
          <w:sz w:val="20"/>
          <w:szCs w:val="20"/>
          <w:color w:val="auto"/>
        </w:rPr>
      </w:pPr>
      <w:r>
        <w:rPr>
          <w:rFonts w:ascii="Arial" w:cs="Arial" w:eastAsia="Arial" w:hAnsi="Arial"/>
          <w:sz w:val="13"/>
          <w:szCs w:val="13"/>
          <w:color w:val="auto"/>
        </w:rPr>
        <w:t>South County Business Park, Leopardstown, Dublin 18, D18 X5R3, Ireland</w:t>
      </w:r>
    </w:p>
    <w:p>
      <w:pPr>
        <w:spacing w:after="0" w:line="11" w:lineRule="exact"/>
        <w:rPr>
          <w:sz w:val="24"/>
          <w:szCs w:val="24"/>
          <w:color w:val="auto"/>
        </w:rPr>
      </w:pPr>
    </w:p>
    <w:p>
      <w:pPr>
        <w:jc w:val="center"/>
        <w:ind w:right="-259"/>
        <w:spacing w:after="0"/>
        <w:rPr>
          <w:sz w:val="20"/>
          <w:szCs w:val="20"/>
          <w:color w:val="auto"/>
        </w:rPr>
      </w:pPr>
      <w:r>
        <w:rPr>
          <w:rFonts w:ascii="Arial" w:cs="Arial" w:eastAsia="Arial" w:hAnsi="Arial"/>
          <w:sz w:val="13"/>
          <w:szCs w:val="13"/>
          <w:color w:val="auto"/>
        </w:rPr>
        <w:t>(Address of principal executive offices)</w:t>
      </w:r>
    </w:p>
    <w:p>
      <w:pPr>
        <w:spacing w:after="0" w:line="369" w:lineRule="exact"/>
        <w:rPr>
          <w:sz w:val="24"/>
          <w:szCs w:val="24"/>
          <w:color w:val="auto"/>
        </w:rPr>
      </w:pPr>
    </w:p>
    <w:p>
      <w:pPr>
        <w:ind w:left="4960"/>
        <w:spacing w:after="0"/>
        <w:rPr>
          <w:sz w:val="20"/>
          <w:szCs w:val="20"/>
          <w:color w:val="auto"/>
        </w:rPr>
      </w:pPr>
      <w:r>
        <w:rPr>
          <w:rFonts w:ascii="Arial" w:cs="Arial" w:eastAsia="Arial" w:hAnsi="Arial"/>
          <w:sz w:val="13"/>
          <w:szCs w:val="13"/>
          <w:color w:val="auto"/>
        </w:rPr>
        <w:t>Brendan Brennan, CFO</w:t>
      </w:r>
    </w:p>
    <w:p>
      <w:pPr>
        <w:spacing w:after="0" w:line="18" w:lineRule="exact"/>
        <w:rPr>
          <w:sz w:val="24"/>
          <w:szCs w:val="24"/>
          <w:color w:val="auto"/>
        </w:rPr>
      </w:pPr>
    </w:p>
    <w:p>
      <w:pPr>
        <w:ind w:left="3520"/>
        <w:spacing w:after="0"/>
        <w:rPr>
          <w:sz w:val="20"/>
          <w:szCs w:val="20"/>
          <w:color w:val="auto"/>
        </w:rPr>
      </w:pPr>
      <w:r>
        <w:rPr>
          <w:rFonts w:ascii="Arial" w:cs="Arial" w:eastAsia="Arial" w:hAnsi="Arial"/>
          <w:sz w:val="13"/>
          <w:szCs w:val="13"/>
          <w:color w:val="auto"/>
        </w:rPr>
        <w:t>South County Business Park, Leopardstown, Dublin 18, D18 X5R3, Ireland</w:t>
      </w:r>
    </w:p>
    <w:p>
      <w:pPr>
        <w:spacing w:after="0" w:line="3" w:lineRule="exact"/>
        <w:rPr>
          <w:sz w:val="24"/>
          <w:szCs w:val="24"/>
          <w:color w:val="auto"/>
        </w:rPr>
      </w:pPr>
    </w:p>
    <w:p>
      <w:pPr>
        <w:ind w:left="4720"/>
        <w:spacing w:after="0"/>
        <w:rPr>
          <w:sz w:val="20"/>
          <w:szCs w:val="20"/>
          <w:color w:val="auto"/>
        </w:rPr>
      </w:pPr>
      <w:r>
        <w:rPr>
          <w:rFonts w:ascii="Arial" w:cs="Arial" w:eastAsia="Arial" w:hAnsi="Arial"/>
          <w:sz w:val="13"/>
          <w:szCs w:val="13"/>
          <w:color w:val="auto"/>
        </w:rPr>
        <w:t>Brendan.Brennan@iconplc.com</w:t>
      </w:r>
    </w:p>
    <w:p>
      <w:pPr>
        <w:spacing w:after="0" w:line="6" w:lineRule="exact"/>
        <w:rPr>
          <w:sz w:val="24"/>
          <w:szCs w:val="24"/>
          <w:color w:val="auto"/>
        </w:rPr>
      </w:pPr>
    </w:p>
    <w:p>
      <w:pPr>
        <w:ind w:left="5140"/>
        <w:spacing w:after="0"/>
        <w:rPr>
          <w:sz w:val="20"/>
          <w:szCs w:val="20"/>
          <w:color w:val="auto"/>
        </w:rPr>
      </w:pPr>
      <w:r>
        <w:rPr>
          <w:rFonts w:ascii="Arial" w:cs="Arial" w:eastAsia="Arial" w:hAnsi="Arial"/>
          <w:sz w:val="13"/>
          <w:szCs w:val="13"/>
          <w:color w:val="auto"/>
        </w:rPr>
        <w:t>+353-1-291-2000</w:t>
      </w:r>
    </w:p>
    <w:p>
      <w:pPr>
        <w:spacing w:after="0" w:line="3" w:lineRule="exact"/>
        <w:rPr>
          <w:sz w:val="24"/>
          <w:szCs w:val="24"/>
          <w:color w:val="auto"/>
        </w:rPr>
      </w:pPr>
    </w:p>
    <w:p>
      <w:pPr>
        <w:ind w:left="2840"/>
        <w:spacing w:after="0"/>
        <w:rPr>
          <w:sz w:val="20"/>
          <w:szCs w:val="20"/>
          <w:color w:val="auto"/>
        </w:rPr>
      </w:pPr>
      <w:r>
        <w:rPr>
          <w:rFonts w:ascii="Arial" w:cs="Arial" w:eastAsia="Arial" w:hAnsi="Arial"/>
          <w:sz w:val="12"/>
          <w:szCs w:val="12"/>
          <w:color w:val="auto"/>
        </w:rPr>
        <w:t>(Name, telephone number, email and/or facsimile number and address of Company contact person)</w:t>
      </w:r>
    </w:p>
    <w:p>
      <w:pPr>
        <w:sectPr>
          <w:pgSz w:w="11900" w:h="16838" w:orient="portrait"/>
          <w:cols w:equalWidth="0" w:num="1">
            <w:col w:w="11000"/>
          </w:cols>
          <w:pgMar w:left="320" w:top="819" w:right="579" w:bottom="1440" w:gutter="0" w:footer="0" w:header="0"/>
        </w:sectPr>
      </w:pPr>
    </w:p>
    <w:p>
      <w:pPr>
        <w:spacing w:after="0" w:line="200" w:lineRule="exact"/>
        <w:rPr>
          <w:sz w:val="24"/>
          <w:szCs w:val="24"/>
          <w:color w:val="auto"/>
        </w:rPr>
      </w:pPr>
    </w:p>
    <w:p>
      <w:pPr>
        <w:spacing w:after="0" w:line="212" w:lineRule="exact"/>
        <w:rPr>
          <w:sz w:val="24"/>
          <w:szCs w:val="24"/>
          <w:color w:val="auto"/>
        </w:rPr>
      </w:pPr>
    </w:p>
    <w:p>
      <w:pPr>
        <w:ind w:left="4400" w:hanging="4402"/>
        <w:spacing w:after="0" w:line="310" w:lineRule="auto"/>
        <w:rPr>
          <w:sz w:val="20"/>
          <w:szCs w:val="20"/>
          <w:color w:val="auto"/>
        </w:rPr>
      </w:pPr>
      <w:r>
        <w:rPr>
          <w:rFonts w:ascii="Arial" w:cs="Arial" w:eastAsia="Arial" w:hAnsi="Arial"/>
          <w:sz w:val="13"/>
          <w:szCs w:val="13"/>
          <w:color w:val="auto"/>
        </w:rPr>
        <w:t>Indicate by check mark whether the registrant files or will file annual reports under cover Form 20-F or Form 40-F. Form 20-F___</w:t>
      </w:r>
      <w:r>
        <w:rPr>
          <w:rFonts w:ascii="Arial" w:cs="Arial" w:eastAsia="Arial" w:hAnsi="Arial"/>
          <w:sz w:val="13"/>
          <w:szCs w:val="13"/>
          <w:b w:val="1"/>
          <w:bCs w:val="1"/>
          <w:color w:val="auto"/>
        </w:rPr>
        <w:t>X</w:t>
      </w:r>
      <w:r>
        <w:rPr>
          <w:rFonts w:ascii="Arial" w:cs="Arial" w:eastAsia="Arial" w:hAnsi="Arial"/>
          <w:sz w:val="13"/>
          <w:szCs w:val="13"/>
          <w:color w:val="auto"/>
        </w:rPr>
        <w:t>___</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2" w:lineRule="exact"/>
        <w:rPr>
          <w:sz w:val="24"/>
          <w:szCs w:val="24"/>
          <w:color w:val="auto"/>
        </w:rPr>
      </w:pPr>
    </w:p>
    <w:p>
      <w:pPr>
        <w:spacing w:after="0"/>
        <w:rPr>
          <w:sz w:val="20"/>
          <w:szCs w:val="20"/>
          <w:color w:val="auto"/>
        </w:rPr>
      </w:pPr>
      <w:r>
        <w:rPr>
          <w:rFonts w:ascii="Arial" w:cs="Arial" w:eastAsia="Arial" w:hAnsi="Arial"/>
          <w:sz w:val="12"/>
          <w:szCs w:val="12"/>
          <w:color w:val="auto"/>
        </w:rPr>
        <w:t>Form 40-F______</w:t>
      </w:r>
    </w:p>
    <w:p>
      <w:pPr>
        <w:spacing w:after="0" w:line="233" w:lineRule="exact"/>
        <w:rPr>
          <w:sz w:val="24"/>
          <w:szCs w:val="24"/>
          <w:color w:val="auto"/>
        </w:rPr>
      </w:pPr>
    </w:p>
    <w:p>
      <w:pPr>
        <w:sectPr>
          <w:pgSz w:w="11900" w:h="16838" w:orient="portrait"/>
          <w:cols w:equalWidth="0" w:num="2">
            <w:col w:w="6380" w:space="180"/>
            <w:col w:w="4440"/>
          </w:cols>
          <w:pgMar w:left="320" w:top="819" w:right="579" w:bottom="1440" w:gutter="0" w:footer="0" w:header="0"/>
          <w:type w:val="continuous"/>
        </w:sectPr>
      </w:pPr>
    </w:p>
    <w:p>
      <w:pPr>
        <w:spacing w:after="0"/>
        <w:rPr>
          <w:sz w:val="20"/>
          <w:szCs w:val="20"/>
          <w:color w:val="auto"/>
        </w:rPr>
      </w:pPr>
      <w:r>
        <w:rPr>
          <w:rFonts w:ascii="Arial" w:cs="Arial" w:eastAsia="Arial" w:hAnsi="Arial"/>
          <w:sz w:val="13"/>
          <w:szCs w:val="13"/>
          <w:color w:val="auto"/>
        </w:rPr>
        <w:t>Indicate by check mark whether the registrant is submitting the Form 6-K in paper as permitted by Regulation S-T Rule 101(b)(1):</w:t>
      </w:r>
    </w:p>
    <w:p>
      <w:pPr>
        <w:spacing w:after="0" w:line="20" w:lineRule="exact"/>
        <w:rPr>
          <w:sz w:val="24"/>
          <w:szCs w:val="24"/>
          <w:color w:val="auto"/>
        </w:rPr>
      </w:pPr>
    </w:p>
    <w:p>
      <w:pPr>
        <w:ind w:left="4400"/>
        <w:spacing w:after="0"/>
        <w:tabs>
          <w:tab w:leader="none" w:pos="6540" w:val="left"/>
        </w:tabs>
        <w:rPr>
          <w:sz w:val="20"/>
          <w:szCs w:val="20"/>
          <w:color w:val="auto"/>
        </w:rPr>
      </w:pPr>
      <w:r>
        <w:rPr>
          <w:rFonts w:ascii="Arial" w:cs="Arial" w:eastAsia="Arial" w:hAnsi="Arial"/>
          <w:sz w:val="13"/>
          <w:szCs w:val="13"/>
          <w:color w:val="auto"/>
        </w:rPr>
        <w:t>Yes______</w:t>
      </w:r>
      <w:r>
        <w:rPr>
          <w:sz w:val="20"/>
          <w:szCs w:val="20"/>
          <w:color w:val="auto"/>
        </w:rPr>
        <w:tab/>
      </w:r>
      <w:r>
        <w:rPr>
          <w:rFonts w:ascii="Arial" w:cs="Arial" w:eastAsia="Arial" w:hAnsi="Arial"/>
          <w:sz w:val="12"/>
          <w:szCs w:val="12"/>
          <w:color w:val="auto"/>
        </w:rPr>
        <w:t>No___</w:t>
      </w:r>
      <w:r>
        <w:rPr>
          <w:rFonts w:ascii="Arial" w:cs="Arial" w:eastAsia="Arial" w:hAnsi="Arial"/>
          <w:sz w:val="12"/>
          <w:szCs w:val="12"/>
          <w:b w:val="1"/>
          <w:bCs w:val="1"/>
          <w:color w:val="auto"/>
        </w:rPr>
        <w:t>X</w:t>
      </w:r>
      <w:r>
        <w:rPr>
          <w:rFonts w:ascii="Arial" w:cs="Arial" w:eastAsia="Arial" w:hAnsi="Arial"/>
          <w:sz w:val="12"/>
          <w:szCs w:val="12"/>
          <w:color w:val="auto"/>
        </w:rPr>
        <w:t>___</w:t>
      </w:r>
    </w:p>
    <w:p>
      <w:pPr>
        <w:spacing w:after="0" w:line="222"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is submitting the Form 6-K in paper as permitted by Regulation S-T Rule 101(b)(7):</w:t>
      </w:r>
    </w:p>
    <w:p>
      <w:pPr>
        <w:spacing w:after="0" w:line="20" w:lineRule="exact"/>
        <w:rPr>
          <w:sz w:val="24"/>
          <w:szCs w:val="24"/>
          <w:color w:val="auto"/>
        </w:rPr>
      </w:pPr>
    </w:p>
    <w:p>
      <w:pPr>
        <w:ind w:left="4400"/>
        <w:spacing w:after="0"/>
        <w:tabs>
          <w:tab w:leader="none" w:pos="6540" w:val="left"/>
        </w:tabs>
        <w:rPr>
          <w:sz w:val="20"/>
          <w:szCs w:val="20"/>
          <w:color w:val="auto"/>
        </w:rPr>
      </w:pPr>
      <w:r>
        <w:rPr>
          <w:rFonts w:ascii="Arial" w:cs="Arial" w:eastAsia="Arial" w:hAnsi="Arial"/>
          <w:sz w:val="13"/>
          <w:szCs w:val="13"/>
          <w:color w:val="auto"/>
        </w:rPr>
        <w:t>Yes______</w:t>
      </w:r>
      <w:r>
        <w:rPr>
          <w:sz w:val="20"/>
          <w:szCs w:val="20"/>
          <w:color w:val="auto"/>
        </w:rPr>
        <w:tab/>
      </w:r>
      <w:r>
        <w:rPr>
          <w:rFonts w:ascii="Arial" w:cs="Arial" w:eastAsia="Arial" w:hAnsi="Arial"/>
          <w:sz w:val="12"/>
          <w:szCs w:val="12"/>
          <w:color w:val="auto"/>
        </w:rPr>
        <w:t>No___</w:t>
      </w:r>
      <w:r>
        <w:rPr>
          <w:rFonts w:ascii="Arial" w:cs="Arial" w:eastAsia="Arial" w:hAnsi="Arial"/>
          <w:sz w:val="12"/>
          <w:szCs w:val="12"/>
          <w:b w:val="1"/>
          <w:bCs w:val="1"/>
          <w:color w:val="auto"/>
        </w:rPr>
        <w:t>X</w:t>
      </w:r>
      <w:r>
        <w:rPr>
          <w:rFonts w:ascii="Arial" w:cs="Arial" w:eastAsia="Arial" w:hAnsi="Arial"/>
          <w:sz w:val="12"/>
          <w:szCs w:val="12"/>
          <w:color w:val="auto"/>
        </w:rPr>
        <w:t>___</w:t>
      </w:r>
    </w:p>
    <w:p>
      <w:pPr>
        <w:spacing w:after="0" w:line="222" w:lineRule="exact"/>
        <w:rPr>
          <w:sz w:val="24"/>
          <w:szCs w:val="24"/>
          <w:color w:val="auto"/>
        </w:rPr>
      </w:pPr>
    </w:p>
    <w:p>
      <w:pPr>
        <w:spacing w:after="0" w:line="236" w:lineRule="auto"/>
        <w:rPr>
          <w:sz w:val="20"/>
          <w:szCs w:val="20"/>
          <w:color w:val="auto"/>
        </w:rPr>
      </w:pPr>
      <w:r>
        <w:rPr>
          <w:rFonts w:ascii="Arial" w:cs="Arial" w:eastAsia="Arial" w:hAnsi="Arial"/>
          <w:sz w:val="13"/>
          <w:szCs w:val="13"/>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3" w:lineRule="exact"/>
        <w:rPr>
          <w:sz w:val="24"/>
          <w:szCs w:val="24"/>
          <w:color w:val="auto"/>
        </w:rPr>
      </w:pPr>
    </w:p>
    <w:p>
      <w:pPr>
        <w:ind w:left="4400"/>
        <w:spacing w:after="0"/>
        <w:tabs>
          <w:tab w:leader="none" w:pos="6540" w:val="left"/>
        </w:tabs>
        <w:rPr>
          <w:sz w:val="20"/>
          <w:szCs w:val="20"/>
          <w:color w:val="auto"/>
        </w:rPr>
      </w:pPr>
      <w:r>
        <w:rPr>
          <w:rFonts w:ascii="Arial" w:cs="Arial" w:eastAsia="Arial" w:hAnsi="Arial"/>
          <w:sz w:val="13"/>
          <w:szCs w:val="13"/>
          <w:color w:val="auto"/>
        </w:rPr>
        <w:t>Yes______</w:t>
      </w:r>
      <w:r>
        <w:rPr>
          <w:sz w:val="20"/>
          <w:szCs w:val="20"/>
          <w:color w:val="auto"/>
        </w:rPr>
        <w:tab/>
      </w:r>
      <w:r>
        <w:rPr>
          <w:rFonts w:ascii="Arial" w:cs="Arial" w:eastAsia="Arial" w:hAnsi="Arial"/>
          <w:sz w:val="12"/>
          <w:szCs w:val="12"/>
          <w:color w:val="auto"/>
        </w:rPr>
        <w:t>No___</w:t>
      </w:r>
      <w:r>
        <w:rPr>
          <w:rFonts w:ascii="Arial" w:cs="Arial" w:eastAsia="Arial" w:hAnsi="Arial"/>
          <w:sz w:val="12"/>
          <w:szCs w:val="12"/>
          <w:b w:val="1"/>
          <w:bCs w:val="1"/>
          <w:color w:val="auto"/>
        </w:rPr>
        <w:t>X</w:t>
      </w:r>
      <w:r>
        <w:rPr>
          <w:rFonts w:ascii="Arial" w:cs="Arial" w:eastAsia="Arial" w:hAnsi="Arial"/>
          <w:sz w:val="12"/>
          <w:szCs w:val="12"/>
          <w:color w:val="auto"/>
        </w:rPr>
        <w:t>___</w:t>
      </w:r>
    </w:p>
    <w:p>
      <w:pPr>
        <w:spacing w:after="0" w:line="222"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If "Yes" is marked, indicate below the file number assigned to the registrant in connection with Rule 12g3-2(b):82 </w:t>
      </w:r>
      <w:r>
        <w:rPr>
          <w:rFonts w:ascii="Arial" w:cs="Arial" w:eastAsia="Arial" w:hAnsi="Arial"/>
          <w:sz w:val="13"/>
          <w:szCs w:val="13"/>
          <w:b w:val="1"/>
          <w:bCs w:val="1"/>
          <w:color w:val="auto"/>
        </w:rPr>
        <w:t>N/A</w:t>
      </w:r>
    </w:p>
    <w:p>
      <w:pPr>
        <w:sectPr>
          <w:pgSz w:w="11900" w:h="16838" w:orient="portrait"/>
          <w:cols w:equalWidth="0" w:num="1">
            <w:col w:w="11000"/>
          </w:cols>
          <w:pgMar w:left="320" w:top="819" w:right="579" w:bottom="1440" w:gutter="0" w:footer="0" w:header="0"/>
          <w:type w:val="continuous"/>
        </w:sectPr>
      </w:pPr>
    </w:p>
    <w:bookmarkStart w:id="1" w:name="page2"/>
    <w:bookmarkEnd w:id="1"/>
    <w:p>
      <w:pPr>
        <w:ind w:left="5040"/>
        <w:spacing w:after="0"/>
        <w:rPr>
          <w:sz w:val="20"/>
          <w:szCs w:val="20"/>
          <w:color w:val="auto"/>
        </w:rPr>
      </w:pPr>
      <w:r>
        <w:rPr>
          <w:rFonts w:ascii="Times New Roman" w:cs="Times New Roman" w:eastAsia="Times New Roman" w:hAnsi="Times New Roman"/>
          <w:sz w:val="17"/>
          <w:szCs w:val="17"/>
          <w:b w:val="1"/>
          <w:bCs w:val="1"/>
          <w:u w:val="single" w:color="auto"/>
          <w:color w:val="auto"/>
        </w:rPr>
        <w:t>EXHIBIT LIST</w:t>
      </w:r>
    </w:p>
    <w:p>
      <w:pPr>
        <w:spacing w:after="0" w:line="42"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7"/>
          <w:szCs w:val="17"/>
          <w:u w:val="single" w:color="auto"/>
          <w:color w:val="auto"/>
        </w:rPr>
        <w:t>Exhibit</w:t>
      </w:r>
      <w:r>
        <w:rPr>
          <w:sz w:val="20"/>
          <w:szCs w:val="20"/>
          <w:color w:val="auto"/>
        </w:rPr>
        <w:tab/>
      </w:r>
      <w:r>
        <w:rPr>
          <w:rFonts w:ascii="Times New Roman" w:cs="Times New Roman" w:eastAsia="Times New Roman" w:hAnsi="Times New Roman"/>
          <w:sz w:val="17"/>
          <w:szCs w:val="17"/>
          <w:u w:val="single" w:color="auto"/>
          <w:color w:val="auto"/>
        </w:rPr>
        <w:t>Description</w:t>
      </w:r>
    </w:p>
    <w:p>
      <w:pPr>
        <w:spacing w:after="0" w:line="218" w:lineRule="exact"/>
        <w:rPr>
          <w:sz w:val="20"/>
          <w:szCs w:val="20"/>
          <w:color w:val="auto"/>
        </w:rPr>
      </w:pPr>
    </w:p>
    <w:p>
      <w:pPr>
        <w:ind w:left="1040"/>
        <w:spacing w:after="0"/>
        <w:tabs>
          <w:tab w:leader="none" w:pos="1460" w:val="left"/>
        </w:tabs>
        <w:rPr>
          <w:sz w:val="20"/>
          <w:szCs w:val="20"/>
          <w:color w:val="auto"/>
        </w:rPr>
      </w:pPr>
      <w:r>
        <w:rPr>
          <w:rFonts w:ascii="Times New Roman" w:cs="Times New Roman" w:eastAsia="Times New Roman" w:hAnsi="Times New Roman"/>
          <w:sz w:val="17"/>
          <w:szCs w:val="17"/>
          <w:color w:val="0000FF"/>
        </w:rPr>
        <w:t>99.1</w:t>
      </w:r>
      <w:r>
        <w:rPr>
          <w:sz w:val="20"/>
          <w:szCs w:val="20"/>
          <w:color w:val="auto"/>
        </w:rPr>
        <w:tab/>
      </w:r>
      <w:r>
        <w:rPr>
          <w:rFonts w:ascii="Times New Roman" w:cs="Times New Roman" w:eastAsia="Times New Roman" w:hAnsi="Times New Roman"/>
          <w:sz w:val="16"/>
          <w:szCs w:val="16"/>
          <w:u w:val="single" w:color="auto"/>
          <w:color w:val="0000FF"/>
        </w:rPr>
        <w:t>ICON plc Shareholders Letter and Notice of Annual General Meeting</w:t>
      </w:r>
    </w:p>
    <w:p>
      <w:pPr>
        <w:spacing w:after="0" w:line="80" w:lineRule="exact"/>
        <w:rPr>
          <w:sz w:val="20"/>
          <w:szCs w:val="20"/>
          <w:color w:val="auto"/>
        </w:rPr>
      </w:pPr>
    </w:p>
    <w:p>
      <w:pPr>
        <w:ind w:left="1040"/>
        <w:spacing w:after="0"/>
        <w:tabs>
          <w:tab w:leader="none" w:pos="1460" w:val="left"/>
        </w:tabs>
        <w:rPr>
          <w:sz w:val="20"/>
          <w:szCs w:val="20"/>
          <w:color w:val="auto"/>
        </w:rPr>
      </w:pPr>
      <w:r>
        <w:rPr>
          <w:rFonts w:ascii="Times New Roman" w:cs="Times New Roman" w:eastAsia="Times New Roman" w:hAnsi="Times New Roman"/>
          <w:sz w:val="17"/>
          <w:szCs w:val="17"/>
          <w:color w:val="0000FF"/>
        </w:rPr>
        <w:t>99.2</w:t>
      </w:r>
      <w:r>
        <w:rPr>
          <w:sz w:val="20"/>
          <w:szCs w:val="20"/>
          <w:color w:val="auto"/>
        </w:rPr>
        <w:tab/>
      </w:r>
      <w:r>
        <w:rPr>
          <w:rFonts w:ascii="Times New Roman" w:cs="Times New Roman" w:eastAsia="Times New Roman" w:hAnsi="Times New Roman"/>
          <w:sz w:val="17"/>
          <w:szCs w:val="17"/>
          <w:u w:val="single" w:color="auto"/>
          <w:color w:val="0000FF"/>
        </w:rPr>
        <w:t>Proxy Card</w:t>
      </w:r>
    </w:p>
    <w:p>
      <w:pPr>
        <w:spacing w:after="0" w:line="80" w:lineRule="exact"/>
        <w:rPr>
          <w:sz w:val="20"/>
          <w:szCs w:val="20"/>
          <w:color w:val="auto"/>
        </w:rPr>
      </w:pPr>
    </w:p>
    <w:p>
      <w:pPr>
        <w:ind w:left="1040"/>
        <w:spacing w:after="0"/>
        <w:tabs>
          <w:tab w:leader="none" w:pos="1460" w:val="left"/>
        </w:tabs>
        <w:rPr>
          <w:sz w:val="20"/>
          <w:szCs w:val="20"/>
          <w:color w:val="auto"/>
        </w:rPr>
      </w:pPr>
      <w:r>
        <w:rPr>
          <w:rFonts w:ascii="Times New Roman" w:cs="Times New Roman" w:eastAsia="Times New Roman" w:hAnsi="Times New Roman"/>
          <w:sz w:val="17"/>
          <w:szCs w:val="17"/>
          <w:color w:val="0000FF"/>
        </w:rPr>
        <w:t>99.3</w:t>
      </w:r>
      <w:r>
        <w:rPr>
          <w:sz w:val="20"/>
          <w:szCs w:val="20"/>
          <w:color w:val="auto"/>
        </w:rPr>
        <w:tab/>
      </w:r>
      <w:r>
        <w:rPr>
          <w:rFonts w:ascii="Times New Roman" w:cs="Times New Roman" w:eastAsia="Times New Roman" w:hAnsi="Times New Roman"/>
          <w:sz w:val="16"/>
          <w:szCs w:val="16"/>
          <w:u w:val="single" w:color="auto"/>
          <w:color w:val="0000FF"/>
        </w:rPr>
        <w:t>ICON plc Annual Report</w:t>
      </w:r>
    </w:p>
    <w:p>
      <w:pPr>
        <w:sectPr>
          <w:pgSz w:w="11900" w:h="16838" w:orient="portrait"/>
          <w:cols w:equalWidth="0" w:num="1">
            <w:col w:w="10139"/>
          </w:cols>
          <w:pgMar w:left="320" w:top="921" w:right="1440" w:bottom="1440" w:gutter="0" w:footer="0" w:header="0"/>
        </w:sectPr>
      </w:pPr>
    </w:p>
    <w:bookmarkStart w:id="2" w:name="page3"/>
    <w:bookmarkEnd w:id="2"/>
    <w:p>
      <w:pPr>
        <w:spacing w:after="0"/>
        <w:rPr>
          <w:sz w:val="20"/>
          <w:szCs w:val="20"/>
          <w:color w:val="auto"/>
        </w:rPr>
      </w:pPr>
      <w:r>
        <w:rPr>
          <w:rFonts w:ascii="Arial" w:cs="Arial" w:eastAsia="Arial" w:hAnsi="Arial"/>
          <w:sz w:val="13"/>
          <w:szCs w:val="13"/>
          <w:b w:val="1"/>
          <w:bCs w:val="1"/>
          <w:color w:val="auto"/>
        </w:rPr>
        <w:t>SIGNATURES</w:t>
      </w:r>
    </w:p>
    <w:p>
      <w:pPr>
        <w:spacing w:after="0" w:line="201" w:lineRule="exact"/>
        <w:rPr>
          <w:sz w:val="20"/>
          <w:szCs w:val="20"/>
          <w:color w:val="auto"/>
        </w:rPr>
      </w:pPr>
    </w:p>
    <w:p>
      <w:pPr>
        <w:ind w:left="14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5020" w:type="dxa"/>
            <w:vAlign w:val="bottom"/>
            <w:gridSpan w:val="3"/>
          </w:tcPr>
          <w:p>
            <w:pPr>
              <w:ind w:left="3780"/>
              <w:spacing w:after="0"/>
              <w:rPr>
                <w:sz w:val="20"/>
                <w:szCs w:val="20"/>
                <w:color w:val="auto"/>
              </w:rPr>
            </w:pPr>
            <w:r>
              <w:rPr>
                <w:rFonts w:ascii="Arial" w:cs="Arial" w:eastAsia="Arial" w:hAnsi="Arial"/>
                <w:sz w:val="13"/>
                <w:szCs w:val="13"/>
                <w:b w:val="1"/>
                <w:bCs w:val="1"/>
                <w:color w:val="auto"/>
              </w:rPr>
              <w:t>ICON plc</w:t>
            </w:r>
          </w:p>
        </w:tc>
        <w:tc>
          <w:tcPr>
            <w:tcW w:w="0" w:type="dxa"/>
            <w:vAlign w:val="bottom"/>
          </w:tcPr>
          <w:p>
            <w:pPr>
              <w:spacing w:after="0"/>
              <w:rPr>
                <w:sz w:val="1"/>
                <w:szCs w:val="1"/>
                <w:color w:val="auto"/>
              </w:rPr>
            </w:pPr>
          </w:p>
        </w:tc>
      </w:tr>
      <w:tr>
        <w:trPr>
          <w:trHeight w:val="538"/>
        </w:trPr>
        <w:tc>
          <w:tcPr>
            <w:tcW w:w="5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020" w:type="dxa"/>
            <w:vAlign w:val="bottom"/>
            <w:gridSpan w:val="3"/>
          </w:tcPr>
          <w:p>
            <w:pPr>
              <w:ind w:left="3780"/>
              <w:spacing w:after="0"/>
              <w:rPr>
                <w:sz w:val="20"/>
                <w:szCs w:val="20"/>
                <w:color w:val="auto"/>
              </w:rPr>
            </w:pPr>
            <w:r>
              <w:rPr>
                <w:rFonts w:ascii="Arial" w:cs="Arial" w:eastAsia="Arial" w:hAnsi="Arial"/>
                <w:sz w:val="13"/>
                <w:szCs w:val="13"/>
                <w:color w:val="auto"/>
              </w:rPr>
              <w:t>/s/Brendan Brennan</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3660" w:type="dxa"/>
            <w:vAlign w:val="bottom"/>
            <w:tcBorders>
              <w:bottom w:val="single" w:sz="8" w:color="auto"/>
            </w:tcBorders>
          </w:tcPr>
          <w:p>
            <w:pPr>
              <w:spacing w:after="0" w:line="20" w:lineRule="exact"/>
              <w:rPr>
                <w:sz w:val="1"/>
                <w:szCs w:val="1"/>
                <w:color w:val="auto"/>
              </w:rPr>
            </w:pPr>
          </w:p>
        </w:tc>
        <w:tc>
          <w:tcPr>
            <w:tcW w:w="5020" w:type="dxa"/>
            <w:vAlign w:val="bottom"/>
            <w:gridSpan w:val="3"/>
            <w:vMerge w:val="restart"/>
          </w:tcPr>
          <w:p>
            <w:pPr>
              <w:ind w:left="3780"/>
              <w:spacing w:after="0"/>
              <w:rPr>
                <w:sz w:val="20"/>
                <w:szCs w:val="20"/>
                <w:color w:val="auto"/>
              </w:rPr>
            </w:pPr>
            <w:r>
              <w:rPr>
                <w:rFonts w:ascii="Arial" w:cs="Arial" w:eastAsia="Arial" w:hAnsi="Arial"/>
                <w:sz w:val="13"/>
                <w:szCs w:val="13"/>
                <w:color w:val="auto"/>
              </w:rPr>
              <w:t>Brendan Brennan</w:t>
            </w:r>
          </w:p>
        </w:tc>
        <w:tc>
          <w:tcPr>
            <w:tcW w:w="0" w:type="dxa"/>
            <w:vAlign w:val="bottom"/>
          </w:tcPr>
          <w:p>
            <w:pPr>
              <w:spacing w:after="0" w:line="20" w:lineRule="exact"/>
              <w:rPr>
                <w:sz w:val="1"/>
                <w:szCs w:val="1"/>
                <w:color w:val="auto"/>
              </w:rPr>
            </w:pPr>
          </w:p>
        </w:tc>
      </w:tr>
      <w:tr>
        <w:trPr>
          <w:trHeight w:val="150"/>
        </w:trPr>
        <w:tc>
          <w:tcPr>
            <w:tcW w:w="500" w:type="dxa"/>
            <w:vAlign w:val="bottom"/>
          </w:tcPr>
          <w:p>
            <w:pPr>
              <w:ind w:left="20"/>
              <w:spacing w:after="0"/>
              <w:rPr>
                <w:sz w:val="20"/>
                <w:szCs w:val="20"/>
                <w:color w:val="auto"/>
              </w:rPr>
            </w:pPr>
            <w:r>
              <w:rPr>
                <w:rFonts w:ascii="Arial" w:cs="Arial" w:eastAsia="Arial" w:hAnsi="Arial"/>
                <w:sz w:val="13"/>
                <w:szCs w:val="13"/>
                <w:color w:val="auto"/>
              </w:rPr>
              <w:t>Date:</w:t>
            </w:r>
          </w:p>
        </w:tc>
        <w:tc>
          <w:tcPr>
            <w:tcW w:w="3660" w:type="dxa"/>
            <w:vAlign w:val="bottom"/>
          </w:tcPr>
          <w:p>
            <w:pPr>
              <w:ind w:left="180"/>
              <w:spacing w:after="0"/>
              <w:rPr>
                <w:sz w:val="20"/>
                <w:szCs w:val="20"/>
                <w:color w:val="auto"/>
              </w:rPr>
            </w:pPr>
            <w:r>
              <w:rPr>
                <w:rFonts w:ascii="Arial" w:cs="Arial" w:eastAsia="Arial" w:hAnsi="Arial"/>
                <w:sz w:val="13"/>
                <w:szCs w:val="13"/>
                <w:color w:val="auto"/>
              </w:rPr>
              <w:t>June 17, 2022</w:t>
            </w:r>
          </w:p>
        </w:tc>
        <w:tc>
          <w:tcPr>
            <w:tcW w:w="50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5020" w:type="dxa"/>
            <w:vAlign w:val="bottom"/>
            <w:gridSpan w:val="3"/>
          </w:tcPr>
          <w:p>
            <w:pPr>
              <w:ind w:left="3780"/>
              <w:spacing w:after="0"/>
              <w:rPr>
                <w:sz w:val="20"/>
                <w:szCs w:val="20"/>
                <w:color w:val="auto"/>
              </w:rPr>
            </w:pPr>
            <w:r>
              <w:rPr>
                <w:rFonts w:ascii="Arial" w:cs="Arial" w:eastAsia="Arial" w:hAnsi="Arial"/>
                <w:sz w:val="13"/>
                <w:szCs w:val="13"/>
                <w:color w:val="auto"/>
                <w:w w:val="95"/>
              </w:rPr>
              <w:t>Chief Financial Officer</w:t>
            </w:r>
          </w:p>
        </w:tc>
        <w:tc>
          <w:tcPr>
            <w:tcW w:w="0" w:type="dxa"/>
            <w:vAlign w:val="bottom"/>
          </w:tcPr>
          <w:p>
            <w:pPr>
              <w:spacing w:after="0"/>
              <w:rPr>
                <w:sz w:val="1"/>
                <w:szCs w:val="1"/>
                <w:color w:val="auto"/>
              </w:rPr>
            </w:pPr>
          </w:p>
        </w:tc>
      </w:tr>
    </w:tbl>
    <w:p>
      <w:pPr>
        <w:sectPr>
          <w:pgSz w:w="11900" w:h="16838" w:orient="portrait"/>
          <w:cols w:equalWidth="0" w:num="1">
            <w:col w:w="10520"/>
          </w:cols>
          <w:pgMar w:left="300" w:top="1105" w:right="10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Notice of Annual General Meeting</w:t>
      </w:r>
    </w:p>
    <w:p>
      <w:pPr>
        <w:jc w:val="center"/>
        <w:spacing w:after="0"/>
        <w:rPr>
          <w:sz w:val="20"/>
          <w:szCs w:val="20"/>
          <w:color w:val="auto"/>
        </w:rPr>
      </w:pPr>
      <w:r>
        <w:rPr>
          <w:rFonts w:ascii="Times New Roman" w:cs="Times New Roman" w:eastAsia="Times New Roman" w:hAnsi="Times New Roman"/>
          <w:sz w:val="16"/>
          <w:szCs w:val="16"/>
          <w:b w:val="1"/>
          <w:bCs w:val="1"/>
          <w:color w:val="auto"/>
        </w:rPr>
        <w:t>to be held on 26 July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2212975</wp:posOffset>
            </wp:positionH>
            <wp:positionV relativeFrom="paragraph">
              <wp:posOffset>712470</wp:posOffset>
            </wp:positionV>
            <wp:extent cx="2748915" cy="7480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48915" cy="748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ICON plc</w:t>
      </w:r>
    </w:p>
    <w:p>
      <w:pPr>
        <w:jc w:val="center"/>
        <w:spacing w:after="0"/>
        <w:rPr>
          <w:sz w:val="20"/>
          <w:szCs w:val="20"/>
          <w:color w:val="auto"/>
        </w:rPr>
      </w:pPr>
      <w:r>
        <w:rPr>
          <w:rFonts w:ascii="Times New Roman" w:cs="Times New Roman" w:eastAsia="Times New Roman" w:hAnsi="Times New Roman"/>
          <w:sz w:val="16"/>
          <w:szCs w:val="16"/>
          <w:b w:val="1"/>
          <w:bCs w:val="1"/>
          <w:color w:val="auto"/>
        </w:rPr>
        <w:t>(the “Company” or “ICON”)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THIS DOCUMENT IS IMPORTANT AND REQUIRES YOUR IMMEDIATE ATTENTION.</w:t>
      </w:r>
    </w:p>
    <w:p>
      <w:pPr>
        <w:spacing w:after="0" w:line="168"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6"/>
          <w:szCs w:val="16"/>
          <w:color w:val="auto"/>
        </w:rPr>
        <w:t>If you are in any doubt as to the action to be taken, you should consult with your independent financial adviser who, if you are taking advice in the Republic of Ireland, is authorised or exempted under the European Communities (Markets in Financial Instruments) Regulations 2017 or the Investment Intermediaries Act, 1995</w:t>
      </w:r>
      <w:r>
        <w:rPr>
          <w:rFonts w:ascii="Times New Roman" w:cs="Times New Roman" w:eastAsia="Times New Roman" w:hAnsi="Times New Roman"/>
          <w:sz w:val="16"/>
          <w:szCs w:val="16"/>
          <w:b w:val="1"/>
          <w:bCs w:val="1"/>
          <w:color w:val="auto"/>
        </w:rPr>
        <w:t>.</w:t>
      </w:r>
    </w:p>
    <w:p>
      <w:pPr>
        <w:spacing w:after="0" w:line="138"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6"/>
          <w:szCs w:val="16"/>
          <w:color w:val="auto"/>
        </w:rPr>
        <w:t>If you have sold or transferred your entire holding of ordinary shares in ICON, please pass this document, together with the attached proxy form, to the purchaser or transferee, or to the stockbroker, bank or other agent through whom the sale was effected, for transmission to the purchaser or transferee as soon as possible.</w:t>
      </w:r>
    </w:p>
    <w:p>
      <w:pPr>
        <w:sectPr>
          <w:pgSz w:w="11900" w:h="16838" w:orient="portrait"/>
          <w:cols w:equalWidth="0" w:num="1">
            <w:col w:w="11280"/>
          </w:cols>
          <w:pgMar w:left="300" w:top="104" w:right="31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6"/>
          <w:szCs w:val="16"/>
          <w:color w:val="auto"/>
        </w:rPr>
        <w:t>17 June 2022</w:t>
      </w:r>
    </w:p>
    <w:p>
      <w:pPr>
        <w:spacing w:after="0"/>
        <w:rPr>
          <w:sz w:val="20"/>
          <w:szCs w:val="20"/>
          <w:color w:val="auto"/>
        </w:rPr>
      </w:pPr>
      <w:r>
        <w:rPr>
          <w:rFonts w:ascii="Times New Roman" w:cs="Times New Roman" w:eastAsia="Times New Roman" w:hAnsi="Times New Roman"/>
          <w:sz w:val="16"/>
          <w:szCs w:val="16"/>
          <w:color w:val="auto"/>
        </w:rPr>
        <w:t>To: All ICON Shareholders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NOTICE OF ANNUAL GENERAL MEETING</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Dear Shareholder</w:t>
      </w:r>
    </w:p>
    <w:p>
      <w:pPr>
        <w:spacing w:after="0" w:line="166"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6"/>
          <w:szCs w:val="16"/>
          <w:color w:val="auto"/>
        </w:rPr>
        <w:t xml:space="preserve">The Annual General Meeting of ICON plc will be held at 9.30am (Dublin time) on 26 July 2022 at ICON’s global headquarters in South County Business Park, Leopardstown, Dublin 18, Ireland (the </w:t>
      </w:r>
      <w:r>
        <w:rPr>
          <w:rFonts w:ascii="Times New Roman" w:cs="Times New Roman" w:eastAsia="Times New Roman" w:hAnsi="Times New Roman"/>
          <w:sz w:val="16"/>
          <w:szCs w:val="16"/>
          <w:b w:val="1"/>
          <w:bCs w:val="1"/>
          <w:color w:val="auto"/>
        </w:rPr>
        <w:t>AGM</w:t>
      </w:r>
      <w:r>
        <w:rPr>
          <w:rFonts w:ascii="Times New Roman" w:cs="Times New Roman" w:eastAsia="Times New Roman" w:hAnsi="Times New Roman"/>
          <w:sz w:val="16"/>
          <w:szCs w:val="16"/>
          <w:color w:val="auto"/>
        </w:rPr>
        <w: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purpose of this letter is to outline the background to and summarise the resolutions to be proposed at the AGM. Please refer to the form of proxy for the AGM (which is</w:t>
      </w:r>
    </w:p>
    <w:p>
      <w:pPr>
        <w:spacing w:after="0" w:line="217" w:lineRule="auto"/>
        <w:rPr>
          <w:sz w:val="20"/>
          <w:szCs w:val="20"/>
          <w:color w:val="auto"/>
        </w:rPr>
      </w:pPr>
      <w:r>
        <w:rPr>
          <w:rFonts w:ascii="Times New Roman" w:cs="Times New Roman" w:eastAsia="Times New Roman" w:hAnsi="Times New Roman"/>
          <w:sz w:val="16"/>
          <w:szCs w:val="16"/>
          <w:color w:val="auto"/>
        </w:rPr>
        <w:t>separately enclosed) and the notes on pages 8 to 10 for details on how to vote your shares and return your form of proxy. Your attention is also drawn to the notice of the AGM on pages 5 to 7 which sets out the matters to be considered at the AGM.</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Re-election of Directors (ordinary resolutions 1.1 to 1.3)</w:t>
      </w:r>
    </w:p>
    <w:p>
      <w:pPr>
        <w:spacing w:after="0" w:line="229" w:lineRule="auto"/>
        <w:rPr>
          <w:sz w:val="20"/>
          <w:szCs w:val="20"/>
          <w:color w:val="auto"/>
        </w:rPr>
      </w:pPr>
      <w:r>
        <w:rPr>
          <w:rFonts w:ascii="Times New Roman" w:cs="Times New Roman" w:eastAsia="Times New Roman" w:hAnsi="Times New Roman"/>
          <w:sz w:val="14"/>
          <w:szCs w:val="14"/>
          <w:color w:val="auto"/>
        </w:rPr>
        <w:t>In accordance with our Constitution (by-laws), one third of the members of the Board who are subject to retirement by rotation shall retire from office and may stand for re-election at the AGM. Professor William Hall, an independent non-executive director, was eligible to stand for re-election to the Board but has decided not to stand for re-election and will</w:t>
      </w:r>
    </w:p>
    <w:p>
      <w:pPr>
        <w:spacing w:after="0"/>
        <w:rPr>
          <w:sz w:val="20"/>
          <w:szCs w:val="20"/>
          <w:color w:val="auto"/>
        </w:rPr>
      </w:pPr>
      <w:r>
        <w:rPr>
          <w:rFonts w:ascii="Times New Roman" w:cs="Times New Roman" w:eastAsia="Times New Roman" w:hAnsi="Times New Roman"/>
          <w:sz w:val="16"/>
          <w:szCs w:val="16"/>
          <w:color w:val="auto"/>
        </w:rPr>
        <w:t>instead retire from the Board at the AGM. Accordingly, the following directors will stand for re-election:</w:t>
      </w:r>
    </w:p>
    <w:p>
      <w:pPr>
        <w:spacing w:after="0" w:line="1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   Dr. Steve Cutler - Chief Executive Officer and Director</w:t>
      </w:r>
    </w:p>
    <w:p>
      <w:pPr>
        <w:spacing w:after="0" w:line="1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   Dr. John Climax - non-executive Director</w:t>
      </w:r>
    </w:p>
    <w:p>
      <w:pPr>
        <w:spacing w:after="0" w:line="1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  Mr. Ronan Murphy –Lead Independent Director and non-executive Director</w:t>
      </w:r>
    </w:p>
    <w:p>
      <w:pPr>
        <w:spacing w:after="0" w:line="166"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6"/>
          <w:szCs w:val="16"/>
          <w:color w:val="auto"/>
        </w:rPr>
        <w:t>Dr. John Climax and Mr. Ronan Murphy are “independent” non-executive Directors (as that term is defined under the published listing requirements of NASDAQ). Dr. Steve Cutler, ICON’s Chief Executive Officer, is an executive officer.</w:t>
      </w:r>
    </w:p>
    <w:p>
      <w:pPr>
        <w:spacing w:after="0" w:line="148"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4"/>
          <w:szCs w:val="14"/>
          <w:color w:val="auto"/>
        </w:rPr>
        <w:t>Each of the Directors standing for re-election demonstrates the necessary commitment to the role and provides valuable skills, knowledge and experience and makes important contributions to the working of the Board. Further information on the experience, qualifications and industry knowledge of the current Directors is available from the Annual Report</w:t>
      </w:r>
    </w:p>
    <w:p>
      <w:pPr>
        <w:spacing w:after="0" w:line="208" w:lineRule="auto"/>
        <w:rPr>
          <w:sz w:val="20"/>
          <w:szCs w:val="20"/>
          <w:color w:val="auto"/>
        </w:rPr>
      </w:pPr>
      <w:r>
        <w:rPr>
          <w:rFonts w:ascii="Times New Roman" w:cs="Times New Roman" w:eastAsia="Times New Roman" w:hAnsi="Times New Roman"/>
          <w:sz w:val="16"/>
          <w:szCs w:val="16"/>
          <w:color w:val="auto"/>
        </w:rPr>
        <w:t xml:space="preserve">and/or  Form  20-F  at  </w:t>
      </w:r>
      <w:r>
        <w:rPr>
          <w:rFonts w:ascii="Times New Roman" w:cs="Times New Roman" w:eastAsia="Times New Roman" w:hAnsi="Times New Roman"/>
          <w:sz w:val="16"/>
          <w:szCs w:val="16"/>
          <w:u w:val="single" w:color="auto"/>
          <w:color w:val="0000FF"/>
        </w:rPr>
        <w:t>https://investor.iconplc.com/financials-filings/annual-reports</w:t>
      </w:r>
      <w:r>
        <w:rPr>
          <w:rFonts w:ascii="Times New Roman" w:cs="Times New Roman" w:eastAsia="Times New Roman" w:hAnsi="Times New Roman"/>
          <w:sz w:val="16"/>
          <w:szCs w:val="16"/>
          <w:color w:val="auto"/>
        </w:rPr>
        <w:t xml:space="preserve">  and  the  details  of  current  committee  composition  is  set  out  on  our  website  at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https://investor.iconplc.com/corporate-governance/committee-composition</w:t>
      </w:r>
      <w:r>
        <w:rPr>
          <w:rFonts w:ascii="Times New Roman" w:cs="Times New Roman" w:eastAsia="Times New Roman" w:hAnsi="Times New Roman"/>
          <w:sz w:val="16"/>
          <w:szCs w:val="16"/>
          <w:color w:val="000000"/>
        </w:rPr>
        <w:t>.</w:t>
      </w:r>
    </w:p>
    <w:p>
      <w:pPr>
        <w:spacing w:after="0" w:line="13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4"/>
          <w:szCs w:val="14"/>
          <w:color w:val="auto"/>
        </w:rPr>
        <w:t>In addition to the retirement of Professor William Hall (as mentioned above), the AGM will mark the retirement of Ms. Mary Pendergast and Professor Hugh Brady as directors as they have also decided to retire from the Board at the AGM. Professor William Hall has served as a non-executive director of ICON since February 2013, Ms. Mary Pendergast has</w:t>
      </w:r>
    </w:p>
    <w:p>
      <w:pPr>
        <w:spacing w:after="0" w:line="1"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4"/>
          <w:szCs w:val="14"/>
          <w:color w:val="auto"/>
        </w:rPr>
        <w:t>served as a non-executive director of ICON since February 2014 and Professor Hugh Brady has served as a non-executive director of ICON since April 2014. On behalf of everyone at ICON and, in particular, my fellow Board members, I would like to thank Professor Hall, Ms. Pendergast and Professor Brady for their significant contribution to the ICON Board</w:t>
      </w:r>
    </w:p>
    <w:p>
      <w:pPr>
        <w:spacing w:after="0"/>
        <w:rPr>
          <w:sz w:val="20"/>
          <w:szCs w:val="20"/>
          <w:color w:val="auto"/>
        </w:rPr>
      </w:pPr>
      <w:r>
        <w:rPr>
          <w:rFonts w:ascii="Times New Roman" w:cs="Times New Roman" w:eastAsia="Times New Roman" w:hAnsi="Times New Roman"/>
          <w:sz w:val="16"/>
          <w:szCs w:val="16"/>
          <w:color w:val="auto"/>
        </w:rPr>
        <w:t>and we wish them all the best for the future.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ICON’s 2021 Accounts (ordinary resolution 2)</w:t>
      </w:r>
    </w:p>
    <w:p>
      <w:pPr>
        <w:spacing w:after="0"/>
        <w:rPr>
          <w:sz w:val="20"/>
          <w:szCs w:val="20"/>
          <w:color w:val="auto"/>
        </w:rPr>
      </w:pPr>
      <w:r>
        <w:rPr>
          <w:rFonts w:ascii="Times New Roman" w:cs="Times New Roman" w:eastAsia="Times New Roman" w:hAnsi="Times New Roman"/>
          <w:sz w:val="16"/>
          <w:szCs w:val="16"/>
          <w:color w:val="auto"/>
        </w:rPr>
        <w:t>This resolution is to review the Company's affairs and consider ICON’s 2021 accounts which have been audited by KPMG, ICON’s independent auditors.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Remuneration of Auditors (ordinary resolution 3)</w:t>
      </w:r>
    </w:p>
    <w:p>
      <w:pPr>
        <w:spacing w:after="0"/>
        <w:rPr>
          <w:sz w:val="20"/>
          <w:szCs w:val="20"/>
          <w:color w:val="auto"/>
        </w:rPr>
      </w:pPr>
      <w:r>
        <w:rPr>
          <w:rFonts w:ascii="Times New Roman" w:cs="Times New Roman" w:eastAsia="Times New Roman" w:hAnsi="Times New Roman"/>
          <w:sz w:val="16"/>
          <w:szCs w:val="16"/>
          <w:color w:val="auto"/>
        </w:rPr>
        <w:t>This resolution authorises the Directors to fix the remuneration of the auditors.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Authority to issue shares up to 20% of share capital (ordinary resolution 4)</w:t>
      </w:r>
    </w:p>
    <w:p>
      <w:pPr>
        <w:spacing w:after="0" w:line="224" w:lineRule="auto"/>
        <w:rPr>
          <w:sz w:val="20"/>
          <w:szCs w:val="20"/>
          <w:color w:val="auto"/>
        </w:rPr>
      </w:pPr>
      <w:r>
        <w:rPr>
          <w:rFonts w:ascii="Times New Roman" w:cs="Times New Roman" w:eastAsia="Times New Roman" w:hAnsi="Times New Roman"/>
          <w:sz w:val="16"/>
          <w:szCs w:val="16"/>
          <w:color w:val="auto"/>
        </w:rPr>
        <w:t>This resolution authorises the Directors to issue shares until the earlier of the next Annual General Meeting of the Company or 25 January 2024 up to an aggregate of 20% of the share capital of the Company without further shareholder approval. This resolution is required under Irish law as the</w:t>
      </w: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2</w:t>
      </w:r>
    </w:p>
    <w:p>
      <w:pPr>
        <w:spacing w:after="0"/>
        <w:rPr>
          <w:sz w:val="20"/>
          <w:szCs w:val="20"/>
          <w:color w:val="auto"/>
        </w:rPr>
      </w:pPr>
      <w:r>
        <w:rPr>
          <w:rFonts w:ascii="Times New Roman" w:cs="Times New Roman" w:eastAsia="Times New Roman" w:hAnsi="Times New Roman"/>
          <w:sz w:val="14"/>
          <w:szCs w:val="14"/>
          <w:color w:val="auto"/>
        </w:rPr>
        <w:t>ICON plc – Notice of Annual General Meeting 2022</w:t>
      </w:r>
    </w:p>
    <w:p>
      <w:pPr>
        <w:sectPr>
          <w:pgSz w:w="11900" w:h="16838" w:orient="portrait"/>
          <w:cols w:equalWidth="0" w:num="1">
            <w:col w:w="11280"/>
          </w:cols>
          <w:pgMar w:left="300" w:top="1313" w:right="319" w:bottom="1440" w:gutter="0" w:footer="0" w:header="0"/>
        </w:sectPr>
      </w:pPr>
    </w:p>
    <w:bookmarkStart w:id="5" w:name="page6"/>
    <w:bookmarkEnd w:id="5"/>
    <w:p>
      <w:pPr>
        <w:jc w:val="both"/>
        <w:spacing w:after="0" w:line="235" w:lineRule="auto"/>
        <w:rPr>
          <w:sz w:val="20"/>
          <w:szCs w:val="20"/>
          <w:color w:val="auto"/>
        </w:rPr>
      </w:pPr>
      <w:r>
        <w:rPr>
          <w:rFonts w:ascii="Times New Roman" w:cs="Times New Roman" w:eastAsia="Times New Roman" w:hAnsi="Times New Roman"/>
          <w:sz w:val="16"/>
          <w:szCs w:val="16"/>
          <w:color w:val="auto"/>
        </w:rPr>
        <w:t>Company is an Irish incorporated company. The 20% cap on this resolution aligns the resolution with the NASDAQ rules which provide that up to 20% of share capital can be issued without shareholder approval.</w:t>
      </w:r>
    </w:p>
    <w:p>
      <w:pPr>
        <w:spacing w:after="0" w:line="136"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6"/>
          <w:szCs w:val="16"/>
          <w:b w:val="1"/>
          <w:bCs w:val="1"/>
          <w:u w:val="single" w:color="auto"/>
          <w:color w:val="auto"/>
        </w:rPr>
        <w:t>Authority to issue shares up to 5% of share capital without offering to existing shareholders, with an additional 5% for funding capital investment or acquisitions (special resolution 5 and special resolution 6)</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4"/>
          <w:szCs w:val="14"/>
          <w:color w:val="auto"/>
        </w:rPr>
        <w:t>Resolution 5 authorises the Directors to issue shares for cash, subject to resolution 4, until the earlier of the next Annual General Meeting of the Company or 25 January 2024 up to an aggregate of 5% of the share capital of the Company without having to offer the shares to existing shareholders on a pro rata basis. Resolution 6 authorises the Directors to issue</w:t>
      </w:r>
    </w:p>
    <w:p>
      <w:pPr>
        <w:jc w:val="both"/>
        <w:spacing w:after="0" w:line="224" w:lineRule="auto"/>
        <w:rPr>
          <w:sz w:val="20"/>
          <w:szCs w:val="20"/>
          <w:color w:val="auto"/>
        </w:rPr>
      </w:pPr>
      <w:r>
        <w:rPr>
          <w:rFonts w:ascii="Times New Roman" w:cs="Times New Roman" w:eastAsia="Times New Roman" w:hAnsi="Times New Roman"/>
          <w:sz w:val="16"/>
          <w:szCs w:val="16"/>
          <w:color w:val="auto"/>
        </w:rPr>
        <w:t>an additional 5% of the share capital for cash, again subject to Resolution 4, on a non pre-emptive basis provided that the proceeds of any such share issuance are to be used only for the purposes of financing (or refinancing, if the authority is to be used within six months after the original transaction) an acquisition or other capital investment.</w:t>
      </w:r>
    </w:p>
    <w:p>
      <w:pPr>
        <w:spacing w:after="0" w:line="137"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6"/>
          <w:szCs w:val="16"/>
          <w:color w:val="auto"/>
        </w:rPr>
        <w:t xml:space="preserve">A resolution authorising the issuance of shares for cash without such offer round is a requirement of Irish law and there is no such requirement under the applicable U.S. Securities and Exchange Commission (the </w:t>
      </w:r>
      <w:r>
        <w:rPr>
          <w:rFonts w:ascii="Times New Roman" w:cs="Times New Roman" w:eastAsia="Times New Roman" w:hAnsi="Times New Roman"/>
          <w:sz w:val="16"/>
          <w:szCs w:val="16"/>
          <w:b w:val="1"/>
          <w:bCs w:val="1"/>
          <w:color w:val="auto"/>
        </w:rPr>
        <w:t>SEC</w:t>
      </w:r>
      <w:r>
        <w:rPr>
          <w:rFonts w:ascii="Times New Roman" w:cs="Times New Roman" w:eastAsia="Times New Roman" w:hAnsi="Times New Roman"/>
          <w:sz w:val="16"/>
          <w:szCs w:val="16"/>
          <w:color w:val="auto"/>
        </w:rPr>
        <w:t>) rules and NASDAQ rules. As above, this year the authorities under these resolutions expire on the earlier of the next Annual General Meeting of the Company or 25 January 2024.</w:t>
      </w:r>
    </w:p>
    <w:p>
      <w:pPr>
        <w:spacing w:after="0" w:line="13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The caps on resolutions 4, 5 and 6 are different but complementary and they provide our shareholders with significant anti-dilution protection far in excess of similar protections provided to the shareholders of many other NASDAQ-listed companies. Every year since the Company was listed (apart from 2014 as resolutions with 5 year authority were passed in 2013), the Directors have put resolutions to authorise the issuance of shares and to disapply offer round to the shareholders and each such resolution has been passed.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Authority to buy back shares up to 10% of share capital (special resolution 7)</w:t>
      </w:r>
    </w:p>
    <w:p>
      <w:pPr>
        <w:spacing w:after="0" w:line="237" w:lineRule="auto"/>
        <w:rPr>
          <w:sz w:val="20"/>
          <w:szCs w:val="20"/>
          <w:color w:val="auto"/>
        </w:rPr>
      </w:pPr>
      <w:r>
        <w:rPr>
          <w:rFonts w:ascii="Times New Roman" w:cs="Times New Roman" w:eastAsia="Times New Roman" w:hAnsi="Times New Roman"/>
          <w:sz w:val="14"/>
          <w:szCs w:val="14"/>
          <w:color w:val="auto"/>
        </w:rPr>
        <w:t>This resolution authorises the Company to purchase in the market (buy-back) up to 10% of the outstanding share capital of the Company. It is important both for the Company and</w:t>
      </w:r>
    </w:p>
    <w:p>
      <w:pPr>
        <w:jc w:val="both"/>
        <w:spacing w:after="0" w:line="200" w:lineRule="auto"/>
        <w:rPr>
          <w:sz w:val="20"/>
          <w:szCs w:val="20"/>
          <w:color w:val="auto"/>
        </w:rPr>
      </w:pPr>
      <w:r>
        <w:rPr>
          <w:rFonts w:ascii="Times New Roman" w:cs="Times New Roman" w:eastAsia="Times New Roman" w:hAnsi="Times New Roman"/>
          <w:sz w:val="16"/>
          <w:szCs w:val="16"/>
          <w:color w:val="auto"/>
        </w:rPr>
        <w:t>shareholders that the Company has this flexibility to implement a buy-back (without having to seek further shareholder approval) if the market conditions favour a buy-back. It should also be noted that while the applicable SEC rules and NASDAQ rules do not require shareholder approval prior to a share buy-back, this resolution is required as the</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6"/>
          <w:szCs w:val="16"/>
          <w:color w:val="auto"/>
        </w:rPr>
        <w:t>Company is an Irish incorporated company and Irish law requires shareholders to pass such a resolution to give Directors the authority to put a buy-back in place. The authority under this resolution expires on the earlier of the next Annual General Meeting and 25 January 2024.</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Authority to reissue shares held as treasury shares (special resolution 8)</w:t>
      </w:r>
    </w:p>
    <w:p>
      <w:pPr>
        <w:jc w:val="both"/>
        <w:spacing w:after="0" w:line="229" w:lineRule="auto"/>
        <w:rPr>
          <w:sz w:val="20"/>
          <w:szCs w:val="20"/>
          <w:color w:val="auto"/>
        </w:rPr>
      </w:pPr>
      <w:r>
        <w:rPr>
          <w:rFonts w:ascii="Times New Roman" w:cs="Times New Roman" w:eastAsia="Times New Roman" w:hAnsi="Times New Roman"/>
          <w:sz w:val="14"/>
          <w:szCs w:val="14"/>
          <w:color w:val="auto"/>
        </w:rPr>
        <w:t>This resolution authorises the price range at which the Company can reissue shares that it holds as treasury shares. Any share buy-back activity by the Company will result in ordinary shares either being cancelled or reissued as treasury shares. We may reissue treasury shares that we acquire through our proposed share buy-back activities including in</w:t>
      </w:r>
    </w:p>
    <w:p>
      <w:pPr>
        <w:jc w:val="both"/>
        <w:spacing w:after="0" w:line="272" w:lineRule="auto"/>
        <w:rPr>
          <w:sz w:val="20"/>
          <w:szCs w:val="20"/>
          <w:color w:val="auto"/>
        </w:rPr>
      </w:pPr>
      <w:r>
        <w:rPr>
          <w:rFonts w:ascii="Times New Roman" w:cs="Times New Roman" w:eastAsia="Times New Roman" w:hAnsi="Times New Roman"/>
          <w:sz w:val="14"/>
          <w:szCs w:val="14"/>
          <w:color w:val="auto"/>
        </w:rPr>
        <w:t>connection with our executive compensation programme, our employee restricted share unit programme and our other compensation programmes. As a result of using this authority in this way, ICON would avoid the need to issue new shares (and the resulting shareholder dilution) when the vesting of equity awards triggers the requirement to issue shares.</w:t>
      </w:r>
    </w:p>
    <w:p>
      <w:pPr>
        <w:spacing w:after="0" w:line="11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6"/>
          <w:szCs w:val="16"/>
          <w:color w:val="auto"/>
        </w:rPr>
        <w:t>The authority being sought from shareholders provides that the minimum and maximum prices at which an ordinary share held in treasury may be reissued are 95% and 120%, respectively, of the average closing price per ordinary share of the Company, as reported by NASDAQ, for the thirty (30) trading days immediately preceding the proposed date of reissuance. Any reissuance of treasury shares will be at price levels that the Board considers in the best interests of our shareholders.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is no resolution dealing with executive compensation as ICON, being a foreign private issuer, is not obliged to provide a “say on pay” shareholder resolution on executive</w:t>
      </w:r>
    </w:p>
    <w:p>
      <w:pPr>
        <w:spacing w:after="0" w:line="16"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6"/>
          <w:szCs w:val="16"/>
          <w:color w:val="auto"/>
        </w:rPr>
        <w:t xml:space="preserve">compensation. Details of ICON’s executive officers compensation for 2021 are available in the Annual Report and Form 20-F for 2021 which are available at </w:t>
      </w:r>
      <w:r>
        <w:rPr>
          <w:rFonts w:ascii="Times New Roman" w:cs="Times New Roman" w:eastAsia="Times New Roman" w:hAnsi="Times New Roman"/>
          <w:sz w:val="16"/>
          <w:szCs w:val="16"/>
          <w:u w:val="single" w:color="auto"/>
          <w:color w:val="0000FF"/>
        </w:rPr>
        <w:t>https://investor.iconplc.com/financials-filings/annual-reports</w:t>
      </w:r>
      <w:r>
        <w:rPr>
          <w:rFonts w:ascii="Times New Roman" w:cs="Times New Roman" w:eastAsia="Times New Roman" w:hAnsi="Times New Roman"/>
          <w:sz w:val="16"/>
          <w:szCs w:val="16"/>
          <w:color w:val="000000"/>
        </w:rPr>
        <w: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Approval of Resolutions</w:t>
      </w:r>
    </w:p>
    <w:p>
      <w:pPr>
        <w:jc w:val="both"/>
        <w:spacing w:after="0" w:line="224" w:lineRule="auto"/>
        <w:rPr>
          <w:sz w:val="20"/>
          <w:szCs w:val="20"/>
          <w:color w:val="auto"/>
        </w:rPr>
      </w:pPr>
      <w:r>
        <w:rPr>
          <w:rFonts w:ascii="Times New Roman" w:cs="Times New Roman" w:eastAsia="Times New Roman" w:hAnsi="Times New Roman"/>
          <w:sz w:val="16"/>
          <w:szCs w:val="16"/>
          <w:color w:val="auto"/>
        </w:rPr>
        <w:t>Resolutions 1.1 to 1.3, 2, 3 and 4 are ordinary resolutions which require approval of a simple majority of the votes cast in person or by proxy and resolutions 5 to 8 are special resolutions which require approval of 75% of the votes cast in person or by proxy.</w:t>
      </w: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3</w:t>
      </w:r>
    </w:p>
    <w:p>
      <w:pPr>
        <w:spacing w:after="0"/>
        <w:rPr>
          <w:sz w:val="20"/>
          <w:szCs w:val="20"/>
          <w:color w:val="auto"/>
        </w:rPr>
      </w:pPr>
      <w:r>
        <w:rPr>
          <w:rFonts w:ascii="Times New Roman" w:cs="Times New Roman" w:eastAsia="Times New Roman" w:hAnsi="Times New Roman"/>
          <w:sz w:val="14"/>
          <w:szCs w:val="14"/>
          <w:color w:val="auto"/>
        </w:rPr>
        <w:t>ICON plc – Notice of Annual General Meeting 2022</w:t>
      </w:r>
    </w:p>
    <w:p>
      <w:pPr>
        <w:sectPr>
          <w:pgSz w:w="11900" w:h="16838" w:orient="portrait"/>
          <w:cols w:equalWidth="0" w:num="1">
            <w:col w:w="11280"/>
          </w:cols>
          <w:pgMar w:left="300" w:top="1129"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b w:val="1"/>
          <w:bCs w:val="1"/>
          <w:u w:val="single" w:color="auto"/>
          <w:color w:val="auto"/>
        </w:rPr>
        <w:t>Recommendation of Directors</w:t>
      </w:r>
    </w:p>
    <w:p>
      <w:pPr>
        <w:spacing w:after="0" w:line="200" w:lineRule="auto"/>
        <w:rPr>
          <w:sz w:val="20"/>
          <w:szCs w:val="20"/>
          <w:color w:val="auto"/>
        </w:rPr>
      </w:pPr>
      <w:r>
        <w:rPr>
          <w:rFonts w:ascii="Times New Roman" w:cs="Times New Roman" w:eastAsia="Times New Roman" w:hAnsi="Times New Roman"/>
          <w:sz w:val="16"/>
          <w:szCs w:val="16"/>
          <w:color w:val="auto"/>
        </w:rPr>
        <w:t>Your Board believes that the resolutions to be proposed at the AGM are in the best interests of the Company and its shareholders. Accordingly, your Directors unanimously recommend that you vote in favour of all resolutions as they intend to do in respect of the shares held by them. On 6 June 2022, the Directors held 566,540 ordinary shares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representing approximately 0.69% of the issued ordinary share capital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Yours 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2940685</wp:posOffset>
            </wp:positionH>
            <wp:positionV relativeFrom="paragraph">
              <wp:posOffset>-3175</wp:posOffset>
            </wp:positionV>
            <wp:extent cx="1293495" cy="296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93495" cy="296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Ciaran Murray</w:t>
      </w:r>
    </w:p>
    <w:p>
      <w:pPr>
        <w:jc w:val="center"/>
        <w:spacing w:after="0"/>
        <w:rPr>
          <w:sz w:val="20"/>
          <w:szCs w:val="20"/>
          <w:color w:val="auto"/>
        </w:rPr>
      </w:pPr>
      <w:r>
        <w:rPr>
          <w:rFonts w:ascii="Times New Roman" w:cs="Times New Roman" w:eastAsia="Times New Roman" w:hAnsi="Times New Roman"/>
          <w:sz w:val="16"/>
          <w:szCs w:val="16"/>
          <w:color w:val="auto"/>
        </w:rPr>
        <w:t>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4</w:t>
      </w:r>
    </w:p>
    <w:p>
      <w:pPr>
        <w:spacing w:after="0"/>
        <w:rPr>
          <w:sz w:val="20"/>
          <w:szCs w:val="20"/>
          <w:color w:val="auto"/>
        </w:rPr>
      </w:pPr>
      <w:r>
        <w:rPr>
          <w:rFonts w:ascii="Times New Roman" w:cs="Times New Roman" w:eastAsia="Times New Roman" w:hAnsi="Times New Roman"/>
          <w:sz w:val="14"/>
          <w:szCs w:val="14"/>
          <w:color w:val="auto"/>
        </w:rPr>
        <w:t>ICON plc – Notice of Annual General Meeting 2022</w:t>
      </w:r>
    </w:p>
    <w:p>
      <w:pPr>
        <w:sectPr>
          <w:pgSz w:w="11900" w:h="16838" w:orient="portrait"/>
          <w:cols w:equalWidth="0" w:num="1">
            <w:col w:w="11280"/>
          </w:cols>
          <w:pgMar w:left="300" w:top="1313" w:right="31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2894965</wp:posOffset>
            </wp:positionH>
            <wp:positionV relativeFrom="page">
              <wp:posOffset>857250</wp:posOffset>
            </wp:positionV>
            <wp:extent cx="1765300" cy="4718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76530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ICON plc</w:t>
      </w:r>
    </w:p>
    <w:p>
      <w:pPr>
        <w:jc w:val="center"/>
        <w:spacing w:after="0" w:line="207" w:lineRule="auto"/>
        <w:rPr>
          <w:sz w:val="20"/>
          <w:szCs w:val="20"/>
          <w:color w:val="auto"/>
        </w:rPr>
      </w:pPr>
      <w:r>
        <w:rPr>
          <w:rFonts w:ascii="Times New Roman" w:cs="Times New Roman" w:eastAsia="Times New Roman" w:hAnsi="Times New Roman"/>
          <w:sz w:val="16"/>
          <w:szCs w:val="16"/>
          <w:b w:val="1"/>
          <w:bCs w:val="1"/>
          <w:color w:val="auto"/>
        </w:rPr>
        <w:t>South County Business Park,</w:t>
      </w:r>
    </w:p>
    <w:p>
      <w:pPr>
        <w:jc w:val="center"/>
        <w:spacing w:after="0" w:line="208" w:lineRule="auto"/>
        <w:rPr>
          <w:sz w:val="20"/>
          <w:szCs w:val="20"/>
          <w:color w:val="auto"/>
        </w:rPr>
      </w:pPr>
      <w:r>
        <w:rPr>
          <w:rFonts w:ascii="Times New Roman" w:cs="Times New Roman" w:eastAsia="Times New Roman" w:hAnsi="Times New Roman"/>
          <w:sz w:val="16"/>
          <w:szCs w:val="16"/>
          <w:b w:val="1"/>
          <w:bCs w:val="1"/>
          <w:color w:val="auto"/>
        </w:rPr>
        <w:t>Leopardstown,</w:t>
      </w:r>
    </w:p>
    <w:p>
      <w:pPr>
        <w:jc w:val="center"/>
        <w:spacing w:after="0" w:line="193" w:lineRule="auto"/>
        <w:rPr>
          <w:sz w:val="20"/>
          <w:szCs w:val="20"/>
          <w:color w:val="auto"/>
        </w:rPr>
      </w:pPr>
      <w:r>
        <w:rPr>
          <w:rFonts w:ascii="Times New Roman" w:cs="Times New Roman" w:eastAsia="Times New Roman" w:hAnsi="Times New Roman"/>
          <w:sz w:val="16"/>
          <w:szCs w:val="16"/>
          <w:b w:val="1"/>
          <w:bCs w:val="1"/>
          <w:color w:val="auto"/>
        </w:rPr>
        <w:t>Dublin 18, Ireland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+353-1-291-2000</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NOTICE OF ANNUAL GENERAL MEETING OF SHAREHOLDERS</w:t>
      </w:r>
    </w:p>
    <w:p>
      <w:pPr>
        <w:jc w:val="center"/>
        <w:spacing w:after="0"/>
        <w:rPr>
          <w:sz w:val="20"/>
          <w:szCs w:val="20"/>
          <w:color w:val="auto"/>
        </w:rPr>
      </w:pPr>
      <w:r>
        <w:rPr>
          <w:rFonts w:ascii="Times New Roman" w:cs="Times New Roman" w:eastAsia="Times New Roman" w:hAnsi="Times New Roman"/>
          <w:sz w:val="16"/>
          <w:szCs w:val="16"/>
          <w:b w:val="1"/>
          <w:bCs w:val="1"/>
          <w:color w:val="auto"/>
        </w:rPr>
        <w:t>TO BE HELD ON 26 JULY, 2022</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Shareholders of ICON plc:</w:t>
      </w:r>
    </w:p>
    <w:p>
      <w:pPr>
        <w:spacing w:after="0" w:line="143"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6"/>
          <w:szCs w:val="16"/>
          <w:b w:val="1"/>
          <w:bCs w:val="1"/>
          <w:color w:val="auto"/>
        </w:rPr>
        <w:t xml:space="preserve">NOTICE </w:t>
      </w:r>
      <w:r>
        <w:rPr>
          <w:rFonts w:ascii="Times New Roman" w:cs="Times New Roman" w:eastAsia="Times New Roman" w:hAnsi="Times New Roman"/>
          <w:sz w:val="16"/>
          <w:szCs w:val="16"/>
          <w:color w:val="auto"/>
        </w:rPr>
        <w:t>is hereby given that the Annual General Meeting of the Company will be held at ICON’s global headquarters in South County Business Park, Leopardstown, Dublin 18,</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Ireland on 26 July 2022 at 9.30am (Dublin time) (the </w:t>
      </w:r>
      <w:r>
        <w:rPr>
          <w:rFonts w:ascii="Times New Roman" w:cs="Times New Roman" w:eastAsia="Times New Roman" w:hAnsi="Times New Roman"/>
          <w:sz w:val="16"/>
          <w:szCs w:val="16"/>
          <w:b w:val="1"/>
          <w:bCs w:val="1"/>
          <w:color w:val="auto"/>
        </w:rPr>
        <w:t>AGM</w:t>
      </w:r>
      <w:r>
        <w:rPr>
          <w:rFonts w:ascii="Times New Roman" w:cs="Times New Roman" w:eastAsia="Times New Roman" w:hAnsi="Times New Roman"/>
          <w:sz w:val="16"/>
          <w:szCs w:val="16"/>
          <w:color w:val="auto"/>
        </w:rPr>
        <w: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ORDINARY BUSINESS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consider and, if thought fit, pass the following ordinary resolutions:</w:t>
      </w:r>
    </w:p>
    <w:p>
      <w:pPr>
        <w:spacing w:after="0" w:line="166" w:lineRule="exact"/>
        <w:rPr>
          <w:sz w:val="20"/>
          <w:szCs w:val="20"/>
          <w:color w:val="auto"/>
        </w:rPr>
      </w:pPr>
    </w:p>
    <w:p>
      <w:pPr>
        <w:ind w:left="520" w:hanging="515"/>
        <w:spacing w:after="0" w:line="229" w:lineRule="auto"/>
        <w:tabs>
          <w:tab w:leader="none" w:pos="5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re-elect, by separate resolutions, the following individuals who retire as Directors in accordance with the Constitution of the Company and, being eligible, offer themselves for re-election:</w:t>
      </w:r>
    </w:p>
    <w:p>
      <w:pPr>
        <w:spacing w:after="0" w:line="140" w:lineRule="exact"/>
        <w:rPr>
          <w:rFonts w:ascii="Times New Roman" w:cs="Times New Roman" w:eastAsia="Times New Roman" w:hAnsi="Times New Roman"/>
          <w:sz w:val="16"/>
          <w:szCs w:val="16"/>
          <w:color w:val="auto"/>
        </w:rPr>
      </w:pPr>
    </w:p>
    <w:p>
      <w:pPr>
        <w:ind w:left="5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1.1 Dr. Steve Cutler</w:t>
      </w:r>
    </w:p>
    <w:p>
      <w:pPr>
        <w:ind w:left="520"/>
        <w:spacing w:after="0" w:line="19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1.2 Dr. John Climax</w:t>
      </w:r>
    </w:p>
    <w:p>
      <w:pPr>
        <w:ind w:left="5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 Mr. Ronan Murphy</w:t>
      </w:r>
    </w:p>
    <w:p>
      <w:pPr>
        <w:spacing w:after="0" w:line="148" w:lineRule="exact"/>
        <w:rPr>
          <w:rFonts w:ascii="Times New Roman" w:cs="Times New Roman" w:eastAsia="Times New Roman" w:hAnsi="Times New Roman"/>
          <w:sz w:val="16"/>
          <w:szCs w:val="16"/>
          <w:color w:val="auto"/>
        </w:rPr>
      </w:pPr>
    </w:p>
    <w:p>
      <w:pPr>
        <w:ind w:left="520" w:hanging="515"/>
        <w:spacing w:after="0"/>
        <w:tabs>
          <w:tab w:leader="none" w:pos="5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review the Company's affairs and consider the accounts for the year ended 31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6"/>
          <w:szCs w:val="16"/>
          <w:color w:val="auto"/>
        </w:rPr>
        <w:t xml:space="preserve"> December 2021 and the reports of the Directors and auditors thereon.</w:t>
      </w:r>
    </w:p>
    <w:p>
      <w:pPr>
        <w:spacing w:after="0" w:line="109" w:lineRule="exact"/>
        <w:rPr>
          <w:rFonts w:ascii="Times New Roman" w:cs="Times New Roman" w:eastAsia="Times New Roman" w:hAnsi="Times New Roman"/>
          <w:sz w:val="16"/>
          <w:szCs w:val="16"/>
          <w:color w:val="auto"/>
        </w:rPr>
      </w:pPr>
    </w:p>
    <w:p>
      <w:pPr>
        <w:ind w:left="500" w:hanging="495"/>
        <w:spacing w:after="0"/>
        <w:tabs>
          <w:tab w:leader="none" w:pos="50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authorise the Directors to fix the remuneration of the auditors.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SPECIAL BUSINESS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consider and, if thought fit, pass the following ordinary resolution:</w:t>
      </w:r>
    </w:p>
    <w:p>
      <w:pPr>
        <w:spacing w:after="0" w:line="156" w:lineRule="exact"/>
        <w:rPr>
          <w:sz w:val="20"/>
          <w:szCs w:val="20"/>
          <w:color w:val="auto"/>
        </w:rPr>
      </w:pPr>
    </w:p>
    <w:p>
      <w:pPr>
        <w:jc w:val="both"/>
        <w:ind w:left="500" w:hanging="495"/>
        <w:spacing w:after="0" w:line="211" w:lineRule="auto"/>
        <w:tabs>
          <w:tab w:leader="none" w:pos="5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the Directors be and are hereby generally and unconditionally authorised, pursuant to Section 1021 of the Companies Act 2014, to exercise all the powers of the Company to allot relevant securities (within the meaning of Section 1021 of the Companies Act 2014) up to an aggregate nominal amount of €978,059.15 representing approximately 20% of the aggregate nominal value of the issued ordinary share capital of the Company as at 6 June 2022 and the authority conferred by this resolution shall expire on the earlier of the date of the next Annual General Meeting of the Company or 25 January 2024, unless previously renewed, varied or revoked; provided that the Company may make an offer or agreement before the expiry of the authority conferred by this resolution, which would or might require any such securities to be allotted after the authority conferred by this resolution has expired and, in that case, the Directors may allot relevant securities in pursuance of any such offer or agreement as if the authority conferred hereby had not expired.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consider and, if thought fit, pass the following special resolutions:</w:t>
      </w:r>
    </w:p>
    <w:p>
      <w:pPr>
        <w:spacing w:after="0" w:line="166" w:lineRule="exact"/>
        <w:rPr>
          <w:sz w:val="20"/>
          <w:szCs w:val="20"/>
          <w:color w:val="auto"/>
        </w:rPr>
      </w:pPr>
    </w:p>
    <w:p>
      <w:pPr>
        <w:ind w:left="500" w:hanging="495"/>
        <w:spacing w:after="0" w:line="229" w:lineRule="auto"/>
        <w:tabs>
          <w:tab w:leader="none" w:pos="5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subject to the passing of Resolution 4, the Directors be and are hereby empowered pursuant to Section 1022 and Section 1023(3) of the Companies Act 2014, to allot equity securities (as defined in Section 1023 of the Companies Act 2014) for cash as if the provisions</w:t>
      </w: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5</w:t>
      </w:r>
    </w:p>
    <w:p>
      <w:pPr>
        <w:spacing w:after="0"/>
        <w:rPr>
          <w:sz w:val="20"/>
          <w:szCs w:val="20"/>
          <w:color w:val="auto"/>
        </w:rPr>
      </w:pPr>
      <w:r>
        <w:rPr>
          <w:rFonts w:ascii="Times New Roman" w:cs="Times New Roman" w:eastAsia="Times New Roman" w:hAnsi="Times New Roman"/>
          <w:sz w:val="14"/>
          <w:szCs w:val="14"/>
          <w:color w:val="auto"/>
        </w:rPr>
        <w:t>ICON plc – Notice of Annual General Meeting 2022</w:t>
      </w:r>
    </w:p>
    <w:p>
      <w:pPr>
        <w:sectPr>
          <w:pgSz w:w="11900" w:h="16838" w:orient="portrait"/>
          <w:cols w:equalWidth="0" w:num="1">
            <w:col w:w="11280"/>
          </w:cols>
          <w:pgMar w:left="300" w:top="1440" w:right="319" w:bottom="1440" w:gutter="0" w:footer="0" w:header="0"/>
        </w:sectPr>
      </w:pPr>
    </w:p>
    <w:bookmarkStart w:id="8" w:name="page9"/>
    <w:bookmarkEnd w:id="8"/>
    <w:p>
      <w:pPr>
        <w:ind w:left="500"/>
        <w:spacing w:after="0"/>
        <w:rPr>
          <w:sz w:val="20"/>
          <w:szCs w:val="20"/>
          <w:color w:val="auto"/>
        </w:rPr>
      </w:pPr>
      <w:r>
        <w:rPr>
          <w:rFonts w:ascii="Times New Roman" w:cs="Times New Roman" w:eastAsia="Times New Roman" w:hAnsi="Times New Roman"/>
          <w:sz w:val="14"/>
          <w:szCs w:val="14"/>
          <w:color w:val="auto"/>
        </w:rPr>
        <w:t>of sub-section (1) of the said Section 1022 did not apply to any such allotment up to an aggregate nominal amount of €244,514.79 representing approximately 5% of the</w:t>
      </w:r>
    </w:p>
    <w:p>
      <w:pPr>
        <w:spacing w:after="0" w:line="16" w:lineRule="exact"/>
        <w:rPr>
          <w:sz w:val="20"/>
          <w:szCs w:val="20"/>
          <w:color w:val="auto"/>
        </w:rPr>
      </w:pPr>
    </w:p>
    <w:p>
      <w:pPr>
        <w:ind w:left="500"/>
        <w:spacing w:after="0" w:line="229" w:lineRule="auto"/>
        <w:rPr>
          <w:sz w:val="20"/>
          <w:szCs w:val="20"/>
          <w:color w:val="auto"/>
        </w:rPr>
      </w:pPr>
      <w:r>
        <w:rPr>
          <w:rFonts w:ascii="Times New Roman" w:cs="Times New Roman" w:eastAsia="Times New Roman" w:hAnsi="Times New Roman"/>
          <w:sz w:val="14"/>
          <w:szCs w:val="14"/>
          <w:color w:val="auto"/>
        </w:rPr>
        <w:t>aggregate nominal value of the issued ordinary share capital of the Company as at 6 June 2022 and the authority conferred by this Resolution shall expire on the earlier of the date of the next Annual General Meeting of the Company or 25 January 2024, unless previously renewed, varied or revoked; provided that the Company may make an</w:t>
      </w:r>
    </w:p>
    <w:p>
      <w:pPr>
        <w:ind w:left="500"/>
        <w:spacing w:after="0" w:line="208" w:lineRule="auto"/>
        <w:rPr>
          <w:sz w:val="20"/>
          <w:szCs w:val="20"/>
          <w:color w:val="auto"/>
        </w:rPr>
      </w:pPr>
      <w:r>
        <w:rPr>
          <w:rFonts w:ascii="Times New Roman" w:cs="Times New Roman" w:eastAsia="Times New Roman" w:hAnsi="Times New Roman"/>
          <w:sz w:val="16"/>
          <w:szCs w:val="16"/>
          <w:color w:val="auto"/>
        </w:rPr>
        <w:t>offer or agreement before the expiry of the authority conferred by this resolution, which would or might require any such securities to be allotted after the authority</w:t>
      </w:r>
    </w:p>
    <w:p>
      <w:pPr>
        <w:ind w:left="500"/>
        <w:spacing w:after="0" w:line="217" w:lineRule="auto"/>
        <w:rPr>
          <w:sz w:val="20"/>
          <w:szCs w:val="20"/>
          <w:color w:val="auto"/>
        </w:rPr>
      </w:pPr>
      <w:r>
        <w:rPr>
          <w:rFonts w:ascii="Times New Roman" w:cs="Times New Roman" w:eastAsia="Times New Roman" w:hAnsi="Times New Roman"/>
          <w:sz w:val="16"/>
          <w:szCs w:val="16"/>
          <w:color w:val="auto"/>
        </w:rPr>
        <w:t>conferred by this resolution has expired and, in that case, the Directors may allot relevant securities in pursuance of any such offer or agreement as if the authority conferred hereby had not expired.”</w:t>
      </w:r>
    </w:p>
    <w:p>
      <w:pPr>
        <w:spacing w:after="0" w:line="148" w:lineRule="exact"/>
        <w:rPr>
          <w:sz w:val="20"/>
          <w:szCs w:val="20"/>
          <w:color w:val="auto"/>
        </w:rPr>
      </w:pPr>
    </w:p>
    <w:p>
      <w:pPr>
        <w:jc w:val="both"/>
        <w:ind w:left="500" w:hanging="495"/>
        <w:spacing w:after="0" w:line="221" w:lineRule="auto"/>
        <w:tabs>
          <w:tab w:leader="none" w:pos="5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subject to the passing of Resolution 4, the Directors be and they are hereby authorised in addition to any authority granted under Resolution 5, to allot equity securities (as defined in Section 1023 of the Companies Act 2014) for cash as if the provisions of sub-section (1) of the said Section 1022 did not apply to any such allotment provided that:</w:t>
      </w:r>
    </w:p>
    <w:p>
      <w:pPr>
        <w:spacing w:after="0" w:line="149" w:lineRule="exact"/>
        <w:rPr>
          <w:rFonts w:ascii="Times New Roman" w:cs="Times New Roman" w:eastAsia="Times New Roman" w:hAnsi="Times New Roman"/>
          <w:sz w:val="16"/>
          <w:szCs w:val="16"/>
          <w:color w:val="auto"/>
        </w:rPr>
      </w:pPr>
    </w:p>
    <w:p>
      <w:pPr>
        <w:ind w:left="1020" w:hanging="506"/>
        <w:spacing w:after="0" w:line="235" w:lineRule="auto"/>
        <w:tabs>
          <w:tab w:leader="none" w:pos="1018"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proceeds of any such allotment are to be used for the purposes of financing (or refinancing, if the authority is to be used within six months after the original transaction) an acquisition or other capital investment; and</w:t>
      </w:r>
    </w:p>
    <w:p>
      <w:pPr>
        <w:spacing w:after="0" w:line="138" w:lineRule="exact"/>
        <w:rPr>
          <w:rFonts w:ascii="Times New Roman" w:cs="Times New Roman" w:eastAsia="Times New Roman" w:hAnsi="Times New Roman"/>
          <w:sz w:val="16"/>
          <w:szCs w:val="16"/>
          <w:color w:val="auto"/>
        </w:rPr>
      </w:pPr>
    </w:p>
    <w:p>
      <w:pPr>
        <w:jc w:val="both"/>
        <w:ind w:left="1020" w:hanging="506"/>
        <w:spacing w:after="0" w:line="226" w:lineRule="auto"/>
        <w:tabs>
          <w:tab w:leader="none" w:pos="1019"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nominal value of all equity securities allotted pursuant to this authority together with the nominal value of all treasury shares (as defined in Section 106 of the Companies Act 2014) reissued pursuant to Resolution 8 not exceed €244,514.79 representing approximately 5% of the nominal value of the issued share capital as at 6 June 2022.</w:t>
      </w:r>
    </w:p>
    <w:p>
      <w:pPr>
        <w:spacing w:after="0" w:line="138" w:lineRule="exact"/>
        <w:rPr>
          <w:sz w:val="20"/>
          <w:szCs w:val="20"/>
          <w:color w:val="auto"/>
        </w:rPr>
      </w:pPr>
    </w:p>
    <w:p>
      <w:pPr>
        <w:ind w:left="500" w:firstLine="11"/>
        <w:spacing w:after="0" w:line="250" w:lineRule="auto"/>
        <w:rPr>
          <w:sz w:val="20"/>
          <w:szCs w:val="20"/>
          <w:color w:val="auto"/>
        </w:rPr>
      </w:pPr>
      <w:r>
        <w:rPr>
          <w:rFonts w:ascii="Times New Roman" w:cs="Times New Roman" w:eastAsia="Times New Roman" w:hAnsi="Times New Roman"/>
          <w:sz w:val="14"/>
          <w:szCs w:val="14"/>
          <w:color w:val="auto"/>
        </w:rPr>
        <w:t>The authority conferred by this resolution shall expire on the earlier of the date of the next Annual General Meeting of the Company or 25 January 2024, unless previously renewed, varied or revoked; provided that the Company may make an offer or agreement before the expiry of the authority conferred by this resolution, which would or</w:t>
      </w:r>
    </w:p>
    <w:p>
      <w:pPr>
        <w:spacing w:after="0" w:line="1" w:lineRule="exact"/>
        <w:rPr>
          <w:sz w:val="20"/>
          <w:szCs w:val="20"/>
          <w:color w:val="auto"/>
        </w:rPr>
      </w:pPr>
    </w:p>
    <w:p>
      <w:pPr>
        <w:ind w:left="500"/>
        <w:spacing w:after="0" w:line="217" w:lineRule="auto"/>
        <w:rPr>
          <w:sz w:val="20"/>
          <w:szCs w:val="20"/>
          <w:color w:val="auto"/>
        </w:rPr>
      </w:pPr>
      <w:r>
        <w:rPr>
          <w:rFonts w:ascii="Times New Roman" w:cs="Times New Roman" w:eastAsia="Times New Roman" w:hAnsi="Times New Roman"/>
          <w:sz w:val="16"/>
          <w:szCs w:val="16"/>
          <w:color w:val="auto"/>
        </w:rPr>
        <w:t>might require any such securities to be allotted after the authority conferred by this resolution has expired and, in that case, the Directors may allot relevant securities in pursuance of any such offer or agreement as if the authority conferred hereby had not expired.”</w:t>
      </w:r>
    </w:p>
    <w:p>
      <w:pPr>
        <w:spacing w:after="0" w:line="148" w:lineRule="exact"/>
        <w:rPr>
          <w:sz w:val="20"/>
          <w:szCs w:val="20"/>
          <w:color w:val="auto"/>
        </w:rPr>
      </w:pPr>
    </w:p>
    <w:p>
      <w:pPr>
        <w:jc w:val="both"/>
        <w:ind w:left="500" w:hanging="495"/>
        <w:spacing w:after="0" w:line="218" w:lineRule="auto"/>
        <w:tabs>
          <w:tab w:leader="none" w:pos="5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the Company and/or any subsidiary (as such expression is defined by Section 7 of the Companies Act 2014) of the Company be and they are hereby generally authorised to make overseas market purchases (as defined by Section 1072(2) of the Companies Act 2014) of shares of any class of the Company on such terms and conditions and in such manner as the Directors or, as the case may be, the Directors of such subsidiary, may from time to time determine in accordance with and subject to the provisions of the Companies Act 2014 and the following restrictions and provisions:</w:t>
      </w:r>
    </w:p>
    <w:p>
      <w:pPr>
        <w:spacing w:after="0" w:line="137" w:lineRule="exact"/>
        <w:rPr>
          <w:rFonts w:ascii="Times New Roman" w:cs="Times New Roman" w:eastAsia="Times New Roman" w:hAnsi="Times New Roman"/>
          <w:sz w:val="16"/>
          <w:szCs w:val="16"/>
          <w:color w:val="auto"/>
        </w:rPr>
      </w:pPr>
    </w:p>
    <w:p>
      <w:pPr>
        <w:ind w:left="1020" w:hanging="506"/>
        <w:spacing w:after="0" w:line="235" w:lineRule="auto"/>
        <w:tabs>
          <w:tab w:leader="none" w:pos="1018" w:val="left"/>
        </w:tabs>
        <w:numPr>
          <w:ilvl w:val="1"/>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maximum aggregate number of shares authorised to be acquired pursuant to this resolution shall not exceed 10% of the aggregate number of shares issued by the Company at close of business on the date of passing of this resolution;</w:t>
      </w:r>
    </w:p>
    <w:p>
      <w:pPr>
        <w:spacing w:after="0" w:line="148" w:lineRule="exact"/>
        <w:rPr>
          <w:rFonts w:ascii="Times New Roman" w:cs="Times New Roman" w:eastAsia="Times New Roman" w:hAnsi="Times New Roman"/>
          <w:sz w:val="16"/>
          <w:szCs w:val="16"/>
          <w:color w:val="auto"/>
        </w:rPr>
      </w:pPr>
    </w:p>
    <w:p>
      <w:pPr>
        <w:ind w:left="1020" w:hanging="506"/>
        <w:spacing w:after="0"/>
        <w:tabs>
          <w:tab w:leader="none" w:pos="1020" w:val="left"/>
        </w:tabs>
        <w:numPr>
          <w:ilvl w:val="1"/>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minimum price (exclusive of expenses) which may be paid for any such share shall be an amount equal to the nominal value thereof; and</w:t>
      </w:r>
    </w:p>
    <w:p>
      <w:pPr>
        <w:spacing w:after="0" w:line="155" w:lineRule="exact"/>
        <w:rPr>
          <w:rFonts w:ascii="Times New Roman" w:cs="Times New Roman" w:eastAsia="Times New Roman" w:hAnsi="Times New Roman"/>
          <w:sz w:val="16"/>
          <w:szCs w:val="16"/>
          <w:color w:val="auto"/>
        </w:rPr>
      </w:pPr>
    </w:p>
    <w:p>
      <w:pPr>
        <w:ind w:left="1020" w:hanging="506"/>
        <w:spacing w:after="0" w:line="299" w:lineRule="auto"/>
        <w:tabs>
          <w:tab w:leader="none" w:pos="102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maximum price (exclusive of expenses) to be paid for any ordinary share shall be an amount equal to 115% of the NASDAQ Official Close Price (the “NOCP”) (as reported by NASDAQ) of the Company’s ordinary shares on the trading day preceding the day on which the relevant shares are purchased by the Company.</w:t>
      </w:r>
    </w:p>
    <w:p>
      <w:pPr>
        <w:spacing w:after="0" w:line="108" w:lineRule="exact"/>
        <w:rPr>
          <w:sz w:val="20"/>
          <w:szCs w:val="20"/>
          <w:color w:val="auto"/>
        </w:rPr>
      </w:pPr>
    </w:p>
    <w:p>
      <w:pPr>
        <w:ind w:left="500"/>
        <w:spacing w:after="0" w:line="212" w:lineRule="auto"/>
        <w:rPr>
          <w:sz w:val="20"/>
          <w:szCs w:val="20"/>
          <w:color w:val="auto"/>
        </w:rPr>
      </w:pPr>
      <w:r>
        <w:rPr>
          <w:rFonts w:ascii="Times New Roman" w:cs="Times New Roman" w:eastAsia="Times New Roman" w:hAnsi="Times New Roman"/>
          <w:sz w:val="16"/>
          <w:szCs w:val="16"/>
          <w:color w:val="auto"/>
        </w:rPr>
        <w:t>The authority hereby conferred shall expire on the earlier of the date of the next Annual General Meeting of the Company or 25 January 2024 or (if earlier) unless previously varied, revoked or renewed in accordance with the provisions of Section 1074 of the Companies Act 2014. The Company or any subsidiary may before such</w:t>
      </w:r>
    </w:p>
    <w:p>
      <w:pPr>
        <w:spacing w:after="0" w:line="1" w:lineRule="exact"/>
        <w:rPr>
          <w:sz w:val="20"/>
          <w:szCs w:val="20"/>
          <w:color w:val="auto"/>
        </w:rPr>
      </w:pPr>
    </w:p>
    <w:p>
      <w:pPr>
        <w:ind w:left="500"/>
        <w:spacing w:after="0" w:line="224" w:lineRule="auto"/>
        <w:rPr>
          <w:sz w:val="20"/>
          <w:szCs w:val="20"/>
          <w:color w:val="auto"/>
        </w:rPr>
      </w:pPr>
      <w:r>
        <w:rPr>
          <w:rFonts w:ascii="Times New Roman" w:cs="Times New Roman" w:eastAsia="Times New Roman" w:hAnsi="Times New Roman"/>
          <w:sz w:val="16"/>
          <w:szCs w:val="16"/>
          <w:color w:val="auto"/>
        </w:rPr>
        <w:t>expiry make a contract for the purchase of shares which would or might be wholly or partly executed after such expiry and may make a purchase of shares pursuant to any such contract as if the authority hereby conferred had not expired.”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6</w:t>
      </w:r>
    </w:p>
    <w:p>
      <w:pPr>
        <w:spacing w:after="0"/>
        <w:rPr>
          <w:sz w:val="20"/>
          <w:szCs w:val="20"/>
          <w:color w:val="auto"/>
        </w:rPr>
      </w:pPr>
      <w:r>
        <w:rPr>
          <w:rFonts w:ascii="Times New Roman" w:cs="Times New Roman" w:eastAsia="Times New Roman" w:hAnsi="Times New Roman"/>
          <w:sz w:val="14"/>
          <w:szCs w:val="14"/>
          <w:color w:val="auto"/>
        </w:rPr>
        <w:t>ICON plc – Notice of Annual General Meeting 2022</w:t>
      </w:r>
    </w:p>
    <w:p>
      <w:pPr>
        <w:sectPr>
          <w:pgSz w:w="11900" w:h="16838" w:orient="portrait"/>
          <w:cols w:equalWidth="0" w:num="1">
            <w:col w:w="11280"/>
          </w:cols>
          <w:pgMar w:left="300" w:top="1129" w:right="319" w:bottom="1440" w:gutter="0" w:footer="0" w:header="0"/>
        </w:sectPr>
      </w:pPr>
    </w:p>
    <w:bookmarkStart w:id="9" w:name="page10"/>
    <w:bookmarkEnd w:id="9"/>
    <w:p>
      <w:pPr>
        <w:ind w:left="280" w:hanging="275"/>
        <w:spacing w:after="0"/>
        <w:tabs>
          <w:tab w:leader="none" w:pos="2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the reissue price range at which any treasury shares held by the Company may be reissued off-market shall be as follows:</w:t>
      </w:r>
    </w:p>
    <w:p>
      <w:pPr>
        <w:spacing w:after="0" w:line="166" w:lineRule="exact"/>
        <w:rPr>
          <w:rFonts w:ascii="Times New Roman" w:cs="Times New Roman" w:eastAsia="Times New Roman" w:hAnsi="Times New Roman"/>
          <w:sz w:val="16"/>
          <w:szCs w:val="16"/>
          <w:color w:val="auto"/>
        </w:rPr>
      </w:pPr>
    </w:p>
    <w:p>
      <w:pPr>
        <w:ind w:left="820" w:hanging="306"/>
        <w:spacing w:after="0"/>
        <w:tabs>
          <w:tab w:leader="none" w:pos="820"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maximum price at which such treasury share may be reissued off-market shall be an amount equal to 120% of the “market price”; and</w:t>
      </w:r>
    </w:p>
    <w:p>
      <w:pPr>
        <w:spacing w:after="0" w:line="155" w:lineRule="exact"/>
        <w:rPr>
          <w:rFonts w:ascii="Times New Roman" w:cs="Times New Roman" w:eastAsia="Times New Roman" w:hAnsi="Times New Roman"/>
          <w:sz w:val="16"/>
          <w:szCs w:val="16"/>
          <w:color w:val="auto"/>
        </w:rPr>
      </w:pPr>
    </w:p>
    <w:p>
      <w:pPr>
        <w:ind w:left="1020" w:hanging="506"/>
        <w:spacing w:after="0" w:line="235" w:lineRule="auto"/>
        <w:tabs>
          <w:tab w:leader="none" w:pos="868"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minimum price at which a treasury share may be reissued off-market shall be the nominal value of the share where such a share is required to satisfy an obligation under an employee share plan operated by the Company or, in all other cases, an amount equal to 95% of the “market price”; and</w:t>
      </w:r>
    </w:p>
    <w:p>
      <w:pPr>
        <w:spacing w:after="0" w:line="148" w:lineRule="exact"/>
        <w:rPr>
          <w:rFonts w:ascii="Times New Roman" w:cs="Times New Roman" w:eastAsia="Times New Roman" w:hAnsi="Times New Roman"/>
          <w:sz w:val="16"/>
          <w:szCs w:val="16"/>
          <w:color w:val="auto"/>
        </w:rPr>
      </w:pPr>
    </w:p>
    <w:p>
      <w:pPr>
        <w:ind w:left="900" w:hanging="386"/>
        <w:spacing w:after="0"/>
        <w:tabs>
          <w:tab w:leader="none" w:pos="900" w:val="left"/>
        </w:tabs>
        <w:numPr>
          <w:ilvl w:val="1"/>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purposes of this resolution, the “market price” shall mean the average closing price per ordinary share of the Company, as reported by NASDAQ, for the thirty</w:t>
      </w:r>
    </w:p>
    <w:p>
      <w:pPr>
        <w:spacing w:after="0" w:line="5" w:lineRule="exact"/>
        <w:rPr>
          <w:rFonts w:ascii="Times New Roman" w:cs="Times New Roman" w:eastAsia="Times New Roman" w:hAnsi="Times New Roman"/>
          <w:sz w:val="14"/>
          <w:szCs w:val="14"/>
          <w:color w:val="auto"/>
        </w:rPr>
      </w:pPr>
    </w:p>
    <w:p>
      <w:pPr>
        <w:ind w:left="1320" w:hanging="297"/>
        <w:spacing w:after="0"/>
        <w:tabs>
          <w:tab w:leader="none" w:pos="1320" w:val="left"/>
        </w:tabs>
        <w:numPr>
          <w:ilvl w:val="2"/>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trading days immediately preceding the proposed date of reissuance.</w:t>
      </w:r>
    </w:p>
    <w:p>
      <w:pPr>
        <w:spacing w:after="0" w:line="148" w:lineRule="exact"/>
        <w:rPr>
          <w:sz w:val="20"/>
          <w:szCs w:val="20"/>
          <w:color w:val="auto"/>
        </w:rPr>
      </w:pPr>
    </w:p>
    <w:p>
      <w:pPr>
        <w:ind w:left="520"/>
        <w:spacing w:after="0" w:line="235" w:lineRule="auto"/>
        <w:rPr>
          <w:sz w:val="20"/>
          <w:szCs w:val="20"/>
          <w:color w:val="auto"/>
        </w:rPr>
      </w:pPr>
      <w:r>
        <w:rPr>
          <w:rFonts w:ascii="Times New Roman" w:cs="Times New Roman" w:eastAsia="Times New Roman" w:hAnsi="Times New Roman"/>
          <w:sz w:val="16"/>
          <w:szCs w:val="16"/>
          <w:color w:val="auto"/>
        </w:rPr>
        <w:t>The authority hereby conferred to reissue treasury shares shall expire eighteen months from the date of the passing of this resolution unless previously varied or renewed in accordance with the provisions of Section 1078 of the Companies Act 2014.”</w:t>
      </w:r>
    </w:p>
    <w:p>
      <w:pPr>
        <w:spacing w:after="0" w:line="136"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6"/>
          <w:szCs w:val="16"/>
          <w:b w:val="1"/>
          <w:bCs w:val="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2266950</wp:posOffset>
            </wp:positionH>
            <wp:positionV relativeFrom="paragraph">
              <wp:posOffset>3810</wp:posOffset>
            </wp:positionV>
            <wp:extent cx="1037590" cy="242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7590" cy="242570"/>
                    </a:xfrm>
                    <a:prstGeom prst="rect">
                      <a:avLst/>
                    </a:prstGeom>
                    <a:noFill/>
                  </pic:spPr>
                </pic:pic>
              </a:graphicData>
            </a:graphic>
          </wp:anchor>
        </w:drawing>
      </w:r>
    </w:p>
    <w:p>
      <w:pPr>
        <w:spacing w:after="0" w:line="396"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6"/>
          <w:szCs w:val="16"/>
          <w:color w:val="auto"/>
        </w:rPr>
        <w:t>Diarmaid Cunningham</w:t>
      </w:r>
    </w:p>
    <w:p>
      <w:pPr>
        <w:ind w:left="3580"/>
        <w:spacing w:after="0"/>
        <w:rPr>
          <w:sz w:val="20"/>
          <w:szCs w:val="20"/>
          <w:color w:val="auto"/>
        </w:rPr>
      </w:pPr>
      <w:r>
        <w:rPr>
          <w:rFonts w:ascii="Times New Roman" w:cs="Times New Roman" w:eastAsia="Times New Roman" w:hAnsi="Times New Roman"/>
          <w:sz w:val="16"/>
          <w:szCs w:val="16"/>
          <w:color w:val="auto"/>
        </w:rPr>
        <w:t>Company Secretary</w:t>
      </w:r>
    </w:p>
    <w:p>
      <w:pPr>
        <w:spacing w:after="0" w:line="1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Dublin, Ireland</w:t>
      </w:r>
    </w:p>
    <w:p>
      <w:pPr>
        <w:ind w:left="520"/>
        <w:spacing w:after="0"/>
        <w:rPr>
          <w:sz w:val="20"/>
          <w:szCs w:val="20"/>
          <w:color w:val="auto"/>
        </w:rPr>
      </w:pPr>
      <w:r>
        <w:rPr>
          <w:rFonts w:ascii="Times New Roman" w:cs="Times New Roman" w:eastAsia="Times New Roman" w:hAnsi="Times New Roman"/>
          <w:sz w:val="16"/>
          <w:szCs w:val="16"/>
          <w:color w:val="auto"/>
        </w:rPr>
        <w:t>Dated: 17 June, 2022</w:t>
      </w:r>
    </w:p>
    <w:p>
      <w:pPr>
        <w:spacing w:after="0" w:line="114" w:lineRule="exact"/>
        <w:rPr>
          <w:sz w:val="20"/>
          <w:szCs w:val="20"/>
          <w:color w:val="auto"/>
        </w:rPr>
      </w:pPr>
    </w:p>
    <w:p>
      <w:pPr>
        <w:ind w:left="520"/>
        <w:spacing w:after="0" w:line="252" w:lineRule="auto"/>
        <w:rPr>
          <w:sz w:val="20"/>
          <w:szCs w:val="20"/>
          <w:color w:val="auto"/>
        </w:rPr>
      </w:pPr>
      <w:r>
        <w:rPr>
          <w:rFonts w:ascii="Times New Roman" w:cs="Times New Roman" w:eastAsia="Times New Roman" w:hAnsi="Times New Roman"/>
          <w:sz w:val="14"/>
          <w:szCs w:val="14"/>
          <w:b w:val="1"/>
          <w:bCs w:val="1"/>
          <w:color w:val="auto"/>
        </w:rPr>
        <w:t>The AGM will be held in accordance with prevailing Government COVID-19 related restrictions and public health guidance, if any. In the event that a change of meeting arrangements becomes necessary due to such restrictions or guidance, ICON will promptly communicate this to shareholders by an announcement in a</w:t>
      </w:r>
    </w:p>
    <w:p>
      <w:pPr>
        <w:ind w:left="520"/>
        <w:spacing w:after="0" w:line="217" w:lineRule="auto"/>
        <w:rPr>
          <w:sz w:val="20"/>
          <w:szCs w:val="20"/>
          <w:color w:val="auto"/>
        </w:rPr>
      </w:pPr>
      <w:r>
        <w:rPr>
          <w:rFonts w:ascii="Times New Roman" w:cs="Times New Roman" w:eastAsia="Times New Roman" w:hAnsi="Times New Roman"/>
          <w:sz w:val="16"/>
          <w:szCs w:val="16"/>
          <w:b w:val="1"/>
          <w:bCs w:val="1"/>
          <w:color w:val="auto"/>
        </w:rPr>
        <w:t xml:space="preserve">press release and on the investor relations page of </w:t>
      </w:r>
      <w:r>
        <w:rPr>
          <w:rFonts w:ascii="Times New Roman" w:cs="Times New Roman" w:eastAsia="Times New Roman" w:hAnsi="Times New Roman"/>
          <w:sz w:val="16"/>
          <w:szCs w:val="16"/>
          <w:b w:val="1"/>
          <w:bCs w:val="1"/>
          <w:u w:val="single" w:color="auto"/>
          <w:color w:val="0000FF"/>
        </w:rPr>
        <w:t>https://investor.iconplc.com/</w:t>
      </w:r>
      <w:r>
        <w:rPr>
          <w:rFonts w:ascii="Times New Roman" w:cs="Times New Roman" w:eastAsia="Times New Roman" w:hAnsi="Times New Roman"/>
          <w:sz w:val="16"/>
          <w:szCs w:val="16"/>
          <w:b w:val="1"/>
          <w:bCs w:val="1"/>
          <w:color w:val="auto"/>
        </w:rPr>
        <w:t xml:space="preserve"> and a filing with the SEC. ICON advises shareholders to monitor the page regularly, as circumstances may change on short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7</w:t>
      </w:r>
    </w:p>
    <w:p>
      <w:pPr>
        <w:spacing w:after="0"/>
        <w:rPr>
          <w:sz w:val="20"/>
          <w:szCs w:val="20"/>
          <w:color w:val="auto"/>
        </w:rPr>
      </w:pPr>
      <w:r>
        <w:rPr>
          <w:rFonts w:ascii="Times New Roman" w:cs="Times New Roman" w:eastAsia="Times New Roman" w:hAnsi="Times New Roman"/>
          <w:sz w:val="14"/>
          <w:szCs w:val="14"/>
          <w:color w:val="auto"/>
        </w:rPr>
        <w:t>ICON plc – Notice of Annual General Meeting 2022</w:t>
      </w:r>
    </w:p>
    <w:p>
      <w:pPr>
        <w:sectPr>
          <w:pgSz w:w="11900" w:h="16838" w:orient="portrait"/>
          <w:cols w:equalWidth="0" w:num="1">
            <w:col w:w="11280"/>
          </w:cols>
          <w:pgMar w:left="300" w:top="1129"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b w:val="1"/>
          <w:bCs w:val="1"/>
          <w:color w:val="auto"/>
        </w:rPr>
        <w:t>NOTES:</w:t>
      </w:r>
    </w:p>
    <w:p>
      <w:pPr>
        <w:spacing w:after="0" w:line="151" w:lineRule="exact"/>
        <w:rPr>
          <w:sz w:val="20"/>
          <w:szCs w:val="20"/>
          <w:color w:val="auto"/>
        </w:rPr>
      </w:pPr>
    </w:p>
    <w:p>
      <w:pPr>
        <w:ind w:left="320" w:hanging="315"/>
        <w:spacing w:after="0"/>
        <w:tabs>
          <w:tab w:leader="none" w:pos="320" w:val="left"/>
        </w:tabs>
        <w:numPr>
          <w:ilvl w:val="0"/>
          <w:numId w:val="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Information and Documentation</w:t>
      </w:r>
    </w:p>
    <w:p>
      <w:pPr>
        <w:ind w:left="500" w:firstLine="8"/>
        <w:spacing w:after="0" w:line="224" w:lineRule="auto"/>
        <w:rPr>
          <w:sz w:val="20"/>
          <w:szCs w:val="20"/>
          <w:color w:val="auto"/>
        </w:rPr>
      </w:pPr>
      <w:r>
        <w:rPr>
          <w:rFonts w:ascii="Times New Roman" w:cs="Times New Roman" w:eastAsia="Times New Roman" w:hAnsi="Times New Roman"/>
          <w:sz w:val="16"/>
          <w:szCs w:val="16"/>
          <w:color w:val="auto"/>
        </w:rPr>
        <w:t xml:space="preserve">Information regarding the Annual General Meeting is available on the Company’s website </w:t>
      </w:r>
      <w:r>
        <w:rPr>
          <w:rFonts w:ascii="Times New Roman" w:cs="Times New Roman" w:eastAsia="Times New Roman" w:hAnsi="Times New Roman"/>
          <w:sz w:val="16"/>
          <w:szCs w:val="16"/>
          <w:u w:val="single" w:color="auto"/>
          <w:color w:val="0000FF"/>
        </w:rPr>
        <w:t>www.iconplc.com</w:t>
      </w:r>
      <w:r>
        <w:rPr>
          <w:rFonts w:ascii="Times New Roman" w:cs="Times New Roman" w:eastAsia="Times New Roman" w:hAnsi="Times New Roman"/>
          <w:sz w:val="16"/>
          <w:szCs w:val="16"/>
          <w:color w:val="auto"/>
        </w:rPr>
        <w:t xml:space="preserve"> and from </w:t>
      </w:r>
      <w:r>
        <w:rPr>
          <w:rFonts w:ascii="Times New Roman" w:cs="Times New Roman" w:eastAsia="Times New Roman" w:hAnsi="Times New Roman"/>
          <w:sz w:val="16"/>
          <w:szCs w:val="16"/>
          <w:u w:val="single" w:color="auto"/>
          <w:color w:val="0000FF"/>
        </w:rPr>
        <w:t>www.proxyvote.com</w:t>
      </w:r>
      <w:r>
        <w:rPr>
          <w:rFonts w:ascii="Times New Roman" w:cs="Times New Roman" w:eastAsia="Times New Roman" w:hAnsi="Times New Roman"/>
          <w:sz w:val="16"/>
          <w:szCs w:val="16"/>
          <w:color w:val="auto"/>
        </w:rPr>
        <w:t>. If you require a paper copy of the Form 20-F or Annual Report, please contact Investor Relations at 1-888-381-7923 or IR@iconplc.com.</w:t>
      </w:r>
    </w:p>
    <w:p>
      <w:pPr>
        <w:spacing w:after="0" w:line="130" w:lineRule="exact"/>
        <w:rPr>
          <w:sz w:val="20"/>
          <w:szCs w:val="20"/>
          <w:color w:val="auto"/>
        </w:rPr>
      </w:pPr>
    </w:p>
    <w:p>
      <w:pPr>
        <w:ind w:left="320" w:hanging="315"/>
        <w:spacing w:after="0"/>
        <w:tabs>
          <w:tab w:leader="none" w:pos="320" w:val="left"/>
        </w:tabs>
        <w:numPr>
          <w:ilvl w:val="0"/>
          <w:numId w:val="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Who is eligible to vote and how?</w:t>
      </w:r>
    </w:p>
    <w:p>
      <w:pPr>
        <w:ind w:left="500"/>
        <w:spacing w:after="0"/>
        <w:rPr>
          <w:sz w:val="20"/>
          <w:szCs w:val="20"/>
          <w:color w:val="auto"/>
        </w:rPr>
      </w:pPr>
      <w:r>
        <w:rPr>
          <w:rFonts w:ascii="Times New Roman" w:cs="Times New Roman" w:eastAsia="Times New Roman" w:hAnsi="Times New Roman"/>
          <w:sz w:val="16"/>
          <w:szCs w:val="16"/>
          <w:color w:val="auto"/>
        </w:rPr>
        <w:t>The record date for the Annual General Meeting is 6 June 2022.</w:t>
      </w:r>
    </w:p>
    <w:p>
      <w:pPr>
        <w:spacing w:after="0" w:line="1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If your shares are registered in your name, you are a shareholder of record. Shareholders of record who are entered in the Register of Members of the Company on 6 June</w:t>
      </w:r>
    </w:p>
    <w:p>
      <w:pPr>
        <w:spacing w:after="0" w:line="16" w:lineRule="exact"/>
        <w:rPr>
          <w:sz w:val="20"/>
          <w:szCs w:val="20"/>
          <w:color w:val="auto"/>
        </w:rPr>
      </w:pPr>
    </w:p>
    <w:p>
      <w:pPr>
        <w:ind w:left="500"/>
        <w:spacing w:after="0" w:line="217" w:lineRule="auto"/>
        <w:rPr>
          <w:sz w:val="20"/>
          <w:szCs w:val="20"/>
          <w:color w:val="auto"/>
        </w:rPr>
      </w:pPr>
      <w:r>
        <w:rPr>
          <w:rFonts w:ascii="Times New Roman" w:cs="Times New Roman" w:eastAsia="Times New Roman" w:hAnsi="Times New Roman"/>
          <w:sz w:val="16"/>
          <w:szCs w:val="16"/>
          <w:color w:val="auto"/>
        </w:rPr>
        <w:t>2022 shall be entitled to attend, speak, ask questions and vote at the Annual General Meeting, or if relevant, any adjournment thereof. Changes in the Register of Members of the Company after that time will be disregarded in determining the right of any person to attend and/or vote at the Annual General Meeting.</w:t>
      </w:r>
    </w:p>
    <w:p>
      <w:pPr>
        <w:spacing w:after="0" w:line="148" w:lineRule="exact"/>
        <w:rPr>
          <w:sz w:val="20"/>
          <w:szCs w:val="20"/>
          <w:color w:val="auto"/>
        </w:rPr>
      </w:pPr>
    </w:p>
    <w:p>
      <w:pPr>
        <w:ind w:left="500"/>
        <w:spacing w:after="0" w:line="235" w:lineRule="auto"/>
        <w:rPr>
          <w:sz w:val="20"/>
          <w:szCs w:val="20"/>
          <w:color w:val="auto"/>
        </w:rPr>
      </w:pPr>
      <w:r>
        <w:rPr>
          <w:rFonts w:ascii="Times New Roman" w:cs="Times New Roman" w:eastAsia="Times New Roman" w:hAnsi="Times New Roman"/>
          <w:sz w:val="16"/>
          <w:szCs w:val="16"/>
          <w:color w:val="auto"/>
        </w:rPr>
        <w:t>For those shareholders whose shares are not held in their name, but rather in an account at a brokerage firm, bank, dealer or other similar organisation, who in turn hold through The Depository Trust Company (“DTC”), then their entitlement to vote is determined as at 6 June 2022.</w:t>
      </w:r>
    </w:p>
    <w:p>
      <w:pPr>
        <w:spacing w:after="0" w:line="1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Depending on whether your shares are registered in your name or whether your shares are held in a “street name” the arrangements are as follows:</w:t>
      </w:r>
    </w:p>
    <w:p>
      <w:pPr>
        <w:spacing w:after="0" w:line="1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i w:val="1"/>
          <w:iCs w:val="1"/>
          <w:color w:val="auto"/>
        </w:rPr>
        <w:t>Shareholder of Record: Shares Registered in Your Name</w:t>
      </w:r>
    </w:p>
    <w:p>
      <w:pPr>
        <w:spacing w:after="0" w:line="41" w:lineRule="exact"/>
        <w:rPr>
          <w:sz w:val="20"/>
          <w:szCs w:val="20"/>
          <w:color w:val="auto"/>
        </w:rPr>
      </w:pPr>
    </w:p>
    <w:p>
      <w:pPr>
        <w:ind w:left="500"/>
        <w:spacing w:after="0" w:line="242" w:lineRule="auto"/>
        <w:rPr>
          <w:sz w:val="20"/>
          <w:szCs w:val="20"/>
          <w:color w:val="auto"/>
        </w:rPr>
      </w:pPr>
      <w:r>
        <w:rPr>
          <w:rFonts w:ascii="Times New Roman" w:cs="Times New Roman" w:eastAsia="Times New Roman" w:hAnsi="Times New Roman"/>
          <w:sz w:val="14"/>
          <w:szCs w:val="14"/>
          <w:color w:val="auto"/>
        </w:rPr>
        <w:t>As a shareholder of record, you may vote in person at the Annual General Meeting or vote by proxy. In the case of joint holders, the vote of the senior member who tenders a vote, whether in person or by proxy, shall be accepted to the exclusion of the votes of the other shareholder of record and, for this purpose, seniority shall be determined by</w:t>
      </w:r>
    </w:p>
    <w:p>
      <w:pPr>
        <w:ind w:left="500"/>
        <w:spacing w:after="0"/>
        <w:rPr>
          <w:sz w:val="20"/>
          <w:szCs w:val="20"/>
          <w:color w:val="auto"/>
        </w:rPr>
      </w:pPr>
      <w:r>
        <w:rPr>
          <w:rFonts w:ascii="Times New Roman" w:cs="Times New Roman" w:eastAsia="Times New Roman" w:hAnsi="Times New Roman"/>
          <w:sz w:val="14"/>
          <w:szCs w:val="14"/>
          <w:color w:val="auto"/>
        </w:rPr>
        <w:t>the order in which the names stand in the Register of Members of the Company in respect of the joint holding. The appointment of a proxy will not preclude a shareholder of</w:t>
      </w:r>
    </w:p>
    <w:p>
      <w:pPr>
        <w:ind w:left="500"/>
        <w:spacing w:after="0" w:line="229" w:lineRule="auto"/>
        <w:rPr>
          <w:sz w:val="20"/>
          <w:szCs w:val="20"/>
          <w:color w:val="auto"/>
        </w:rPr>
      </w:pPr>
      <w:r>
        <w:rPr>
          <w:rFonts w:ascii="Times New Roman" w:cs="Times New Roman" w:eastAsia="Times New Roman" w:hAnsi="Times New Roman"/>
          <w:sz w:val="14"/>
          <w:szCs w:val="14"/>
          <w:color w:val="auto"/>
        </w:rPr>
        <w:t>record from attending, speaking, asking questions and voting at the Annual General Meeting should the shareholder subsequently wish to do so. A proxy need not be a member of the Company. If you wish to appoint more than one proxy or a person not listed on the form of proxy, please contact Investor Relations at 1-888-381-7923 or</w:t>
      </w:r>
    </w:p>
    <w:p>
      <w:pPr>
        <w:ind w:left="500"/>
        <w:spacing w:after="0"/>
        <w:rPr>
          <w:sz w:val="20"/>
          <w:szCs w:val="20"/>
          <w:color w:val="auto"/>
        </w:rPr>
      </w:pPr>
      <w:r>
        <w:rPr>
          <w:rFonts w:ascii="Times New Roman" w:cs="Times New Roman" w:eastAsia="Times New Roman" w:hAnsi="Times New Roman"/>
          <w:sz w:val="16"/>
          <w:szCs w:val="16"/>
          <w:u w:val="single" w:color="auto"/>
          <w:color w:val="0000FF"/>
        </w:rPr>
        <w:t>IR@iconplc.com</w:t>
      </w:r>
      <w:r>
        <w:rPr>
          <w:rFonts w:ascii="Times New Roman" w:cs="Times New Roman" w:eastAsia="Times New Roman" w:hAnsi="Times New Roman"/>
          <w:sz w:val="16"/>
          <w:szCs w:val="16"/>
          <w:color w:val="000000"/>
        </w:rPr>
        <w:t>.</w:t>
      </w:r>
    </w:p>
    <w:p>
      <w:pPr>
        <w:spacing w:after="0" w:line="138" w:lineRule="exact"/>
        <w:rPr>
          <w:sz w:val="20"/>
          <w:szCs w:val="20"/>
          <w:color w:val="auto"/>
        </w:rPr>
      </w:pPr>
    </w:p>
    <w:p>
      <w:pPr>
        <w:ind w:left="500"/>
        <w:spacing w:after="0" w:line="219" w:lineRule="auto"/>
        <w:rPr>
          <w:sz w:val="20"/>
          <w:szCs w:val="20"/>
          <w:color w:val="auto"/>
        </w:rPr>
      </w:pPr>
      <w:r>
        <w:rPr>
          <w:rFonts w:ascii="Times New Roman" w:cs="Times New Roman" w:eastAsia="Times New Roman" w:hAnsi="Times New Roman"/>
          <w:sz w:val="16"/>
          <w:szCs w:val="16"/>
          <w:color w:val="auto"/>
        </w:rPr>
        <w:t>A Form of Proxy is enclosed with this notice of Annual General Meeting for shareholders of record. To be effective, the Form of Proxy duly completed and executed, together with any authority under which it is executed, or a copy thereof certified, must be deposited at the registered office of the Company, so as to be received by</w:t>
      </w:r>
    </w:p>
    <w:p>
      <w:pPr>
        <w:spacing w:after="0" w:line="1" w:lineRule="exact"/>
        <w:rPr>
          <w:sz w:val="20"/>
          <w:szCs w:val="20"/>
          <w:color w:val="auto"/>
        </w:rPr>
      </w:pPr>
    </w:p>
    <w:p>
      <w:pPr>
        <w:ind w:left="500"/>
        <w:spacing w:after="0" w:line="200" w:lineRule="auto"/>
        <w:rPr>
          <w:sz w:val="20"/>
          <w:szCs w:val="20"/>
          <w:color w:val="auto"/>
        </w:rPr>
      </w:pPr>
      <w:r>
        <w:rPr>
          <w:rFonts w:ascii="Times New Roman" w:cs="Times New Roman" w:eastAsia="Times New Roman" w:hAnsi="Times New Roman"/>
          <w:sz w:val="16"/>
          <w:szCs w:val="16"/>
          <w:color w:val="auto"/>
        </w:rPr>
        <w:t>11.59pm ET on 25 July 2022 or if the Annual General Meeting is adjourned, on the day that falls before the day appointed for the adjourned meeting or (in the case of a poll taken otherwise than at or on the same day as the Annual General Meeting or adjourned meeting) the day before the taking of the poll at which it is to be used. Any</w:t>
      </w:r>
    </w:p>
    <w:p>
      <w:pPr>
        <w:ind w:left="500"/>
        <w:spacing w:after="0" w:line="208" w:lineRule="auto"/>
        <w:rPr>
          <w:sz w:val="20"/>
          <w:szCs w:val="20"/>
          <w:color w:val="auto"/>
        </w:rPr>
      </w:pPr>
      <w:r>
        <w:rPr>
          <w:rFonts w:ascii="Times New Roman" w:cs="Times New Roman" w:eastAsia="Times New Roman" w:hAnsi="Times New Roman"/>
          <w:sz w:val="16"/>
          <w:szCs w:val="16"/>
          <w:color w:val="auto"/>
        </w:rPr>
        <w:t>alteration to the Form of Proxy must be initialled by the person who signs it.</w:t>
      </w:r>
    </w:p>
    <w:p>
      <w:pPr>
        <w:spacing w:after="0" w:line="1" w:lineRule="exact"/>
        <w:rPr>
          <w:sz w:val="20"/>
          <w:szCs w:val="20"/>
          <w:color w:val="auto"/>
        </w:rPr>
      </w:pPr>
    </w:p>
    <w:p>
      <w:pPr>
        <w:ind w:left="500"/>
        <w:spacing w:after="0" w:line="229" w:lineRule="auto"/>
        <w:rPr>
          <w:sz w:val="20"/>
          <w:szCs w:val="20"/>
          <w:color w:val="auto"/>
        </w:rPr>
      </w:pPr>
      <w:r>
        <w:rPr>
          <w:rFonts w:ascii="Times New Roman" w:cs="Times New Roman" w:eastAsia="Times New Roman" w:hAnsi="Times New Roman"/>
          <w:sz w:val="14"/>
          <w:szCs w:val="14"/>
          <w:color w:val="auto"/>
        </w:rPr>
        <w:t>Alternatively, provided it is received by 11.59pm ET on 24 July 2022 or if the Annual General Meeting is adjourned, by 11.59pm ET on the day that falls 48 hours before the time appointed for the adjourned meeting or (in the case of a poll taken otherwise than at or on the same day as the Annual General Meeting or adjourned meeting) by</w:t>
      </w:r>
    </w:p>
    <w:p>
      <w:pPr>
        <w:ind w:left="500"/>
        <w:spacing w:after="0" w:line="237" w:lineRule="auto"/>
        <w:rPr>
          <w:sz w:val="20"/>
          <w:szCs w:val="20"/>
          <w:color w:val="auto"/>
        </w:rPr>
      </w:pPr>
      <w:r>
        <w:rPr>
          <w:rFonts w:ascii="Times New Roman" w:cs="Times New Roman" w:eastAsia="Times New Roman" w:hAnsi="Times New Roman"/>
          <w:sz w:val="14"/>
          <w:szCs w:val="14"/>
          <w:color w:val="auto"/>
        </w:rPr>
        <w:t>11.59pm ET on the day that falls 48 hours before the taking of the poll at which it is to be used, the appointment of a proxy may be submitted by telephone or electronically,</w:t>
      </w:r>
    </w:p>
    <w:p>
      <w:pPr>
        <w:spacing w:after="0" w:line="1" w:lineRule="exact"/>
        <w:rPr>
          <w:sz w:val="20"/>
          <w:szCs w:val="20"/>
          <w:color w:val="auto"/>
        </w:rPr>
      </w:pPr>
    </w:p>
    <w:p>
      <w:pPr>
        <w:ind w:left="500"/>
        <w:spacing w:after="0" w:line="229" w:lineRule="auto"/>
        <w:rPr>
          <w:sz w:val="20"/>
          <w:szCs w:val="20"/>
          <w:color w:val="auto"/>
        </w:rPr>
      </w:pPr>
      <w:r>
        <w:rPr>
          <w:rFonts w:ascii="Times New Roman" w:cs="Times New Roman" w:eastAsia="Times New Roman" w:hAnsi="Times New Roman"/>
          <w:sz w:val="14"/>
          <w:szCs w:val="14"/>
          <w:color w:val="auto"/>
        </w:rPr>
        <w:t xml:space="preserve">subject to the applicable terms and conditions, using the phone number on the Form of Proxy and following the instructions provided or via the Internet by accessing Broadridge’s website </w:t>
      </w:r>
      <w:r>
        <w:rPr>
          <w:rFonts w:ascii="Times New Roman" w:cs="Times New Roman" w:eastAsia="Times New Roman" w:hAnsi="Times New Roman"/>
          <w:sz w:val="14"/>
          <w:szCs w:val="14"/>
          <w:b w:val="1"/>
          <w:bCs w:val="1"/>
          <w:color w:val="0000FF"/>
        </w:rPr>
        <w:t>www.proxyvote.com</w:t>
      </w:r>
      <w:r>
        <w:rPr>
          <w:rFonts w:ascii="Times New Roman" w:cs="Times New Roman" w:eastAsia="Times New Roman" w:hAnsi="Times New Roman"/>
          <w:sz w:val="14"/>
          <w:szCs w:val="14"/>
          <w:color w:val="auto"/>
        </w:rPr>
        <w:t xml:space="preserve"> and following the instructions on the website. The information you need to appoint your proxy by telephone or electronically is</w:t>
      </w:r>
    </w:p>
    <w:p>
      <w:pPr>
        <w:ind w:left="500"/>
        <w:spacing w:after="0"/>
        <w:rPr>
          <w:sz w:val="20"/>
          <w:szCs w:val="20"/>
          <w:color w:val="auto"/>
        </w:rPr>
      </w:pPr>
      <w:r>
        <w:rPr>
          <w:rFonts w:ascii="Times New Roman" w:cs="Times New Roman" w:eastAsia="Times New Roman" w:hAnsi="Times New Roman"/>
          <w:sz w:val="16"/>
          <w:szCs w:val="16"/>
          <w:color w:val="auto"/>
        </w:rPr>
        <w:t>included at the top of your Form of Proxy.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8</w:t>
      </w:r>
    </w:p>
    <w:p>
      <w:pPr>
        <w:spacing w:after="0"/>
        <w:rPr>
          <w:sz w:val="20"/>
          <w:szCs w:val="20"/>
          <w:color w:val="auto"/>
        </w:rPr>
      </w:pPr>
      <w:r>
        <w:rPr>
          <w:rFonts w:ascii="Times New Roman" w:cs="Times New Roman" w:eastAsia="Times New Roman" w:hAnsi="Times New Roman"/>
          <w:sz w:val="14"/>
          <w:szCs w:val="14"/>
          <w:color w:val="auto"/>
        </w:rPr>
        <w:t>ICON plc – Notice of Annual General Meeting 2022</w:t>
      </w:r>
    </w:p>
    <w:p>
      <w:pPr>
        <w:sectPr>
          <w:pgSz w:w="11900" w:h="16838" w:orient="portrait"/>
          <w:cols w:equalWidth="0" w:num="1">
            <w:col w:w="11280"/>
          </w:cols>
          <w:pgMar w:left="300" w:top="1318" w:right="319" w:bottom="1440" w:gutter="0" w:footer="0" w:header="0"/>
        </w:sectPr>
      </w:pPr>
    </w:p>
    <w:bookmarkStart w:id="11" w:name="page12"/>
    <w:bookmarkEnd w:id="11"/>
    <w:p>
      <w:pPr>
        <w:ind w:left="500"/>
        <w:spacing w:after="0" w:line="235" w:lineRule="auto"/>
        <w:rPr>
          <w:sz w:val="20"/>
          <w:szCs w:val="20"/>
          <w:color w:val="auto"/>
        </w:rPr>
      </w:pPr>
      <w:r>
        <w:rPr>
          <w:rFonts w:ascii="Times New Roman" w:cs="Times New Roman" w:eastAsia="Times New Roman" w:hAnsi="Times New Roman"/>
          <w:sz w:val="16"/>
          <w:szCs w:val="16"/>
          <w:color w:val="auto"/>
        </w:rPr>
        <w:t>You need only vote in one way (so that, if you vote by Internet or by telephone, you need not return the Form of Proxy). In the case of a corporation, the Form of Proxy must be either executed under seal or signed on its behalf by a duly authorised officer or attorney.</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i w:val="1"/>
          <w:iCs w:val="1"/>
          <w:color w:val="auto"/>
        </w:rPr>
        <w:t>Beneficial Owner: Shares Registered in the Name of a Broker, Bank or Other Agent</w:t>
      </w:r>
    </w:p>
    <w:p>
      <w:pPr>
        <w:spacing w:after="0" w:line="3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If, as at 6 June 2022, your shares were not held in your name, but rather in an account at a brokerage firm, bank, dealer or other similar organisation, who in turn hold</w:t>
      </w:r>
    </w:p>
    <w:p>
      <w:pPr>
        <w:ind w:left="500"/>
        <w:spacing w:after="0" w:line="229" w:lineRule="auto"/>
        <w:rPr>
          <w:sz w:val="20"/>
          <w:szCs w:val="20"/>
          <w:color w:val="auto"/>
        </w:rPr>
      </w:pPr>
      <w:r>
        <w:rPr>
          <w:rFonts w:ascii="Times New Roman" w:cs="Times New Roman" w:eastAsia="Times New Roman" w:hAnsi="Times New Roman"/>
          <w:sz w:val="14"/>
          <w:szCs w:val="14"/>
          <w:color w:val="auto"/>
        </w:rPr>
        <w:t xml:space="preserve">through DTC, then you are the beneficial owner of shares held in “street name” and these proxy materials are being forwarded to you by that organisation, together with instructions as to voting. </w:t>
      </w:r>
      <w:r>
        <w:rPr>
          <w:rFonts w:ascii="Times New Roman" w:cs="Times New Roman" w:eastAsia="Times New Roman" w:hAnsi="Times New Roman"/>
          <w:sz w:val="14"/>
          <w:szCs w:val="14"/>
          <w:b w:val="1"/>
          <w:bCs w:val="1"/>
          <w:color w:val="auto"/>
        </w:rPr>
        <w:t>You will need to carefully follow the instructions from your broker, bank or other agent or contact your broker, bank or other agent if you</w:t>
      </w:r>
    </w:p>
    <w:p>
      <w:pPr>
        <w:ind w:left="500"/>
        <w:spacing w:after="0"/>
        <w:rPr>
          <w:sz w:val="20"/>
          <w:szCs w:val="20"/>
          <w:color w:val="auto"/>
        </w:rPr>
      </w:pPr>
      <w:r>
        <w:rPr>
          <w:rFonts w:ascii="Times New Roman" w:cs="Times New Roman" w:eastAsia="Times New Roman" w:hAnsi="Times New Roman"/>
          <w:sz w:val="16"/>
          <w:szCs w:val="16"/>
          <w:b w:val="1"/>
          <w:bCs w:val="1"/>
          <w:color w:val="auto"/>
        </w:rPr>
        <w:t>have any queries.</w:t>
      </w:r>
    </w:p>
    <w:p>
      <w:pPr>
        <w:spacing w:after="0" w:line="21" w:lineRule="exact"/>
        <w:rPr>
          <w:sz w:val="20"/>
          <w:szCs w:val="20"/>
          <w:color w:val="auto"/>
        </w:rPr>
      </w:pPr>
    </w:p>
    <w:p>
      <w:pPr>
        <w:ind w:left="500"/>
        <w:spacing w:after="0" w:line="242" w:lineRule="auto"/>
        <w:rPr>
          <w:sz w:val="20"/>
          <w:szCs w:val="20"/>
          <w:color w:val="auto"/>
        </w:rPr>
      </w:pPr>
      <w:r>
        <w:rPr>
          <w:rFonts w:ascii="Times New Roman" w:cs="Times New Roman" w:eastAsia="Times New Roman" w:hAnsi="Times New Roman"/>
          <w:sz w:val="14"/>
          <w:szCs w:val="14"/>
          <w:color w:val="auto"/>
        </w:rPr>
        <w:t>As a beneficial owner, you have the right to direct your broker or other agent on how to vote the shares in your account as per the instructions enclosed by your broker. You are also invited to attend the Annual General Meeting. However, since you are not the shareholder of record, you may not vote your shares in person at the Annual General</w:t>
      </w:r>
    </w:p>
    <w:p>
      <w:pPr>
        <w:spacing w:after="0" w:line="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Meeting unless you contact your broker and obtain a valid proxy card from your broker or other agent.</w:t>
      </w:r>
    </w:p>
    <w:p>
      <w:pPr>
        <w:spacing w:after="0" w:line="21" w:lineRule="exact"/>
        <w:rPr>
          <w:sz w:val="20"/>
          <w:szCs w:val="20"/>
          <w:color w:val="auto"/>
        </w:rPr>
      </w:pPr>
    </w:p>
    <w:p>
      <w:pPr>
        <w:ind w:left="500"/>
        <w:spacing w:after="0" w:line="242" w:lineRule="auto"/>
        <w:rPr>
          <w:sz w:val="20"/>
          <w:szCs w:val="20"/>
          <w:color w:val="auto"/>
        </w:rPr>
      </w:pPr>
      <w:r>
        <w:rPr>
          <w:rFonts w:ascii="Times New Roman" w:cs="Times New Roman" w:eastAsia="Times New Roman" w:hAnsi="Times New Roman"/>
          <w:sz w:val="14"/>
          <w:szCs w:val="14"/>
          <w:color w:val="auto"/>
        </w:rPr>
        <w:t>Therefore as a beneficial owner of shares registered in the name of your broker, bank or other agent, who in turn hold the shares through DTC, you should have received a voting instruction card and voting instructions with these proxy materials from that organisation rather than from us. Simply follow the instructions on the voting instruction</w:t>
      </w:r>
    </w:p>
    <w:p>
      <w:pPr>
        <w:spacing w:after="0" w:line="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card provided by your broker, bank or other agent to ensure that your vote is counted.</w:t>
      </w:r>
    </w:p>
    <w:p>
      <w:pPr>
        <w:spacing w:after="0" w:line="167" w:lineRule="exact"/>
        <w:rPr>
          <w:sz w:val="20"/>
          <w:szCs w:val="20"/>
          <w:color w:val="auto"/>
        </w:rPr>
      </w:pPr>
    </w:p>
    <w:p>
      <w:pPr>
        <w:ind w:left="300" w:hanging="295"/>
        <w:spacing w:after="0"/>
        <w:tabs>
          <w:tab w:leader="none" w:pos="300" w:val="left"/>
        </w:tabs>
        <w:numPr>
          <w:ilvl w:val="0"/>
          <w:numId w:val="1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Attending the AGM - COVID-19 Notice</w:t>
      </w:r>
    </w:p>
    <w:p>
      <w:pPr>
        <w:spacing w:after="0" w:line="1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AGM will be held in accordance with prevailing Government COVID-19 related restrictions and public health guidance, if any. In the event that a change of meeting</w:t>
      </w:r>
    </w:p>
    <w:p>
      <w:pPr>
        <w:spacing w:after="0" w:line="16" w:lineRule="exact"/>
        <w:rPr>
          <w:sz w:val="20"/>
          <w:szCs w:val="20"/>
          <w:color w:val="auto"/>
        </w:rPr>
      </w:pPr>
    </w:p>
    <w:p>
      <w:pPr>
        <w:ind w:left="500"/>
        <w:spacing w:after="0" w:line="221" w:lineRule="auto"/>
        <w:rPr>
          <w:sz w:val="20"/>
          <w:szCs w:val="20"/>
          <w:color w:val="auto"/>
        </w:rPr>
      </w:pPr>
      <w:r>
        <w:rPr>
          <w:rFonts w:ascii="Times New Roman" w:cs="Times New Roman" w:eastAsia="Times New Roman" w:hAnsi="Times New Roman"/>
          <w:sz w:val="15"/>
          <w:szCs w:val="15"/>
          <w:color w:val="auto"/>
        </w:rPr>
        <w:t xml:space="preserve">arrangements becomes necessary due to such restrictions or guidance, ICON will promptly communicate this to shareholders by an announcement in a press release, on the investor relations page of </w:t>
      </w:r>
      <w:r>
        <w:rPr>
          <w:rFonts w:ascii="Times New Roman" w:cs="Times New Roman" w:eastAsia="Times New Roman" w:hAnsi="Times New Roman"/>
          <w:sz w:val="15"/>
          <w:szCs w:val="15"/>
          <w:u w:val="single" w:color="auto"/>
          <w:color w:val="0000FF"/>
        </w:rPr>
        <w:t>https://investor.iconplc.com/</w:t>
      </w:r>
      <w:r>
        <w:rPr>
          <w:rFonts w:ascii="Times New Roman" w:cs="Times New Roman" w:eastAsia="Times New Roman" w:hAnsi="Times New Roman"/>
          <w:sz w:val="15"/>
          <w:szCs w:val="15"/>
          <w:color w:val="auto"/>
        </w:rPr>
        <w:t xml:space="preserve"> and a filing with the SEC. ICON advises shareholders to monitor the page regularly, as circumstances may change</w:t>
      </w:r>
    </w:p>
    <w:p>
      <w:pPr>
        <w:spacing w:after="0" w:line="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on short notice.</w:t>
      </w:r>
    </w:p>
    <w:p>
      <w:pPr>
        <w:spacing w:after="0" w:line="131" w:lineRule="exact"/>
        <w:rPr>
          <w:sz w:val="20"/>
          <w:szCs w:val="20"/>
          <w:color w:val="auto"/>
        </w:rPr>
      </w:pPr>
    </w:p>
    <w:p>
      <w:pPr>
        <w:ind w:left="320" w:hanging="315"/>
        <w:spacing w:after="0"/>
        <w:tabs>
          <w:tab w:leader="none" w:pos="320" w:val="left"/>
        </w:tabs>
        <w:numPr>
          <w:ilvl w:val="0"/>
          <w:numId w:val="1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How many votes do you have?</w:t>
      </w:r>
    </w:p>
    <w:p>
      <w:pPr>
        <w:ind w:left="500"/>
        <w:spacing w:after="0" w:line="237" w:lineRule="auto"/>
        <w:rPr>
          <w:sz w:val="20"/>
          <w:szCs w:val="20"/>
          <w:color w:val="auto"/>
        </w:rPr>
      </w:pPr>
      <w:r>
        <w:rPr>
          <w:rFonts w:ascii="Times New Roman" w:cs="Times New Roman" w:eastAsia="Times New Roman" w:hAnsi="Times New Roman"/>
          <w:sz w:val="14"/>
          <w:szCs w:val="14"/>
          <w:color w:val="auto"/>
        </w:rPr>
        <w:t>The total number of issued ordinary shares on the record date, 6 June 2022, was 81,504,929. On a vote on a show of hands, every shareholder present in person and every proxy has one vote (but no individual shall have more than one vote). On a poll, every shareholder present in person and every proxy shall have one vote for every share</w:t>
      </w:r>
    </w:p>
    <w:p>
      <w:pPr>
        <w:ind w:left="500"/>
        <w:spacing w:after="0" w:line="217" w:lineRule="auto"/>
        <w:rPr>
          <w:sz w:val="20"/>
          <w:szCs w:val="20"/>
          <w:color w:val="auto"/>
        </w:rPr>
      </w:pPr>
      <w:r>
        <w:rPr>
          <w:rFonts w:ascii="Times New Roman" w:cs="Times New Roman" w:eastAsia="Times New Roman" w:hAnsi="Times New Roman"/>
          <w:sz w:val="16"/>
          <w:szCs w:val="16"/>
          <w:color w:val="auto"/>
        </w:rPr>
        <w:t>carrying rights of which he is the holder or proxy. Ordinary resolutions are required to be passed by a simple majority of shareholders voting in person or by proxy. Special resolutions are required to be passed by a majority of 75 per cent of shareholders voting in person or by proxy.</w:t>
      </w:r>
    </w:p>
    <w:p>
      <w:pPr>
        <w:spacing w:after="0" w:line="141"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b w:val="1"/>
          <w:bCs w:val="1"/>
          <w:color w:val="auto"/>
        </w:rPr>
        <w:t>5.</w:t>
      </w:r>
      <w:r>
        <w:rPr>
          <w:sz w:val="20"/>
          <w:szCs w:val="20"/>
          <w:color w:val="auto"/>
        </w:rPr>
        <w:tab/>
      </w:r>
      <w:r>
        <w:rPr>
          <w:rFonts w:ascii="Times New Roman" w:cs="Times New Roman" w:eastAsia="Times New Roman" w:hAnsi="Times New Roman"/>
          <w:sz w:val="14"/>
          <w:szCs w:val="14"/>
          <w:b w:val="1"/>
          <w:bCs w:val="1"/>
          <w:color w:val="auto"/>
        </w:rPr>
        <w:t>Broker Voting</w:t>
      </w:r>
    </w:p>
    <w:p>
      <w:pPr>
        <w:ind w:left="520"/>
        <w:spacing w:after="0" w:line="229" w:lineRule="auto"/>
        <w:rPr>
          <w:sz w:val="20"/>
          <w:szCs w:val="20"/>
          <w:color w:val="auto"/>
        </w:rPr>
      </w:pPr>
      <w:r>
        <w:rPr>
          <w:rFonts w:ascii="Times New Roman" w:cs="Times New Roman" w:eastAsia="Times New Roman" w:hAnsi="Times New Roman"/>
          <w:sz w:val="14"/>
          <w:szCs w:val="14"/>
          <w:color w:val="auto"/>
        </w:rPr>
        <w:t xml:space="preserve">If your shares are held by a broker on your behalf (that is, in “street name”), and you do not instruct the broker as to how to vote these shares, the broker may not exercise discretion to vote for or against any of the proposals. This would be a “broker non-vote” and these shares will not be counted as having been voted on the proposals. </w:t>
      </w:r>
      <w:r>
        <w:rPr>
          <w:rFonts w:ascii="Times New Roman" w:cs="Times New Roman" w:eastAsia="Times New Roman" w:hAnsi="Times New Roman"/>
          <w:sz w:val="14"/>
          <w:szCs w:val="14"/>
          <w:b w:val="1"/>
          <w:bCs w:val="1"/>
          <w:color w:val="auto"/>
        </w:rPr>
        <w:t>Please</w:t>
      </w:r>
    </w:p>
    <w:p>
      <w:pPr>
        <w:ind w:left="520"/>
        <w:spacing w:after="0"/>
        <w:rPr>
          <w:sz w:val="20"/>
          <w:szCs w:val="20"/>
          <w:color w:val="auto"/>
        </w:rPr>
      </w:pPr>
      <w:r>
        <w:rPr>
          <w:rFonts w:ascii="Times New Roman" w:cs="Times New Roman" w:eastAsia="Times New Roman" w:hAnsi="Times New Roman"/>
          <w:sz w:val="16"/>
          <w:szCs w:val="16"/>
          <w:b w:val="1"/>
          <w:bCs w:val="1"/>
          <w:color w:val="auto"/>
        </w:rPr>
        <w:t>instruct your bank or broker so your vote can be counted</w:t>
      </w:r>
      <w:r>
        <w:rPr>
          <w:rFonts w:ascii="Times New Roman" w:cs="Times New Roman" w:eastAsia="Times New Roman" w:hAnsi="Times New Roman"/>
          <w:sz w:val="16"/>
          <w:szCs w:val="16"/>
          <w:color w:val="auto"/>
        </w:rPr>
        <w:t>.</w:t>
      </w:r>
    </w:p>
    <w:p>
      <w:pPr>
        <w:spacing w:after="0" w:line="146" w:lineRule="exact"/>
        <w:rPr>
          <w:sz w:val="20"/>
          <w:szCs w:val="20"/>
          <w:color w:val="auto"/>
        </w:rPr>
      </w:pPr>
    </w:p>
    <w:p>
      <w:pPr>
        <w:ind w:left="500" w:right="7140" w:hanging="495"/>
        <w:spacing w:after="0" w:line="244" w:lineRule="auto"/>
        <w:tabs>
          <w:tab w:leader="none" w:pos="271" w:val="left"/>
        </w:tabs>
        <w:numPr>
          <w:ilvl w:val="0"/>
          <w:numId w:val="1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Can I change my vote after submitting my proxy? </w:t>
      </w:r>
      <w:r>
        <w:rPr>
          <w:rFonts w:ascii="Times New Roman" w:cs="Times New Roman" w:eastAsia="Times New Roman" w:hAnsi="Times New Roman"/>
          <w:sz w:val="14"/>
          <w:szCs w:val="14"/>
          <w:b w:val="1"/>
          <w:bCs w:val="1"/>
          <w:i w:val="1"/>
          <w:iCs w:val="1"/>
          <w:color w:val="auto"/>
        </w:rPr>
        <w:t>Shareholder of Record: Shares Registered in Your Name</w:t>
      </w:r>
    </w:p>
    <w:p>
      <w:pPr>
        <w:ind w:left="500"/>
        <w:spacing w:after="0" w:line="224"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6"/>
          <w:szCs w:val="16"/>
          <w:color w:val="auto"/>
        </w:rPr>
        <w:t>Yes. You can revoke your proxy at any time before the final vote at the Annual General Meeting. If you are the record holder of your shares, you may revoke your proxy in any one of three ways:</w:t>
      </w:r>
    </w:p>
    <w:p>
      <w:pPr>
        <w:spacing w:after="0" w:line="9" w:lineRule="exact"/>
        <w:rPr>
          <w:rFonts w:ascii="Times New Roman" w:cs="Times New Roman" w:eastAsia="Times New Roman" w:hAnsi="Times New Roman"/>
          <w:sz w:val="14"/>
          <w:szCs w:val="14"/>
          <w:b w:val="1"/>
          <w:bCs w:val="1"/>
          <w:color w:val="auto"/>
        </w:rPr>
      </w:pPr>
    </w:p>
    <w:p>
      <w:pPr>
        <w:ind w:left="1020" w:hanging="261"/>
        <w:spacing w:after="0" w:line="235" w:lineRule="auto"/>
        <w:tabs>
          <w:tab w:leader="none" w:pos="1011"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may submit another properly completed proxy with a later date. Your revised proxy must be received before the commencement of the Annual General Meeting at 09.30am Dublin time on 26 July 2022 or if the Annual General Meeting is adjourned, before the commencement of the adjourned meeting;</w:t>
      </w:r>
    </w:p>
    <w:p>
      <w:pPr>
        <w:spacing w:after="0" w:line="148" w:lineRule="exact"/>
        <w:rPr>
          <w:rFonts w:ascii="Times New Roman" w:cs="Times New Roman" w:eastAsia="Times New Roman" w:hAnsi="Times New Roman"/>
          <w:sz w:val="16"/>
          <w:szCs w:val="16"/>
          <w:color w:val="auto"/>
        </w:rPr>
      </w:pPr>
    </w:p>
    <w:p>
      <w:pPr>
        <w:jc w:val="both"/>
        <w:ind w:left="1020" w:hanging="261"/>
        <w:spacing w:after="0" w:line="221" w:lineRule="auto"/>
        <w:tabs>
          <w:tab w:leader="none" w:pos="1011"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may send a written notice that you are revoking your proxy to Diarmaid Cunningham, Company Secretary, ICON plc at the registered office of the Company (being South County Business Park, Leopardstown, Dublin 18, Ireland) or by email to IR@iconplc.com. Your notice must be received before the commencement of the</w:t>
      </w: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9</w:t>
      </w:r>
    </w:p>
    <w:p>
      <w:pPr>
        <w:spacing w:after="0"/>
        <w:rPr>
          <w:sz w:val="20"/>
          <w:szCs w:val="20"/>
          <w:color w:val="auto"/>
        </w:rPr>
      </w:pPr>
      <w:r>
        <w:rPr>
          <w:rFonts w:ascii="Times New Roman" w:cs="Times New Roman" w:eastAsia="Times New Roman" w:hAnsi="Times New Roman"/>
          <w:sz w:val="14"/>
          <w:szCs w:val="14"/>
          <w:color w:val="auto"/>
        </w:rPr>
        <w:t>ICON plc – Notice of Annual General Meeting 2022</w:t>
      </w:r>
    </w:p>
    <w:p>
      <w:pPr>
        <w:sectPr>
          <w:pgSz w:w="11900" w:h="16838" w:orient="portrait"/>
          <w:cols w:equalWidth="0" w:num="1">
            <w:col w:w="11280"/>
          </w:cols>
          <w:pgMar w:left="300" w:top="1129" w:right="319" w:bottom="1440" w:gutter="0" w:footer="0" w:header="0"/>
        </w:sectPr>
      </w:pPr>
    </w:p>
    <w:bookmarkStart w:id="12" w:name="page13"/>
    <w:bookmarkEnd w:id="12"/>
    <w:p>
      <w:pPr>
        <w:ind w:left="1020"/>
        <w:spacing w:after="0" w:line="235" w:lineRule="auto"/>
        <w:rPr>
          <w:sz w:val="20"/>
          <w:szCs w:val="20"/>
          <w:color w:val="auto"/>
        </w:rPr>
      </w:pPr>
      <w:r>
        <w:rPr>
          <w:rFonts w:ascii="Times New Roman" w:cs="Times New Roman" w:eastAsia="Times New Roman" w:hAnsi="Times New Roman"/>
          <w:sz w:val="16"/>
          <w:szCs w:val="16"/>
          <w:color w:val="auto"/>
        </w:rPr>
        <w:t>Annual General Meeting at 09.30am Dublin time on 26 July 2022 or if the Annual General Meeting is adjourned, before the commencement of the adjourned meeting; or</w:t>
      </w:r>
    </w:p>
    <w:p>
      <w:pPr>
        <w:spacing w:after="0" w:line="138" w:lineRule="exact"/>
        <w:rPr>
          <w:sz w:val="20"/>
          <w:szCs w:val="20"/>
          <w:color w:val="auto"/>
        </w:rPr>
      </w:pPr>
    </w:p>
    <w:p>
      <w:pPr>
        <w:ind w:left="1000" w:hanging="241"/>
        <w:spacing w:after="0"/>
        <w:tabs>
          <w:tab w:leader="none" w:pos="10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may attend the Annual General Meeting and vote in person.</w:t>
      </w:r>
    </w:p>
    <w:p>
      <w:pPr>
        <w:spacing w:after="0" w:line="1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i w:val="1"/>
          <w:iCs w:val="1"/>
          <w:color w:val="auto"/>
        </w:rPr>
        <w:t>Beneficial Owner: Shares Registered in the Name of a Broker, Bank or Other Agent</w:t>
      </w:r>
    </w:p>
    <w:p>
      <w:pPr>
        <w:ind w:left="520"/>
        <w:spacing w:after="0" w:line="217" w:lineRule="auto"/>
        <w:rPr>
          <w:sz w:val="20"/>
          <w:szCs w:val="20"/>
          <w:color w:val="auto"/>
        </w:rPr>
      </w:pPr>
      <w:r>
        <w:rPr>
          <w:rFonts w:ascii="Times New Roman" w:cs="Times New Roman" w:eastAsia="Times New Roman" w:hAnsi="Times New Roman"/>
          <w:sz w:val="16"/>
          <w:szCs w:val="16"/>
          <w:color w:val="auto"/>
        </w:rPr>
        <w:t>If your shares are held by your broker, bank or other agent, you should follow the instructions provided by them. Please contact your broker, bank or other agent if you have any queries.</w:t>
      </w:r>
    </w:p>
    <w:p>
      <w:pPr>
        <w:spacing w:after="0" w:line="141"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b w:val="1"/>
          <w:bCs w:val="1"/>
          <w:color w:val="auto"/>
        </w:rPr>
        <w:t>7.</w:t>
      </w:r>
      <w:r>
        <w:rPr>
          <w:sz w:val="20"/>
          <w:szCs w:val="20"/>
          <w:color w:val="auto"/>
        </w:rPr>
        <w:tab/>
      </w:r>
      <w:r>
        <w:rPr>
          <w:rFonts w:ascii="Times New Roman" w:cs="Times New Roman" w:eastAsia="Times New Roman" w:hAnsi="Times New Roman"/>
          <w:sz w:val="14"/>
          <w:szCs w:val="14"/>
          <w:b w:val="1"/>
          <w:bCs w:val="1"/>
          <w:color w:val="auto"/>
        </w:rPr>
        <w:t>What does it mean if I receive more than one set of materials?</w:t>
      </w:r>
    </w:p>
    <w:p>
      <w:pPr>
        <w:ind w:left="520"/>
        <w:spacing w:after="0" w:line="217" w:lineRule="auto"/>
        <w:rPr>
          <w:sz w:val="20"/>
          <w:szCs w:val="20"/>
          <w:color w:val="auto"/>
        </w:rPr>
      </w:pPr>
      <w:r>
        <w:rPr>
          <w:rFonts w:ascii="Times New Roman" w:cs="Times New Roman" w:eastAsia="Times New Roman" w:hAnsi="Times New Roman"/>
          <w:sz w:val="16"/>
          <w:szCs w:val="16"/>
          <w:color w:val="auto"/>
        </w:rPr>
        <w:t>If you receive more than one set of materials, your shares are registered in more than one name or are registered in different accounts. In order to vote all the shares you own, you must sign and return all of the proxy cards or follow the instructions for any alternative voting procedure on each of the proxy cards you receive.</w:t>
      </w: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10</w:t>
      </w:r>
    </w:p>
    <w:p>
      <w:pPr>
        <w:spacing w:after="0"/>
        <w:rPr>
          <w:sz w:val="20"/>
          <w:szCs w:val="20"/>
          <w:color w:val="auto"/>
        </w:rPr>
      </w:pPr>
      <w:r>
        <w:rPr>
          <w:rFonts w:ascii="Times New Roman" w:cs="Times New Roman" w:eastAsia="Times New Roman" w:hAnsi="Times New Roman"/>
          <w:sz w:val="14"/>
          <w:szCs w:val="14"/>
          <w:color w:val="auto"/>
        </w:rPr>
        <w:t>ICON plc – Notice of Annual General Meeting 2022</w:t>
      </w:r>
    </w:p>
    <w:p>
      <w:pPr>
        <w:sectPr>
          <w:pgSz w:w="11900" w:h="16838" w:orient="portrait"/>
          <w:cols w:equalWidth="0" w:num="1">
            <w:col w:w="11280"/>
          </w:cols>
          <w:pgMar w:left="300" w:top="1129" w:right="319" w:bottom="1440"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9733915</wp:posOffset>
            </wp:positionV>
            <wp:extent cx="7105650" cy="196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6" w:name="page17"/>
    <w:bookmarkEnd w:id="1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00"/>
        <w:spacing w:after="0"/>
        <w:rPr>
          <w:sz w:val="20"/>
          <w:szCs w:val="20"/>
          <w:color w:val="auto"/>
        </w:rPr>
      </w:pPr>
      <w:r>
        <w:rPr>
          <w:rFonts w:ascii="Arial" w:cs="Arial" w:eastAsia="Arial" w:hAnsi="Arial"/>
          <w:sz w:val="25"/>
          <w:szCs w:val="25"/>
          <w:b w:val="1"/>
          <w:bCs w:val="1"/>
          <w:color w:val="auto"/>
        </w:rPr>
        <w:t>ICON plc and Subsidiaries</w:t>
      </w:r>
    </w:p>
    <w:p>
      <w:pPr>
        <w:spacing w:after="0" w:line="396"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Consolidated Financial Statements</w:t>
      </w:r>
    </w:p>
    <w:p>
      <w:pPr>
        <w:spacing w:after="0" w:line="200" w:lineRule="exact"/>
        <w:rPr>
          <w:sz w:val="20"/>
          <w:szCs w:val="20"/>
          <w:color w:val="auto"/>
        </w:rPr>
      </w:pPr>
    </w:p>
    <w:p>
      <w:pPr>
        <w:spacing w:after="0" w:line="204"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Year ended 31 December 2021</w:t>
      </w:r>
    </w:p>
    <w:p>
      <w:pPr>
        <w:spacing w:after="0" w:line="200" w:lineRule="exact"/>
        <w:rPr>
          <w:sz w:val="20"/>
          <w:szCs w:val="20"/>
          <w:color w:val="auto"/>
        </w:rPr>
      </w:pPr>
    </w:p>
    <w:p>
      <w:pPr>
        <w:spacing w:after="0" w:line="373" w:lineRule="exact"/>
        <w:rPr>
          <w:sz w:val="20"/>
          <w:szCs w:val="20"/>
          <w:color w:val="auto"/>
        </w:rPr>
      </w:pPr>
    </w:p>
    <w:p>
      <w:pPr>
        <w:ind w:left="400"/>
        <w:spacing w:after="0"/>
        <w:tabs>
          <w:tab w:leader="none" w:pos="1860" w:val="left"/>
        </w:tabs>
        <w:rPr>
          <w:sz w:val="20"/>
          <w:szCs w:val="20"/>
          <w:color w:val="auto"/>
        </w:rPr>
      </w:pPr>
      <w:r>
        <w:rPr>
          <w:rFonts w:ascii="Arial" w:cs="Arial" w:eastAsia="Arial" w:hAnsi="Arial"/>
          <w:sz w:val="16"/>
          <w:szCs w:val="16"/>
          <w:i w:val="1"/>
          <w:iCs w:val="1"/>
          <w:color w:val="auto"/>
        </w:rPr>
        <w:t>Registered number</w:t>
      </w:r>
      <w:r>
        <w:rPr>
          <w:sz w:val="20"/>
          <w:szCs w:val="20"/>
          <w:color w:val="auto"/>
        </w:rPr>
        <w:tab/>
      </w:r>
      <w:r>
        <w:rPr>
          <w:rFonts w:ascii="Arial" w:cs="Arial" w:eastAsia="Arial" w:hAnsi="Arial"/>
          <w:sz w:val="14"/>
          <w:szCs w:val="14"/>
          <w:i w:val="1"/>
          <w:iCs w:val="1"/>
          <w:color w:val="auto"/>
        </w:rPr>
        <w:t>145835</w:t>
      </w:r>
    </w:p>
    <w:p>
      <w:pPr>
        <w:sectPr>
          <w:pgSz w:w="11900" w:h="16838" w:orient="portrait"/>
          <w:cols w:equalWidth="0" w:num="1">
            <w:col w:w="10140"/>
          </w:cols>
          <w:pgMar w:left="1440" w:top="1440" w:right="31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Directors’ Report and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20" w:type="dxa"/>
        <w:tblCellMar>
          <w:top w:w="0" w:type="dxa"/>
          <w:left w:w="0" w:type="dxa"/>
          <w:bottom w:w="0" w:type="dxa"/>
          <w:right w:w="0" w:type="dxa"/>
        </w:tblCellMar>
      </w:tblPr>
      <w:tr>
        <w:trPr>
          <w:trHeight w:val="165"/>
        </w:trPr>
        <w:tc>
          <w:tcPr>
            <w:tcW w:w="8340" w:type="dxa"/>
            <w:vAlign w:val="bottom"/>
          </w:tcPr>
          <w:p>
            <w:pPr>
              <w:spacing w:after="0"/>
              <w:rPr>
                <w:sz w:val="20"/>
                <w:szCs w:val="20"/>
                <w:color w:val="auto"/>
              </w:rPr>
            </w:pPr>
            <w:r>
              <w:rPr>
                <w:rFonts w:ascii="Arial" w:cs="Arial" w:eastAsia="Arial" w:hAnsi="Arial"/>
                <w:sz w:val="13"/>
                <w:szCs w:val="13"/>
                <w:i w:val="1"/>
                <w:iCs w:val="1"/>
                <w:color w:val="auto"/>
              </w:rPr>
              <w:t>Contents</w:t>
            </w:r>
          </w:p>
        </w:tc>
        <w:tc>
          <w:tcPr>
            <w:tcW w:w="2900" w:type="dxa"/>
            <w:vAlign w:val="bottom"/>
          </w:tcPr>
          <w:p>
            <w:pPr>
              <w:jc w:val="right"/>
              <w:spacing w:after="0"/>
              <w:rPr>
                <w:sz w:val="20"/>
                <w:szCs w:val="20"/>
                <w:color w:val="auto"/>
              </w:rPr>
            </w:pPr>
            <w:r>
              <w:rPr>
                <w:rFonts w:ascii="Arial" w:cs="Arial" w:eastAsia="Arial" w:hAnsi="Arial"/>
                <w:sz w:val="13"/>
                <w:szCs w:val="13"/>
                <w:i w:val="1"/>
                <w:iCs w:val="1"/>
                <w:color w:val="auto"/>
              </w:rPr>
              <w:t>Page</w:t>
            </w:r>
          </w:p>
        </w:tc>
      </w:tr>
      <w:tr>
        <w:trPr>
          <w:trHeight w:val="212"/>
        </w:trPr>
        <w:tc>
          <w:tcPr>
            <w:tcW w:w="8340" w:type="dxa"/>
            <w:vAlign w:val="bottom"/>
          </w:tcPr>
          <w:p>
            <w:pPr>
              <w:spacing w:after="0"/>
              <w:rPr>
                <w:sz w:val="20"/>
                <w:szCs w:val="20"/>
                <w:color w:val="auto"/>
              </w:rPr>
            </w:pPr>
            <w:r>
              <w:rPr>
                <w:rFonts w:ascii="Arial" w:cs="Arial" w:eastAsia="Arial" w:hAnsi="Arial"/>
                <w:sz w:val="13"/>
                <w:szCs w:val="13"/>
                <w:color w:val="auto"/>
              </w:rPr>
              <w:t>Directors’ and Other Information</w:t>
            </w:r>
          </w:p>
        </w:tc>
        <w:tc>
          <w:tcPr>
            <w:tcW w:w="2900" w:type="dxa"/>
            <w:vAlign w:val="bottom"/>
          </w:tcPr>
          <w:p>
            <w:pPr>
              <w:jc w:val="right"/>
              <w:spacing w:after="0"/>
              <w:rPr>
                <w:sz w:val="20"/>
                <w:szCs w:val="20"/>
                <w:color w:val="auto"/>
              </w:rPr>
            </w:pPr>
            <w:r>
              <w:rPr>
                <w:rFonts w:ascii="Arial" w:cs="Arial" w:eastAsia="Arial" w:hAnsi="Arial"/>
                <w:sz w:val="13"/>
                <w:szCs w:val="13"/>
                <w:color w:val="0000FF"/>
              </w:rPr>
              <w:t>2</w:t>
            </w:r>
          </w:p>
        </w:tc>
      </w:tr>
      <w:tr>
        <w:trPr>
          <w:trHeight w:val="212"/>
        </w:trPr>
        <w:tc>
          <w:tcPr>
            <w:tcW w:w="8340" w:type="dxa"/>
            <w:vAlign w:val="bottom"/>
          </w:tcPr>
          <w:p>
            <w:pPr>
              <w:spacing w:after="0"/>
              <w:rPr>
                <w:sz w:val="20"/>
                <w:szCs w:val="20"/>
                <w:color w:val="auto"/>
              </w:rPr>
            </w:pPr>
            <w:r>
              <w:rPr>
                <w:rFonts w:ascii="Arial" w:cs="Arial" w:eastAsia="Arial" w:hAnsi="Arial"/>
                <w:sz w:val="13"/>
                <w:szCs w:val="13"/>
                <w:color w:val="auto"/>
              </w:rPr>
              <w:t>Directors’ Report</w:t>
            </w:r>
          </w:p>
        </w:tc>
        <w:tc>
          <w:tcPr>
            <w:tcW w:w="2900" w:type="dxa"/>
            <w:vAlign w:val="bottom"/>
          </w:tcPr>
          <w:p>
            <w:pPr>
              <w:jc w:val="right"/>
              <w:spacing w:after="0"/>
              <w:rPr>
                <w:sz w:val="20"/>
                <w:szCs w:val="20"/>
                <w:color w:val="auto"/>
              </w:rPr>
            </w:pPr>
            <w:r>
              <w:rPr>
                <w:rFonts w:ascii="Arial" w:cs="Arial" w:eastAsia="Arial" w:hAnsi="Arial"/>
                <w:sz w:val="13"/>
                <w:szCs w:val="13"/>
                <w:color w:val="0000FF"/>
              </w:rPr>
              <w:t>3</w:t>
            </w:r>
          </w:p>
        </w:tc>
      </w:tr>
      <w:tr>
        <w:trPr>
          <w:trHeight w:val="212"/>
        </w:trPr>
        <w:tc>
          <w:tcPr>
            <w:tcW w:w="8340" w:type="dxa"/>
            <w:vAlign w:val="bottom"/>
          </w:tcPr>
          <w:p>
            <w:pPr>
              <w:spacing w:after="0"/>
              <w:rPr>
                <w:sz w:val="20"/>
                <w:szCs w:val="20"/>
                <w:color w:val="auto"/>
              </w:rPr>
            </w:pPr>
            <w:r>
              <w:rPr>
                <w:rFonts w:ascii="Arial" w:cs="Arial" w:eastAsia="Arial" w:hAnsi="Arial"/>
                <w:sz w:val="13"/>
                <w:szCs w:val="13"/>
                <w:color w:val="auto"/>
              </w:rPr>
              <w:t>Statement of Directors’ Responsibilities in respect of the Directors’ report and the financial statements</w:t>
            </w:r>
          </w:p>
        </w:tc>
        <w:tc>
          <w:tcPr>
            <w:tcW w:w="2900" w:type="dxa"/>
            <w:vAlign w:val="bottom"/>
          </w:tcPr>
          <w:p>
            <w:pPr>
              <w:jc w:val="right"/>
              <w:spacing w:after="0"/>
              <w:rPr>
                <w:sz w:val="20"/>
                <w:szCs w:val="20"/>
                <w:color w:val="auto"/>
              </w:rPr>
            </w:pPr>
            <w:r>
              <w:rPr>
                <w:rFonts w:ascii="Arial" w:cs="Arial" w:eastAsia="Arial" w:hAnsi="Arial"/>
                <w:sz w:val="13"/>
                <w:szCs w:val="13"/>
                <w:color w:val="0000FF"/>
              </w:rPr>
              <w:t>29</w:t>
            </w:r>
          </w:p>
        </w:tc>
      </w:tr>
      <w:tr>
        <w:trPr>
          <w:trHeight w:val="212"/>
        </w:trPr>
        <w:tc>
          <w:tcPr>
            <w:tcW w:w="8340" w:type="dxa"/>
            <w:vAlign w:val="bottom"/>
          </w:tcPr>
          <w:p>
            <w:pPr>
              <w:spacing w:after="0"/>
              <w:rPr>
                <w:sz w:val="20"/>
                <w:szCs w:val="20"/>
                <w:color w:val="auto"/>
              </w:rPr>
            </w:pPr>
            <w:r>
              <w:rPr>
                <w:rFonts w:ascii="Arial" w:cs="Arial" w:eastAsia="Arial" w:hAnsi="Arial"/>
                <w:sz w:val="13"/>
                <w:szCs w:val="13"/>
                <w:color w:val="auto"/>
              </w:rPr>
              <w:t>Independent Auditor’s Report to the members of ICON plc</w:t>
            </w:r>
          </w:p>
        </w:tc>
        <w:tc>
          <w:tcPr>
            <w:tcW w:w="2900" w:type="dxa"/>
            <w:vAlign w:val="bottom"/>
          </w:tcPr>
          <w:p>
            <w:pPr>
              <w:jc w:val="right"/>
              <w:spacing w:after="0"/>
              <w:rPr>
                <w:sz w:val="20"/>
                <w:szCs w:val="20"/>
                <w:color w:val="auto"/>
              </w:rPr>
            </w:pPr>
            <w:r>
              <w:rPr>
                <w:rFonts w:ascii="Arial" w:cs="Arial" w:eastAsia="Arial" w:hAnsi="Arial"/>
                <w:sz w:val="13"/>
                <w:szCs w:val="13"/>
                <w:color w:val="0000FF"/>
              </w:rPr>
              <w:t>30</w:t>
            </w:r>
          </w:p>
        </w:tc>
      </w:tr>
      <w:tr>
        <w:trPr>
          <w:trHeight w:val="212"/>
        </w:trPr>
        <w:tc>
          <w:tcPr>
            <w:tcW w:w="8340" w:type="dxa"/>
            <w:vAlign w:val="bottom"/>
          </w:tcPr>
          <w:p>
            <w:pPr>
              <w:spacing w:after="0"/>
              <w:rPr>
                <w:sz w:val="20"/>
                <w:szCs w:val="20"/>
                <w:color w:val="auto"/>
              </w:rPr>
            </w:pPr>
            <w:r>
              <w:rPr>
                <w:rFonts w:ascii="Arial" w:cs="Arial" w:eastAsia="Arial" w:hAnsi="Arial"/>
                <w:sz w:val="13"/>
                <w:szCs w:val="13"/>
                <w:color w:val="auto"/>
              </w:rPr>
              <w:t>Consolidated Statement of Profit and Loss</w:t>
            </w:r>
          </w:p>
        </w:tc>
        <w:tc>
          <w:tcPr>
            <w:tcW w:w="2900" w:type="dxa"/>
            <w:vAlign w:val="bottom"/>
          </w:tcPr>
          <w:p>
            <w:pPr>
              <w:jc w:val="right"/>
              <w:spacing w:after="0"/>
              <w:rPr>
                <w:sz w:val="20"/>
                <w:szCs w:val="20"/>
                <w:color w:val="auto"/>
              </w:rPr>
            </w:pPr>
            <w:r>
              <w:rPr>
                <w:rFonts w:ascii="Arial" w:cs="Arial" w:eastAsia="Arial" w:hAnsi="Arial"/>
                <w:sz w:val="13"/>
                <w:szCs w:val="13"/>
                <w:color w:val="0000FF"/>
              </w:rPr>
              <w:t>35</w:t>
            </w:r>
          </w:p>
        </w:tc>
      </w:tr>
      <w:tr>
        <w:trPr>
          <w:trHeight w:val="212"/>
        </w:trPr>
        <w:tc>
          <w:tcPr>
            <w:tcW w:w="8340" w:type="dxa"/>
            <w:vAlign w:val="bottom"/>
          </w:tcPr>
          <w:p>
            <w:pPr>
              <w:spacing w:after="0"/>
              <w:rPr>
                <w:sz w:val="20"/>
                <w:szCs w:val="20"/>
                <w:color w:val="auto"/>
              </w:rPr>
            </w:pPr>
            <w:r>
              <w:rPr>
                <w:rFonts w:ascii="Arial" w:cs="Arial" w:eastAsia="Arial" w:hAnsi="Arial"/>
                <w:sz w:val="13"/>
                <w:szCs w:val="13"/>
                <w:color w:val="auto"/>
              </w:rPr>
              <w:t>Consolidated Statement of Comprehensive Income</w:t>
            </w:r>
          </w:p>
        </w:tc>
        <w:tc>
          <w:tcPr>
            <w:tcW w:w="2900" w:type="dxa"/>
            <w:vAlign w:val="bottom"/>
          </w:tcPr>
          <w:p>
            <w:pPr>
              <w:jc w:val="right"/>
              <w:spacing w:after="0"/>
              <w:rPr>
                <w:sz w:val="20"/>
                <w:szCs w:val="20"/>
                <w:color w:val="auto"/>
              </w:rPr>
            </w:pPr>
            <w:r>
              <w:rPr>
                <w:rFonts w:ascii="Arial" w:cs="Arial" w:eastAsia="Arial" w:hAnsi="Arial"/>
                <w:sz w:val="13"/>
                <w:szCs w:val="13"/>
                <w:color w:val="0000FF"/>
              </w:rPr>
              <w:t>36</w:t>
            </w:r>
          </w:p>
        </w:tc>
      </w:tr>
      <w:tr>
        <w:trPr>
          <w:trHeight w:val="212"/>
        </w:trPr>
        <w:tc>
          <w:tcPr>
            <w:tcW w:w="8340" w:type="dxa"/>
            <w:vAlign w:val="bottom"/>
          </w:tcPr>
          <w:p>
            <w:pPr>
              <w:spacing w:after="0"/>
              <w:rPr>
                <w:sz w:val="20"/>
                <w:szCs w:val="20"/>
                <w:color w:val="auto"/>
              </w:rPr>
            </w:pPr>
            <w:r>
              <w:rPr>
                <w:rFonts w:ascii="Arial" w:cs="Arial" w:eastAsia="Arial" w:hAnsi="Arial"/>
                <w:sz w:val="13"/>
                <w:szCs w:val="13"/>
                <w:color w:val="auto"/>
              </w:rPr>
              <w:t>Consolidated Statement of Financial Position</w:t>
            </w:r>
          </w:p>
        </w:tc>
        <w:tc>
          <w:tcPr>
            <w:tcW w:w="2900" w:type="dxa"/>
            <w:vAlign w:val="bottom"/>
          </w:tcPr>
          <w:p>
            <w:pPr>
              <w:jc w:val="right"/>
              <w:spacing w:after="0"/>
              <w:rPr>
                <w:sz w:val="20"/>
                <w:szCs w:val="20"/>
                <w:color w:val="auto"/>
              </w:rPr>
            </w:pPr>
            <w:r>
              <w:rPr>
                <w:rFonts w:ascii="Arial" w:cs="Arial" w:eastAsia="Arial" w:hAnsi="Arial"/>
                <w:sz w:val="13"/>
                <w:szCs w:val="13"/>
                <w:color w:val="0000FF"/>
              </w:rPr>
              <w:t>37</w:t>
            </w:r>
          </w:p>
        </w:tc>
      </w:tr>
      <w:tr>
        <w:trPr>
          <w:trHeight w:val="212"/>
        </w:trPr>
        <w:tc>
          <w:tcPr>
            <w:tcW w:w="8340" w:type="dxa"/>
            <w:vAlign w:val="bottom"/>
          </w:tcPr>
          <w:p>
            <w:pPr>
              <w:spacing w:after="0"/>
              <w:rPr>
                <w:sz w:val="20"/>
                <w:szCs w:val="20"/>
                <w:color w:val="auto"/>
              </w:rPr>
            </w:pPr>
            <w:r>
              <w:rPr>
                <w:rFonts w:ascii="Arial" w:cs="Arial" w:eastAsia="Arial" w:hAnsi="Arial"/>
                <w:sz w:val="13"/>
                <w:szCs w:val="13"/>
                <w:color w:val="auto"/>
              </w:rPr>
              <w:t>Consolidated Statement of Changes in Equity</w:t>
            </w:r>
          </w:p>
        </w:tc>
        <w:tc>
          <w:tcPr>
            <w:tcW w:w="2900" w:type="dxa"/>
            <w:vAlign w:val="bottom"/>
          </w:tcPr>
          <w:p>
            <w:pPr>
              <w:jc w:val="right"/>
              <w:spacing w:after="0"/>
              <w:rPr>
                <w:sz w:val="20"/>
                <w:szCs w:val="20"/>
                <w:color w:val="auto"/>
              </w:rPr>
            </w:pPr>
            <w:r>
              <w:rPr>
                <w:rFonts w:ascii="Arial" w:cs="Arial" w:eastAsia="Arial" w:hAnsi="Arial"/>
                <w:sz w:val="13"/>
                <w:szCs w:val="13"/>
                <w:color w:val="0000FF"/>
              </w:rPr>
              <w:t>38</w:t>
            </w:r>
          </w:p>
        </w:tc>
      </w:tr>
      <w:tr>
        <w:trPr>
          <w:trHeight w:val="212"/>
        </w:trPr>
        <w:tc>
          <w:tcPr>
            <w:tcW w:w="8340" w:type="dxa"/>
            <w:vAlign w:val="bottom"/>
          </w:tcPr>
          <w:p>
            <w:pPr>
              <w:spacing w:after="0"/>
              <w:rPr>
                <w:sz w:val="20"/>
                <w:szCs w:val="20"/>
                <w:color w:val="auto"/>
              </w:rPr>
            </w:pPr>
            <w:r>
              <w:rPr>
                <w:rFonts w:ascii="Arial" w:cs="Arial" w:eastAsia="Arial" w:hAnsi="Arial"/>
                <w:sz w:val="13"/>
                <w:szCs w:val="13"/>
                <w:color w:val="auto"/>
              </w:rPr>
              <w:t>Consolidated Statement of Cash Flows</w:t>
            </w:r>
          </w:p>
        </w:tc>
        <w:tc>
          <w:tcPr>
            <w:tcW w:w="2900" w:type="dxa"/>
            <w:vAlign w:val="bottom"/>
          </w:tcPr>
          <w:p>
            <w:pPr>
              <w:jc w:val="right"/>
              <w:spacing w:after="0"/>
              <w:rPr>
                <w:sz w:val="20"/>
                <w:szCs w:val="20"/>
                <w:color w:val="auto"/>
              </w:rPr>
            </w:pPr>
            <w:r>
              <w:rPr>
                <w:rFonts w:ascii="Arial" w:cs="Arial" w:eastAsia="Arial" w:hAnsi="Arial"/>
                <w:sz w:val="13"/>
                <w:szCs w:val="13"/>
                <w:color w:val="0000FF"/>
              </w:rPr>
              <w:t>40</w:t>
            </w:r>
          </w:p>
        </w:tc>
      </w:tr>
      <w:tr>
        <w:trPr>
          <w:trHeight w:val="212"/>
        </w:trPr>
        <w:tc>
          <w:tcPr>
            <w:tcW w:w="8340" w:type="dxa"/>
            <w:vAlign w:val="bottom"/>
          </w:tcPr>
          <w:p>
            <w:pPr>
              <w:spacing w:after="0"/>
              <w:rPr>
                <w:sz w:val="20"/>
                <w:szCs w:val="20"/>
                <w:color w:val="auto"/>
              </w:rPr>
            </w:pPr>
            <w:r>
              <w:rPr>
                <w:rFonts w:ascii="Arial" w:cs="Arial" w:eastAsia="Arial" w:hAnsi="Arial"/>
                <w:sz w:val="13"/>
                <w:szCs w:val="13"/>
                <w:color w:val="auto"/>
              </w:rPr>
              <w:t>Notes to Consolidated Financial Statements</w:t>
            </w:r>
          </w:p>
        </w:tc>
        <w:tc>
          <w:tcPr>
            <w:tcW w:w="2900" w:type="dxa"/>
            <w:vAlign w:val="bottom"/>
          </w:tcPr>
          <w:p>
            <w:pPr>
              <w:jc w:val="right"/>
              <w:spacing w:after="0"/>
              <w:rPr>
                <w:sz w:val="20"/>
                <w:szCs w:val="20"/>
                <w:color w:val="auto"/>
              </w:rPr>
            </w:pPr>
            <w:r>
              <w:rPr>
                <w:rFonts w:ascii="Arial" w:cs="Arial" w:eastAsia="Arial" w:hAnsi="Arial"/>
                <w:sz w:val="13"/>
                <w:szCs w:val="13"/>
                <w:color w:val="0000FF"/>
              </w:rPr>
              <w:t>41</w:t>
            </w:r>
          </w:p>
        </w:tc>
      </w:tr>
      <w:tr>
        <w:trPr>
          <w:trHeight w:val="212"/>
        </w:trPr>
        <w:tc>
          <w:tcPr>
            <w:tcW w:w="8340" w:type="dxa"/>
            <w:vAlign w:val="bottom"/>
          </w:tcPr>
          <w:p>
            <w:pPr>
              <w:spacing w:after="0"/>
              <w:rPr>
                <w:sz w:val="20"/>
                <w:szCs w:val="20"/>
                <w:color w:val="auto"/>
              </w:rPr>
            </w:pPr>
            <w:r>
              <w:rPr>
                <w:rFonts w:ascii="Arial" w:cs="Arial" w:eastAsia="Arial" w:hAnsi="Arial"/>
                <w:sz w:val="13"/>
                <w:szCs w:val="13"/>
                <w:color w:val="auto"/>
              </w:rPr>
              <w:t>Company Statement of Financial Position</w:t>
            </w:r>
          </w:p>
        </w:tc>
        <w:tc>
          <w:tcPr>
            <w:tcW w:w="2900" w:type="dxa"/>
            <w:vAlign w:val="bottom"/>
          </w:tcPr>
          <w:p>
            <w:pPr>
              <w:jc w:val="right"/>
              <w:spacing w:after="0"/>
              <w:rPr>
                <w:sz w:val="20"/>
                <w:szCs w:val="20"/>
                <w:color w:val="auto"/>
              </w:rPr>
            </w:pPr>
            <w:r>
              <w:rPr>
                <w:rFonts w:ascii="Arial" w:cs="Arial" w:eastAsia="Arial" w:hAnsi="Arial"/>
                <w:sz w:val="13"/>
                <w:szCs w:val="13"/>
                <w:color w:val="0000FF"/>
              </w:rPr>
              <w:t>138</w:t>
            </w:r>
          </w:p>
        </w:tc>
      </w:tr>
      <w:tr>
        <w:trPr>
          <w:trHeight w:val="212"/>
        </w:trPr>
        <w:tc>
          <w:tcPr>
            <w:tcW w:w="8340" w:type="dxa"/>
            <w:vAlign w:val="bottom"/>
          </w:tcPr>
          <w:p>
            <w:pPr>
              <w:spacing w:after="0"/>
              <w:rPr>
                <w:sz w:val="20"/>
                <w:szCs w:val="20"/>
                <w:color w:val="auto"/>
              </w:rPr>
            </w:pPr>
            <w:r>
              <w:rPr>
                <w:rFonts w:ascii="Arial" w:cs="Arial" w:eastAsia="Arial" w:hAnsi="Arial"/>
                <w:sz w:val="13"/>
                <w:szCs w:val="13"/>
                <w:color w:val="auto"/>
              </w:rPr>
              <w:t>Company Statement of Changes in Equity</w:t>
            </w:r>
          </w:p>
        </w:tc>
        <w:tc>
          <w:tcPr>
            <w:tcW w:w="2900" w:type="dxa"/>
            <w:vAlign w:val="bottom"/>
          </w:tcPr>
          <w:p>
            <w:pPr>
              <w:jc w:val="right"/>
              <w:spacing w:after="0"/>
              <w:rPr>
                <w:sz w:val="20"/>
                <w:szCs w:val="20"/>
                <w:color w:val="auto"/>
              </w:rPr>
            </w:pPr>
            <w:r>
              <w:rPr>
                <w:rFonts w:ascii="Arial" w:cs="Arial" w:eastAsia="Arial" w:hAnsi="Arial"/>
                <w:sz w:val="13"/>
                <w:szCs w:val="13"/>
                <w:color w:val="0000FF"/>
              </w:rPr>
              <w:t>139</w:t>
            </w:r>
          </w:p>
        </w:tc>
      </w:tr>
      <w:tr>
        <w:trPr>
          <w:trHeight w:val="212"/>
        </w:trPr>
        <w:tc>
          <w:tcPr>
            <w:tcW w:w="8340" w:type="dxa"/>
            <w:vAlign w:val="bottom"/>
          </w:tcPr>
          <w:p>
            <w:pPr>
              <w:spacing w:after="0"/>
              <w:rPr>
                <w:sz w:val="20"/>
                <w:szCs w:val="20"/>
                <w:color w:val="auto"/>
              </w:rPr>
            </w:pPr>
            <w:r>
              <w:rPr>
                <w:rFonts w:ascii="Arial" w:cs="Arial" w:eastAsia="Arial" w:hAnsi="Arial"/>
                <w:sz w:val="13"/>
                <w:szCs w:val="13"/>
                <w:color w:val="auto"/>
              </w:rPr>
              <w:t>Company Statement of Cash Flows</w:t>
            </w:r>
          </w:p>
        </w:tc>
        <w:tc>
          <w:tcPr>
            <w:tcW w:w="2900" w:type="dxa"/>
            <w:vAlign w:val="bottom"/>
          </w:tcPr>
          <w:p>
            <w:pPr>
              <w:jc w:val="right"/>
              <w:spacing w:after="0"/>
              <w:rPr>
                <w:sz w:val="20"/>
                <w:szCs w:val="20"/>
                <w:color w:val="auto"/>
              </w:rPr>
            </w:pPr>
            <w:r>
              <w:rPr>
                <w:rFonts w:ascii="Arial" w:cs="Arial" w:eastAsia="Arial" w:hAnsi="Arial"/>
                <w:sz w:val="13"/>
                <w:szCs w:val="13"/>
                <w:color w:val="0000FF"/>
              </w:rPr>
              <w:t>141</w:t>
            </w:r>
          </w:p>
        </w:tc>
      </w:tr>
      <w:tr>
        <w:trPr>
          <w:trHeight w:val="212"/>
        </w:trPr>
        <w:tc>
          <w:tcPr>
            <w:tcW w:w="8340" w:type="dxa"/>
            <w:vAlign w:val="bottom"/>
          </w:tcPr>
          <w:p>
            <w:pPr>
              <w:spacing w:after="0"/>
              <w:rPr>
                <w:sz w:val="20"/>
                <w:szCs w:val="20"/>
                <w:color w:val="auto"/>
              </w:rPr>
            </w:pPr>
            <w:r>
              <w:rPr>
                <w:rFonts w:ascii="Arial" w:cs="Arial" w:eastAsia="Arial" w:hAnsi="Arial"/>
                <w:sz w:val="13"/>
                <w:szCs w:val="13"/>
                <w:color w:val="auto"/>
              </w:rPr>
              <w:t>Notes to Company Financial Statements</w:t>
            </w:r>
          </w:p>
        </w:tc>
        <w:tc>
          <w:tcPr>
            <w:tcW w:w="2900" w:type="dxa"/>
            <w:vAlign w:val="bottom"/>
          </w:tcPr>
          <w:p>
            <w:pPr>
              <w:jc w:val="right"/>
              <w:spacing w:after="0"/>
              <w:rPr>
                <w:sz w:val="20"/>
                <w:szCs w:val="20"/>
                <w:color w:val="auto"/>
              </w:rPr>
            </w:pPr>
            <w:r>
              <w:rPr>
                <w:rFonts w:ascii="Arial" w:cs="Arial" w:eastAsia="Arial" w:hAnsi="Arial"/>
                <w:sz w:val="13"/>
                <w:szCs w:val="13"/>
                <w:color w:val="0000FF"/>
              </w:rPr>
              <w:t>142</w:t>
            </w:r>
          </w:p>
        </w:tc>
      </w:tr>
      <w:tr>
        <w:trPr>
          <w:trHeight w:val="212"/>
        </w:trPr>
        <w:tc>
          <w:tcPr>
            <w:tcW w:w="8340" w:type="dxa"/>
            <w:vAlign w:val="bottom"/>
          </w:tcPr>
          <w:p>
            <w:pPr>
              <w:spacing w:after="0"/>
              <w:rPr>
                <w:sz w:val="20"/>
                <w:szCs w:val="20"/>
                <w:color w:val="auto"/>
              </w:rPr>
            </w:pPr>
            <w:r>
              <w:rPr>
                <w:rFonts w:ascii="Arial" w:cs="Arial" w:eastAsia="Arial" w:hAnsi="Arial"/>
                <w:sz w:val="13"/>
                <w:szCs w:val="13"/>
                <w:color w:val="auto"/>
              </w:rPr>
              <w:t>Reconciliation from IFRS to US Accounting Polices</w:t>
            </w:r>
          </w:p>
        </w:tc>
        <w:tc>
          <w:tcPr>
            <w:tcW w:w="2900" w:type="dxa"/>
            <w:vAlign w:val="bottom"/>
          </w:tcPr>
          <w:p>
            <w:pPr>
              <w:jc w:val="right"/>
              <w:spacing w:after="0"/>
              <w:rPr>
                <w:sz w:val="20"/>
                <w:szCs w:val="20"/>
                <w:color w:val="auto"/>
              </w:rPr>
            </w:pPr>
            <w:r>
              <w:rPr>
                <w:rFonts w:ascii="Arial" w:cs="Arial" w:eastAsia="Arial" w:hAnsi="Arial"/>
                <w:sz w:val="13"/>
                <w:szCs w:val="13"/>
                <w:color w:val="0000FF"/>
              </w:rPr>
              <w:t>151</w:t>
            </w:r>
          </w:p>
        </w:tc>
      </w:tr>
      <w:tr>
        <w:trPr>
          <w:trHeight w:val="212"/>
        </w:trPr>
        <w:tc>
          <w:tcPr>
            <w:tcW w:w="8340" w:type="dxa"/>
            <w:vAlign w:val="bottom"/>
          </w:tcPr>
          <w:p>
            <w:pPr>
              <w:spacing w:after="0"/>
              <w:rPr>
                <w:sz w:val="20"/>
                <w:szCs w:val="20"/>
                <w:color w:val="auto"/>
              </w:rPr>
            </w:pPr>
            <w:r>
              <w:rPr>
                <w:rFonts w:ascii="Arial" w:cs="Arial" w:eastAsia="Arial" w:hAnsi="Arial"/>
                <w:sz w:val="13"/>
                <w:szCs w:val="13"/>
                <w:color w:val="auto"/>
              </w:rPr>
              <w:t>Appendix A: Risk Factors</w:t>
            </w:r>
          </w:p>
        </w:tc>
        <w:tc>
          <w:tcPr>
            <w:tcW w:w="2900" w:type="dxa"/>
            <w:vAlign w:val="bottom"/>
          </w:tcPr>
          <w:p>
            <w:pPr>
              <w:jc w:val="right"/>
              <w:spacing w:after="0"/>
              <w:rPr>
                <w:sz w:val="20"/>
                <w:szCs w:val="20"/>
                <w:color w:val="auto"/>
              </w:rPr>
            </w:pPr>
            <w:r>
              <w:rPr>
                <w:rFonts w:ascii="Arial" w:cs="Arial" w:eastAsia="Arial" w:hAnsi="Arial"/>
                <w:sz w:val="13"/>
                <w:szCs w:val="13"/>
                <w:color w:val="0000FF"/>
              </w:rPr>
              <w:t>155</w:t>
            </w:r>
          </w:p>
        </w:tc>
      </w:tr>
    </w:tbl>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60"/>
          </w:cols>
          <w:pgMar w:left="300" w:top="889"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Directors’ and Other Information</w:t>
      </w:r>
    </w:p>
    <w:p>
      <w:pPr>
        <w:sectPr>
          <w:pgSz w:w="11900" w:h="16838" w:orient="portrait"/>
          <w:cols w:equalWidth="0" w:num="1">
            <w:col w:w="10159"/>
          </w:cols>
          <w:pgMar w:left="300" w:top="6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3"/>
          <w:szCs w:val="13"/>
          <w:color w:val="auto"/>
        </w:rPr>
        <w:t>Ciaran Murray (Irish – Chair)</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Dr. Steve Cutler (Australian – Chief Executive Officer)</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Rónán Murphy (Irish – Non-Executive)</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Prof. Hugh Brady (Irish – Non-Executive)</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Dr. John Climax (Irish – Non-Executive)</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Joan Garahy (Irish – Non-Executive)</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Prof. William Hall (Irish – Non-Executive)</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Eugene McCague (Irish – Non-Executive)</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Julie O'Neill (Irish – Non-Executive)</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Mary Pendergast (American – Non-Executive)</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Colin Shannon (Scottish - Non-Executive)</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Dr. Linda Grais (American - Non-Executive)</w:t>
      </w:r>
    </w:p>
    <w:p>
      <w:pPr>
        <w:spacing w:after="0" w:line="95" w:lineRule="exact"/>
        <w:rPr>
          <w:sz w:val="20"/>
          <w:szCs w:val="20"/>
          <w:color w:val="auto"/>
        </w:rPr>
      </w:pPr>
    </w:p>
    <w:p>
      <w:pPr>
        <w:sectPr>
          <w:pgSz w:w="11900" w:h="16838" w:orient="portrait"/>
          <w:cols w:equalWidth="0" w:num="2">
            <w:col w:w="4820" w:space="720"/>
            <w:col w:w="4619"/>
          </w:cols>
          <w:pgMar w:left="300" w:top="698" w:right="1440" w:bottom="1440" w:gutter="0" w:footer="0" w:header="0"/>
          <w:type w:val="continuous"/>
        </w:sectPr>
      </w:pPr>
    </w:p>
    <w:p>
      <w:pPr>
        <w:ind w:left="20"/>
        <w:spacing w:after="0"/>
        <w:rPr>
          <w:sz w:val="20"/>
          <w:szCs w:val="20"/>
          <w:color w:val="auto"/>
        </w:rPr>
      </w:pPr>
      <w:r>
        <w:rPr>
          <w:rFonts w:ascii="Arial" w:cs="Arial" w:eastAsia="Arial" w:hAnsi="Arial"/>
          <w:sz w:val="12"/>
          <w:szCs w:val="12"/>
          <w:b w:val="1"/>
          <w:bCs w:val="1"/>
          <w:color w:val="auto"/>
        </w:rPr>
        <w:t>Company secretary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Diarmaid Cunningham</w:t>
      </w:r>
    </w:p>
    <w:p>
      <w:pPr>
        <w:spacing w:after="0" w:line="106" w:lineRule="exact"/>
        <w:rPr>
          <w:sz w:val="20"/>
          <w:szCs w:val="20"/>
          <w:color w:val="auto"/>
        </w:rPr>
      </w:pPr>
    </w:p>
    <w:p>
      <w:pPr>
        <w:sectPr>
          <w:pgSz w:w="11900" w:h="16838" w:orient="portrait"/>
          <w:cols w:equalWidth="0" w:num="2">
            <w:col w:w="4820" w:space="720"/>
            <w:col w:w="4619"/>
          </w:cols>
          <w:pgMar w:left="300" w:top="698" w:right="1440" w:bottom="1440" w:gutter="0" w:footer="0" w:header="0"/>
          <w:type w:val="continuous"/>
        </w:sectPr>
      </w:pPr>
    </w:p>
    <w:p>
      <w:pPr>
        <w:ind w:left="20"/>
        <w:spacing w:after="0"/>
        <w:rPr>
          <w:sz w:val="20"/>
          <w:szCs w:val="20"/>
          <w:color w:val="auto"/>
        </w:rPr>
      </w:pPr>
      <w:r>
        <w:rPr>
          <w:rFonts w:ascii="Arial" w:cs="Arial" w:eastAsia="Arial" w:hAnsi="Arial"/>
          <w:sz w:val="12"/>
          <w:szCs w:val="12"/>
          <w:b w:val="1"/>
          <w:bCs w:val="1"/>
          <w:color w:val="auto"/>
        </w:rPr>
        <w:t>Registered office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South County Business Park</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Leopardstown</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Dublin 18</w:t>
      </w:r>
    </w:p>
    <w:p>
      <w:pPr>
        <w:spacing w:after="0" w:line="95" w:lineRule="exact"/>
        <w:rPr>
          <w:sz w:val="20"/>
          <w:szCs w:val="20"/>
          <w:color w:val="auto"/>
        </w:rPr>
      </w:pPr>
    </w:p>
    <w:p>
      <w:pPr>
        <w:sectPr>
          <w:pgSz w:w="11900" w:h="16838" w:orient="portrait"/>
          <w:cols w:equalWidth="0" w:num="2">
            <w:col w:w="4820" w:space="720"/>
            <w:col w:w="4619"/>
          </w:cols>
          <w:pgMar w:left="300" w:top="698" w:right="1440" w:bottom="1440" w:gutter="0" w:footer="0" w:header="0"/>
          <w:type w:val="continuous"/>
        </w:sectPr>
      </w:pPr>
    </w:p>
    <w:p>
      <w:pPr>
        <w:ind w:left="20"/>
        <w:spacing w:after="0"/>
        <w:rPr>
          <w:sz w:val="20"/>
          <w:szCs w:val="20"/>
          <w:color w:val="auto"/>
        </w:rPr>
      </w:pPr>
      <w:r>
        <w:rPr>
          <w:rFonts w:ascii="Arial" w:cs="Arial" w:eastAsia="Arial" w:hAnsi="Arial"/>
          <w:sz w:val="12"/>
          <w:szCs w:val="12"/>
          <w:b w:val="1"/>
          <w:bCs w:val="1"/>
          <w:color w:val="auto"/>
        </w:rPr>
        <w:t>Auditor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KPMG</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1 Stokes Place</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St. Stephen’s Green</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Dublin 2</w:t>
      </w:r>
    </w:p>
    <w:p>
      <w:pPr>
        <w:spacing w:after="0" w:line="95" w:lineRule="exact"/>
        <w:rPr>
          <w:sz w:val="20"/>
          <w:szCs w:val="20"/>
          <w:color w:val="auto"/>
        </w:rPr>
      </w:pPr>
    </w:p>
    <w:p>
      <w:pPr>
        <w:sectPr>
          <w:pgSz w:w="11900" w:h="16838" w:orient="portrait"/>
          <w:cols w:equalWidth="0" w:num="2">
            <w:col w:w="4820" w:space="720"/>
            <w:col w:w="4619"/>
          </w:cols>
          <w:pgMar w:left="300" w:top="698" w:right="1440" w:bottom="1440" w:gutter="0" w:footer="0" w:header="0"/>
          <w:type w:val="continuous"/>
        </w:sectPr>
      </w:pPr>
    </w:p>
    <w:p>
      <w:pPr>
        <w:ind w:left="20"/>
        <w:spacing w:after="0"/>
        <w:rPr>
          <w:sz w:val="20"/>
          <w:szCs w:val="20"/>
          <w:color w:val="auto"/>
        </w:rPr>
      </w:pPr>
      <w:r>
        <w:rPr>
          <w:rFonts w:ascii="Arial" w:cs="Arial" w:eastAsia="Arial" w:hAnsi="Arial"/>
          <w:sz w:val="12"/>
          <w:szCs w:val="12"/>
          <w:b w:val="1"/>
          <w:bCs w:val="1"/>
          <w:color w:val="auto"/>
        </w:rPr>
        <w:t>Solicitors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A &amp; L Goodbody</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International Financial Services Centre</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North Wall Quay</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Dublin 1</w:t>
      </w:r>
    </w:p>
    <w:p>
      <w:pPr>
        <w:spacing w:after="0" w:line="95" w:lineRule="exact"/>
        <w:rPr>
          <w:sz w:val="20"/>
          <w:szCs w:val="20"/>
          <w:color w:val="auto"/>
        </w:rPr>
      </w:pPr>
    </w:p>
    <w:p>
      <w:pPr>
        <w:sectPr>
          <w:pgSz w:w="11900" w:h="16838" w:orient="portrait"/>
          <w:cols w:equalWidth="0" w:num="2">
            <w:col w:w="4820" w:space="720"/>
            <w:col w:w="4619"/>
          </w:cols>
          <w:pgMar w:left="300" w:top="698" w:right="1440" w:bottom="1440" w:gutter="0" w:footer="0" w:header="0"/>
          <w:type w:val="continuous"/>
        </w:sectPr>
      </w:pPr>
    </w:p>
    <w:p>
      <w:pPr>
        <w:ind w:left="5540"/>
        <w:spacing w:after="0"/>
        <w:rPr>
          <w:sz w:val="20"/>
          <w:szCs w:val="20"/>
          <w:color w:val="auto"/>
        </w:rPr>
      </w:pPr>
      <w:r>
        <w:rPr>
          <w:rFonts w:ascii="Arial" w:cs="Arial" w:eastAsia="Arial" w:hAnsi="Arial"/>
          <w:sz w:val="12"/>
          <w:szCs w:val="12"/>
          <w:color w:val="auto"/>
        </w:rPr>
        <w:t>Cahill Gordon &amp; Reindel LLP</w:t>
      </w:r>
    </w:p>
    <w:p>
      <w:pPr>
        <w:spacing w:after="0" w:line="32"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32 Old Slip</w:t>
      </w:r>
    </w:p>
    <w:p>
      <w:pPr>
        <w:spacing w:after="0" w:line="2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New York</w:t>
      </w:r>
    </w:p>
    <w:p>
      <w:pPr>
        <w:spacing w:after="0" w:line="2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NY 10005</w:t>
      </w:r>
    </w:p>
    <w:p>
      <w:pPr>
        <w:spacing w:after="0" w:line="2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USA</w:t>
      </w:r>
    </w:p>
    <w:p>
      <w:pPr>
        <w:sectPr>
          <w:pgSz w:w="11900" w:h="16838" w:orient="portrait"/>
          <w:cols w:equalWidth="0" w:num="1">
            <w:col w:w="10159"/>
          </w:cols>
          <w:pgMar w:left="300" w:top="698" w:right="1440" w:bottom="1440" w:gutter="0" w:footer="0" w:header="0"/>
          <w:type w:val="continuous"/>
        </w:sectPr>
      </w:pPr>
    </w:p>
    <w:p>
      <w:pPr>
        <w:spacing w:after="0" w:line="95"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Registrars</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color w:val="auto"/>
        </w:rPr>
        <w:t>Computershare Investor Services (Ireland) Limited</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3100 Lake Drive</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Citywest Business Campus</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Dublin 24</w:t>
      </w:r>
    </w:p>
    <w:p>
      <w:pPr>
        <w:spacing w:after="0" w:line="95" w:lineRule="exact"/>
        <w:rPr>
          <w:sz w:val="20"/>
          <w:szCs w:val="20"/>
          <w:color w:val="auto"/>
        </w:rPr>
      </w:pPr>
    </w:p>
    <w:p>
      <w:pPr>
        <w:sectPr>
          <w:pgSz w:w="11900" w:h="16838" w:orient="portrait"/>
          <w:cols w:equalWidth="0" w:num="2">
            <w:col w:w="4820" w:space="720"/>
            <w:col w:w="4619"/>
          </w:cols>
          <w:pgMar w:left="300" w:top="698" w:right="1440" w:bottom="1440" w:gutter="0" w:footer="0" w:header="0"/>
          <w:type w:val="continuous"/>
        </w:sectPr>
      </w:pPr>
    </w:p>
    <w:p>
      <w:pPr>
        <w:ind w:left="20"/>
        <w:spacing w:after="0"/>
        <w:rPr>
          <w:sz w:val="20"/>
          <w:szCs w:val="20"/>
          <w:color w:val="auto"/>
        </w:rPr>
      </w:pPr>
      <w:r>
        <w:rPr>
          <w:rFonts w:ascii="Arial" w:cs="Arial" w:eastAsia="Arial" w:hAnsi="Arial"/>
          <w:sz w:val="12"/>
          <w:szCs w:val="12"/>
          <w:b w:val="1"/>
          <w:bCs w:val="1"/>
          <w:color w:val="auto"/>
        </w:rPr>
        <w:t>Bankers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Citibank</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Canada Square</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Canary Wharf</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London E14 5LB</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United Kingdom</w:t>
      </w:r>
    </w:p>
    <w:p>
      <w:pPr>
        <w:spacing w:after="0" w:line="95" w:lineRule="exact"/>
        <w:rPr>
          <w:sz w:val="20"/>
          <w:szCs w:val="20"/>
          <w:color w:val="auto"/>
        </w:rPr>
      </w:pPr>
    </w:p>
    <w:p>
      <w:pPr>
        <w:sectPr>
          <w:pgSz w:w="11900" w:h="16838" w:orient="portrait"/>
          <w:cols w:equalWidth="0" w:num="2">
            <w:col w:w="4820" w:space="720"/>
            <w:col w:w="4619"/>
          </w:cols>
          <w:pgMar w:left="300" w:top="698" w:right="1440" w:bottom="1440" w:gutter="0" w:footer="0" w:header="0"/>
          <w:type w:val="continuous"/>
        </w:sectPr>
      </w:pPr>
    </w:p>
    <w:p>
      <w:pPr>
        <w:ind w:left="5540"/>
        <w:spacing w:after="0"/>
        <w:rPr>
          <w:sz w:val="20"/>
          <w:szCs w:val="20"/>
          <w:color w:val="auto"/>
        </w:rPr>
      </w:pPr>
      <w:r>
        <w:rPr>
          <w:rFonts w:ascii="Arial" w:cs="Arial" w:eastAsia="Arial" w:hAnsi="Arial"/>
          <w:sz w:val="12"/>
          <w:szCs w:val="12"/>
          <w:color w:val="auto"/>
        </w:rPr>
        <w:t>JP Morgan Chase Bank N.A.</w:t>
      </w:r>
    </w:p>
    <w:p>
      <w:pPr>
        <w:spacing w:after="0" w:line="32"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4 New York Plaza</w:t>
      </w:r>
    </w:p>
    <w:p>
      <w:pPr>
        <w:spacing w:after="0" w:line="2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New York</w:t>
      </w:r>
    </w:p>
    <w:p>
      <w:pPr>
        <w:spacing w:after="0" w:line="2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NY 10004</w:t>
      </w:r>
    </w:p>
    <w:p>
      <w:pPr>
        <w:spacing w:after="0" w:line="2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USA</w:t>
      </w:r>
    </w:p>
    <w:p>
      <w:pPr>
        <w:sectPr>
          <w:pgSz w:w="11900" w:h="16838" w:orient="portrait"/>
          <w:cols w:equalWidth="0" w:num="1">
            <w:col w:w="10159"/>
          </w:cols>
          <w:pgMar w:left="300" w:top="698" w:right="1440" w:bottom="144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0159"/>
          </w:cols>
          <w:pgMar w:left="300" w:top="698" w:right="1440"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color w:val="auto"/>
        </w:rPr>
        <w:t>Directors’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Directors present their report and audited Consolidated and Company Financial Statements of ICON plc (“the Company”, “ICON”, "we", "our" or "us"), a public limited company incorporated in the Republic of Ireland, and its subsidiary undertakings (“the Subsidiaries”), with the Company and the Subsidiaries being together (“the Group”) for the year ended 31 December 2021.</w:t>
      </w:r>
    </w:p>
    <w:p>
      <w:pPr>
        <w:spacing w:after="0" w:line="14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Company’s ordinary shares are traded on the NASDAQ market. The Company is considered a foreign private issuer in the US and accordingly it is not subject to the same ongoing regulatory requirements as a US registered company with a primary listing on the NASDAQ market.</w:t>
      </w:r>
    </w:p>
    <w:p>
      <w:pPr>
        <w:spacing w:after="0" w:line="157"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These Consolidated and Company Financial Statements (together “the financial statements”) for the year ended 31 December 2021 are prepared in accordance with IFRS as adopted by the EU and meet the reporting requirements pursuant to Irish Company Law. In addition to the Consolidated Financial Statements contained in this annual report, we also prepare separate consolidated financial statements on Form 20-F pursuant to the rules and regulations of the U.S. Securities and Exchange Commission ("SEC") and in accordance with accounting principles generally accepted in the United States (U.S. GAAP). The Form 20-F (under U.S. GAAP) is a separate document, a copy of which may be obtained from the Company’s website www.iconplc.com. IFRS differs in certain respects from U.S. GAAP, details of which are set out on pages 151 to 154 of this annual report.</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Principal activities, business review and future developments</w:t>
      </w:r>
    </w:p>
    <w:p>
      <w:pPr>
        <w:spacing w:after="0" w:line="190"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ICON is a clinical research organisation (“CRO”), founded in Dublin, Ireland in 1990. Since then we have grown significantly to become a leading global provider of outsourced development and commercialisation services to pharmaceutical, biotechnology, medical device and government and public health organisations. Our mission is to improve the lives of patients by accelerating the development of our customers’ drugs and devices through innovative solutions.</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are a public limited company in Ireland and operate under the Irish Companies Act 2014, as amended (the "Companies Act"). Our principal executive office is located at: South County Business Park, Leopardstown, Dublin 18, Republic of Ireland. The contact telephone number of this office is +353 1 2912000. Our website is www.iconplc.com.</w:t>
      </w:r>
    </w:p>
    <w:p>
      <w:pPr>
        <w:spacing w:after="0" w:line="167"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auto"/>
        </w:rPr>
        <w:t>The Group specialises in the strategic development, management and analysis of programmes that support all stages of the clinical development process from compound selection to Phase I-IV clinical studies. Our service offering includes clinical development, functional outsourcing and laboratory services. Our clinical development services include all phases of development (Phases I-IV), peri and post approval, data solutions and site and patient access services. Our laboratory services include a range of high value testing services, including bionanalytical, biomarker, vaccine, good manufacturing practice ('GMP') and central laboratory services. We also offer full-service and functional service partnerships to our customers. The Group’s vision is to be the healthcare intelligence partner of choice by delivering industry leading solutions and best in class performance in clinical development.</w:t>
      </w:r>
    </w:p>
    <w:p>
      <w:pPr>
        <w:spacing w:after="0" w:line="173"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Since ICON was founded, the Company has expanded through organic growth, together with a number of strategic acquisitions to enhance its expertise and capabilities in certain areas of the clinical development process and to broaden the service portfolio and add scale to existing services. On 1 July 2021, the Company completed the Acquisition of PRA Health Sciences, Inc. ("PRA") by means of a merger whereby Indigo Merger Sub, Inc., a Delaware corporation and subsidiary of ICON, merged with and into PRA, the parent of the PRA Health Sciences Group ("the Acquisition" and "the Merger"). Upon completion of the Acquisition, PRA and its subsidiaries became wholly owned subsidiaries within the ICON Group. The financial statements presented herein reflect the results of the combined Company for the six month period since the Merger completion on 1 July 2021. The results of PRA in the period prior to 1 July 2021 are not reflected in these financial statements, other than where clearly stated and required by IFRS.</w:t>
      </w:r>
    </w:p>
    <w:p>
      <w:pPr>
        <w:spacing w:after="0" w:line="160"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The acquisition of PRA has transformed the scale and capabilities of the Company. The combined Company leverages its enhanced operations to transform clinical trials and accelerate biopharma customers’ commercial success through the development of much needed medicines and medical devices. The new ICON has a renewed focus on leveraging data, applying technology and accessing diverse patient populations to speed up drug development.</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The Group believes that it is one of a select number of CROs with the expertise and capability to conduct clinical trials in most major therapeutic areas on a global basis and has the operational flexibility to provide development services on a stand-alone basis or as part of an integrated “full service” solution. At 31 December 2021, the Group had approximately 38,330 employees, in 142 locations in 53 countries, creating one of the world's most advanced healthcare intelligence and clinical research organisations. During the year ended 31 December 2021, the Group derived approximately 47.0%, 46.5% and 6.5% of its revenue in the United States, Europe and Rest of World, respectively.</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80"/>
          </w:cols>
          <w:pgMar w:left="300" w:top="698" w:right="31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We have achieved strong growth since our foundation, as a global provider of outsourced development and commercialisation services to pharmaceutical, biotechnology, medical device and government and public health organisations. We focus our innovation on those factors that are critical to our clients - reducing time to market, reducing cost and increasing quality. Our global team has extensive experience in a broad range of therapeutic areas. ICON has been recognised as one of the world's leading CROs through a number of high-profile industry awards.</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As our market has evolved, biopharmaceutical companies are tackling productivity challenges, increasing budget constraints and greater demands to demonstrate product value; all of which are placing increased pressure on their revenues and levels of profitability. However, these trends have generally been positive for CROs, as increased outsourcing has been adopted by these companies as they seek to create greater efficiencies in their development processes, convert previously fixed costs to variable, and accelerate time to market for new treatments.</w:t>
      </w:r>
    </w:p>
    <w:p>
      <w:pPr>
        <w:spacing w:after="0" w:line="15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One consequence of the drive to accelerate time to market will be increased emphasis on making existing drug development phases more seamless, through the use of techniques such as adaptive trial designs to filter the most promising compounds and test these in parallel in several therapeutic indications or with other drug combinations.</w:t>
      </w:r>
    </w:p>
    <w:p>
      <w:pPr>
        <w:spacing w:after="0" w:line="167" w:lineRule="exact"/>
        <w:rPr>
          <w:sz w:val="20"/>
          <w:szCs w:val="20"/>
          <w:color w:val="auto"/>
        </w:rPr>
      </w:pPr>
    </w:p>
    <w:p>
      <w:pPr>
        <w:jc w:val="both"/>
        <w:spacing w:after="0" w:line="292" w:lineRule="auto"/>
        <w:rPr>
          <w:sz w:val="20"/>
          <w:szCs w:val="20"/>
          <w:color w:val="auto"/>
        </w:rPr>
      </w:pPr>
      <w:r>
        <w:rPr>
          <w:rFonts w:ascii="Arial" w:cs="Arial" w:eastAsia="Arial" w:hAnsi="Arial"/>
          <w:sz w:val="12"/>
          <w:szCs w:val="12"/>
          <w:color w:val="auto"/>
        </w:rPr>
        <w:t>Regulatory and reimbursement pressures will increase the emphasis on late stage (post marketing) research, while increasing requirements to demonstrate the economic value of new treatments. As a result, outcomes and comparative effectiveness research will most likely be required in order to secure on-going product reimbursement. Furthermore, we believe advances in molecular biology and genetics will drive further growth in innovation in the long-term which in turn should create further growth opportunities for both biopharma companies and their outsource development partners.</w:t>
      </w:r>
    </w:p>
    <w:p>
      <w:pPr>
        <w:spacing w:after="0" w:line="144"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We expect that continued outsourcing will be a core strategy of clients in the near term as they respond to the increased pressures on their revenues and profitability. Larger clients were the first to form strategic partnerships with global CROs in an effort to reduce the number of outsource partners with whom they engage and to reduce inefficiencies in their current drug development models. More recently we have seen the increasing adoption of this partner model with mid-tier pharmaceutical and biotechnology firms as they also seek to drive development efficiencies. As outsourcing penetration increases, we believe clients may seek a greater level of integration of service offerings from CROs, although some will continue to purchase services on a stand-alone basis. Creating greater connectivity and “seamlessness” between our services and the sharing of “real-time” clinical, operational and “real world” data with clients will therefore become increasingly important for CROs. ICON will seek to benefit from this increased outsourcing by clients to grow our business by increasing market share with our existing client base and adding new clients within the Phase I-IV outsourced development services market; the aim being to ensure we will be considered for all major Phase I-IV projects.</w:t>
      </w:r>
    </w:p>
    <w:p>
      <w:pPr>
        <w:spacing w:after="0" w:line="18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Delivery of our mission and strategy is focused on our four strategic pillars, being (i) Patient Access &amp; Engagement (ii) Career Development &amp; Employer of Choice (iii) Enduring Customer Partnerships and (iv) Healthcare Intelligence &amp; Applied Innovation.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4446270" cy="22231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446270" cy="2223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80"/>
          </w:cols>
          <w:pgMar w:left="300" w:top="889" w:right="31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3"/>
          <w:szCs w:val="13"/>
          <w:color w:val="auto"/>
        </w:rPr>
        <w:t>Our strategy is focused on the following areas: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Patient Access &amp; Engagement</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ICON has a focused patient, site and data strategy, which is helping us to improve site identification, study placement and patient recruitment and retention.</w:t>
      </w:r>
    </w:p>
    <w:p>
      <w:pPr>
        <w:spacing w:after="0" w:line="19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Accellacare is ICON's global clinical research network offering customers a wide range of stand-alone and integrated solutions at the site or in patients' homes as part of decentralised trials. Our patient centric approach accelerates study start-up and increases patient recruitment and retention for pharmaceutical, biotechnology and medical device industries.</w:t>
      </w:r>
    </w:p>
    <w:p>
      <w:pPr>
        <w:spacing w:after="0" w:line="146"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The Accellacare Site Network encompasses more than 150 sites across 8 countries and incorporates PMG Research in the US and MeDiNova Research in EMEA. Accellacare offers a quality focused clinical research infrastructure delivering value and benefits to sponsors. Accellacare supports customers with faster start-up - site selected to site initiation visit is on average 30% faster and it achieves an average of 40% more patients per site when compared to other sites.</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Accellacare In-Home Services takes study visits directly to patients where they live, work, study or play in all phases and therapeutic areas of clinical trials. By bringing trial visits directly to patients, we ease the burden of participating in clinical research to increase patient recruitment, retention and diversity. Accellacare In-Home Services has experience in more than 400 clinical trials, tailoring our services to fit each study's specific requirements across more than 55 countries. This cohesive approach is leading to higher patient recruitment and retention rates. Accellacare is also achieving faster study start-up for its customers through efficiencies gained in central process management including budget and contracting, which can otherwise be a source of delay. This combined with a finely tuned feasibility approach allows the network to identify and recruit more patients to studies, in a wide range of therapeutic areas, in a shorter time frame. Accellacare is an important part of the integrated patient, site and data strategy, helping us to improve patient recruitment and retention. Through Accellacare we are committed to delivering on the promise of patient centricity in clinical research. This is also providing investigators with innovative treatments for their patients with a quality-focused clinical research infrastructure supported by experienced professionals globally.</w:t>
      </w:r>
    </w:p>
    <w:p>
      <w:pPr>
        <w:spacing w:after="0" w:line="15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In 2021, Accellacare entered new partnerships with six research sites across four countries, expanding its global footprint and capabilities. Through these new partnerships, Accellacare is also enhancing its capability in the central nervous system (CNS) and immune-inflammation therapeutic areas.</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expansion of the Accellacare Site Network increases access and engagement with investigative sites and its patients, with the goal of faster recruitment and reducing the overall time and cost associated with drug development for customers. Accellacare now has access to more than 9 million patients.</w:t>
      </w:r>
    </w:p>
    <w:p>
      <w:pPr>
        <w:spacing w:after="0" w:line="167"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Finding and engaging suitable patients to conduct clinical trials is one of the biggest issues facing the drug development industry today. Less than 1% of the US population participates in clinical trials and the performance of investigative sites that do take part in research is uneven, hard to predict and many trials do not meet the initial recruitment goals. The current market challenge in patient enrolment creates an opportunity for ICON to differentiate its service offering and we are working to reduce patient recruitment times through enhanced site and investigator selection based on key performance metrics and through the use of our proprietary Firecrest technology which is used to train and support sites during the development process. Our Accellacare and Oncacare site network alliances enhances our ability to enroll patients onto the clinical studies we perform. We have also developed strategic alliances with investigator site groups and healthcare systems in all major global research markets. In partnership with others we are pioneering patient recruitment solutions that leverage cognitive computing to transform clinical trial matching and allow a data-driven approach to deliver the right patients for trials. One Search is our intuitive, integrated workflow and interrogation tool that enables access to multiple data sources and provides the visualisation and tools necessary for optimum site identification based on ICON and industry data of capability, experience and performance. One Search is delivering on enrolment performance, speed of start-up and quality, which supports better site selection.</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80"/>
          </w:cols>
          <w:pgMar w:left="300" w:top="889" w:right="31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Career Development &amp; Employer of choice</w:t>
      </w:r>
    </w:p>
    <w:p>
      <w:pPr>
        <w:spacing w:after="0" w:line="19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People have long been central to our mission to improve the lives of patients by accelerating the development of our customers’ drugs and devices through innovative solutions. We encourage our people to bring flexibility, innovation, and determination to every situation. By doing so, our people can build exciting and rewarding careers, and deliver results to bring life-changing medicines to market and to maintain our success as an industry leader.</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Our leadership and talent programmes contribute to the enhanced retention of our employees, better project deliverables for our customers and the enhanced financial performance of the business.</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aim to be an industry leader: a company where talented people come to do important work, a place where our employees can shape the future of healthcare, grow their careers, and reach their full potential. We have long held a deep commitment to cultivating strong people practices. This includes competitive total rewards packages along with a focus on continuous learning. We nurture a culture of development and aim to boost engagement by supporting our people’s growth, both personally and professionally. We are dedicated to finding opportunities for our employees to grow and develop.</w:t>
      </w:r>
    </w:p>
    <w:p>
      <w:pPr>
        <w:spacing w:after="0" w:line="165"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Our success depends on the knowledge, capabilities, and quality of our people. To improve their skills, we are committed to providing continuous learning. This commitment is underpinned by clearly defined competencies, which offer employees a clear path along which to develop skills and advance their careers.</w:t>
      </w:r>
    </w:p>
    <w:p>
      <w:pPr>
        <w:spacing w:after="0" w:line="14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To support employees at every stage of their career journeys, training and development programmes are aimed at advancing scientific, technical, and business knowledge. Programmes include tailored Clinical Research Associate (CRA) academies and a range of project management curricula, therapeutic-focused programmes, and people leader development programmes.</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Enduring Customer Partnerships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We continue to focus on expanding and deepening our partnerships with existing customers, while also developing new customer relationships.</w:t>
      </w:r>
    </w:p>
    <w:p>
      <w:pPr>
        <w:spacing w:after="0" w:line="190" w:lineRule="exact"/>
        <w:rPr>
          <w:sz w:val="20"/>
          <w:szCs w:val="20"/>
          <w:color w:val="auto"/>
        </w:rPr>
      </w:pPr>
    </w:p>
    <w:p>
      <w:pPr>
        <w:jc w:val="both"/>
        <w:spacing w:after="0" w:line="292" w:lineRule="auto"/>
        <w:rPr>
          <w:sz w:val="20"/>
          <w:szCs w:val="20"/>
          <w:color w:val="auto"/>
        </w:rPr>
      </w:pPr>
      <w:r>
        <w:rPr>
          <w:rFonts w:ascii="Arial" w:cs="Arial" w:eastAsia="Arial" w:hAnsi="Arial"/>
          <w:sz w:val="12"/>
          <w:szCs w:val="12"/>
          <w:color w:val="auto"/>
        </w:rPr>
        <w:t>Strategic client relationships will increasingly manifest themselves in many different forms. Many of these relationships will require innovative forms of collaboration across ICON service areas and departments and will therefore require increased flexibility to offer services on both a standalone functional basis and as part of a fully integrated service solution. To support this objective, we continue to evolve our collaboration and delivery models, invest in technology that will enable closer data integration across our service areas and enhance our project and programme management capabilities.</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color w:val="auto"/>
        </w:rPr>
        <w:t>To meet the evolving needs of both our existing and new clients we continue to boost our capabilities through both organic service development and targeted acquisitions.</w:t>
      </w:r>
    </w:p>
    <w:p>
      <w:pPr>
        <w:spacing w:after="0" w:line="169"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During the year, we continued to augment our scientific and therapeutic expertise to support our customers in specific areas including oncology, orphan and rare diseases, CNS, dermatology, infectious disease and women's health. During 2020 and 2021, ICON mobilised its vaccine resources to address the COVID-19 global threat, including its ability to conduct home-based trials to minimise infection. In addition, the Company is currently providing clinical monitoring and safety oversight on numerous COVID-19 trials for both the private and government sectors.</w:t>
      </w:r>
    </w:p>
    <w:p>
      <w:pPr>
        <w:spacing w:after="0" w:line="138"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ICON mobilised a large global team of therapeutic and operational specialists to partner on the implementation of Pfizer‘s and BioNTech’s strategic plan and framework for the monitoring of the COVID-19 vaccine trial, which included a high level of remote clinical monitoring and source data verification in addition to on-site monitoring, safeguarding data quality and integrity in the evolving pandemic environment. The team combined the benefits of full service and functional service provider clinical operating models to increase efficiency and ensure rapid study start-up.</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ICON worked with 153 sites in the US, Europe, South Africa and Latin America to ensure the recruitment of more than 44,000 trial participants over a four month period in late 2020. ICON provided site training, document management and operational support for patient Informed Consent Form review, coordinated eConsent in most countries, and assisted with clinical supply management services. ICON achieved unprecedented trial timelines, while maintaining high standards of quality, undertaken in response to the pandemic required collaboration and strong communication between the ICON and companies’ project teams.</w:t>
      </w:r>
    </w:p>
    <w:p>
      <w:pPr>
        <w:spacing w:after="0" w:line="16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continue to target growth in under-penetrated CRO market segments. Penetration within medical device companies has lagged in comparison to that of bio-pharma firms but is beginning to accelerate. EU regulatory reform enacted in 2017 is a further catalyst to growth in this segment as it included stricter requirements to perform clinical evaluations and post-sale surveillance. In early 2020, the Group acquired MedPass which has further enhanced our value offering in this area.</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80"/>
          </w:cols>
          <w:pgMar w:left="300" w:top="889" w:right="31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3"/>
          <w:szCs w:val="13"/>
          <w:color w:val="auto"/>
        </w:rPr>
        <w:t>We also invested significantly in our site and patient network (Accellacare), and consider our expertise and offering in this area as one of our strategic pillars effective from 2021.</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Healthcare Intelligence &amp; Applied Innovation</w:t>
      </w:r>
    </w:p>
    <w:p>
      <w:pPr>
        <w:spacing w:after="0" w:line="169"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Innovation at ICON is focused on the factors that are critical to our clients. We develop integrated technologies to significantly enhance the efficiency and productivity of clients’ drug and device development programmes, providing true transparency across all areas of a study.</w:t>
      </w:r>
    </w:p>
    <w:p>
      <w:pPr>
        <w:spacing w:after="0" w:line="14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ICON is focused on applying innovation that can help our customers improve their development outcomes. We are focusing this innovation in three critical areas: improving clinical trial design and execution; ensuring faster and more predictable patient recruitment; and evolving clinical trials to be more patient centric which includes data collection and analysis directly from patient’s digital devices. Our approach to developing solutions to these challenges incorporates partnering with best in class technology providers but is also supported by a suite of differentiated ICON proprietary technologies.</w:t>
      </w:r>
    </w:p>
    <w:p>
      <w:pPr>
        <w:spacing w:after="0" w:line="176" w:lineRule="exact"/>
        <w:rPr>
          <w:sz w:val="20"/>
          <w:szCs w:val="20"/>
          <w:color w:val="auto"/>
        </w:rPr>
      </w:pPr>
    </w:p>
    <w:p>
      <w:pPr>
        <w:spacing w:after="0"/>
        <w:rPr>
          <w:sz w:val="20"/>
          <w:szCs w:val="20"/>
          <w:color w:val="auto"/>
        </w:rPr>
      </w:pPr>
      <w:r>
        <w:rPr>
          <w:rFonts w:ascii="Arial" w:cs="Arial" w:eastAsia="Arial" w:hAnsi="Arial"/>
          <w:sz w:val="12"/>
          <w:szCs w:val="12"/>
          <w:color w:val="auto"/>
        </w:rPr>
        <w:t>We have continued to invest in building our capabilities in the gathering, analysis and application of real world patient data within both the clinical trial and post-trial observational study environments.</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Alongside expanding internal capabilities, we continue to develop innovative partnerships with providers of real world data including TriNetX.</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Firecrest is ICON’s proprietary comprehensive site performance management system. It is a web-based solution which enables accurate study information, including protocol information, training manuals and case report forms, to be rolled out quickly and simultaneously to investigative sites. It allows site behaviour to be tracked to ensure training is understood, procedures are being followed and that timelines and study parameters are met. It can significantly reduce the number of data queries originated from investigator sites. Firecrest is now integrated into the ICON Safety Reporting Solution and provides a new Site Question Management Tool.</w:t>
      </w:r>
    </w:p>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ICON has also developed a patient engagement platform to support improved patient experience &amp; enrolment in clinical trials. The web based patient engagement platform, provides patients with study specific information and connectivity with the nearest investigative site. The solution supplements patient recruitment outreach by sites and increases visibility of potential study participants for sponsors and sites. An easy to navigate, user friendly interface guides the patient to new and ongoing studies in their particular indication and a pre-qualification questionnaire helps to determine if the study is a right fit for them. If the patient decides to register interest, they are given the option to select their nearest investigative site. This establishes connection with the site and the patient can then choose to contact the site or ask to be contacted for pre-screening.</w:t>
      </w:r>
    </w:p>
    <w:p>
      <w:pPr>
        <w:spacing w:after="0" w:line="16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completion of the Merger has significantly expanded ICON's data driven strategy with the addition of Symphony Health. Symphony Health is a trusted partner and leading enabler of integrated health data liquidity and analytics, delivered as a cloud-based solution.</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positively impact patients’ lives by understanding their journeys and how they can benefit from drugs currently in development and on the market. We do this by developing a holistic, global data environment across pharmaceutical/ biotech companies (development to commercial) that gives insights into patients, and how best to serve them.</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Alongside the application of these technology solutions we are also focused on innovation through the redesign and where appropriate the automation of current clinical trial processes.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Operational Excellence, Quality and Delivery</w:t>
      </w:r>
    </w:p>
    <w:p>
      <w:pPr>
        <w:spacing w:after="0" w:line="19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Quality is the foundation of our success. The quality of our work is vital to our mission of bringing better medications to patients around the world. We are committed to maintaining, supporting, checking and improving our quality systems to meet or exceed the quality standards demanded by our clients, patients and regulatory authorities. We focus our innovation on the factors that are critical to our clients – reducing time to market, reducing cost and increasing quality – and our global team of experts has extensive experience in a broad range of therapeutic areas.</w:t>
      </w:r>
    </w:p>
    <w:p>
      <w:pPr>
        <w:spacing w:after="0" w:line="17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Quality project execution underpins all that we do and we have an ongoing focus on developing our people and processes to continue to enhance our service delivery. We also deploy supporting technologies which we believe will enable faster and deeper insights into the quality of trial data.</w:t>
      </w:r>
    </w:p>
    <w:p>
      <w:pPr>
        <w:spacing w:after="0" w:line="157"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We are focused on operational excellence across our support functions and we operate a global business support infrastructure across functions including finance, information technology, facilities, human resources and legal. This enables us to enhance the service levels across these support areas whilst driving down the costs of the service provision.</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80"/>
          </w:cols>
          <w:pgMar w:left="300" w:top="889" w:right="31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Principal activities of the Company and Group</w:t>
      </w:r>
    </w:p>
    <w:p>
      <w:pPr>
        <w:spacing w:after="0" w:line="20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principal activity of the Company is to act as a holding Company. The Company also operates branch offices, ICON Italy in Milan, ICON Poland in Warsaw, ICON Latvia in Riga and ICON Lithuania in Vilnius. These branches provide contract research services to the pharmaceutical industry.</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Acquisition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1613535</wp:posOffset>
            </wp:positionH>
            <wp:positionV relativeFrom="paragraph">
              <wp:posOffset>12700</wp:posOffset>
            </wp:positionV>
            <wp:extent cx="4264660" cy="17716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264660" cy="1771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auto"/>
        </w:rPr>
        <w:t>On 1 July 2021, the Company completed the Acquisition of PRA by means of a merger whereby Indigo Merger Sub, Inc., a Delaware corporation and subsidiary of ICON, merged with and into PRA Health Sciences, Inc., the parent of the PRA Health Sciences Group ("the Acquisition" and "the Merger"). Upon completion of the Acquisition, PRA became a wholly owned subsidiary within the ICON Group. ICON’s Acquisition of PRA has brought together two high-quality, innovative, growing organisations with similar cultures and values to create one of the world’s leading healthcare intelligence and clinical contract research organisations. The total value of the Merger consideration is $12.1 billion and has resulted in the recognition of goodwill of $8.2 billion, intangible assets of $4.9 billion and an associated deferred tax liability of $1.1 billion.</w:t>
      </w:r>
    </w:p>
    <w:p>
      <w:pPr>
        <w:spacing w:after="0" w:line="173"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With approximately 38,330 employees across the globe, the new ICON has established relationships with a majority of the world’s top pharmaceutical and biotech companies. We believe the Company now has the expertise, technology, and data assets to lead the industry into a new paradigm for bringing clinical research to more patients and enabling expanded capabilities for customers. We believe the Merger will deliver a transformational effect on ICON through:</w:t>
      </w:r>
    </w:p>
    <w:p>
      <w:pPr>
        <w:spacing w:after="0" w:line="159" w:lineRule="exact"/>
        <w:rPr>
          <w:sz w:val="20"/>
          <w:szCs w:val="20"/>
          <w:color w:val="auto"/>
        </w:rPr>
      </w:pPr>
    </w:p>
    <w:p>
      <w:pPr>
        <w:ind w:left="200"/>
        <w:spacing w:after="0" w:line="283" w:lineRule="auto"/>
        <w:rPr>
          <w:sz w:val="20"/>
          <w:szCs w:val="20"/>
          <w:color w:val="auto"/>
        </w:rPr>
      </w:pPr>
      <w:r>
        <w:rPr>
          <w:rFonts w:ascii="Arial" w:cs="Arial" w:eastAsia="Arial" w:hAnsi="Arial"/>
          <w:sz w:val="13"/>
          <w:szCs w:val="13"/>
          <w:b w:val="1"/>
          <w:bCs w:val="1"/>
          <w:color w:val="auto"/>
        </w:rPr>
        <w:t xml:space="preserve">Scale: </w:t>
      </w:r>
      <w:r>
        <w:rPr>
          <w:rFonts w:ascii="Arial" w:cs="Arial" w:eastAsia="Arial" w:hAnsi="Arial"/>
          <w:sz w:val="13"/>
          <w:szCs w:val="13"/>
          <w:color w:val="auto"/>
        </w:rPr>
        <w:t>With a deeper clinical, commercialisation and consulting services portfolio, a broader geographic footprint, depth in therapeutic expertise, and data-driven healthcare technology, the</w:t>
      </w:r>
      <w:r>
        <w:rPr>
          <w:rFonts w:ascii="Arial" w:cs="Arial" w:eastAsia="Arial" w:hAnsi="Arial"/>
          <w:sz w:val="13"/>
          <w:szCs w:val="13"/>
          <w:b w:val="1"/>
          <w:bCs w:val="1"/>
          <w:color w:val="auto"/>
        </w:rPr>
        <w:t xml:space="preserve"> </w:t>
      </w:r>
      <w:r>
        <w:rPr>
          <w:rFonts w:ascii="Arial" w:cs="Arial" w:eastAsia="Arial" w:hAnsi="Arial"/>
          <w:sz w:val="13"/>
          <w:szCs w:val="13"/>
          <w:color w:val="auto"/>
        </w:rPr>
        <w:t>Company can deliver enhanced globally scaled expertise &amp; solutions for all customers and patients.</w:t>
      </w:r>
    </w:p>
    <w:p>
      <w:pPr>
        <w:spacing w:after="0" w:line="146" w:lineRule="exact"/>
        <w:rPr>
          <w:sz w:val="20"/>
          <w:szCs w:val="20"/>
          <w:color w:val="auto"/>
        </w:rPr>
      </w:pPr>
    </w:p>
    <w:p>
      <w:pPr>
        <w:ind w:left="200"/>
        <w:spacing w:after="0" w:line="283" w:lineRule="auto"/>
        <w:rPr>
          <w:sz w:val="20"/>
          <w:szCs w:val="20"/>
          <w:color w:val="auto"/>
        </w:rPr>
      </w:pPr>
      <w:r>
        <w:rPr>
          <w:rFonts w:ascii="Arial" w:cs="Arial" w:eastAsia="Arial" w:hAnsi="Arial"/>
          <w:sz w:val="13"/>
          <w:szCs w:val="13"/>
          <w:b w:val="1"/>
          <w:bCs w:val="1"/>
          <w:color w:val="auto"/>
        </w:rPr>
        <w:t xml:space="preserve">Focus: </w:t>
      </w:r>
      <w:r>
        <w:rPr>
          <w:rFonts w:ascii="Arial" w:cs="Arial" w:eastAsia="Arial" w:hAnsi="Arial"/>
          <w:sz w:val="13"/>
          <w:szCs w:val="13"/>
          <w:color w:val="auto"/>
        </w:rPr>
        <w:t>The Company will have a singular focus on clinical research and commercialisation, leveraging transformational technology and innovation to execute clinical trials from Phase 1 to post-approval studies with the highest quality, expertise and speed.</w:t>
      </w:r>
    </w:p>
    <w:p>
      <w:pPr>
        <w:spacing w:after="0" w:line="146" w:lineRule="exact"/>
        <w:rPr>
          <w:sz w:val="20"/>
          <w:szCs w:val="20"/>
          <w:color w:val="auto"/>
        </w:rPr>
      </w:pPr>
    </w:p>
    <w:p>
      <w:pPr>
        <w:ind w:left="200"/>
        <w:spacing w:after="0" w:line="266" w:lineRule="auto"/>
        <w:rPr>
          <w:sz w:val="20"/>
          <w:szCs w:val="20"/>
          <w:color w:val="auto"/>
        </w:rPr>
      </w:pPr>
      <w:r>
        <w:rPr>
          <w:rFonts w:ascii="Arial" w:cs="Arial" w:eastAsia="Arial" w:hAnsi="Arial"/>
          <w:sz w:val="13"/>
          <w:szCs w:val="13"/>
          <w:b w:val="1"/>
          <w:bCs w:val="1"/>
          <w:color w:val="auto"/>
        </w:rPr>
        <w:t>Speed to market</w:t>
      </w:r>
      <w:r>
        <w:rPr>
          <w:rFonts w:ascii="Arial" w:cs="Arial" w:eastAsia="Arial" w:hAnsi="Arial"/>
          <w:sz w:val="13"/>
          <w:szCs w:val="13"/>
          <w:color w:val="auto"/>
        </w:rPr>
        <w:t>: Our extensive services portfolio, digital and data technology capabilities, and enhanced access to more diverse patient populations, have been combined with flexible delivery</w:t>
      </w:r>
      <w:r>
        <w:rPr>
          <w:rFonts w:ascii="Arial" w:cs="Arial" w:eastAsia="Arial" w:hAnsi="Arial"/>
          <w:sz w:val="13"/>
          <w:szCs w:val="13"/>
          <w:b w:val="1"/>
          <w:bCs w:val="1"/>
          <w:color w:val="auto"/>
        </w:rPr>
        <w:t xml:space="preserve"> </w:t>
      </w:r>
      <w:r>
        <w:rPr>
          <w:rFonts w:ascii="Arial" w:cs="Arial" w:eastAsia="Arial" w:hAnsi="Arial"/>
          <w:sz w:val="13"/>
          <w:szCs w:val="13"/>
          <w:color w:val="auto"/>
        </w:rPr>
        <w:t>approaches and partnership models – all with the aim of reducing development time and costs.</w:t>
      </w:r>
    </w:p>
    <w:p>
      <w:pPr>
        <w:spacing w:after="0" w:line="167" w:lineRule="exact"/>
        <w:rPr>
          <w:sz w:val="20"/>
          <w:szCs w:val="20"/>
          <w:color w:val="auto"/>
        </w:rPr>
      </w:pPr>
    </w:p>
    <w:p>
      <w:pPr>
        <w:ind w:left="200"/>
        <w:spacing w:after="0" w:line="266" w:lineRule="auto"/>
        <w:rPr>
          <w:sz w:val="20"/>
          <w:szCs w:val="20"/>
          <w:color w:val="auto"/>
        </w:rPr>
      </w:pPr>
      <w:r>
        <w:rPr>
          <w:rFonts w:ascii="Arial" w:cs="Arial" w:eastAsia="Arial" w:hAnsi="Arial"/>
          <w:sz w:val="13"/>
          <w:szCs w:val="13"/>
          <w:b w:val="1"/>
          <w:bCs w:val="1"/>
          <w:color w:val="auto"/>
        </w:rPr>
        <w:t xml:space="preserve">Flexible partnership models: </w:t>
      </w:r>
      <w:r>
        <w:rPr>
          <w:rFonts w:ascii="Arial" w:cs="Arial" w:eastAsia="Arial" w:hAnsi="Arial"/>
          <w:sz w:val="13"/>
          <w:szCs w:val="13"/>
          <w:color w:val="auto"/>
        </w:rPr>
        <w:t>ICON has partnerships with a majority of world’s top biopharma and biotech companies worldwide. ICON is a global leader in Functional Service Provision and a top</w:t>
      </w:r>
      <w:r>
        <w:rPr>
          <w:rFonts w:ascii="Arial" w:cs="Arial" w:eastAsia="Arial" w:hAnsi="Arial"/>
          <w:sz w:val="13"/>
          <w:szCs w:val="13"/>
          <w:b w:val="1"/>
          <w:bCs w:val="1"/>
          <w:color w:val="auto"/>
        </w:rPr>
        <w:t xml:space="preserve"> </w:t>
      </w:r>
      <w:r>
        <w:rPr>
          <w:rFonts w:ascii="Arial" w:cs="Arial" w:eastAsia="Arial" w:hAnsi="Arial"/>
          <w:sz w:val="13"/>
          <w:szCs w:val="13"/>
          <w:color w:val="auto"/>
        </w:rPr>
        <w:t>global provider of full service clinical research.</w:t>
      </w:r>
    </w:p>
    <w:p>
      <w:pPr>
        <w:spacing w:after="0" w:line="157" w:lineRule="exact"/>
        <w:rPr>
          <w:sz w:val="20"/>
          <w:szCs w:val="20"/>
          <w:color w:val="auto"/>
        </w:rPr>
      </w:pPr>
    </w:p>
    <w:p>
      <w:pPr>
        <w:ind w:left="200"/>
        <w:spacing w:after="0" w:line="283" w:lineRule="auto"/>
        <w:rPr>
          <w:sz w:val="20"/>
          <w:szCs w:val="20"/>
          <w:color w:val="auto"/>
        </w:rPr>
      </w:pPr>
      <w:r>
        <w:rPr>
          <w:rFonts w:ascii="Arial" w:cs="Arial" w:eastAsia="Arial" w:hAnsi="Arial"/>
          <w:sz w:val="13"/>
          <w:szCs w:val="13"/>
          <w:b w:val="1"/>
          <w:bCs w:val="1"/>
          <w:color w:val="auto"/>
        </w:rPr>
        <w:t xml:space="preserve">Differentiated DCT platform, healthcare intelligence &amp; technology: </w:t>
      </w:r>
      <w:r>
        <w:rPr>
          <w:rFonts w:ascii="Arial" w:cs="Arial" w:eastAsia="Arial" w:hAnsi="Arial"/>
          <w:sz w:val="13"/>
          <w:szCs w:val="13"/>
          <w:color w:val="auto"/>
        </w:rPr>
        <w:t>The new ICON can deliver differentiated decentralised and hybrid trial solutions through a suite of capabilities, including</w:t>
      </w:r>
      <w:r>
        <w:rPr>
          <w:rFonts w:ascii="Arial" w:cs="Arial" w:eastAsia="Arial" w:hAnsi="Arial"/>
          <w:sz w:val="13"/>
          <w:szCs w:val="13"/>
          <w:b w:val="1"/>
          <w:bCs w:val="1"/>
          <w:color w:val="auto"/>
        </w:rPr>
        <w:t xml:space="preserve"> </w:t>
      </w:r>
      <w:r>
        <w:rPr>
          <w:rFonts w:ascii="Arial" w:cs="Arial" w:eastAsia="Arial" w:hAnsi="Arial"/>
          <w:sz w:val="13"/>
          <w:szCs w:val="13"/>
          <w:color w:val="auto"/>
        </w:rPr>
        <w:t>mobile health, commercial connected health platforms, real world data and information solutions, a global site network, home health services and wearables expertise.</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80"/>
          </w:cols>
          <w:pgMar w:left="300" w:top="889" w:right="31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0" w:right="160"/>
        <w:spacing w:after="0" w:line="266" w:lineRule="auto"/>
        <w:rPr>
          <w:sz w:val="20"/>
          <w:szCs w:val="20"/>
          <w:color w:val="auto"/>
        </w:rPr>
      </w:pPr>
      <w:r>
        <w:rPr>
          <w:rFonts w:ascii="Arial" w:cs="Arial" w:eastAsia="Arial" w:hAnsi="Arial"/>
          <w:sz w:val="13"/>
          <w:szCs w:val="13"/>
          <w:b w:val="1"/>
          <w:bCs w:val="1"/>
          <w:color w:val="auto"/>
        </w:rPr>
        <w:t xml:space="preserve">Access to patients: </w:t>
      </w:r>
      <w:r>
        <w:rPr>
          <w:rFonts w:ascii="Arial" w:cs="Arial" w:eastAsia="Arial" w:hAnsi="Arial"/>
          <w:sz w:val="13"/>
          <w:szCs w:val="13"/>
          <w:color w:val="auto"/>
        </w:rPr>
        <w:t>The new ICON offers customers enhanced access to a larger global pool of more diverse patients through its global site network (Accellacare), specialised oncology network</w:t>
      </w:r>
      <w:r>
        <w:rPr>
          <w:rFonts w:ascii="Arial" w:cs="Arial" w:eastAsia="Arial" w:hAnsi="Arial"/>
          <w:sz w:val="13"/>
          <w:szCs w:val="13"/>
          <w:b w:val="1"/>
          <w:bCs w:val="1"/>
          <w:color w:val="auto"/>
        </w:rPr>
        <w:t xml:space="preserve"> </w:t>
      </w:r>
      <w:r>
        <w:rPr>
          <w:rFonts w:ascii="Arial" w:cs="Arial" w:eastAsia="Arial" w:hAnsi="Arial"/>
          <w:sz w:val="13"/>
          <w:szCs w:val="13"/>
          <w:color w:val="auto"/>
        </w:rPr>
        <w:t>(Oncacare), a paediatric site network, in-home clinical services and a network of six Phase I clinical research units across the United States and Europe.</w:t>
      </w:r>
    </w:p>
    <w:p>
      <w:pPr>
        <w:spacing w:after="0" w:line="157"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On 3 September 2020, as part of an internal initiative, ICON announced that it was launching Accellacare, a global clinical research network offering patients easier and faster access to innovative treatments and offering customers the option to deploy decentralised trials. The site network includes previously acquired PMG Research in the US and MeDiNova Research in EMEA.</w:t>
      </w:r>
    </w:p>
    <w:p>
      <w:pPr>
        <w:spacing w:after="0" w:line="157"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On 24 July 2020 a subsidiary of the Company, ICON Clinical Research Limited, entered into an agreement to jointly establish a new company, Oncacare Limited ("Oncacare"), with a third-party. Oncacare operates as a specialised oncology site network in the US and EMEA regions. The new site network will focus on implementing a range of commercial models with specialist oncology healthcare providers in the US and EMEA to accelerate the recruitment and retention of patients into oncology trials. The oncology site network will operate as a joint venture between the Company and a third-party company which has extensive experience in developing and running a site network. The Company has invested $4.9 million to obtain a 49% interest in the voting share capital of Oncacare. The third-party to the joint venture has the right to sell the 51% majority voting share capital exclusively to the Company in a two and half year period, commencing 1 January 2023 and ICON also has the right to acquire the 51% majority voting share capital from 1 August 2025.</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On 22 January 2020 a subsidiary of the Company, ICON Investments Limited, acquired 100% of the equity share capital of MedPass International ("MedPass"). MedPass is the leading European medical device CRO, regulatory and reimbursement consultancy, that specialises in medical device development and market access. The acquisition of MedPass further enhances ICON’s Medical Device and Diagnostic Research services, through the addition of new regulatory and clinical capabilities in Europe. The integration of MedPass’s services brings noted expertise in complex class 3 medical devices, interventional cardiology and structural heart devices. The total consideration was $47.6 million.</w:t>
      </w:r>
    </w:p>
    <w:p>
      <w:pPr>
        <w:spacing w:after="0" w:line="165" w:lineRule="exact"/>
        <w:rPr>
          <w:sz w:val="20"/>
          <w:szCs w:val="20"/>
          <w:color w:val="auto"/>
        </w:rPr>
      </w:pPr>
    </w:p>
    <w:p>
      <w:pPr>
        <w:jc w:val="both"/>
        <w:spacing w:after="0" w:line="280" w:lineRule="auto"/>
        <w:rPr>
          <w:sz w:val="20"/>
          <w:szCs w:val="20"/>
          <w:color w:val="auto"/>
        </w:rPr>
      </w:pPr>
      <w:r>
        <w:rPr>
          <w:rFonts w:ascii="Arial" w:cs="Arial" w:eastAsia="Arial" w:hAnsi="Arial"/>
          <w:sz w:val="12"/>
          <w:szCs w:val="12"/>
          <w:color w:val="auto"/>
        </w:rPr>
        <w:t>On 24 September 2019, a subsidiary of the Company, ICON Clinical Research LLC, acquired a 100% interest in Clinical Research Networks ("CRN"). Founded in 2003 and operating from its headquarters in Illinois, USA and Gdansk, Poland, CRN is a leading provider of at-home trial services and site support services from study start-up to closeout for Phase I-IV global studies. CRN will enhance ICON's patient recruitment capabilities globally and complements ICON's site network in the USA, PMG Research and the recently acquired site network in EMEA, MeDiNova. The consideration to acquire the 100% interest was cash of $35.3 million and contingent consideration which was initially estimated at a fair value of $2.5 million. During 2020, the contingent consideration was settled at fair value in the amount of $0.5 million. The change in fair value has been recorded in the selling, general and administrative expense line of the Consolidated Statement of Operations.</w:t>
      </w:r>
    </w:p>
    <w:p>
      <w:pPr>
        <w:spacing w:after="0" w:line="150"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On 23 May 2019 a subsidiary of the Company, ICON Clinical Research (U.K.) Limited, acquired a majority shareholding in MeDiNova, a site network with research sites in key markets in Europe and Africa. The consideration to acquire the majority shareholding was cash of $54.1 million (excluding a working capital adjustment of $0.5 million). The contingent consideration was paid in October 2019. The acquisition further enhances ICON's patient recruitment capabilities in EMEA and complements ICON's existing site network in the USA, PMG Research. ICON had the right to acquire the remaining shares in the company and on 9 March 2020 ICON exercised this right to take 100% ownership of MeDiNova. Effective from this date, the noncontrolling interest was derecognised. The company settled the amount due to the noncontrolling interest holder on 17 July 2020 for $43.9 million.</w:t>
      </w:r>
    </w:p>
    <w:p>
      <w:pPr>
        <w:spacing w:after="0" w:line="164" w:lineRule="exact"/>
        <w:rPr>
          <w:sz w:val="20"/>
          <w:szCs w:val="20"/>
          <w:color w:val="auto"/>
        </w:rPr>
      </w:pPr>
    </w:p>
    <w:p>
      <w:pPr>
        <w:jc w:val="both"/>
        <w:spacing w:after="0" w:line="281" w:lineRule="auto"/>
        <w:rPr>
          <w:sz w:val="20"/>
          <w:szCs w:val="20"/>
          <w:color w:val="auto"/>
        </w:rPr>
      </w:pPr>
      <w:r>
        <w:rPr>
          <w:rFonts w:ascii="Arial" w:cs="Arial" w:eastAsia="Arial" w:hAnsi="Arial"/>
          <w:sz w:val="12"/>
          <w:szCs w:val="12"/>
          <w:color w:val="auto"/>
        </w:rPr>
        <w:t>On 25 January 2019, a subsidiary of the Company, ICON Laboratory Services, Inc., acquired 100% of the share capital of MolecularMD Corp. ("MMD"). The consideration was $42.2 million. MMD is a molecular diagnostic speciality laboratory that enables the development and commercialisation of precision medicines in oncology. It is a recognised leader in the analytical development and clinical validation of molecular diagnostic assays. It offers a comprehensive test menu in immuno-oncology development and services also include companion diagnostic development services. The acquisition enhances ICON’s laboratory offering in molecular diagnostic testing and brings to ICON expanded testing platforms, including next generation sequencing, and immunohistochemistry (IHC).</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80"/>
          </w:cols>
          <w:pgMar w:left="300" w:top="889" w:right="31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Future developments</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Please see </w:t>
      </w:r>
      <w:r>
        <w:rPr>
          <w:rFonts w:ascii="Arial" w:cs="Arial" w:eastAsia="Arial" w:hAnsi="Arial"/>
          <w:sz w:val="13"/>
          <w:szCs w:val="13"/>
          <w:i w:val="1"/>
          <w:iCs w:val="1"/>
          <w:color w:val="auto"/>
        </w:rPr>
        <w:t>note 31 Subsequent events</w:t>
      </w:r>
      <w:r>
        <w:rPr>
          <w:rFonts w:ascii="Arial" w:cs="Arial" w:eastAsia="Arial" w:hAnsi="Arial"/>
          <w:sz w:val="13"/>
          <w:szCs w:val="13"/>
          <w:color w:val="auto"/>
        </w:rPr>
        <w:t xml:space="preserve"> for details of events in the period from year-end to the approval of the financial statements.</w:t>
      </w:r>
    </w:p>
    <w:p>
      <w:pPr>
        <w:spacing w:after="0" w:line="190"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In 2022, the Group looks forward to continuing to expand through organic growth, together with strategic acquisitions to enhance its expertise and capabilities in certain areas of the clinical development process and to continue to deliver on the Company’s mission to accelerate the development of drugs and devices that save lives and improve the quality of life.</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Results and dividends</w:t>
      </w:r>
    </w:p>
    <w:p>
      <w:pPr>
        <w:spacing w:after="0" w:line="190" w:lineRule="exact"/>
        <w:rPr>
          <w:sz w:val="20"/>
          <w:szCs w:val="20"/>
          <w:color w:val="auto"/>
        </w:rPr>
      </w:pPr>
    </w:p>
    <w:p>
      <w:pPr>
        <w:spacing w:after="0" w:line="249" w:lineRule="auto"/>
        <w:rPr>
          <w:sz w:val="20"/>
          <w:szCs w:val="20"/>
          <w:color w:val="auto"/>
        </w:rPr>
      </w:pPr>
      <w:r>
        <w:rPr>
          <w:rFonts w:ascii="Arial" w:cs="Arial" w:eastAsia="Arial" w:hAnsi="Arial"/>
          <w:sz w:val="13"/>
          <w:szCs w:val="13"/>
          <w:color w:val="auto"/>
        </w:rPr>
        <w:t>The results for the financial year and state of affairs of the Company are set out in the Consolidated Statement of Profit and Loss, the Consolidated Statement of Comprehensive Income and the Consolidated Statement of Financial Position on pages 35, 36, and 37 respectively. The Directors do not propose the payment of a dividend for the year ended 31 December 2021.</w:t>
      </w:r>
    </w:p>
    <w:p>
      <w:pPr>
        <w:spacing w:after="0" w:line="178"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The Company has commenced a multi year restructuring programme in 2021 as part of the integration of PRA into the Company. This programme is expected to last four years and deliver $150 million in synergies on completion. The programme will focus on alignment of people and processes and will involve a review of the Company's global office footprint.</w:t>
      </w:r>
    </w:p>
    <w:p>
      <w:pPr>
        <w:spacing w:after="0" w:line="157"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The following table sets forth for the periods indicated certain financial data as a percentage of revenue and the percentage change in these items compared to the prior period, being the key performance indicators used by management. The trends illustrated in the following table may not be indicative of future results.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780" w:type="dxa"/>
            <w:vAlign w:val="bottom"/>
            <w:shd w:val="clear" w:color="auto" w:fill="CCEEFF"/>
          </w:tcPr>
          <w:p>
            <w:pPr>
              <w:spacing w:after="0"/>
              <w:rPr>
                <w:sz w:val="13"/>
                <w:szCs w:val="13"/>
                <w:color w:val="auto"/>
              </w:rPr>
            </w:pPr>
          </w:p>
        </w:tc>
        <w:tc>
          <w:tcPr>
            <w:tcW w:w="320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Year ended 31 December</w:t>
            </w:r>
          </w:p>
        </w:tc>
        <w:tc>
          <w:tcPr>
            <w:tcW w:w="184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Year ended 31 December</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Percentage change</w:t>
            </w:r>
          </w:p>
        </w:tc>
      </w:tr>
      <w:tr>
        <w:trPr>
          <w:trHeight w:val="193"/>
        </w:trPr>
        <w:tc>
          <w:tcPr>
            <w:tcW w:w="4780" w:type="dxa"/>
            <w:vAlign w:val="bottom"/>
            <w:tcBorders>
              <w:bottom w:val="single" w:sz="8" w:color="auto"/>
            </w:tcBorders>
            <w:shd w:val="clear" w:color="auto" w:fill="CCEEFF"/>
          </w:tcPr>
          <w:p>
            <w:pPr>
              <w:spacing w:after="0"/>
              <w:rPr>
                <w:sz w:val="16"/>
                <w:szCs w:val="16"/>
                <w:color w:val="auto"/>
              </w:rPr>
            </w:pPr>
          </w:p>
        </w:tc>
        <w:tc>
          <w:tcPr>
            <w:tcW w:w="3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2021</w:t>
            </w:r>
          </w:p>
        </w:tc>
        <w:tc>
          <w:tcPr>
            <w:tcW w:w="184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2020</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in period</w:t>
            </w:r>
          </w:p>
        </w:tc>
      </w:tr>
      <w:tr>
        <w:trPr>
          <w:trHeight w:val="169"/>
        </w:trPr>
        <w:tc>
          <w:tcPr>
            <w:tcW w:w="4780" w:type="dxa"/>
            <w:vAlign w:val="bottom"/>
          </w:tcPr>
          <w:p>
            <w:pPr>
              <w:spacing w:after="0"/>
              <w:rPr>
                <w:sz w:val="14"/>
                <w:szCs w:val="14"/>
                <w:color w:val="auto"/>
              </w:rPr>
            </w:pPr>
          </w:p>
        </w:tc>
        <w:tc>
          <w:tcPr>
            <w:tcW w:w="5040" w:type="dxa"/>
            <w:vAlign w:val="bottom"/>
            <w:gridSpan w:val="2"/>
          </w:tcPr>
          <w:p>
            <w:pPr>
              <w:jc w:val="right"/>
              <w:ind w:right="996"/>
              <w:spacing w:after="0"/>
              <w:rPr>
                <w:sz w:val="20"/>
                <w:szCs w:val="20"/>
                <w:color w:val="auto"/>
              </w:rPr>
            </w:pPr>
            <w:r>
              <w:rPr>
                <w:rFonts w:ascii="Arial" w:cs="Arial" w:eastAsia="Arial" w:hAnsi="Arial"/>
                <w:sz w:val="13"/>
                <w:szCs w:val="13"/>
                <w:b w:val="1"/>
                <w:bCs w:val="1"/>
                <w:color w:val="auto"/>
              </w:rPr>
              <w:t>As a percentage of revenue</w:t>
            </w:r>
          </w:p>
        </w:tc>
        <w:tc>
          <w:tcPr>
            <w:tcW w:w="1440" w:type="dxa"/>
            <w:vAlign w:val="bottom"/>
          </w:tcPr>
          <w:p>
            <w:pPr>
              <w:spacing w:after="0"/>
              <w:rPr>
                <w:sz w:val="14"/>
                <w:szCs w:val="14"/>
                <w:color w:val="auto"/>
              </w:rPr>
            </w:pPr>
          </w:p>
        </w:tc>
      </w:tr>
      <w:tr>
        <w:trPr>
          <w:trHeight w:val="169"/>
        </w:trPr>
        <w:tc>
          <w:tcPr>
            <w:tcW w:w="4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Revenue</w:t>
            </w:r>
          </w:p>
        </w:tc>
        <w:tc>
          <w:tcPr>
            <w:tcW w:w="3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100 %</w:t>
            </w:r>
          </w:p>
        </w:tc>
        <w:tc>
          <w:tcPr>
            <w:tcW w:w="184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rPr>
              <w:t>100 %</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95.6 %</w:t>
            </w:r>
          </w:p>
        </w:tc>
      </w:tr>
      <w:tr>
        <w:trPr>
          <w:trHeight w:val="151"/>
        </w:trPr>
        <w:tc>
          <w:tcPr>
            <w:tcW w:w="478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69"/>
        </w:trPr>
        <w:tc>
          <w:tcPr>
            <w:tcW w:w="4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Direct costs (excluding exceptional items)</w:t>
            </w:r>
          </w:p>
        </w:tc>
        <w:tc>
          <w:tcPr>
            <w:tcW w:w="3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72.5 %</w:t>
            </w:r>
          </w:p>
        </w:tc>
        <w:tc>
          <w:tcPr>
            <w:tcW w:w="184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rPr>
              <w:t>70.8 %</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100.5 %</w:t>
            </w:r>
          </w:p>
        </w:tc>
      </w:tr>
      <w:tr>
        <w:trPr>
          <w:trHeight w:val="151"/>
        </w:trPr>
        <w:tc>
          <w:tcPr>
            <w:tcW w:w="478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69"/>
        </w:trPr>
        <w:tc>
          <w:tcPr>
            <w:tcW w:w="4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Other operating expenses (excluding exceptional items)</w:t>
            </w:r>
          </w:p>
        </w:tc>
        <w:tc>
          <w:tcPr>
            <w:tcW w:w="3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16.4 %</w:t>
            </w:r>
          </w:p>
        </w:tc>
        <w:tc>
          <w:tcPr>
            <w:tcW w:w="184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rPr>
              <w:t>14.5 %</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120.8 %</w:t>
            </w:r>
          </w:p>
        </w:tc>
      </w:tr>
      <w:tr>
        <w:trPr>
          <w:trHeight w:val="151"/>
        </w:trPr>
        <w:tc>
          <w:tcPr>
            <w:tcW w:w="478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69"/>
        </w:trPr>
        <w:tc>
          <w:tcPr>
            <w:tcW w:w="4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Operating profit (excluding exceptional items)</w:t>
            </w:r>
          </w:p>
        </w:tc>
        <w:tc>
          <w:tcPr>
            <w:tcW w:w="3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11.0 %</w:t>
            </w:r>
          </w:p>
        </w:tc>
        <w:tc>
          <w:tcPr>
            <w:tcW w:w="184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rPr>
              <w:t>14.7 %</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47.4 %</w:t>
            </w:r>
          </w:p>
        </w:tc>
      </w:tr>
      <w:tr>
        <w:trPr>
          <w:trHeight w:val="151"/>
        </w:trPr>
        <w:tc>
          <w:tcPr>
            <w:tcW w:w="478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69"/>
        </w:trPr>
        <w:tc>
          <w:tcPr>
            <w:tcW w:w="4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Transaction and integration related</w:t>
            </w:r>
          </w:p>
        </w:tc>
        <w:tc>
          <w:tcPr>
            <w:tcW w:w="3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3.1 %</w:t>
            </w:r>
          </w:p>
        </w:tc>
        <w:tc>
          <w:tcPr>
            <w:tcW w:w="184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rPr>
              <w:t>— %</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N/M</w:t>
            </w:r>
          </w:p>
        </w:tc>
      </w:tr>
      <w:tr>
        <w:trPr>
          <w:trHeight w:val="151"/>
        </w:trPr>
        <w:tc>
          <w:tcPr>
            <w:tcW w:w="478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69"/>
        </w:trPr>
        <w:tc>
          <w:tcPr>
            <w:tcW w:w="4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Restructuring</w:t>
            </w:r>
          </w:p>
        </w:tc>
        <w:tc>
          <w:tcPr>
            <w:tcW w:w="3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0.5 %</w:t>
            </w:r>
          </w:p>
        </w:tc>
        <w:tc>
          <w:tcPr>
            <w:tcW w:w="184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rPr>
              <w:t>0.7 %</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N/M</w:t>
            </w:r>
          </w:p>
        </w:tc>
      </w:tr>
      <w:tr>
        <w:trPr>
          <w:trHeight w:val="151"/>
        </w:trPr>
        <w:tc>
          <w:tcPr>
            <w:tcW w:w="478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71"/>
        </w:trPr>
        <w:tc>
          <w:tcPr>
            <w:tcW w:w="4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Operating profit (including exceptional items)</w:t>
            </w:r>
          </w:p>
        </w:tc>
        <w:tc>
          <w:tcPr>
            <w:tcW w:w="3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7.4 %</w:t>
            </w:r>
          </w:p>
        </w:tc>
        <w:tc>
          <w:tcPr>
            <w:tcW w:w="184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rPr>
              <w:t>14.0 %</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2.8 %</w:t>
            </w:r>
          </w:p>
        </w:tc>
      </w:tr>
      <w:tr>
        <w:trPr>
          <w:trHeight w:val="231"/>
        </w:trPr>
        <w:tc>
          <w:tcPr>
            <w:tcW w:w="4780" w:type="dxa"/>
            <w:vAlign w:val="bottom"/>
          </w:tcPr>
          <w:p>
            <w:pPr>
              <w:spacing w:after="0"/>
              <w:rPr>
                <w:sz w:val="20"/>
                <w:szCs w:val="20"/>
                <w:color w:val="auto"/>
              </w:rPr>
            </w:pPr>
            <w:r>
              <w:rPr>
                <w:rFonts w:ascii="Arial" w:cs="Arial" w:eastAsia="Arial" w:hAnsi="Arial"/>
                <w:sz w:val="13"/>
                <w:szCs w:val="13"/>
                <w:color w:val="auto"/>
              </w:rPr>
              <w:t>N/M = Not Meaningful</w:t>
            </w:r>
          </w:p>
        </w:tc>
        <w:tc>
          <w:tcPr>
            <w:tcW w:w="32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4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80"/>
          </w:cols>
          <w:pgMar w:left="300" w:top="889" w:right="31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Twelve months ended 31 December 2021 compared to twelve months ended 31 December 2020</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Revenue</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80" w:type="dxa"/>
            <w:vAlign w:val="bottom"/>
            <w:shd w:val="clear" w:color="auto" w:fill="CCEEFF"/>
          </w:tcPr>
          <w:p>
            <w:pPr>
              <w:jc w:val="center"/>
              <w:ind w:left="316"/>
              <w:spacing w:after="0"/>
              <w:rPr>
                <w:sz w:val="20"/>
                <w:szCs w:val="20"/>
                <w:color w:val="auto"/>
              </w:rPr>
            </w:pPr>
            <w:r>
              <w:rPr>
                <w:rFonts w:ascii="Arial" w:cs="Arial" w:eastAsia="Arial" w:hAnsi="Arial"/>
                <w:sz w:val="13"/>
                <w:szCs w:val="13"/>
                <w:b w:val="1"/>
                <w:bCs w:val="1"/>
                <w:color w:val="auto"/>
                <w:w w:val="97"/>
              </w:rPr>
              <w:t>Year Ended</w:t>
            </w:r>
          </w:p>
        </w:tc>
        <w:tc>
          <w:tcPr>
            <w:tcW w:w="9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40" w:type="dxa"/>
            <w:vAlign w:val="bottom"/>
            <w:vMerge w:val="restart"/>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Change</w:t>
            </w:r>
          </w:p>
        </w:tc>
        <w:tc>
          <w:tcPr>
            <w:tcW w:w="1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26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1880" w:type="dxa"/>
            <w:vAlign w:val="bottom"/>
            <w:tcBorders>
              <w:bottom w:val="single" w:sz="8" w:color="auto"/>
            </w:tcBorders>
            <w:shd w:val="clear" w:color="auto" w:fill="CCEEFF"/>
          </w:tcPr>
          <w:p>
            <w:pPr>
              <w:jc w:val="center"/>
              <w:ind w:left="316"/>
              <w:spacing w:after="0"/>
              <w:rPr>
                <w:sz w:val="20"/>
                <w:szCs w:val="20"/>
                <w:color w:val="auto"/>
              </w:rPr>
            </w:pPr>
            <w:r>
              <w:rPr>
                <w:rFonts w:ascii="Arial" w:cs="Arial" w:eastAsia="Arial" w:hAnsi="Arial"/>
                <w:sz w:val="13"/>
                <w:szCs w:val="13"/>
                <w:b w:val="1"/>
                <w:bCs w:val="1"/>
                <w:color w:val="auto"/>
                <w:w w:val="96"/>
              </w:rPr>
              <w:t>31 December</w:t>
            </w:r>
          </w:p>
        </w:tc>
        <w:tc>
          <w:tcPr>
            <w:tcW w:w="98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840" w:type="dxa"/>
            <w:vAlign w:val="bottom"/>
            <w:tcBorders>
              <w:bottom w:val="single" w:sz="8" w:color="auto"/>
            </w:tcBorders>
            <w:vMerge w:val="continue"/>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(dollars in thousands)</w:t>
            </w:r>
          </w:p>
        </w:tc>
        <w:tc>
          <w:tcPr>
            <w:tcW w:w="60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tcPr>
          <w:p>
            <w:pPr>
              <w:jc w:val="right"/>
              <w:ind w:right="696"/>
              <w:spacing w:after="0"/>
              <w:rPr>
                <w:sz w:val="20"/>
                <w:szCs w:val="20"/>
                <w:color w:val="auto"/>
              </w:rPr>
            </w:pPr>
            <w:r>
              <w:rPr>
                <w:rFonts w:ascii="Arial" w:cs="Arial" w:eastAsia="Arial" w:hAnsi="Arial"/>
                <w:sz w:val="13"/>
                <w:szCs w:val="13"/>
                <w:b w:val="1"/>
                <w:bCs w:val="1"/>
                <w:color w:val="auto"/>
              </w:rPr>
              <w:t>2021</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46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jc w:val="right"/>
              <w:ind w:right="1336"/>
              <w:spacing w:after="0"/>
              <w:rPr>
                <w:sz w:val="20"/>
                <w:szCs w:val="20"/>
                <w:color w:val="auto"/>
              </w:rPr>
            </w:pPr>
            <w:r>
              <w:rPr>
                <w:rFonts w:ascii="Arial" w:cs="Arial" w:eastAsia="Arial" w:hAnsi="Arial"/>
                <w:sz w:val="13"/>
                <w:szCs w:val="13"/>
                <w:b w:val="1"/>
                <w:bCs w:val="1"/>
                <w:color w:val="auto"/>
              </w:rPr>
              <w:t>$</w:t>
            </w:r>
          </w:p>
        </w:tc>
        <w:tc>
          <w:tcPr>
            <w:tcW w:w="1260" w:type="dxa"/>
            <w:vAlign w:val="bottom"/>
            <w:tcBorders>
              <w:bottom w:val="single" w:sz="8" w:color="auto"/>
            </w:tcBorders>
          </w:tcPr>
          <w:p>
            <w:pPr>
              <w:jc w:val="right"/>
              <w:ind w:right="796"/>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60"/>
        </w:trPr>
        <w:tc>
          <w:tcPr>
            <w:tcW w:w="4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Revenue</w:t>
            </w:r>
          </w:p>
        </w:tc>
        <w:tc>
          <w:tcPr>
            <w:tcW w:w="60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w w:val="82"/>
              </w:rPr>
              <w:t>$</w:t>
            </w:r>
          </w:p>
        </w:tc>
        <w:tc>
          <w:tcPr>
            <w:tcW w:w="1880" w:type="dxa"/>
            <w:vAlign w:val="bottom"/>
            <w:shd w:val="clear" w:color="auto" w:fill="CCEEFF"/>
          </w:tcPr>
          <w:p>
            <w:pPr>
              <w:jc w:val="right"/>
              <w:ind w:right="596"/>
              <w:spacing w:after="0"/>
              <w:rPr>
                <w:sz w:val="20"/>
                <w:szCs w:val="20"/>
                <w:color w:val="auto"/>
              </w:rPr>
            </w:pPr>
            <w:r>
              <w:rPr>
                <w:rFonts w:ascii="Arial" w:cs="Arial" w:eastAsia="Arial" w:hAnsi="Arial"/>
                <w:sz w:val="13"/>
                <w:szCs w:val="13"/>
                <w:color w:val="auto"/>
              </w:rPr>
              <w:t>5,472,826 $</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2,797,288</w:t>
            </w:r>
          </w:p>
        </w:tc>
        <w:tc>
          <w:tcPr>
            <w:tcW w:w="46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w w:val="82"/>
              </w:rPr>
              <w:t>$</w:t>
            </w:r>
          </w:p>
        </w:tc>
        <w:tc>
          <w:tcPr>
            <w:tcW w:w="1840" w:type="dxa"/>
            <w:vAlign w:val="bottom"/>
            <w:shd w:val="clear" w:color="auto" w:fill="CCEEFF"/>
          </w:tcPr>
          <w:p>
            <w:pPr>
              <w:jc w:val="right"/>
              <w:ind w:right="556"/>
              <w:spacing w:after="0"/>
              <w:rPr>
                <w:sz w:val="20"/>
                <w:szCs w:val="20"/>
                <w:color w:val="auto"/>
              </w:rPr>
            </w:pPr>
            <w:r>
              <w:rPr>
                <w:rFonts w:ascii="Arial" w:cs="Arial" w:eastAsia="Arial" w:hAnsi="Arial"/>
                <w:sz w:val="13"/>
                <w:szCs w:val="13"/>
                <w:color w:val="auto"/>
              </w:rPr>
              <w:t>2,675,538</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95.6 %</w:t>
            </w:r>
          </w:p>
        </w:tc>
        <w:tc>
          <w:tcPr>
            <w:tcW w:w="0" w:type="dxa"/>
            <w:vAlign w:val="bottom"/>
          </w:tcPr>
          <w:p>
            <w:pPr>
              <w:spacing w:after="0"/>
              <w:rPr>
                <w:sz w:val="1"/>
                <w:szCs w:val="1"/>
                <w:color w:val="auto"/>
              </w:rPr>
            </w:pPr>
          </w:p>
        </w:tc>
      </w:tr>
    </w:tbl>
    <w:p>
      <w:pPr>
        <w:spacing w:after="0" w:line="255"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Revenue for the year ended 31 December 2021 increased by $2,675.5 million, or 95.6%, to $5,472.8 million from $2,797.3 million for the year ended 31 December 2020. For the year ended 31 December 2021 we derived approximately 47.0%, 46.5% and 6.5% of our revenue in the United States, Europe and Rest of World, respectively. The increase in revenues in the year ended 31 December 2021 is due to the Merger and the impact of the continued recovery from the COVID-19 global pandemic has had on operations including: our ability to ensure laboratory samples are collected and analysed on time, our ability to perform on-site monitoring of clinical trials, the ability of patients or service providers to travel, and our ability to travel. The Company has earned revenue from clinical trials associated with COVID-19, most notably with the Pfizer BioNTech COVID-19 vaccine programme.</w:t>
      </w:r>
    </w:p>
    <w:p>
      <w:pPr>
        <w:spacing w:after="0" w:line="17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Revenues from our top five customers amounted to $1,730.6 million in the year ended 31 December 2021 compared to $1,092.8 million in the year ended 31 December 2020 or 31.6% and 39.1% respectively. The largest of these customers related to a strategic partnership with a large global pharmaceutical company.</w:t>
      </w:r>
    </w:p>
    <w:p>
      <w:pPr>
        <w:spacing w:after="0" w:line="157" w:lineRule="exact"/>
        <w:rPr>
          <w:sz w:val="20"/>
          <w:szCs w:val="20"/>
          <w:color w:val="auto"/>
        </w:rPr>
      </w:pPr>
    </w:p>
    <w:p>
      <w:pPr>
        <w:jc w:val="both"/>
        <w:spacing w:after="0" w:line="292" w:lineRule="auto"/>
        <w:rPr>
          <w:sz w:val="20"/>
          <w:szCs w:val="20"/>
          <w:color w:val="auto"/>
        </w:rPr>
      </w:pPr>
      <w:r>
        <w:rPr>
          <w:rFonts w:ascii="Arial" w:cs="Arial" w:eastAsia="Arial" w:hAnsi="Arial"/>
          <w:sz w:val="12"/>
          <w:szCs w:val="12"/>
          <w:color w:val="auto"/>
        </w:rPr>
        <w:t xml:space="preserve">Revenue in Ireland increased by $184.6 million in the year ended 31 December 2021, to $1,365.9 million, compared to $1,181.3 million for the year ended 31 December 2020. Revenue in Ireland during the year ended 31 December 2021 increased by 15.6% compared to an overall increase in Group revenue of 95.6%. Revenue in Ireland is principally a function of our global contracting model (see </w:t>
      </w:r>
      <w:r>
        <w:rPr>
          <w:rFonts w:ascii="Arial" w:cs="Arial" w:eastAsia="Arial" w:hAnsi="Arial"/>
          <w:sz w:val="12"/>
          <w:szCs w:val="12"/>
          <w:i w:val="1"/>
          <w:iCs w:val="1"/>
          <w:color w:val="auto"/>
        </w:rPr>
        <w:t>note 2 - Segmental information)</w:t>
      </w:r>
      <w:r>
        <w:rPr>
          <w:rFonts w:ascii="Arial" w:cs="Arial" w:eastAsia="Arial" w:hAnsi="Arial"/>
          <w:sz w:val="12"/>
          <w:szCs w:val="12"/>
          <w:color w:val="auto"/>
        </w:rPr>
        <w:t>. Entities acquired as part of the Merger are currently being integrated into the global contracting model and this process remains ongoing at 31 December 2021.</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Revenue in the Rest of Europe increased by $758.6 million or 182.0%, to $1,175.5 million, compared to $416.9 million for the year ended 31 December 2020. Revenue in the U.S. increased by $1,647.4 million or 178.0%, to $2,573.0 million, compared to $925.6 million for the year ended 31 December 2020. Revenue in our Rest of World (‘Other’) region increased by $84.8 million or 31.0%, to $358.4 million compared to $273.5 million for the year ended 31 December 2020. Revenue has increased across all regions principally reflecting the Merger completion and continued recovery from the COVID-19 global pandemic.</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Direct costs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980" w:type="dxa"/>
            <w:vAlign w:val="bottom"/>
            <w:gridSpan w:val="2"/>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Year Ended</w:t>
            </w:r>
          </w:p>
        </w:tc>
        <w:tc>
          <w:tcPr>
            <w:tcW w:w="10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r>
      <w:tr>
        <w:trPr>
          <w:trHeight w:val="170"/>
        </w:trPr>
        <w:tc>
          <w:tcPr>
            <w:tcW w:w="584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1980" w:type="dxa"/>
            <w:vAlign w:val="bottom"/>
            <w:tcBorders>
              <w:bottom w:val="single" w:sz="8" w:color="auto"/>
            </w:tcBorders>
            <w:gridSpan w:val="2"/>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31 December</w:t>
            </w:r>
          </w:p>
        </w:tc>
        <w:tc>
          <w:tcPr>
            <w:tcW w:w="106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spacing w:after="0"/>
              <w:rPr>
                <w:sz w:val="14"/>
                <w:szCs w:val="14"/>
                <w:color w:val="auto"/>
              </w:rPr>
            </w:pPr>
          </w:p>
        </w:tc>
      </w:tr>
      <w:tr>
        <w:trPr>
          <w:trHeight w:val="160"/>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(dollars in thousands)</w:t>
            </w:r>
          </w:p>
        </w:tc>
        <w:tc>
          <w:tcPr>
            <w:tcW w:w="5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7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3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616"/>
              <w:spacing w:after="0"/>
              <w:rPr>
                <w:sz w:val="20"/>
                <w:szCs w:val="20"/>
                <w:color w:val="auto"/>
              </w:rPr>
            </w:pPr>
            <w:r>
              <w:rPr>
                <w:rFonts w:ascii="Arial" w:cs="Arial" w:eastAsia="Arial" w:hAnsi="Arial"/>
                <w:sz w:val="13"/>
                <w:szCs w:val="13"/>
                <w:b w:val="1"/>
                <w:bCs w:val="1"/>
                <w:color w:val="auto"/>
              </w:rPr>
              <w:t>Change</w:t>
            </w:r>
          </w:p>
        </w:tc>
      </w:tr>
      <w:tr>
        <w:trPr>
          <w:trHeight w:val="160"/>
        </w:trPr>
        <w:tc>
          <w:tcPr>
            <w:tcW w:w="5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Direct costs (excluding exceptional items)</w:t>
            </w:r>
          </w:p>
        </w:tc>
        <w:tc>
          <w:tcPr>
            <w:tcW w:w="58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w w:val="82"/>
              </w:rPr>
              <w:t>$</w:t>
            </w:r>
          </w:p>
        </w:tc>
        <w:tc>
          <w:tcPr>
            <w:tcW w:w="1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3,970,025</w:t>
            </w:r>
          </w:p>
        </w:tc>
        <w:tc>
          <w:tcPr>
            <w:tcW w:w="740" w:type="dxa"/>
            <w:vAlign w:val="bottom"/>
            <w:shd w:val="clear" w:color="auto" w:fill="CCEEFF"/>
          </w:tcPr>
          <w:p>
            <w:pPr>
              <w:jc w:val="right"/>
              <w:ind w:right="596"/>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1,980,369</w:t>
            </w:r>
          </w:p>
        </w:tc>
        <w:tc>
          <w:tcPr>
            <w:tcW w:w="38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w:t>
            </w:r>
          </w:p>
        </w:tc>
        <w:tc>
          <w:tcPr>
            <w:tcW w:w="14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1,989,656</w:t>
            </w:r>
          </w:p>
        </w:tc>
      </w:tr>
      <w:tr>
        <w:trPr>
          <w:trHeight w:val="169"/>
        </w:trPr>
        <w:tc>
          <w:tcPr>
            <w:tcW w:w="5840" w:type="dxa"/>
            <w:vAlign w:val="bottom"/>
          </w:tcPr>
          <w:p>
            <w:pPr>
              <w:ind w:left="20"/>
              <w:spacing w:after="0"/>
              <w:rPr>
                <w:sz w:val="20"/>
                <w:szCs w:val="20"/>
                <w:color w:val="auto"/>
              </w:rPr>
            </w:pPr>
            <w:r>
              <w:rPr>
                <w:rFonts w:ascii="Arial" w:cs="Arial" w:eastAsia="Arial" w:hAnsi="Arial"/>
                <w:sz w:val="13"/>
                <w:szCs w:val="13"/>
                <w:color w:val="auto"/>
              </w:rPr>
              <w:t>% of revenue (excluding exceptional items)</w:t>
            </w:r>
          </w:p>
        </w:tc>
        <w:tc>
          <w:tcPr>
            <w:tcW w:w="5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72.5 %</w:t>
            </w:r>
          </w:p>
        </w:tc>
        <w:tc>
          <w:tcPr>
            <w:tcW w:w="7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70.8 %</w:t>
            </w:r>
          </w:p>
        </w:tc>
        <w:tc>
          <w:tcPr>
            <w:tcW w:w="3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100.5 %</w:t>
            </w:r>
          </w:p>
        </w:tc>
      </w:tr>
      <w:tr>
        <w:trPr>
          <w:trHeight w:val="171"/>
        </w:trPr>
        <w:tc>
          <w:tcPr>
            <w:tcW w:w="5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Direct costs (including exceptional items)</w:t>
            </w:r>
          </w:p>
        </w:tc>
        <w:tc>
          <w:tcPr>
            <w:tcW w:w="58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w w:val="82"/>
              </w:rPr>
              <w:t>$</w:t>
            </w:r>
          </w:p>
        </w:tc>
        <w:tc>
          <w:tcPr>
            <w:tcW w:w="1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3,970,025</w:t>
            </w:r>
          </w:p>
        </w:tc>
        <w:tc>
          <w:tcPr>
            <w:tcW w:w="740" w:type="dxa"/>
            <w:vAlign w:val="bottom"/>
            <w:shd w:val="clear" w:color="auto" w:fill="CCEEFF"/>
          </w:tcPr>
          <w:p>
            <w:pPr>
              <w:jc w:val="right"/>
              <w:ind w:right="596"/>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1,989,256</w:t>
            </w:r>
          </w:p>
        </w:tc>
        <w:tc>
          <w:tcPr>
            <w:tcW w:w="38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w:t>
            </w:r>
          </w:p>
        </w:tc>
        <w:tc>
          <w:tcPr>
            <w:tcW w:w="14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1,980,769</w:t>
            </w:r>
          </w:p>
        </w:tc>
      </w:tr>
      <w:tr>
        <w:trPr>
          <w:trHeight w:val="167"/>
        </w:trPr>
        <w:tc>
          <w:tcPr>
            <w:tcW w:w="5840" w:type="dxa"/>
            <w:vAlign w:val="bottom"/>
          </w:tcPr>
          <w:p>
            <w:pPr>
              <w:ind w:left="20"/>
              <w:spacing w:after="0"/>
              <w:rPr>
                <w:sz w:val="20"/>
                <w:szCs w:val="20"/>
                <w:color w:val="auto"/>
              </w:rPr>
            </w:pPr>
            <w:r>
              <w:rPr>
                <w:rFonts w:ascii="Arial" w:cs="Arial" w:eastAsia="Arial" w:hAnsi="Arial"/>
                <w:sz w:val="13"/>
                <w:szCs w:val="13"/>
                <w:color w:val="auto"/>
              </w:rPr>
              <w:t>% of revenue (including exceptional items)</w:t>
            </w:r>
          </w:p>
        </w:tc>
        <w:tc>
          <w:tcPr>
            <w:tcW w:w="5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72.5 %</w:t>
            </w:r>
          </w:p>
        </w:tc>
        <w:tc>
          <w:tcPr>
            <w:tcW w:w="7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71.1 %</w:t>
            </w:r>
          </w:p>
        </w:tc>
        <w:tc>
          <w:tcPr>
            <w:tcW w:w="3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99.6 %</w:t>
            </w:r>
          </w:p>
        </w:tc>
      </w:tr>
    </w:tbl>
    <w:p>
      <w:pPr>
        <w:spacing w:after="0" w:line="257"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Direct costs for the year ended 31 December 2021 increased by $1,989.7 million or 100.5%, to $3,970.0 million from $1,980.4 million for the year ended 31 December 2020 (excluding exceptional items). Direct costs consist primarily of investigator and other reimbursable costs, compensation, associated fringe benefits and routine share-based compensation expense for project-related employees and other direct project driven costs. The increase in direct costs (excluding exceptional items) during the year arose due to an increase in headcount and a corresponding increase in personnel related expenditure of $1,216.8 million, as a result of the Merger, combined with an increase in other direct project related costs of $19.4 million, an increase in laboratory costs of $17.2 million, an increase in third-party investigator and other reimbursable costs of $734.4 million and an increase in travel related costs of $1.8 million. As a percentage of gross revenue, direct costs have increased to 72.5% compared to 70.8% for the year ended 31 December 2020 (excluding exceptional items).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280"/>
          </w:cols>
          <w:pgMar w:left="300" w:top="889" w:right="31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Other Operating Expenses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20" w:type="dxa"/>
            <w:vAlign w:val="bottom"/>
            <w:gridSpan w:val="2"/>
            <w:shd w:val="clear" w:color="auto" w:fill="CCEEFF"/>
          </w:tcPr>
          <w:p>
            <w:pPr>
              <w:jc w:val="right"/>
              <w:ind w:right="376"/>
              <w:spacing w:after="0"/>
              <w:rPr>
                <w:sz w:val="20"/>
                <w:szCs w:val="20"/>
                <w:color w:val="auto"/>
              </w:rPr>
            </w:pPr>
            <w:r>
              <w:rPr>
                <w:rFonts w:ascii="Arial" w:cs="Arial" w:eastAsia="Arial" w:hAnsi="Arial"/>
                <w:sz w:val="13"/>
                <w:szCs w:val="13"/>
                <w:b w:val="1"/>
                <w:bCs w:val="1"/>
                <w:color w:val="auto"/>
              </w:rPr>
              <w:t>Year Ended</w:t>
            </w:r>
          </w:p>
        </w:tc>
        <w:tc>
          <w:tcPr>
            <w:tcW w:w="10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r>
      <w:tr>
        <w:trPr>
          <w:trHeight w:val="170"/>
        </w:trPr>
        <w:tc>
          <w:tcPr>
            <w:tcW w:w="584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2020" w:type="dxa"/>
            <w:vAlign w:val="bottom"/>
            <w:tcBorders>
              <w:bottom w:val="single" w:sz="8" w:color="auto"/>
            </w:tcBorders>
            <w:gridSpan w:val="2"/>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31 December</w:t>
            </w:r>
          </w:p>
        </w:tc>
        <w:tc>
          <w:tcPr>
            <w:tcW w:w="102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spacing w:after="0"/>
              <w:rPr>
                <w:sz w:val="14"/>
                <w:szCs w:val="14"/>
                <w:color w:val="auto"/>
              </w:rPr>
            </w:pPr>
          </w:p>
        </w:tc>
      </w:tr>
      <w:tr>
        <w:trPr>
          <w:trHeight w:val="160"/>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(dollars in thousands)</w:t>
            </w:r>
          </w:p>
        </w:tc>
        <w:tc>
          <w:tcPr>
            <w:tcW w:w="5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7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3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616"/>
              <w:spacing w:after="0"/>
              <w:rPr>
                <w:sz w:val="20"/>
                <w:szCs w:val="20"/>
                <w:color w:val="auto"/>
              </w:rPr>
            </w:pPr>
            <w:r>
              <w:rPr>
                <w:rFonts w:ascii="Arial" w:cs="Arial" w:eastAsia="Arial" w:hAnsi="Arial"/>
                <w:sz w:val="13"/>
                <w:szCs w:val="13"/>
                <w:b w:val="1"/>
                <w:bCs w:val="1"/>
                <w:color w:val="auto"/>
              </w:rPr>
              <w:t>Change</w:t>
            </w:r>
          </w:p>
        </w:tc>
      </w:tr>
      <w:tr>
        <w:trPr>
          <w:trHeight w:val="160"/>
        </w:trPr>
        <w:tc>
          <w:tcPr>
            <w:tcW w:w="5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operating expenses (excluding exceptional items)</w:t>
            </w:r>
          </w:p>
        </w:tc>
        <w:tc>
          <w:tcPr>
            <w:tcW w:w="58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w w:val="82"/>
              </w:rPr>
              <w:t>$</w:t>
            </w:r>
          </w:p>
        </w:tc>
        <w:tc>
          <w:tcPr>
            <w:tcW w:w="1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898,288</w:t>
            </w:r>
          </w:p>
        </w:tc>
        <w:tc>
          <w:tcPr>
            <w:tcW w:w="780" w:type="dxa"/>
            <w:vAlign w:val="bottom"/>
            <w:shd w:val="clear" w:color="auto" w:fill="CCEEFF"/>
          </w:tcPr>
          <w:p>
            <w:pPr>
              <w:jc w:val="right"/>
              <w:ind w:right="636"/>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406,863</w:t>
            </w:r>
          </w:p>
        </w:tc>
        <w:tc>
          <w:tcPr>
            <w:tcW w:w="38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w:t>
            </w:r>
          </w:p>
        </w:tc>
        <w:tc>
          <w:tcPr>
            <w:tcW w:w="14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491,425</w:t>
            </w:r>
          </w:p>
        </w:tc>
      </w:tr>
      <w:tr>
        <w:trPr>
          <w:trHeight w:val="169"/>
        </w:trPr>
        <w:tc>
          <w:tcPr>
            <w:tcW w:w="5840" w:type="dxa"/>
            <w:vAlign w:val="bottom"/>
          </w:tcPr>
          <w:p>
            <w:pPr>
              <w:ind w:left="20"/>
              <w:spacing w:after="0"/>
              <w:rPr>
                <w:sz w:val="20"/>
                <w:szCs w:val="20"/>
                <w:color w:val="auto"/>
              </w:rPr>
            </w:pPr>
            <w:r>
              <w:rPr>
                <w:rFonts w:ascii="Arial" w:cs="Arial" w:eastAsia="Arial" w:hAnsi="Arial"/>
                <w:sz w:val="13"/>
                <w:szCs w:val="13"/>
                <w:color w:val="auto"/>
              </w:rPr>
              <w:t>% of revenue (excluding exceptional items)</w:t>
            </w:r>
          </w:p>
        </w:tc>
        <w:tc>
          <w:tcPr>
            <w:tcW w:w="5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16.4 %</w:t>
            </w:r>
          </w:p>
        </w:tc>
        <w:tc>
          <w:tcPr>
            <w:tcW w:w="7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14.5 %</w:t>
            </w:r>
          </w:p>
        </w:tc>
        <w:tc>
          <w:tcPr>
            <w:tcW w:w="3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120.8 %</w:t>
            </w:r>
          </w:p>
        </w:tc>
      </w:tr>
      <w:tr>
        <w:trPr>
          <w:trHeight w:val="171"/>
        </w:trPr>
        <w:tc>
          <w:tcPr>
            <w:tcW w:w="5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operating expenses (including exceptional items)</w:t>
            </w:r>
          </w:p>
        </w:tc>
        <w:tc>
          <w:tcPr>
            <w:tcW w:w="58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w w:val="82"/>
              </w:rPr>
              <w:t>$</w:t>
            </w:r>
          </w:p>
        </w:tc>
        <w:tc>
          <w:tcPr>
            <w:tcW w:w="1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1,100,007</w:t>
            </w:r>
          </w:p>
        </w:tc>
        <w:tc>
          <w:tcPr>
            <w:tcW w:w="780" w:type="dxa"/>
            <w:vAlign w:val="bottom"/>
            <w:shd w:val="clear" w:color="auto" w:fill="CCEEFF"/>
          </w:tcPr>
          <w:p>
            <w:pPr>
              <w:jc w:val="right"/>
              <w:ind w:right="636"/>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416,065</w:t>
            </w:r>
          </w:p>
        </w:tc>
        <w:tc>
          <w:tcPr>
            <w:tcW w:w="38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w:t>
            </w:r>
          </w:p>
        </w:tc>
        <w:tc>
          <w:tcPr>
            <w:tcW w:w="14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683,942</w:t>
            </w:r>
          </w:p>
        </w:tc>
      </w:tr>
      <w:tr>
        <w:trPr>
          <w:trHeight w:val="167"/>
        </w:trPr>
        <w:tc>
          <w:tcPr>
            <w:tcW w:w="5840" w:type="dxa"/>
            <w:vAlign w:val="bottom"/>
          </w:tcPr>
          <w:p>
            <w:pPr>
              <w:ind w:left="20"/>
              <w:spacing w:after="0"/>
              <w:rPr>
                <w:sz w:val="20"/>
                <w:szCs w:val="20"/>
                <w:color w:val="auto"/>
              </w:rPr>
            </w:pPr>
            <w:r>
              <w:rPr>
                <w:rFonts w:ascii="Arial" w:cs="Arial" w:eastAsia="Arial" w:hAnsi="Arial"/>
                <w:sz w:val="13"/>
                <w:szCs w:val="13"/>
                <w:color w:val="auto"/>
              </w:rPr>
              <w:t>% of revenue (including exceptional items)</w:t>
            </w:r>
          </w:p>
        </w:tc>
        <w:tc>
          <w:tcPr>
            <w:tcW w:w="5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20.1 %</w:t>
            </w:r>
          </w:p>
        </w:tc>
        <w:tc>
          <w:tcPr>
            <w:tcW w:w="7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14.9 %</w:t>
            </w:r>
          </w:p>
        </w:tc>
        <w:tc>
          <w:tcPr>
            <w:tcW w:w="3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164.4 %</w:t>
            </w:r>
          </w:p>
        </w:tc>
      </w:tr>
    </w:tbl>
    <w:p>
      <w:pPr>
        <w:spacing w:after="0" w:line="247"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Other operating expenses for the year ended 31 December 2021 increased by $491.4 million, or 120.8%, to $898.3 million compared to $406.9 million for the year ended 31 December 2020 (excluding exceptional items). Other operating costs are primarily comprised of compensation, related fringe benefits and routine share compensation expense for non project related employees, recruitment expenditures, professional service costs, advertising costs and all costs related to facilities and information systems. As a percentage of revenue, other operating expenses increased to 16.4% of revenue, compared to 14.5% of revenue for the year ended 31 December 2020 (excluding exceptional items). During the year, general overhead costs increased by $9.5 million, facilities related costs increased by $58.4 million, depreciation and amortisation increased by $248.9 million, personnel related costs increased by $188.2 million and there was an increase of $8.2 million in marketing fees. These increases were partly offset by a decrease of $20.1 million due to foreign exchange movements and other immaterial decreases.</w:t>
      </w:r>
    </w:p>
    <w:p>
      <w:pPr>
        <w:spacing w:after="0" w:line="18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Exceptional items - Restructuring, transaction and integration-related expenses associated with the Merger</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9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20" w:type="dxa"/>
            <w:vAlign w:val="bottom"/>
            <w:gridSpan w:val="2"/>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Year Ended</w:t>
            </w:r>
          </w:p>
        </w:tc>
        <w:tc>
          <w:tcPr>
            <w:tcW w:w="9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r>
      <w:tr>
        <w:trPr>
          <w:trHeight w:val="170"/>
        </w:trPr>
        <w:tc>
          <w:tcPr>
            <w:tcW w:w="590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2020" w:type="dxa"/>
            <w:vAlign w:val="bottom"/>
            <w:tcBorders>
              <w:bottom w:val="single" w:sz="8" w:color="auto"/>
            </w:tcBorders>
            <w:gridSpan w:val="2"/>
            <w:shd w:val="clear" w:color="auto" w:fill="CCEEFF"/>
          </w:tcPr>
          <w:p>
            <w:pPr>
              <w:jc w:val="right"/>
              <w:ind w:right="376"/>
              <w:spacing w:after="0"/>
              <w:rPr>
                <w:sz w:val="20"/>
                <w:szCs w:val="20"/>
                <w:color w:val="auto"/>
              </w:rPr>
            </w:pPr>
            <w:r>
              <w:rPr>
                <w:rFonts w:ascii="Arial" w:cs="Arial" w:eastAsia="Arial" w:hAnsi="Arial"/>
                <w:sz w:val="13"/>
                <w:szCs w:val="13"/>
                <w:b w:val="1"/>
                <w:bCs w:val="1"/>
                <w:color w:val="auto"/>
              </w:rPr>
              <w:t>31 December</w:t>
            </w:r>
          </w:p>
        </w:tc>
        <w:tc>
          <w:tcPr>
            <w:tcW w:w="98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spacing w:after="0"/>
              <w:rPr>
                <w:sz w:val="14"/>
                <w:szCs w:val="14"/>
                <w:color w:val="auto"/>
              </w:rPr>
            </w:pPr>
          </w:p>
        </w:tc>
      </w:tr>
      <w:tr>
        <w:trPr>
          <w:trHeight w:val="160"/>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(dollars in thousands)</w:t>
            </w:r>
          </w:p>
        </w:tc>
        <w:tc>
          <w:tcPr>
            <w:tcW w:w="6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8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3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b w:val="1"/>
                <w:bCs w:val="1"/>
                <w:color w:val="auto"/>
              </w:rPr>
              <w:t>Change</w:t>
            </w:r>
          </w:p>
        </w:tc>
      </w:tr>
      <w:tr>
        <w:trPr>
          <w:trHeight w:val="160"/>
        </w:trPr>
        <w:tc>
          <w:tcPr>
            <w:tcW w:w="5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Transaction and integration related (including stock acceleration charges)</w:t>
            </w:r>
          </w:p>
        </w:tc>
        <w:tc>
          <w:tcPr>
            <w:tcW w:w="660" w:type="dxa"/>
            <w:vAlign w:val="bottom"/>
            <w:shd w:val="clear" w:color="auto" w:fill="CCEEFF"/>
          </w:tcPr>
          <w:p>
            <w:pPr>
              <w:jc w:val="right"/>
              <w:ind w:right="516"/>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170,614</w:t>
            </w:r>
          </w:p>
        </w:tc>
        <w:tc>
          <w:tcPr>
            <w:tcW w:w="840" w:type="dxa"/>
            <w:vAlign w:val="bottom"/>
            <w:shd w:val="clear" w:color="auto" w:fill="CCEEFF"/>
          </w:tcPr>
          <w:p>
            <w:pPr>
              <w:jc w:val="right"/>
              <w:ind w:right="696"/>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(759)</w:t>
            </w: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171,373</w:t>
            </w:r>
          </w:p>
        </w:tc>
      </w:tr>
      <w:tr>
        <w:trPr>
          <w:trHeight w:val="169"/>
        </w:trPr>
        <w:tc>
          <w:tcPr>
            <w:tcW w:w="5900" w:type="dxa"/>
            <w:vAlign w:val="bottom"/>
          </w:tcPr>
          <w:p>
            <w:pPr>
              <w:ind w:left="20"/>
              <w:spacing w:after="0"/>
              <w:rPr>
                <w:sz w:val="20"/>
                <w:szCs w:val="20"/>
                <w:color w:val="auto"/>
              </w:rPr>
            </w:pPr>
            <w:r>
              <w:rPr>
                <w:rFonts w:ascii="Arial" w:cs="Arial" w:eastAsia="Arial" w:hAnsi="Arial"/>
                <w:sz w:val="13"/>
                <w:szCs w:val="13"/>
                <w:color w:val="auto"/>
              </w:rPr>
              <w:t>% of revenue</w:t>
            </w:r>
          </w:p>
        </w:tc>
        <w:tc>
          <w:tcPr>
            <w:tcW w:w="6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3.1 %</w:t>
            </w:r>
          </w:p>
        </w:tc>
        <w:tc>
          <w:tcPr>
            <w:tcW w:w="8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 %</w:t>
            </w:r>
          </w:p>
        </w:tc>
        <w:tc>
          <w:tcPr>
            <w:tcW w:w="3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N/M</w:t>
            </w:r>
          </w:p>
        </w:tc>
      </w:tr>
      <w:tr>
        <w:trPr>
          <w:trHeight w:val="171"/>
        </w:trPr>
        <w:tc>
          <w:tcPr>
            <w:tcW w:w="5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Restructuring</w:t>
            </w:r>
          </w:p>
        </w:tc>
        <w:tc>
          <w:tcPr>
            <w:tcW w:w="660" w:type="dxa"/>
            <w:vAlign w:val="bottom"/>
            <w:shd w:val="clear" w:color="auto" w:fill="CCEEFF"/>
          </w:tcPr>
          <w:p>
            <w:pPr>
              <w:jc w:val="right"/>
              <w:ind w:right="516"/>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31,105</w:t>
            </w:r>
          </w:p>
        </w:tc>
        <w:tc>
          <w:tcPr>
            <w:tcW w:w="840" w:type="dxa"/>
            <w:vAlign w:val="bottom"/>
            <w:shd w:val="clear" w:color="auto" w:fill="CCEEFF"/>
          </w:tcPr>
          <w:p>
            <w:pPr>
              <w:jc w:val="right"/>
              <w:ind w:right="696"/>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18,089</w:t>
            </w: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13,016</w:t>
            </w:r>
          </w:p>
        </w:tc>
      </w:tr>
      <w:tr>
        <w:trPr>
          <w:trHeight w:val="167"/>
        </w:trPr>
        <w:tc>
          <w:tcPr>
            <w:tcW w:w="5900" w:type="dxa"/>
            <w:vAlign w:val="bottom"/>
          </w:tcPr>
          <w:p>
            <w:pPr>
              <w:ind w:left="20"/>
              <w:spacing w:after="0"/>
              <w:rPr>
                <w:sz w:val="20"/>
                <w:szCs w:val="20"/>
                <w:color w:val="auto"/>
              </w:rPr>
            </w:pPr>
            <w:r>
              <w:rPr>
                <w:rFonts w:ascii="Arial" w:cs="Arial" w:eastAsia="Arial" w:hAnsi="Arial"/>
                <w:sz w:val="13"/>
                <w:szCs w:val="13"/>
                <w:color w:val="auto"/>
              </w:rPr>
              <w:t>% of revenue</w:t>
            </w:r>
          </w:p>
        </w:tc>
        <w:tc>
          <w:tcPr>
            <w:tcW w:w="6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0.5 %</w:t>
            </w:r>
          </w:p>
        </w:tc>
        <w:tc>
          <w:tcPr>
            <w:tcW w:w="8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0.7 %</w:t>
            </w:r>
          </w:p>
        </w:tc>
        <w:tc>
          <w:tcPr>
            <w:tcW w:w="3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72.0 %</w:t>
            </w:r>
          </w:p>
        </w:tc>
      </w:tr>
    </w:tbl>
    <w:p>
      <w:pPr>
        <w:spacing w:after="0" w:line="66" w:lineRule="exact"/>
        <w:rPr>
          <w:sz w:val="20"/>
          <w:szCs w:val="20"/>
          <w:color w:val="auto"/>
        </w:rPr>
      </w:pPr>
    </w:p>
    <w:p>
      <w:pPr>
        <w:spacing w:after="0"/>
        <w:rPr>
          <w:sz w:val="20"/>
          <w:szCs w:val="20"/>
          <w:color w:val="auto"/>
        </w:rPr>
      </w:pPr>
      <w:r>
        <w:rPr>
          <w:rFonts w:ascii="Arial" w:cs="Arial" w:eastAsia="Arial" w:hAnsi="Arial"/>
          <w:sz w:val="13"/>
          <w:szCs w:val="13"/>
          <w:color w:val="auto"/>
        </w:rPr>
        <w:t>N/M = Not Meaningful</w:t>
      </w:r>
    </w:p>
    <w:p>
      <w:pPr>
        <w:spacing w:after="0" w:line="19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During the year ended 31 December 2021, the Company incurred $201.7 million for restructuring, transaction and integration-related expenses associated with the Merger. The charge includes transaction and integration costs of $170.6 million associated with investment banking, advisory costs, retention agreements with employees, accelerated share compensation charges and ongoing integration activities.</w:t>
      </w:r>
    </w:p>
    <w:p>
      <w:pPr>
        <w:spacing w:after="0" w:line="159"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Company has also undertaken a restructuring programme following the announcement of the Merger to review its global office footprint, optimise its locations to best fit the requirements of the Company and reorganise its workforce to drive future growth. This programme has resulted in a charge of $31.1 million in the year ended 31 December 2021. In the year ended 31 December 2020, a restructuring charge of $18.1 million was recognised under a restructuring plan adopted following a review of operations. The restructuring plan reflected resource rationalisation across the business to improve resource utilisation.</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expect to incur additional expenses associated with the Merger; however, the timing and the amount of these expenses depends on various factors such as, but not limited to, the execution of integration activities and the aggregate amount of synergies we achieve from these activities.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280"/>
          </w:cols>
          <w:pgMar w:left="300" w:top="889" w:right="31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Operating profit</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960" w:type="dxa"/>
            <w:vAlign w:val="bottom"/>
            <w:gridSpan w:val="2"/>
            <w:shd w:val="clear" w:color="auto" w:fill="CCEEFF"/>
          </w:tcPr>
          <w:p>
            <w:pPr>
              <w:jc w:val="right"/>
              <w:ind w:right="376"/>
              <w:spacing w:after="0"/>
              <w:rPr>
                <w:sz w:val="20"/>
                <w:szCs w:val="20"/>
                <w:color w:val="auto"/>
              </w:rPr>
            </w:pPr>
            <w:r>
              <w:rPr>
                <w:rFonts w:ascii="Arial" w:cs="Arial" w:eastAsia="Arial" w:hAnsi="Arial"/>
                <w:sz w:val="13"/>
                <w:szCs w:val="13"/>
                <w:b w:val="1"/>
                <w:bCs w:val="1"/>
                <w:color w:val="auto"/>
              </w:rPr>
              <w:t>Year Ended</w:t>
            </w:r>
          </w:p>
        </w:tc>
        <w:tc>
          <w:tcPr>
            <w:tcW w:w="10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r>
      <w:tr>
        <w:trPr>
          <w:trHeight w:val="170"/>
        </w:trPr>
        <w:tc>
          <w:tcPr>
            <w:tcW w:w="584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1960" w:type="dxa"/>
            <w:vAlign w:val="bottom"/>
            <w:tcBorders>
              <w:bottom w:val="single" w:sz="8" w:color="auto"/>
            </w:tcBorders>
            <w:gridSpan w:val="2"/>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31 December</w:t>
            </w:r>
          </w:p>
        </w:tc>
        <w:tc>
          <w:tcPr>
            <w:tcW w:w="102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spacing w:after="0"/>
              <w:rPr>
                <w:sz w:val="14"/>
                <w:szCs w:val="14"/>
                <w:color w:val="auto"/>
              </w:rPr>
            </w:pPr>
          </w:p>
        </w:tc>
      </w:tr>
      <w:tr>
        <w:trPr>
          <w:trHeight w:val="160"/>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(dollars in thousands)</w:t>
            </w:r>
          </w:p>
        </w:tc>
        <w:tc>
          <w:tcPr>
            <w:tcW w:w="6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7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3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616"/>
              <w:spacing w:after="0"/>
              <w:rPr>
                <w:sz w:val="20"/>
                <w:szCs w:val="20"/>
                <w:color w:val="auto"/>
              </w:rPr>
            </w:pPr>
            <w:r>
              <w:rPr>
                <w:rFonts w:ascii="Arial" w:cs="Arial" w:eastAsia="Arial" w:hAnsi="Arial"/>
                <w:sz w:val="13"/>
                <w:szCs w:val="13"/>
                <w:b w:val="1"/>
                <w:bCs w:val="1"/>
                <w:color w:val="auto"/>
              </w:rPr>
              <w:t>Change</w:t>
            </w:r>
          </w:p>
        </w:tc>
      </w:tr>
      <w:tr>
        <w:trPr>
          <w:trHeight w:val="160"/>
        </w:trPr>
        <w:tc>
          <w:tcPr>
            <w:tcW w:w="5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profit (excluding exceptional items)</w:t>
            </w:r>
          </w:p>
        </w:tc>
        <w:tc>
          <w:tcPr>
            <w:tcW w:w="640" w:type="dxa"/>
            <w:vAlign w:val="bottom"/>
            <w:shd w:val="clear" w:color="auto" w:fill="CCEEFF"/>
          </w:tcPr>
          <w:p>
            <w:pPr>
              <w:jc w:val="right"/>
              <w:ind w:right="496"/>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604,513</w:t>
            </w:r>
          </w:p>
        </w:tc>
        <w:tc>
          <w:tcPr>
            <w:tcW w:w="780" w:type="dxa"/>
            <w:vAlign w:val="bottom"/>
            <w:shd w:val="clear" w:color="auto" w:fill="CCEEFF"/>
          </w:tcPr>
          <w:p>
            <w:pPr>
              <w:jc w:val="right"/>
              <w:ind w:right="636"/>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410,056</w:t>
            </w:r>
          </w:p>
        </w:tc>
        <w:tc>
          <w:tcPr>
            <w:tcW w:w="38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w:t>
            </w:r>
          </w:p>
        </w:tc>
        <w:tc>
          <w:tcPr>
            <w:tcW w:w="14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194,457</w:t>
            </w:r>
          </w:p>
        </w:tc>
      </w:tr>
      <w:tr>
        <w:trPr>
          <w:trHeight w:val="169"/>
        </w:trPr>
        <w:tc>
          <w:tcPr>
            <w:tcW w:w="5840" w:type="dxa"/>
            <w:vAlign w:val="bottom"/>
          </w:tcPr>
          <w:p>
            <w:pPr>
              <w:ind w:left="20"/>
              <w:spacing w:after="0"/>
              <w:rPr>
                <w:sz w:val="20"/>
                <w:szCs w:val="20"/>
                <w:color w:val="auto"/>
              </w:rPr>
            </w:pPr>
            <w:r>
              <w:rPr>
                <w:rFonts w:ascii="Arial" w:cs="Arial" w:eastAsia="Arial" w:hAnsi="Arial"/>
                <w:sz w:val="13"/>
                <w:szCs w:val="13"/>
                <w:color w:val="auto"/>
              </w:rPr>
              <w:t>% of revenue (excluding exceptional items)</w:t>
            </w:r>
          </w:p>
        </w:tc>
        <w:tc>
          <w:tcPr>
            <w:tcW w:w="6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11.0 %</w:t>
            </w:r>
          </w:p>
        </w:tc>
        <w:tc>
          <w:tcPr>
            <w:tcW w:w="7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14.7 %</w:t>
            </w:r>
          </w:p>
        </w:tc>
        <w:tc>
          <w:tcPr>
            <w:tcW w:w="3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47.4 %</w:t>
            </w:r>
          </w:p>
        </w:tc>
      </w:tr>
      <w:tr>
        <w:trPr>
          <w:trHeight w:val="171"/>
        </w:trPr>
        <w:tc>
          <w:tcPr>
            <w:tcW w:w="5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profit (including exceptional items)</w:t>
            </w:r>
          </w:p>
        </w:tc>
        <w:tc>
          <w:tcPr>
            <w:tcW w:w="640" w:type="dxa"/>
            <w:vAlign w:val="bottom"/>
            <w:shd w:val="clear" w:color="auto" w:fill="CCEEFF"/>
          </w:tcPr>
          <w:p>
            <w:pPr>
              <w:jc w:val="right"/>
              <w:ind w:right="496"/>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402,794</w:t>
            </w:r>
          </w:p>
        </w:tc>
        <w:tc>
          <w:tcPr>
            <w:tcW w:w="780" w:type="dxa"/>
            <w:vAlign w:val="bottom"/>
            <w:shd w:val="clear" w:color="auto" w:fill="CCEEFF"/>
          </w:tcPr>
          <w:p>
            <w:pPr>
              <w:jc w:val="right"/>
              <w:ind w:right="636"/>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391,967</w:t>
            </w:r>
          </w:p>
        </w:tc>
        <w:tc>
          <w:tcPr>
            <w:tcW w:w="38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w:t>
            </w:r>
          </w:p>
        </w:tc>
        <w:tc>
          <w:tcPr>
            <w:tcW w:w="14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10,827</w:t>
            </w:r>
          </w:p>
        </w:tc>
      </w:tr>
      <w:tr>
        <w:trPr>
          <w:trHeight w:val="167"/>
        </w:trPr>
        <w:tc>
          <w:tcPr>
            <w:tcW w:w="5840" w:type="dxa"/>
            <w:vAlign w:val="bottom"/>
          </w:tcPr>
          <w:p>
            <w:pPr>
              <w:ind w:left="20"/>
              <w:spacing w:after="0"/>
              <w:rPr>
                <w:sz w:val="20"/>
                <w:szCs w:val="20"/>
                <w:color w:val="auto"/>
              </w:rPr>
            </w:pPr>
            <w:r>
              <w:rPr>
                <w:rFonts w:ascii="Arial" w:cs="Arial" w:eastAsia="Arial" w:hAnsi="Arial"/>
                <w:sz w:val="13"/>
                <w:szCs w:val="13"/>
                <w:color w:val="auto"/>
              </w:rPr>
              <w:t>% of revenue (including exceptional items)</w:t>
            </w:r>
          </w:p>
        </w:tc>
        <w:tc>
          <w:tcPr>
            <w:tcW w:w="6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7.4 %</w:t>
            </w:r>
          </w:p>
        </w:tc>
        <w:tc>
          <w:tcPr>
            <w:tcW w:w="7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14.0 %</w:t>
            </w:r>
          </w:p>
        </w:tc>
        <w:tc>
          <w:tcPr>
            <w:tcW w:w="3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2.8 %</w:t>
            </w:r>
          </w:p>
        </w:tc>
      </w:tr>
    </w:tbl>
    <w:p>
      <w:pPr>
        <w:spacing w:after="0" w:line="247"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Operating profit increased by $194.5 million, or 47.4%, to $604.5 million ($402.8 million including exceptional items) for the year ended 31 December 2021 from $410.1 million for the year ended 31 December 2020 ($392.0 million including exceptional items) . As a percentage of revenue, operating profit decreased to 11.0% (7.4% including exceptional items) of revenues for the year ended 31 December 2021 compared to 14.7% of revenues for the year ended 31 December 2020 (14.0% including exceptional items).</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Financing income and expense</w:t>
      </w:r>
    </w:p>
    <w:p>
      <w:pPr>
        <w:spacing w:after="0" w:line="8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46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800" w:type="dxa"/>
            <w:vAlign w:val="bottom"/>
            <w:gridSpan w:val="2"/>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Year Ended</w:t>
            </w:r>
          </w:p>
        </w:tc>
        <w:tc>
          <w:tcPr>
            <w:tcW w:w="8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760" w:type="dxa"/>
            <w:vAlign w:val="bottom"/>
            <w:vMerge w:val="restart"/>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Change</w:t>
            </w: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66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800" w:type="dxa"/>
            <w:vAlign w:val="bottom"/>
            <w:tcBorders>
              <w:bottom w:val="single" w:sz="8" w:color="auto"/>
            </w:tcBorders>
            <w:gridSpan w:val="2"/>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86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1760" w:type="dxa"/>
            <w:vAlign w:val="bottom"/>
            <w:tcBorders>
              <w:bottom w:val="single" w:sz="8" w:color="auto"/>
            </w:tcBorders>
            <w:vMerge w:val="continue"/>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660" w:type="dxa"/>
            <w:vAlign w:val="bottom"/>
            <w:tcBorders>
              <w:bottom w:val="single" w:sz="8" w:color="CCEEFF"/>
            </w:tcBorders>
          </w:tcPr>
          <w:p>
            <w:pPr>
              <w:spacing w:after="0"/>
              <w:rPr>
                <w:sz w:val="20"/>
                <w:szCs w:val="20"/>
                <w:color w:val="auto"/>
              </w:rPr>
            </w:pPr>
            <w:r>
              <w:rPr>
                <w:rFonts w:ascii="Arial" w:cs="Arial" w:eastAsia="Arial" w:hAnsi="Arial"/>
                <w:sz w:val="13"/>
                <w:szCs w:val="13"/>
                <w:i w:val="1"/>
                <w:iCs w:val="1"/>
                <w:color w:val="auto"/>
              </w:rPr>
              <w:t>(dollars in thousands)</w:t>
            </w:r>
          </w:p>
        </w:tc>
        <w:tc>
          <w:tcPr>
            <w:tcW w:w="5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7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58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jc w:val="right"/>
              <w:ind w:right="676"/>
              <w:spacing w:after="0"/>
              <w:rPr>
                <w:sz w:val="20"/>
                <w:szCs w:val="20"/>
                <w:color w:val="auto"/>
              </w:rPr>
            </w:pPr>
            <w:r>
              <w:rPr>
                <w:rFonts w:ascii="Arial" w:cs="Arial" w:eastAsia="Arial" w:hAnsi="Arial"/>
                <w:sz w:val="13"/>
                <w:szCs w:val="13"/>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60"/>
        </w:trPr>
        <w:tc>
          <w:tcPr>
            <w:tcW w:w="4660" w:type="dxa"/>
            <w:vAlign w:val="bottom"/>
            <w:shd w:val="clear" w:color="auto" w:fill="CCEEFF"/>
          </w:tcPr>
          <w:p>
            <w:pPr>
              <w:spacing w:after="0"/>
              <w:rPr>
                <w:sz w:val="20"/>
                <w:szCs w:val="20"/>
                <w:color w:val="auto"/>
              </w:rPr>
            </w:pPr>
            <w:r>
              <w:rPr>
                <w:rFonts w:ascii="Arial" w:cs="Arial" w:eastAsia="Arial" w:hAnsi="Arial"/>
                <w:sz w:val="13"/>
                <w:szCs w:val="13"/>
                <w:color w:val="auto"/>
              </w:rPr>
              <w:t>Financing income</w:t>
            </w:r>
          </w:p>
        </w:tc>
        <w:tc>
          <w:tcPr>
            <w:tcW w:w="56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574</w:t>
            </w:r>
          </w:p>
        </w:tc>
        <w:tc>
          <w:tcPr>
            <w:tcW w:w="760" w:type="dxa"/>
            <w:vAlign w:val="bottom"/>
            <w:shd w:val="clear" w:color="auto" w:fill="CCEEFF"/>
          </w:tcPr>
          <w:p>
            <w:pPr>
              <w:jc w:val="right"/>
              <w:ind w:right="596"/>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2,724</w:t>
            </w:r>
          </w:p>
        </w:tc>
        <w:tc>
          <w:tcPr>
            <w:tcW w:w="58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w w:val="82"/>
              </w:rPr>
              <w:t>$</w:t>
            </w:r>
          </w:p>
        </w:tc>
        <w:tc>
          <w:tcPr>
            <w:tcW w:w="1760" w:type="dxa"/>
            <w:vAlign w:val="bottom"/>
            <w:shd w:val="clear" w:color="auto" w:fill="CCEEFF"/>
          </w:tcPr>
          <w:p>
            <w:pPr>
              <w:jc w:val="right"/>
              <w:ind w:right="676"/>
              <w:spacing w:after="0"/>
              <w:rPr>
                <w:sz w:val="20"/>
                <w:szCs w:val="20"/>
                <w:color w:val="auto"/>
              </w:rPr>
            </w:pPr>
            <w:r>
              <w:rPr>
                <w:rFonts w:ascii="Arial" w:cs="Arial" w:eastAsia="Arial" w:hAnsi="Arial"/>
                <w:sz w:val="13"/>
                <w:szCs w:val="13"/>
                <w:color w:val="auto"/>
              </w:rPr>
              <w:t>(2,150)</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(78.9 %)</w:t>
            </w:r>
          </w:p>
        </w:tc>
        <w:tc>
          <w:tcPr>
            <w:tcW w:w="0" w:type="dxa"/>
            <w:vAlign w:val="bottom"/>
          </w:tcPr>
          <w:p>
            <w:pPr>
              <w:spacing w:after="0"/>
              <w:rPr>
                <w:sz w:val="1"/>
                <w:szCs w:val="1"/>
                <w:color w:val="auto"/>
              </w:rPr>
            </w:pPr>
          </w:p>
        </w:tc>
      </w:tr>
      <w:tr>
        <w:trPr>
          <w:trHeight w:val="202"/>
        </w:trPr>
        <w:tc>
          <w:tcPr>
            <w:tcW w:w="4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4660" w:type="dxa"/>
            <w:vAlign w:val="bottom"/>
            <w:shd w:val="clear" w:color="auto" w:fill="CCEEFF"/>
          </w:tcPr>
          <w:p>
            <w:pPr>
              <w:spacing w:after="0"/>
              <w:rPr>
                <w:sz w:val="20"/>
                <w:szCs w:val="20"/>
                <w:color w:val="auto"/>
              </w:rPr>
            </w:pPr>
            <w:r>
              <w:rPr>
                <w:rFonts w:ascii="Arial" w:cs="Arial" w:eastAsia="Arial" w:hAnsi="Arial"/>
                <w:sz w:val="13"/>
                <w:szCs w:val="13"/>
                <w:color w:val="auto"/>
              </w:rPr>
              <w:t>Financing expense (excluding exceptional items)</w:t>
            </w:r>
          </w:p>
        </w:tc>
        <w:tc>
          <w:tcPr>
            <w:tcW w:w="56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(111,145)</w:t>
            </w:r>
          </w:p>
        </w:tc>
        <w:tc>
          <w:tcPr>
            <w:tcW w:w="760" w:type="dxa"/>
            <w:vAlign w:val="bottom"/>
            <w:shd w:val="clear" w:color="auto" w:fill="CCEEFF"/>
          </w:tcPr>
          <w:p>
            <w:pPr>
              <w:jc w:val="right"/>
              <w:ind w:right="596"/>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(12,147)</w:t>
            </w:r>
          </w:p>
        </w:tc>
        <w:tc>
          <w:tcPr>
            <w:tcW w:w="58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w w:val="82"/>
              </w:rPr>
              <w:t>$</w:t>
            </w:r>
          </w:p>
        </w:tc>
        <w:tc>
          <w:tcPr>
            <w:tcW w:w="1760" w:type="dxa"/>
            <w:vAlign w:val="bottom"/>
            <w:shd w:val="clear" w:color="auto" w:fill="CCEEFF"/>
          </w:tcPr>
          <w:p>
            <w:pPr>
              <w:jc w:val="right"/>
              <w:ind w:right="716"/>
              <w:spacing w:after="0"/>
              <w:rPr>
                <w:sz w:val="20"/>
                <w:szCs w:val="20"/>
                <w:color w:val="auto"/>
              </w:rPr>
            </w:pPr>
            <w:r>
              <w:rPr>
                <w:rFonts w:ascii="Arial" w:cs="Arial" w:eastAsia="Arial" w:hAnsi="Arial"/>
                <w:sz w:val="13"/>
                <w:szCs w:val="13"/>
                <w:color w:val="auto"/>
              </w:rPr>
              <w:t>98,998</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815.0 %</w:t>
            </w:r>
          </w:p>
        </w:tc>
        <w:tc>
          <w:tcPr>
            <w:tcW w:w="0" w:type="dxa"/>
            <w:vAlign w:val="bottom"/>
          </w:tcPr>
          <w:p>
            <w:pPr>
              <w:spacing w:after="0"/>
              <w:rPr>
                <w:sz w:val="1"/>
                <w:szCs w:val="1"/>
                <w:color w:val="auto"/>
              </w:rPr>
            </w:pPr>
          </w:p>
        </w:tc>
      </w:tr>
      <w:tr>
        <w:trPr>
          <w:trHeight w:val="167"/>
        </w:trPr>
        <w:tc>
          <w:tcPr>
            <w:tcW w:w="4660" w:type="dxa"/>
            <w:vAlign w:val="bottom"/>
          </w:tcPr>
          <w:p>
            <w:pPr>
              <w:spacing w:after="0"/>
              <w:rPr>
                <w:sz w:val="20"/>
                <w:szCs w:val="20"/>
                <w:color w:val="auto"/>
              </w:rPr>
            </w:pPr>
            <w:r>
              <w:rPr>
                <w:rFonts w:ascii="Arial" w:cs="Arial" w:eastAsia="Arial" w:hAnsi="Arial"/>
                <w:sz w:val="13"/>
                <w:szCs w:val="13"/>
                <w:color w:val="auto"/>
              </w:rPr>
              <w:t>Financing expense (including exceptional items)</w:t>
            </w:r>
          </w:p>
        </w:tc>
        <w:tc>
          <w:tcPr>
            <w:tcW w:w="560" w:type="dxa"/>
            <w:vAlign w:val="bottom"/>
          </w:tcPr>
          <w:p>
            <w:pPr>
              <w:jc w:val="right"/>
              <w:ind w:right="416"/>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(186,536)</w:t>
            </w:r>
          </w:p>
        </w:tc>
        <w:tc>
          <w:tcPr>
            <w:tcW w:w="760" w:type="dxa"/>
            <w:vAlign w:val="bottom"/>
          </w:tcPr>
          <w:p>
            <w:pPr>
              <w:jc w:val="right"/>
              <w:ind w:right="596"/>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(12,147)</w:t>
            </w:r>
          </w:p>
        </w:tc>
        <w:tc>
          <w:tcPr>
            <w:tcW w:w="580" w:type="dxa"/>
            <w:vAlign w:val="bottom"/>
          </w:tcPr>
          <w:p>
            <w:pPr>
              <w:jc w:val="right"/>
              <w:ind w:right="436"/>
              <w:spacing w:after="0"/>
              <w:rPr>
                <w:sz w:val="20"/>
                <w:szCs w:val="20"/>
                <w:color w:val="auto"/>
              </w:rPr>
            </w:pPr>
            <w:r>
              <w:rPr>
                <w:rFonts w:ascii="Arial" w:cs="Arial" w:eastAsia="Arial" w:hAnsi="Arial"/>
                <w:sz w:val="13"/>
                <w:szCs w:val="13"/>
                <w:color w:val="auto"/>
                <w:w w:val="82"/>
              </w:rPr>
              <w:t>$</w:t>
            </w:r>
          </w:p>
        </w:tc>
        <w:tc>
          <w:tcPr>
            <w:tcW w:w="1760" w:type="dxa"/>
            <w:vAlign w:val="bottom"/>
          </w:tcPr>
          <w:p>
            <w:pPr>
              <w:jc w:val="right"/>
              <w:ind w:right="716"/>
              <w:spacing w:after="0"/>
              <w:rPr>
                <w:sz w:val="20"/>
                <w:szCs w:val="20"/>
                <w:color w:val="auto"/>
              </w:rPr>
            </w:pPr>
            <w:r>
              <w:rPr>
                <w:rFonts w:ascii="Arial" w:cs="Arial" w:eastAsia="Arial" w:hAnsi="Arial"/>
                <w:sz w:val="13"/>
                <w:szCs w:val="13"/>
                <w:color w:val="auto"/>
              </w:rPr>
              <w:t>174,389</w:t>
            </w:r>
          </w:p>
        </w:tc>
        <w:tc>
          <w:tcPr>
            <w:tcW w:w="1040" w:type="dxa"/>
            <w:vAlign w:val="bottom"/>
          </w:tcPr>
          <w:p>
            <w:pPr>
              <w:jc w:val="right"/>
              <w:spacing w:after="0"/>
              <w:rPr>
                <w:sz w:val="20"/>
                <w:szCs w:val="20"/>
                <w:color w:val="auto"/>
              </w:rPr>
            </w:pPr>
            <w:r>
              <w:rPr>
                <w:rFonts w:ascii="Arial" w:cs="Arial" w:eastAsia="Arial" w:hAnsi="Arial"/>
                <w:sz w:val="13"/>
                <w:szCs w:val="13"/>
                <w:color w:val="auto"/>
              </w:rPr>
              <w:t>1,435.7 %</w:t>
            </w:r>
          </w:p>
        </w:tc>
        <w:tc>
          <w:tcPr>
            <w:tcW w:w="0" w:type="dxa"/>
            <w:vAlign w:val="bottom"/>
          </w:tcPr>
          <w:p>
            <w:pPr>
              <w:spacing w:after="0"/>
              <w:rPr>
                <w:sz w:val="1"/>
                <w:szCs w:val="1"/>
                <w:color w:val="auto"/>
              </w:rPr>
            </w:pPr>
          </w:p>
        </w:tc>
      </w:tr>
    </w:tbl>
    <w:p>
      <w:pPr>
        <w:spacing w:after="0" w:line="247" w:lineRule="exact"/>
        <w:rPr>
          <w:sz w:val="20"/>
          <w:szCs w:val="20"/>
          <w:color w:val="auto"/>
        </w:rPr>
      </w:pPr>
    </w:p>
    <w:p>
      <w:pPr>
        <w:jc w:val="both"/>
        <w:spacing w:after="0" w:line="281" w:lineRule="auto"/>
        <w:rPr>
          <w:sz w:val="20"/>
          <w:szCs w:val="20"/>
          <w:color w:val="auto"/>
        </w:rPr>
      </w:pPr>
      <w:r>
        <w:rPr>
          <w:rFonts w:ascii="Arial" w:cs="Arial" w:eastAsia="Arial" w:hAnsi="Arial"/>
          <w:sz w:val="12"/>
          <w:szCs w:val="12"/>
          <w:color w:val="auto"/>
        </w:rPr>
        <w:t xml:space="preserve">Financing expense for the period increased to $111.1 million ($186.5 million including exceptional items) for the year ended 31 December 2021 from $12.1 million for the year ended 31 December 2020 due to the draw down of debt facilities associated with the Merger and costs related to the extinguishment of previous debt facilities (see </w:t>
      </w:r>
      <w:r>
        <w:rPr>
          <w:rFonts w:ascii="Arial" w:cs="Arial" w:eastAsia="Arial" w:hAnsi="Arial"/>
          <w:sz w:val="12"/>
          <w:szCs w:val="12"/>
          <w:i w:val="1"/>
          <w:iCs w:val="1"/>
          <w:color w:val="auto"/>
        </w:rPr>
        <w:t>note 23 - Bank credit lines and loan facilities).</w:t>
      </w:r>
      <w:r>
        <w:rPr>
          <w:rFonts w:ascii="Arial" w:cs="Arial" w:eastAsia="Arial" w:hAnsi="Arial"/>
          <w:sz w:val="12"/>
          <w:szCs w:val="12"/>
          <w:color w:val="auto"/>
        </w:rPr>
        <w:t xml:space="preserve"> No amounts were drawn down on revolving credit facilities during the year ended 31 December 2021 or the year ended 31 December 2020. Financing income for the year decreased to $0.6 million for the year ended 31 December 2021 from $2.7 million for the year ended 31 December 2020. This reflects reduced returns on cash and cash equivalents and a reduction in cash and cash equivalents.</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Income tax expense</w:t>
      </w:r>
    </w:p>
    <w:p>
      <w:pPr>
        <w:spacing w:after="0" w:line="8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45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Year Ended</w:t>
            </w:r>
          </w:p>
        </w:tc>
        <w:tc>
          <w:tcPr>
            <w:tcW w:w="9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780" w:type="dxa"/>
            <w:vAlign w:val="bottom"/>
            <w:vMerge w:val="restart"/>
            <w:shd w:val="clear" w:color="auto" w:fill="CCEEFF"/>
          </w:tcPr>
          <w:p>
            <w:pPr>
              <w:jc w:val="right"/>
              <w:ind w:right="396"/>
              <w:spacing w:after="0"/>
              <w:rPr>
                <w:sz w:val="20"/>
                <w:szCs w:val="20"/>
                <w:color w:val="auto"/>
              </w:rPr>
            </w:pPr>
            <w:r>
              <w:rPr>
                <w:rFonts w:ascii="Arial" w:cs="Arial" w:eastAsia="Arial" w:hAnsi="Arial"/>
                <w:sz w:val="13"/>
                <w:szCs w:val="13"/>
                <w:b w:val="1"/>
                <w:bCs w:val="1"/>
                <w:color w:val="auto"/>
              </w:rPr>
              <w:t>Change</w:t>
            </w: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4560" w:type="dxa"/>
            <w:vAlign w:val="bottom"/>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1840" w:type="dxa"/>
            <w:vAlign w:val="bottom"/>
            <w:tcBorders>
              <w:bottom w:val="single" w:sz="8" w:color="auto"/>
            </w:tcBorders>
            <w:gridSpan w:val="2"/>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9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1780" w:type="dxa"/>
            <w:vAlign w:val="bottom"/>
            <w:tcBorders>
              <w:bottom w:val="single" w:sz="8" w:color="auto"/>
            </w:tcBorders>
            <w:vMerge w:val="continue"/>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560" w:type="dxa"/>
            <w:vAlign w:val="bottom"/>
            <w:tcBorders>
              <w:bottom w:val="single" w:sz="8" w:color="CCEEFF"/>
            </w:tcBorders>
          </w:tcPr>
          <w:p>
            <w:pPr>
              <w:spacing w:after="0"/>
              <w:rPr>
                <w:sz w:val="20"/>
                <w:szCs w:val="20"/>
                <w:color w:val="auto"/>
              </w:rPr>
            </w:pPr>
            <w:r>
              <w:rPr>
                <w:rFonts w:ascii="Arial" w:cs="Arial" w:eastAsia="Arial" w:hAnsi="Arial"/>
                <w:sz w:val="13"/>
                <w:szCs w:val="13"/>
                <w:i w:val="1"/>
                <w:iCs w:val="1"/>
                <w:color w:val="auto"/>
              </w:rPr>
              <w:t>(dollars in thousands)</w:t>
            </w:r>
          </w:p>
        </w:tc>
        <w:tc>
          <w:tcPr>
            <w:tcW w:w="6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7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58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tcPr>
          <w:p>
            <w:pPr>
              <w:jc w:val="right"/>
              <w:ind w:right="736"/>
              <w:spacing w:after="0"/>
              <w:rPr>
                <w:sz w:val="20"/>
                <w:szCs w:val="20"/>
                <w:color w:val="auto"/>
              </w:rPr>
            </w:pPr>
            <w:r>
              <w:rPr>
                <w:rFonts w:ascii="Arial" w:cs="Arial" w:eastAsia="Arial" w:hAnsi="Arial"/>
                <w:sz w:val="13"/>
                <w:szCs w:val="13"/>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60"/>
        </w:trPr>
        <w:tc>
          <w:tcPr>
            <w:tcW w:w="4560" w:type="dxa"/>
            <w:vAlign w:val="bottom"/>
            <w:shd w:val="clear" w:color="auto" w:fill="CCEEFF"/>
          </w:tcPr>
          <w:p>
            <w:pPr>
              <w:spacing w:after="0"/>
              <w:rPr>
                <w:sz w:val="20"/>
                <w:szCs w:val="20"/>
                <w:color w:val="auto"/>
              </w:rPr>
            </w:pPr>
            <w:r>
              <w:rPr>
                <w:rFonts w:ascii="Arial" w:cs="Arial" w:eastAsia="Arial" w:hAnsi="Arial"/>
                <w:sz w:val="13"/>
                <w:szCs w:val="13"/>
                <w:color w:val="auto"/>
              </w:rPr>
              <w:t>Income tax expense (excluding exceptional items)</w:t>
            </w:r>
          </w:p>
        </w:tc>
        <w:tc>
          <w:tcPr>
            <w:tcW w:w="62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51,061</w:t>
            </w:r>
          </w:p>
        </w:tc>
        <w:tc>
          <w:tcPr>
            <w:tcW w:w="760" w:type="dxa"/>
            <w:vAlign w:val="bottom"/>
            <w:shd w:val="clear" w:color="auto" w:fill="CCEEFF"/>
          </w:tcPr>
          <w:p>
            <w:pPr>
              <w:jc w:val="right"/>
              <w:ind w:right="61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53,014</w:t>
            </w:r>
          </w:p>
        </w:tc>
        <w:tc>
          <w:tcPr>
            <w:tcW w:w="58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w w:val="82"/>
              </w:rPr>
              <w:t>$</w:t>
            </w:r>
          </w:p>
        </w:tc>
        <w:tc>
          <w:tcPr>
            <w:tcW w:w="1780" w:type="dxa"/>
            <w:vAlign w:val="bottom"/>
            <w:shd w:val="clear" w:color="auto" w:fill="CCEEFF"/>
          </w:tcPr>
          <w:p>
            <w:pPr>
              <w:jc w:val="right"/>
              <w:ind w:right="736"/>
              <w:spacing w:after="0"/>
              <w:rPr>
                <w:sz w:val="20"/>
                <w:szCs w:val="20"/>
                <w:color w:val="auto"/>
              </w:rPr>
            </w:pPr>
            <w:r>
              <w:rPr>
                <w:rFonts w:ascii="Arial" w:cs="Arial" w:eastAsia="Arial" w:hAnsi="Arial"/>
                <w:sz w:val="13"/>
                <w:szCs w:val="13"/>
                <w:color w:val="auto"/>
              </w:rPr>
              <w:t>(1,953)</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(3.7 %)</w:t>
            </w:r>
          </w:p>
        </w:tc>
        <w:tc>
          <w:tcPr>
            <w:tcW w:w="0" w:type="dxa"/>
            <w:vAlign w:val="bottom"/>
          </w:tcPr>
          <w:p>
            <w:pPr>
              <w:spacing w:after="0"/>
              <w:rPr>
                <w:sz w:val="1"/>
                <w:szCs w:val="1"/>
                <w:color w:val="auto"/>
              </w:rPr>
            </w:pPr>
          </w:p>
        </w:tc>
      </w:tr>
      <w:tr>
        <w:trPr>
          <w:trHeight w:val="169"/>
        </w:trPr>
        <w:tc>
          <w:tcPr>
            <w:tcW w:w="4560" w:type="dxa"/>
            <w:vAlign w:val="bottom"/>
          </w:tcPr>
          <w:p>
            <w:pPr>
              <w:spacing w:after="0"/>
              <w:rPr>
                <w:sz w:val="20"/>
                <w:szCs w:val="20"/>
                <w:color w:val="auto"/>
              </w:rPr>
            </w:pPr>
            <w:r>
              <w:rPr>
                <w:rFonts w:ascii="Arial" w:cs="Arial" w:eastAsia="Arial" w:hAnsi="Arial"/>
                <w:sz w:val="13"/>
                <w:szCs w:val="13"/>
                <w:color w:val="auto"/>
              </w:rPr>
              <w:t>Income tax expense (including exceptional items)</w:t>
            </w:r>
          </w:p>
        </w:tc>
        <w:tc>
          <w:tcPr>
            <w:tcW w:w="620" w:type="dxa"/>
            <w:vAlign w:val="bottom"/>
          </w:tcPr>
          <w:p>
            <w:pPr>
              <w:jc w:val="right"/>
              <w:ind w:right="456"/>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96"/>
              <w:spacing w:after="0"/>
              <w:rPr>
                <w:sz w:val="20"/>
                <w:szCs w:val="20"/>
                <w:color w:val="auto"/>
              </w:rPr>
            </w:pPr>
            <w:r>
              <w:rPr>
                <w:rFonts w:ascii="Arial" w:cs="Arial" w:eastAsia="Arial" w:hAnsi="Arial"/>
                <w:sz w:val="13"/>
                <w:szCs w:val="13"/>
                <w:color w:val="auto"/>
              </w:rPr>
              <w:t>40,219</w:t>
            </w:r>
          </w:p>
        </w:tc>
        <w:tc>
          <w:tcPr>
            <w:tcW w:w="760" w:type="dxa"/>
            <w:vAlign w:val="bottom"/>
          </w:tcPr>
          <w:p>
            <w:pPr>
              <w:jc w:val="right"/>
              <w:ind w:right="616"/>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ind w:right="96"/>
              <w:spacing w:after="0"/>
              <w:rPr>
                <w:sz w:val="20"/>
                <w:szCs w:val="20"/>
                <w:color w:val="auto"/>
              </w:rPr>
            </w:pPr>
            <w:r>
              <w:rPr>
                <w:rFonts w:ascii="Arial" w:cs="Arial" w:eastAsia="Arial" w:hAnsi="Arial"/>
                <w:sz w:val="13"/>
                <w:szCs w:val="13"/>
                <w:color w:val="auto"/>
              </w:rPr>
              <w:t>50,753</w:t>
            </w:r>
          </w:p>
        </w:tc>
        <w:tc>
          <w:tcPr>
            <w:tcW w:w="580" w:type="dxa"/>
            <w:vAlign w:val="bottom"/>
          </w:tcPr>
          <w:p>
            <w:pPr>
              <w:jc w:val="right"/>
              <w:ind w:right="436"/>
              <w:spacing w:after="0"/>
              <w:rPr>
                <w:sz w:val="20"/>
                <w:szCs w:val="20"/>
                <w:color w:val="auto"/>
              </w:rPr>
            </w:pPr>
            <w:r>
              <w:rPr>
                <w:rFonts w:ascii="Arial" w:cs="Arial" w:eastAsia="Arial" w:hAnsi="Arial"/>
                <w:sz w:val="13"/>
                <w:szCs w:val="13"/>
                <w:color w:val="auto"/>
                <w:w w:val="82"/>
              </w:rPr>
              <w:t>$</w:t>
            </w:r>
          </w:p>
        </w:tc>
        <w:tc>
          <w:tcPr>
            <w:tcW w:w="1780" w:type="dxa"/>
            <w:vAlign w:val="bottom"/>
          </w:tcPr>
          <w:p>
            <w:pPr>
              <w:jc w:val="right"/>
              <w:ind w:right="736"/>
              <w:spacing w:after="0"/>
              <w:rPr>
                <w:sz w:val="20"/>
                <w:szCs w:val="20"/>
                <w:color w:val="auto"/>
              </w:rPr>
            </w:pPr>
            <w:r>
              <w:rPr>
                <w:rFonts w:ascii="Arial" w:cs="Arial" w:eastAsia="Arial" w:hAnsi="Arial"/>
                <w:sz w:val="13"/>
                <w:szCs w:val="13"/>
                <w:color w:val="auto"/>
              </w:rPr>
              <w:t>(10,534)</w:t>
            </w:r>
          </w:p>
        </w:tc>
        <w:tc>
          <w:tcPr>
            <w:tcW w:w="960" w:type="dxa"/>
            <w:vAlign w:val="bottom"/>
          </w:tcPr>
          <w:p>
            <w:pPr>
              <w:jc w:val="right"/>
              <w:spacing w:after="0"/>
              <w:rPr>
                <w:sz w:val="20"/>
                <w:szCs w:val="20"/>
                <w:color w:val="auto"/>
              </w:rPr>
            </w:pPr>
            <w:r>
              <w:rPr>
                <w:rFonts w:ascii="Arial" w:cs="Arial" w:eastAsia="Arial" w:hAnsi="Arial"/>
                <w:sz w:val="13"/>
                <w:szCs w:val="13"/>
                <w:color w:val="auto"/>
              </w:rPr>
              <w:t>(20.8 %)</w:t>
            </w:r>
          </w:p>
        </w:tc>
        <w:tc>
          <w:tcPr>
            <w:tcW w:w="0" w:type="dxa"/>
            <w:vAlign w:val="bottom"/>
          </w:tcPr>
          <w:p>
            <w:pPr>
              <w:spacing w:after="0"/>
              <w:rPr>
                <w:sz w:val="1"/>
                <w:szCs w:val="1"/>
                <w:color w:val="auto"/>
              </w:rPr>
            </w:pPr>
          </w:p>
        </w:tc>
      </w:tr>
      <w:tr>
        <w:trPr>
          <w:trHeight w:val="171"/>
        </w:trPr>
        <w:tc>
          <w:tcPr>
            <w:tcW w:w="4560" w:type="dxa"/>
            <w:vAlign w:val="bottom"/>
            <w:shd w:val="clear" w:color="auto" w:fill="CCEEFF"/>
          </w:tcPr>
          <w:p>
            <w:pPr>
              <w:spacing w:after="0"/>
              <w:rPr>
                <w:sz w:val="20"/>
                <w:szCs w:val="20"/>
                <w:color w:val="auto"/>
              </w:rPr>
            </w:pPr>
            <w:r>
              <w:rPr>
                <w:rFonts w:ascii="Arial" w:cs="Arial" w:eastAsia="Arial" w:hAnsi="Arial"/>
                <w:sz w:val="13"/>
                <w:szCs w:val="13"/>
                <w:color w:val="auto"/>
              </w:rPr>
              <w:t>Effective income tax rate</w:t>
            </w:r>
          </w:p>
        </w:tc>
        <w:tc>
          <w:tcPr>
            <w:tcW w:w="6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18.7 %</w:t>
            </w:r>
          </w:p>
        </w:tc>
        <w:tc>
          <w:tcPr>
            <w:tcW w:w="7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13.3 %</w:t>
            </w:r>
          </w:p>
        </w:tc>
        <w:tc>
          <w:tcPr>
            <w:tcW w:w="58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4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Income tax expense for the period decreased to $40.2 million (including exceptional items) for the year ended 31 December 2021 from $50.8 million for the year ended 31 December 2020. The Group’s effective tax rate for the year ended 31 December 2021 was 18.7% (10.4% excluding the effect of exceptional items) compared with 13.3% for the year ended 31 December 2020. The Group’s effective tax rate remains principally a function of the distribution of pre-tax profits in the territories in which it operates and the tax treatment of costs related to the Merger.</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and uncertainties</w:t>
      </w:r>
    </w:p>
    <w:p>
      <w:pPr>
        <w:spacing w:after="0" w:line="20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Under Irish Company Law (Section 327 the Companies Act), the Directors are required to give a description of the principal risks and uncertainties which it faced at 31 December 2021. Details of the principal risks and uncertainties facing the Group are set out in Appendix A of this annual report and form an integral part of the Directors’ Report.</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280"/>
          </w:cols>
          <w:pgMar w:left="300" w:top="889" w:right="31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Financial risk management</w:t>
      </w:r>
    </w:p>
    <w:p>
      <w:pPr>
        <w:spacing w:after="0" w:line="201"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 xml:space="preserve">Group financial risk management is governed by policies and guidelines which are reviewed and approved annually by the Board of Directors. These policies and guidelines primarily cover foreign exchange risk, credit risk, liquidity risk and interest rate risk. The principal objective of these policies and guidelines is to ensure the minimisation of financial risk at reasonable cost. The Group’s financial instruments comprise cash and cash equivalents, current asset investments, lease obligations and negotiated debt facilities. The main purpose of these financial instruments is to fund the working capital requirements of the Group, the cost of new acquisitions and ensure continued growth. The Group also occasionally uses derivative financial instruments to reduce exposure to fluctuations in foreign exchange rates. The principal financial risk facing the Group is foreign exchange risk and interest rate risk. Other financial risks include credit risk and liquidity risk. Further details are set out in </w:t>
      </w:r>
      <w:r>
        <w:rPr>
          <w:rFonts w:ascii="Arial" w:cs="Arial" w:eastAsia="Arial" w:hAnsi="Arial"/>
          <w:sz w:val="13"/>
          <w:szCs w:val="13"/>
          <w:i w:val="1"/>
          <w:iCs w:val="1"/>
          <w:color w:val="auto"/>
        </w:rPr>
        <w:t>note 26</w:t>
      </w:r>
      <w:r>
        <w:rPr>
          <w:rFonts w:ascii="Arial" w:cs="Arial" w:eastAsia="Arial" w:hAnsi="Arial"/>
          <w:sz w:val="13"/>
          <w:szCs w:val="13"/>
          <w:color w:val="auto"/>
        </w:rPr>
        <w:t xml:space="preserve"> to the Consolidated Financial Statements and </w:t>
      </w:r>
      <w:r>
        <w:rPr>
          <w:rFonts w:ascii="Arial" w:cs="Arial" w:eastAsia="Arial" w:hAnsi="Arial"/>
          <w:sz w:val="13"/>
          <w:szCs w:val="13"/>
          <w:i w:val="1"/>
          <w:iCs w:val="1"/>
          <w:color w:val="auto"/>
        </w:rPr>
        <w:t>note 11</w:t>
      </w:r>
      <w:r>
        <w:rPr>
          <w:rFonts w:ascii="Arial" w:cs="Arial" w:eastAsia="Arial" w:hAnsi="Arial"/>
          <w:sz w:val="13"/>
          <w:szCs w:val="13"/>
          <w:color w:val="auto"/>
        </w:rPr>
        <w:t xml:space="preserve"> to the Company Financial Statements. The Group does not undertake any trading activity in financial instruments nor does it enter into any leveraged derivative transactions. The Group treasury function centrally manages the Group’s funding and liquidity requirements.</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Financing</w:t>
      </w:r>
    </w:p>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In conjunction with the completion of the Merger Agreement, on 1 July 2021, ICON entered into a credit agreement providing for a senior secured term loan facility of $5,515 million and a senior secured revolving loan facility in an initial aggregate principal amount of $300 million (the "Senior Secured Credit Facilities"). The proceeds of the senior secured term loan facility were used to repay in full (i) PRA’s existing credit facilities and (ii) the Company's private placement notes outstanding and fund, in part, the transaction. The senior secured term loan facility will mature in July 2028 and the revolving loan facility will mature in July 2026. No amounts have been drawn under the revolving loan facility as at 31 December 2021.</w:t>
      </w:r>
    </w:p>
    <w:p>
      <w:pPr>
        <w:spacing w:after="0" w:line="17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In addition to the Senior Secured Credit Facilities, on 1 July 2021, the Company, issued $500 million in aggregate principal amount of 2.875% senior secured notes in a private offering. The senior secured notes will mature on 15 July 2026 and will bear interest at a rate of 2.875%.</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On 27 September 2021, the Company repaid $13.8 million of the senior secured term loan facility and made a quarterly interest payment of $40.4 million. On 29 December 2021, the Company repaid $500.0 million of the senior secured term loan facility and made a quarterly interest payment of $40.8 million.</w:t>
      </w:r>
    </w:p>
    <w:p>
      <w:pPr>
        <w:spacing w:after="0" w:line="157" w:lineRule="exact"/>
        <w:rPr>
          <w:sz w:val="20"/>
          <w:szCs w:val="20"/>
          <w:color w:val="auto"/>
        </w:rPr>
      </w:pPr>
    </w:p>
    <w:p>
      <w:pPr>
        <w:jc w:val="both"/>
        <w:spacing w:after="0" w:line="242" w:lineRule="auto"/>
        <w:rPr>
          <w:sz w:val="20"/>
          <w:szCs w:val="20"/>
          <w:color w:val="auto"/>
        </w:rPr>
      </w:pPr>
      <w:r>
        <w:rPr>
          <w:rFonts w:ascii="Arial" w:cs="Arial" w:eastAsia="Arial" w:hAnsi="Arial"/>
          <w:sz w:val="13"/>
          <w:szCs w:val="13"/>
          <w:color w:val="auto"/>
        </w:rPr>
        <w:t>On 8 December 2020, ICON Investments Five Unlimited Company issued senior notes ('2020 Senior Notes') for aggregate gross proceeds of $350.0 million in a private placement which was guaranteed by ICON plc. The 2020 Senior Notes were issued in two tranches; Series A Notes of $275.0 million maturing on 8 December 2023 and Series B Notes of $75.0 million maturing on 8 December 2025. Interest payable on the 2020 Senior Notes is fixed at 2.32% and 2.43% for Series A Notes and Series B Notes, respectively. Due to the conditions attached to the additional borrowings to fund the PRA Merger, the 2020 Senior Notes were repaid in full on 1 July 2021 inclusive of early repayment charges. The total repayment on 1 July 2021 was $364.0 million.</w:t>
      </w:r>
    </w:p>
    <w:p>
      <w:pPr>
        <w:spacing w:after="0" w:line="182"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The Group entered into an interest rate hedge in respect of the planned issuance of the 2020 Senior Notes in June 2020 which matured on 9 July 2020, when the interest rates on the issue of the 2020 Senior Notes were fixed, resulting in a realised loss of $0.9 million. The unamortised portion of this loss has been released in the period in line with the commitment to early settle the 2020 Senior Notes.</w:t>
      </w:r>
    </w:p>
    <w:p>
      <w:pPr>
        <w:spacing w:after="0" w:line="145"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On 15 December 2015, the Company issued through its subsidiary ICON Investments Five Unlimited Company (the "Issuer") Senior Notes for aggregate gross proceeds of $350 million through a private placement ('2015 Senior Notes'). The interest rate on the 2015 Senior Notes was fixed at 3.64% and was payable semi-annually. The 2015 Senior Notes matured on 15 December 2020 and this debt was repaid in full.</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Subsequent events</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Details of subsequent events are set out in </w:t>
      </w:r>
      <w:r>
        <w:rPr>
          <w:rFonts w:ascii="Arial" w:cs="Arial" w:eastAsia="Arial" w:hAnsi="Arial"/>
          <w:sz w:val="13"/>
          <w:szCs w:val="13"/>
          <w:i w:val="1"/>
          <w:iCs w:val="1"/>
          <w:color w:val="auto"/>
        </w:rPr>
        <w:t>note 31</w:t>
      </w:r>
      <w:r>
        <w:rPr>
          <w:rFonts w:ascii="Arial" w:cs="Arial" w:eastAsia="Arial" w:hAnsi="Arial"/>
          <w:sz w:val="13"/>
          <w:szCs w:val="13"/>
          <w:color w:val="auto"/>
        </w:rPr>
        <w:t xml:space="preserve"> to the Consolidated Financial Statements.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280"/>
          </w:cols>
          <w:pgMar w:left="300" w:top="889" w:right="31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Directors and Secretary</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The members of the Board of Directors during the year are included in </w:t>
      </w:r>
      <w:r>
        <w:rPr>
          <w:rFonts w:ascii="Arial" w:cs="Arial" w:eastAsia="Arial" w:hAnsi="Arial"/>
          <w:sz w:val="13"/>
          <w:szCs w:val="13"/>
          <w:i w:val="1"/>
          <w:iCs w:val="1"/>
          <w:color w:val="auto"/>
        </w:rPr>
        <w:t>note 9</w:t>
      </w:r>
      <w:r>
        <w:rPr>
          <w:rFonts w:ascii="Arial" w:cs="Arial" w:eastAsia="Arial" w:hAnsi="Arial"/>
          <w:sz w:val="13"/>
          <w:szCs w:val="13"/>
          <w:color w:val="auto"/>
        </w:rPr>
        <w:t xml:space="preserve"> to the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sets forth information concerning the composition of the Company’s Board committees as of 31 December 2021:</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8240" w:type="dxa"/>
            <w:vAlign w:val="bottom"/>
            <w:tcBorders>
              <w:bottom w:val="single" w:sz="8" w:color="auto"/>
            </w:tcBorders>
            <w:shd w:val="clear" w:color="auto" w:fill="CCEEFF"/>
          </w:tcPr>
          <w:p>
            <w:pPr>
              <w:ind w:left="1540"/>
              <w:spacing w:after="0"/>
              <w:rPr>
                <w:sz w:val="20"/>
                <w:szCs w:val="20"/>
                <w:color w:val="auto"/>
              </w:rPr>
            </w:pPr>
            <w:r>
              <w:rPr>
                <w:rFonts w:ascii="Arial" w:cs="Arial" w:eastAsia="Arial" w:hAnsi="Arial"/>
                <w:sz w:val="13"/>
                <w:szCs w:val="13"/>
                <w:b w:val="1"/>
                <w:bCs w:val="1"/>
                <w:color w:val="auto"/>
              </w:rPr>
              <w:t>Position</w:t>
            </w:r>
          </w:p>
        </w:tc>
      </w:tr>
      <w:tr>
        <w:trPr>
          <w:trHeight w:val="192"/>
        </w:trPr>
        <w:tc>
          <w:tcPr>
            <w:tcW w:w="3040" w:type="dxa"/>
            <w:vAlign w:val="bottom"/>
          </w:tcPr>
          <w:p>
            <w:pPr>
              <w:ind w:left="20"/>
              <w:spacing w:after="0"/>
              <w:rPr>
                <w:sz w:val="20"/>
                <w:szCs w:val="20"/>
                <w:color w:val="auto"/>
              </w:rPr>
            </w:pPr>
            <w:r>
              <w:rPr>
                <w:rFonts w:ascii="Arial" w:cs="Arial" w:eastAsia="Arial" w:hAnsi="Arial"/>
                <w:sz w:val="13"/>
                <w:szCs w:val="13"/>
                <w:color w:val="auto"/>
              </w:rPr>
              <w:t xml:space="preserve">Ciaran Murray </w:t>
            </w:r>
            <w:r>
              <w:rPr>
                <w:rFonts w:ascii="Arial" w:cs="Arial" w:eastAsia="Arial" w:hAnsi="Arial"/>
                <w:sz w:val="16"/>
                <w:szCs w:val="16"/>
                <w:color w:val="auto"/>
                <w:vertAlign w:val="superscript"/>
              </w:rPr>
              <w:t>(5)</w:t>
            </w:r>
          </w:p>
        </w:tc>
        <w:tc>
          <w:tcPr>
            <w:tcW w:w="8240" w:type="dxa"/>
            <w:vAlign w:val="bottom"/>
          </w:tcPr>
          <w:p>
            <w:pPr>
              <w:ind w:left="1540"/>
              <w:spacing w:after="0"/>
              <w:rPr>
                <w:sz w:val="20"/>
                <w:szCs w:val="20"/>
                <w:color w:val="auto"/>
              </w:rPr>
            </w:pPr>
            <w:r>
              <w:rPr>
                <w:rFonts w:ascii="Arial" w:cs="Arial" w:eastAsia="Arial" w:hAnsi="Arial"/>
                <w:sz w:val="13"/>
                <w:szCs w:val="13"/>
                <w:color w:val="auto"/>
              </w:rPr>
              <w:t>Chair and Director</w:t>
            </w:r>
          </w:p>
        </w:tc>
      </w:tr>
      <w:tr>
        <w:trPr>
          <w:trHeight w:val="202"/>
        </w:trPr>
        <w:tc>
          <w:tcPr>
            <w:tcW w:w="3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 xml:space="preserve">Dr. Steve Cutler </w:t>
            </w:r>
            <w:r>
              <w:rPr>
                <w:rFonts w:ascii="Arial" w:cs="Arial" w:eastAsia="Arial" w:hAnsi="Arial"/>
                <w:sz w:val="16"/>
                <w:szCs w:val="16"/>
                <w:color w:val="auto"/>
                <w:vertAlign w:val="superscript"/>
              </w:rPr>
              <w:t>(1)(6)</w:t>
            </w:r>
          </w:p>
        </w:tc>
        <w:tc>
          <w:tcPr>
            <w:tcW w:w="8240" w:type="dxa"/>
            <w:vAlign w:val="bottom"/>
            <w:shd w:val="clear" w:color="auto" w:fill="CCEEFF"/>
          </w:tcPr>
          <w:p>
            <w:pPr>
              <w:ind w:left="1540"/>
              <w:spacing w:after="0"/>
              <w:rPr>
                <w:sz w:val="20"/>
                <w:szCs w:val="20"/>
                <w:color w:val="auto"/>
              </w:rPr>
            </w:pPr>
            <w:r>
              <w:rPr>
                <w:rFonts w:ascii="Arial" w:cs="Arial" w:eastAsia="Arial" w:hAnsi="Arial"/>
                <w:sz w:val="13"/>
                <w:szCs w:val="13"/>
                <w:color w:val="auto"/>
              </w:rPr>
              <w:t>Chief Executive Officer and Director</w:t>
            </w:r>
          </w:p>
        </w:tc>
      </w:tr>
      <w:tr>
        <w:trPr>
          <w:trHeight w:val="202"/>
        </w:trPr>
        <w:tc>
          <w:tcPr>
            <w:tcW w:w="3040" w:type="dxa"/>
            <w:vAlign w:val="bottom"/>
          </w:tcPr>
          <w:p>
            <w:pPr>
              <w:ind w:left="20"/>
              <w:spacing w:after="0" w:line="201" w:lineRule="exact"/>
              <w:rPr>
                <w:sz w:val="20"/>
                <w:szCs w:val="20"/>
                <w:color w:val="auto"/>
              </w:rPr>
            </w:pPr>
            <w:r>
              <w:rPr>
                <w:rFonts w:ascii="Arial" w:cs="Arial" w:eastAsia="Arial" w:hAnsi="Arial"/>
                <w:sz w:val="23"/>
                <w:szCs w:val="23"/>
                <w:color w:val="auto"/>
                <w:vertAlign w:val="subscript"/>
              </w:rPr>
              <w:t>Rónán Murphy</w:t>
            </w:r>
            <w:r>
              <w:rPr>
                <w:rFonts w:ascii="Arial" w:cs="Arial" w:eastAsia="Arial" w:hAnsi="Arial"/>
                <w:sz w:val="8"/>
                <w:szCs w:val="8"/>
                <w:color w:val="auto"/>
              </w:rPr>
              <w:t xml:space="preserve"> (2)(3)(5)(6)</w:t>
            </w:r>
          </w:p>
        </w:tc>
        <w:tc>
          <w:tcPr>
            <w:tcW w:w="8240" w:type="dxa"/>
            <w:vAlign w:val="bottom"/>
          </w:tcPr>
          <w:p>
            <w:pPr>
              <w:ind w:left="1540"/>
              <w:spacing w:after="0"/>
              <w:rPr>
                <w:sz w:val="20"/>
                <w:szCs w:val="20"/>
                <w:color w:val="auto"/>
              </w:rPr>
            </w:pPr>
            <w:r>
              <w:rPr>
                <w:rFonts w:ascii="Arial" w:cs="Arial" w:eastAsia="Arial" w:hAnsi="Arial"/>
                <w:sz w:val="13"/>
                <w:szCs w:val="13"/>
                <w:color w:val="auto"/>
              </w:rPr>
              <w:t>Lead Independent Director</w:t>
            </w:r>
          </w:p>
        </w:tc>
      </w:tr>
      <w:tr>
        <w:trPr>
          <w:trHeight w:val="170"/>
        </w:trPr>
        <w:tc>
          <w:tcPr>
            <w:tcW w:w="3040" w:type="dxa"/>
            <w:vAlign w:val="bottom"/>
            <w:shd w:val="clear" w:color="auto" w:fill="CCEEFF"/>
          </w:tcPr>
          <w:p>
            <w:pPr>
              <w:ind w:left="20"/>
              <w:spacing w:after="0" w:line="170" w:lineRule="exact"/>
              <w:rPr>
                <w:sz w:val="20"/>
                <w:szCs w:val="20"/>
                <w:color w:val="auto"/>
              </w:rPr>
            </w:pPr>
            <w:r>
              <w:rPr>
                <w:rFonts w:ascii="Arial" w:cs="Arial" w:eastAsia="Arial" w:hAnsi="Arial"/>
                <w:sz w:val="13"/>
                <w:szCs w:val="13"/>
                <w:color w:val="auto"/>
              </w:rPr>
              <w:t xml:space="preserve">Professor Hugh Brady </w:t>
            </w:r>
            <w:r>
              <w:rPr>
                <w:rFonts w:ascii="Arial" w:cs="Arial" w:eastAsia="Arial" w:hAnsi="Arial"/>
                <w:sz w:val="16"/>
                <w:szCs w:val="16"/>
                <w:color w:val="auto"/>
                <w:vertAlign w:val="superscript"/>
              </w:rPr>
              <w:t>(3)</w:t>
            </w:r>
          </w:p>
        </w:tc>
        <w:tc>
          <w:tcPr>
            <w:tcW w:w="8240" w:type="dxa"/>
            <w:vAlign w:val="bottom"/>
            <w:shd w:val="clear" w:color="auto" w:fill="CCEEFF"/>
          </w:tcPr>
          <w:p>
            <w:pPr>
              <w:ind w:left="1540"/>
              <w:spacing w:after="0"/>
              <w:rPr>
                <w:sz w:val="20"/>
                <w:szCs w:val="20"/>
                <w:color w:val="auto"/>
              </w:rPr>
            </w:pPr>
            <w:r>
              <w:rPr>
                <w:rFonts w:ascii="Arial" w:cs="Arial" w:eastAsia="Arial" w:hAnsi="Arial"/>
                <w:sz w:val="13"/>
                <w:szCs w:val="13"/>
                <w:color w:val="auto"/>
              </w:rPr>
              <w:t>Director</w:t>
            </w:r>
          </w:p>
        </w:tc>
      </w:tr>
      <w:tr>
        <w:trPr>
          <w:trHeight w:val="178"/>
        </w:trPr>
        <w:tc>
          <w:tcPr>
            <w:tcW w:w="3040" w:type="dxa"/>
            <w:vAlign w:val="bottom"/>
          </w:tcPr>
          <w:p>
            <w:pPr>
              <w:ind w:left="20"/>
              <w:spacing w:after="0"/>
              <w:rPr>
                <w:sz w:val="20"/>
                <w:szCs w:val="20"/>
                <w:color w:val="auto"/>
              </w:rPr>
            </w:pPr>
            <w:r>
              <w:rPr>
                <w:rFonts w:ascii="Arial" w:cs="Arial" w:eastAsia="Arial" w:hAnsi="Arial"/>
                <w:sz w:val="13"/>
                <w:szCs w:val="13"/>
                <w:color w:val="auto"/>
              </w:rPr>
              <w:t>Dr. John Climax</w:t>
            </w:r>
          </w:p>
        </w:tc>
        <w:tc>
          <w:tcPr>
            <w:tcW w:w="8240" w:type="dxa"/>
            <w:vAlign w:val="bottom"/>
          </w:tcPr>
          <w:p>
            <w:pPr>
              <w:ind w:left="1540"/>
              <w:spacing w:after="0"/>
              <w:rPr>
                <w:sz w:val="20"/>
                <w:szCs w:val="20"/>
                <w:color w:val="auto"/>
              </w:rPr>
            </w:pPr>
            <w:r>
              <w:rPr>
                <w:rFonts w:ascii="Arial" w:cs="Arial" w:eastAsia="Arial" w:hAnsi="Arial"/>
                <w:sz w:val="13"/>
                <w:szCs w:val="13"/>
                <w:color w:val="auto"/>
              </w:rPr>
              <w:t>Director</w:t>
            </w:r>
          </w:p>
        </w:tc>
      </w:tr>
      <w:tr>
        <w:trPr>
          <w:trHeight w:val="24"/>
        </w:trPr>
        <w:tc>
          <w:tcPr>
            <w:tcW w:w="3040" w:type="dxa"/>
            <w:vAlign w:val="bottom"/>
          </w:tcPr>
          <w:p>
            <w:pPr>
              <w:spacing w:after="0"/>
              <w:rPr>
                <w:sz w:val="2"/>
                <w:szCs w:val="2"/>
                <w:color w:val="auto"/>
              </w:rPr>
            </w:pPr>
          </w:p>
        </w:tc>
        <w:tc>
          <w:tcPr>
            <w:tcW w:w="8240" w:type="dxa"/>
            <w:vAlign w:val="bottom"/>
          </w:tcPr>
          <w:p>
            <w:pPr>
              <w:spacing w:after="0"/>
              <w:rPr>
                <w:sz w:val="2"/>
                <w:szCs w:val="2"/>
                <w:color w:val="auto"/>
              </w:rPr>
            </w:pPr>
          </w:p>
        </w:tc>
      </w:tr>
      <w:tr>
        <w:trPr>
          <w:trHeight w:val="170"/>
        </w:trPr>
        <w:tc>
          <w:tcPr>
            <w:tcW w:w="3040" w:type="dxa"/>
            <w:vAlign w:val="bottom"/>
            <w:shd w:val="clear" w:color="auto" w:fill="CCEEFF"/>
          </w:tcPr>
          <w:p>
            <w:pPr>
              <w:ind w:left="20"/>
              <w:spacing w:after="0" w:line="170" w:lineRule="exact"/>
              <w:rPr>
                <w:sz w:val="20"/>
                <w:szCs w:val="20"/>
                <w:color w:val="auto"/>
              </w:rPr>
            </w:pPr>
            <w:r>
              <w:rPr>
                <w:rFonts w:ascii="Arial" w:cs="Arial" w:eastAsia="Arial" w:hAnsi="Arial"/>
                <w:sz w:val="13"/>
                <w:szCs w:val="13"/>
                <w:color w:val="auto"/>
              </w:rPr>
              <w:t xml:space="preserve">Joan Garahy </w:t>
            </w:r>
            <w:r>
              <w:rPr>
                <w:rFonts w:ascii="Arial" w:cs="Arial" w:eastAsia="Arial" w:hAnsi="Arial"/>
                <w:sz w:val="16"/>
                <w:szCs w:val="16"/>
                <w:color w:val="auto"/>
                <w:vertAlign w:val="superscript"/>
              </w:rPr>
              <w:t>(2)(4)</w:t>
            </w:r>
          </w:p>
        </w:tc>
        <w:tc>
          <w:tcPr>
            <w:tcW w:w="8240" w:type="dxa"/>
            <w:vAlign w:val="bottom"/>
            <w:shd w:val="clear" w:color="auto" w:fill="CCEEFF"/>
          </w:tcPr>
          <w:p>
            <w:pPr>
              <w:ind w:left="1540"/>
              <w:spacing w:after="0"/>
              <w:rPr>
                <w:sz w:val="20"/>
                <w:szCs w:val="20"/>
                <w:color w:val="auto"/>
              </w:rPr>
            </w:pPr>
            <w:r>
              <w:rPr>
                <w:rFonts w:ascii="Arial" w:cs="Arial" w:eastAsia="Arial" w:hAnsi="Arial"/>
                <w:sz w:val="13"/>
                <w:szCs w:val="13"/>
                <w:color w:val="auto"/>
              </w:rPr>
              <w:t>Director</w:t>
            </w:r>
          </w:p>
        </w:tc>
      </w:tr>
      <w:tr>
        <w:trPr>
          <w:trHeight w:val="202"/>
        </w:trPr>
        <w:tc>
          <w:tcPr>
            <w:tcW w:w="3040" w:type="dxa"/>
            <w:vAlign w:val="bottom"/>
          </w:tcPr>
          <w:p>
            <w:pPr>
              <w:ind w:left="20"/>
              <w:spacing w:after="0"/>
              <w:rPr>
                <w:sz w:val="20"/>
                <w:szCs w:val="20"/>
                <w:color w:val="auto"/>
              </w:rPr>
            </w:pPr>
            <w:r>
              <w:rPr>
                <w:rFonts w:ascii="Arial" w:cs="Arial" w:eastAsia="Arial" w:hAnsi="Arial"/>
                <w:sz w:val="13"/>
                <w:szCs w:val="13"/>
                <w:color w:val="auto"/>
              </w:rPr>
              <w:t xml:space="preserve">Professor William Hall </w:t>
            </w:r>
            <w:r>
              <w:rPr>
                <w:rFonts w:ascii="Arial" w:cs="Arial" w:eastAsia="Arial" w:hAnsi="Arial"/>
                <w:sz w:val="16"/>
                <w:szCs w:val="16"/>
                <w:color w:val="auto"/>
                <w:vertAlign w:val="superscript"/>
              </w:rPr>
              <w:t>(2)(4)</w:t>
            </w:r>
          </w:p>
        </w:tc>
        <w:tc>
          <w:tcPr>
            <w:tcW w:w="8240" w:type="dxa"/>
            <w:vAlign w:val="bottom"/>
          </w:tcPr>
          <w:p>
            <w:pPr>
              <w:ind w:left="1540"/>
              <w:spacing w:after="0"/>
              <w:rPr>
                <w:sz w:val="20"/>
                <w:szCs w:val="20"/>
                <w:color w:val="auto"/>
              </w:rPr>
            </w:pPr>
            <w:r>
              <w:rPr>
                <w:rFonts w:ascii="Arial" w:cs="Arial" w:eastAsia="Arial" w:hAnsi="Arial"/>
                <w:sz w:val="13"/>
                <w:szCs w:val="13"/>
                <w:color w:val="auto"/>
              </w:rPr>
              <w:t>Director</w:t>
            </w:r>
          </w:p>
        </w:tc>
      </w:tr>
      <w:tr>
        <w:trPr>
          <w:trHeight w:val="170"/>
        </w:trPr>
        <w:tc>
          <w:tcPr>
            <w:tcW w:w="3040" w:type="dxa"/>
            <w:vAlign w:val="bottom"/>
            <w:shd w:val="clear" w:color="auto" w:fill="CCEEFF"/>
          </w:tcPr>
          <w:p>
            <w:pPr>
              <w:ind w:left="20"/>
              <w:spacing w:after="0" w:line="170" w:lineRule="exact"/>
              <w:rPr>
                <w:sz w:val="20"/>
                <w:szCs w:val="20"/>
                <w:color w:val="auto"/>
              </w:rPr>
            </w:pPr>
            <w:r>
              <w:rPr>
                <w:rFonts w:ascii="Arial" w:cs="Arial" w:eastAsia="Arial" w:hAnsi="Arial"/>
                <w:sz w:val="13"/>
                <w:szCs w:val="13"/>
                <w:color w:val="auto"/>
              </w:rPr>
              <w:t xml:space="preserve">Eugene McCague </w:t>
            </w:r>
            <w:r>
              <w:rPr>
                <w:rFonts w:ascii="Arial" w:cs="Arial" w:eastAsia="Arial" w:hAnsi="Arial"/>
                <w:sz w:val="16"/>
                <w:szCs w:val="16"/>
                <w:color w:val="auto"/>
                <w:vertAlign w:val="superscript"/>
              </w:rPr>
              <w:t>(3)(4)(5)</w:t>
            </w:r>
          </w:p>
        </w:tc>
        <w:tc>
          <w:tcPr>
            <w:tcW w:w="8240" w:type="dxa"/>
            <w:vAlign w:val="bottom"/>
            <w:shd w:val="clear" w:color="auto" w:fill="CCEEFF"/>
          </w:tcPr>
          <w:p>
            <w:pPr>
              <w:ind w:left="1540"/>
              <w:spacing w:after="0"/>
              <w:rPr>
                <w:sz w:val="20"/>
                <w:szCs w:val="20"/>
                <w:color w:val="auto"/>
              </w:rPr>
            </w:pPr>
            <w:r>
              <w:rPr>
                <w:rFonts w:ascii="Arial" w:cs="Arial" w:eastAsia="Arial" w:hAnsi="Arial"/>
                <w:sz w:val="13"/>
                <w:szCs w:val="13"/>
                <w:color w:val="auto"/>
              </w:rPr>
              <w:t>Director</w:t>
            </w:r>
          </w:p>
        </w:tc>
      </w:tr>
      <w:tr>
        <w:trPr>
          <w:trHeight w:val="202"/>
        </w:trPr>
        <w:tc>
          <w:tcPr>
            <w:tcW w:w="3040" w:type="dxa"/>
            <w:vAlign w:val="bottom"/>
          </w:tcPr>
          <w:p>
            <w:pPr>
              <w:ind w:left="20"/>
              <w:spacing w:after="0"/>
              <w:rPr>
                <w:sz w:val="20"/>
                <w:szCs w:val="20"/>
                <w:color w:val="auto"/>
              </w:rPr>
            </w:pPr>
            <w:r>
              <w:rPr>
                <w:rFonts w:ascii="Arial" w:cs="Arial" w:eastAsia="Arial" w:hAnsi="Arial"/>
                <w:sz w:val="13"/>
                <w:szCs w:val="13"/>
                <w:color w:val="auto"/>
              </w:rPr>
              <w:t xml:space="preserve">Julie O'Neill </w:t>
            </w:r>
            <w:r>
              <w:rPr>
                <w:rFonts w:ascii="Arial" w:cs="Arial" w:eastAsia="Arial" w:hAnsi="Arial"/>
                <w:sz w:val="16"/>
                <w:szCs w:val="16"/>
                <w:color w:val="auto"/>
                <w:vertAlign w:val="superscript"/>
              </w:rPr>
              <w:t>(5)</w:t>
            </w:r>
          </w:p>
        </w:tc>
        <w:tc>
          <w:tcPr>
            <w:tcW w:w="8240" w:type="dxa"/>
            <w:vAlign w:val="bottom"/>
          </w:tcPr>
          <w:p>
            <w:pPr>
              <w:ind w:left="1540"/>
              <w:spacing w:after="0"/>
              <w:rPr>
                <w:sz w:val="20"/>
                <w:szCs w:val="20"/>
                <w:color w:val="auto"/>
              </w:rPr>
            </w:pPr>
            <w:r>
              <w:rPr>
                <w:rFonts w:ascii="Arial" w:cs="Arial" w:eastAsia="Arial" w:hAnsi="Arial"/>
                <w:sz w:val="13"/>
                <w:szCs w:val="13"/>
                <w:color w:val="auto"/>
              </w:rPr>
              <w:t>Director</w:t>
            </w:r>
          </w:p>
        </w:tc>
      </w:tr>
      <w:tr>
        <w:trPr>
          <w:trHeight w:val="202"/>
        </w:trPr>
        <w:tc>
          <w:tcPr>
            <w:tcW w:w="3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 xml:space="preserve">Mary Pendergast </w:t>
            </w:r>
            <w:r>
              <w:rPr>
                <w:rFonts w:ascii="Arial" w:cs="Arial" w:eastAsia="Arial" w:hAnsi="Arial"/>
                <w:sz w:val="16"/>
                <w:szCs w:val="16"/>
                <w:color w:val="auto"/>
                <w:vertAlign w:val="superscript"/>
              </w:rPr>
              <w:t>(2)</w:t>
            </w:r>
          </w:p>
        </w:tc>
        <w:tc>
          <w:tcPr>
            <w:tcW w:w="8240" w:type="dxa"/>
            <w:vAlign w:val="bottom"/>
            <w:shd w:val="clear" w:color="auto" w:fill="CCEEFF"/>
          </w:tcPr>
          <w:p>
            <w:pPr>
              <w:ind w:left="1540"/>
              <w:spacing w:after="0"/>
              <w:rPr>
                <w:sz w:val="20"/>
                <w:szCs w:val="20"/>
                <w:color w:val="auto"/>
              </w:rPr>
            </w:pPr>
            <w:r>
              <w:rPr>
                <w:rFonts w:ascii="Arial" w:cs="Arial" w:eastAsia="Arial" w:hAnsi="Arial"/>
                <w:sz w:val="13"/>
                <w:szCs w:val="13"/>
                <w:color w:val="auto"/>
              </w:rPr>
              <w:t>Director</w:t>
            </w:r>
          </w:p>
        </w:tc>
      </w:tr>
      <w:tr>
        <w:trPr>
          <w:trHeight w:val="178"/>
        </w:trPr>
        <w:tc>
          <w:tcPr>
            <w:tcW w:w="3040" w:type="dxa"/>
            <w:vAlign w:val="bottom"/>
          </w:tcPr>
          <w:p>
            <w:pPr>
              <w:ind w:left="20"/>
              <w:spacing w:after="0"/>
              <w:rPr>
                <w:sz w:val="20"/>
                <w:szCs w:val="20"/>
                <w:color w:val="auto"/>
              </w:rPr>
            </w:pPr>
            <w:r>
              <w:rPr>
                <w:rFonts w:ascii="Arial" w:cs="Arial" w:eastAsia="Arial" w:hAnsi="Arial"/>
                <w:sz w:val="13"/>
                <w:szCs w:val="13"/>
                <w:color w:val="auto"/>
              </w:rPr>
              <w:t>Colin Shannon</w:t>
            </w:r>
          </w:p>
        </w:tc>
        <w:tc>
          <w:tcPr>
            <w:tcW w:w="8240" w:type="dxa"/>
            <w:vAlign w:val="bottom"/>
          </w:tcPr>
          <w:p>
            <w:pPr>
              <w:ind w:left="1540"/>
              <w:spacing w:after="0"/>
              <w:rPr>
                <w:sz w:val="20"/>
                <w:szCs w:val="20"/>
                <w:color w:val="auto"/>
              </w:rPr>
            </w:pPr>
            <w:r>
              <w:rPr>
                <w:rFonts w:ascii="Arial" w:cs="Arial" w:eastAsia="Arial" w:hAnsi="Arial"/>
                <w:sz w:val="13"/>
                <w:szCs w:val="13"/>
                <w:color w:val="auto"/>
              </w:rPr>
              <w:t>Director (appointed 1 July 2021)</w:t>
            </w:r>
          </w:p>
        </w:tc>
      </w:tr>
      <w:tr>
        <w:trPr>
          <w:trHeight w:val="24"/>
        </w:trPr>
        <w:tc>
          <w:tcPr>
            <w:tcW w:w="3040" w:type="dxa"/>
            <w:vAlign w:val="bottom"/>
          </w:tcPr>
          <w:p>
            <w:pPr>
              <w:spacing w:after="0"/>
              <w:rPr>
                <w:sz w:val="2"/>
                <w:szCs w:val="2"/>
                <w:color w:val="auto"/>
              </w:rPr>
            </w:pPr>
          </w:p>
        </w:tc>
        <w:tc>
          <w:tcPr>
            <w:tcW w:w="8240" w:type="dxa"/>
            <w:vAlign w:val="bottom"/>
          </w:tcPr>
          <w:p>
            <w:pPr>
              <w:spacing w:after="0"/>
              <w:rPr>
                <w:sz w:val="2"/>
                <w:szCs w:val="2"/>
                <w:color w:val="auto"/>
              </w:rPr>
            </w:pPr>
          </w:p>
        </w:tc>
      </w:tr>
      <w:tr>
        <w:trPr>
          <w:trHeight w:val="178"/>
        </w:trPr>
        <w:tc>
          <w:tcPr>
            <w:tcW w:w="3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Dr. Linda Grais</w:t>
            </w:r>
          </w:p>
        </w:tc>
        <w:tc>
          <w:tcPr>
            <w:tcW w:w="8240" w:type="dxa"/>
            <w:vAlign w:val="bottom"/>
            <w:shd w:val="clear" w:color="auto" w:fill="CCEEFF"/>
          </w:tcPr>
          <w:p>
            <w:pPr>
              <w:ind w:left="1540"/>
              <w:spacing w:after="0"/>
              <w:rPr>
                <w:sz w:val="20"/>
                <w:szCs w:val="20"/>
                <w:color w:val="auto"/>
              </w:rPr>
            </w:pPr>
            <w:r>
              <w:rPr>
                <w:rFonts w:ascii="Arial" w:cs="Arial" w:eastAsia="Arial" w:hAnsi="Arial"/>
                <w:sz w:val="13"/>
                <w:szCs w:val="13"/>
                <w:color w:val="auto"/>
              </w:rPr>
              <w:t>Director (appointed 1 July 2021)</w:t>
            </w:r>
          </w:p>
        </w:tc>
      </w:tr>
      <w:tr>
        <w:trPr>
          <w:trHeight w:val="24"/>
        </w:trPr>
        <w:tc>
          <w:tcPr>
            <w:tcW w:w="3040" w:type="dxa"/>
            <w:vAlign w:val="bottom"/>
            <w:shd w:val="clear" w:color="auto" w:fill="CCEEFF"/>
          </w:tcPr>
          <w:p>
            <w:pPr>
              <w:spacing w:after="0"/>
              <w:rPr>
                <w:sz w:val="2"/>
                <w:szCs w:val="2"/>
                <w:color w:val="auto"/>
              </w:rPr>
            </w:pPr>
          </w:p>
        </w:tc>
        <w:tc>
          <w:tcPr>
            <w:tcW w:w="8240" w:type="dxa"/>
            <w:vAlign w:val="bottom"/>
            <w:shd w:val="clear" w:color="auto" w:fill="CCEEFF"/>
          </w:tcPr>
          <w:p>
            <w:pPr>
              <w:spacing w:after="0"/>
              <w:rPr>
                <w:sz w:val="2"/>
                <w:szCs w:val="2"/>
                <w:color w:val="auto"/>
              </w:rPr>
            </w:pPr>
          </w:p>
        </w:tc>
      </w:tr>
    </w:tbl>
    <w:p>
      <w:pPr>
        <w:spacing w:after="0" w:line="46" w:lineRule="exact"/>
        <w:rPr>
          <w:sz w:val="20"/>
          <w:szCs w:val="20"/>
          <w:color w:val="auto"/>
        </w:rPr>
      </w:pPr>
    </w:p>
    <w:p>
      <w:pPr>
        <w:ind w:left="260" w:hanging="255"/>
        <w:spacing w:after="0"/>
        <w:tabs>
          <w:tab w:leader="none" w:pos="260" w:val="left"/>
        </w:tabs>
        <w:numPr>
          <w:ilvl w:val="0"/>
          <w:numId w:val="14"/>
        </w:numPr>
        <w:rPr>
          <w:rFonts w:ascii="Arial" w:cs="Arial" w:eastAsia="Arial" w:hAnsi="Arial"/>
          <w:sz w:val="17"/>
          <w:szCs w:val="17"/>
          <w:color w:val="auto"/>
          <w:vertAlign w:val="superscript"/>
        </w:rPr>
      </w:pPr>
      <w:r>
        <w:rPr>
          <w:rFonts w:ascii="Arial" w:cs="Arial" w:eastAsia="Arial" w:hAnsi="Arial"/>
          <w:sz w:val="13"/>
          <w:szCs w:val="13"/>
          <w:color w:val="auto"/>
        </w:rPr>
        <w:t>Executive Officer of the Company.</w:t>
      </w:r>
    </w:p>
    <w:p>
      <w:pPr>
        <w:spacing w:after="0" w:line="3" w:lineRule="exact"/>
        <w:rPr>
          <w:rFonts w:ascii="Arial" w:cs="Arial" w:eastAsia="Arial" w:hAnsi="Arial"/>
          <w:sz w:val="17"/>
          <w:szCs w:val="17"/>
          <w:color w:val="auto"/>
          <w:vertAlign w:val="superscript"/>
        </w:rPr>
      </w:pPr>
    </w:p>
    <w:p>
      <w:pPr>
        <w:ind w:left="260" w:hanging="255"/>
        <w:spacing w:after="0" w:line="190" w:lineRule="auto"/>
        <w:tabs>
          <w:tab w:leader="none" w:pos="260" w:val="left"/>
        </w:tabs>
        <w:numPr>
          <w:ilvl w:val="0"/>
          <w:numId w:val="14"/>
        </w:numPr>
        <w:rPr>
          <w:rFonts w:ascii="Arial" w:cs="Arial" w:eastAsia="Arial" w:hAnsi="Arial"/>
          <w:sz w:val="17"/>
          <w:szCs w:val="17"/>
          <w:color w:val="auto"/>
          <w:vertAlign w:val="superscript"/>
        </w:rPr>
      </w:pPr>
      <w:r>
        <w:rPr>
          <w:rFonts w:ascii="Arial" w:cs="Arial" w:eastAsia="Arial" w:hAnsi="Arial"/>
          <w:sz w:val="13"/>
          <w:szCs w:val="13"/>
          <w:color w:val="auto"/>
        </w:rPr>
        <w:t>Member of Compensation and Organisation Committee.</w:t>
      </w:r>
    </w:p>
    <w:p>
      <w:pPr>
        <w:spacing w:after="0" w:line="4" w:lineRule="exact"/>
        <w:rPr>
          <w:rFonts w:ascii="Arial" w:cs="Arial" w:eastAsia="Arial" w:hAnsi="Arial"/>
          <w:sz w:val="17"/>
          <w:szCs w:val="17"/>
          <w:color w:val="auto"/>
          <w:vertAlign w:val="superscript"/>
        </w:rPr>
      </w:pPr>
    </w:p>
    <w:p>
      <w:pPr>
        <w:ind w:left="260" w:hanging="255"/>
        <w:spacing w:after="0" w:line="190" w:lineRule="auto"/>
        <w:tabs>
          <w:tab w:leader="none" w:pos="260" w:val="left"/>
        </w:tabs>
        <w:numPr>
          <w:ilvl w:val="0"/>
          <w:numId w:val="14"/>
        </w:numPr>
        <w:rPr>
          <w:rFonts w:ascii="Arial" w:cs="Arial" w:eastAsia="Arial" w:hAnsi="Arial"/>
          <w:sz w:val="17"/>
          <w:szCs w:val="17"/>
          <w:color w:val="auto"/>
          <w:vertAlign w:val="superscript"/>
        </w:rPr>
      </w:pPr>
      <w:r>
        <w:rPr>
          <w:rFonts w:ascii="Arial" w:cs="Arial" w:eastAsia="Arial" w:hAnsi="Arial"/>
          <w:sz w:val="13"/>
          <w:szCs w:val="13"/>
          <w:color w:val="auto"/>
        </w:rPr>
        <w:t>Member of Audit Committee.</w:t>
      </w:r>
    </w:p>
    <w:p>
      <w:pPr>
        <w:spacing w:after="0" w:line="4" w:lineRule="exact"/>
        <w:rPr>
          <w:rFonts w:ascii="Arial" w:cs="Arial" w:eastAsia="Arial" w:hAnsi="Arial"/>
          <w:sz w:val="17"/>
          <w:szCs w:val="17"/>
          <w:color w:val="auto"/>
          <w:vertAlign w:val="superscript"/>
        </w:rPr>
      </w:pPr>
    </w:p>
    <w:p>
      <w:pPr>
        <w:ind w:left="260" w:hanging="255"/>
        <w:spacing w:after="0" w:line="182" w:lineRule="auto"/>
        <w:tabs>
          <w:tab w:leader="none" w:pos="260" w:val="left"/>
        </w:tabs>
        <w:numPr>
          <w:ilvl w:val="0"/>
          <w:numId w:val="14"/>
        </w:numPr>
        <w:rPr>
          <w:rFonts w:ascii="Arial" w:cs="Arial" w:eastAsia="Arial" w:hAnsi="Arial"/>
          <w:sz w:val="17"/>
          <w:szCs w:val="17"/>
          <w:color w:val="auto"/>
          <w:vertAlign w:val="superscript"/>
        </w:rPr>
      </w:pPr>
      <w:r>
        <w:rPr>
          <w:rFonts w:ascii="Arial" w:cs="Arial" w:eastAsia="Arial" w:hAnsi="Arial"/>
          <w:sz w:val="13"/>
          <w:szCs w:val="13"/>
          <w:color w:val="auto"/>
        </w:rPr>
        <w:t>Member of Nominating, Sustainability and Governance Committee.</w:t>
      </w:r>
    </w:p>
    <w:p>
      <w:pPr>
        <w:ind w:left="260" w:hanging="255"/>
        <w:spacing w:after="0" w:line="190" w:lineRule="auto"/>
        <w:tabs>
          <w:tab w:leader="none" w:pos="260" w:val="left"/>
        </w:tabs>
        <w:numPr>
          <w:ilvl w:val="0"/>
          <w:numId w:val="14"/>
        </w:numPr>
        <w:rPr>
          <w:rFonts w:ascii="Arial" w:cs="Arial" w:eastAsia="Arial" w:hAnsi="Arial"/>
          <w:sz w:val="17"/>
          <w:szCs w:val="17"/>
          <w:color w:val="auto"/>
          <w:vertAlign w:val="superscript"/>
        </w:rPr>
      </w:pPr>
      <w:r>
        <w:rPr>
          <w:rFonts w:ascii="Arial" w:cs="Arial" w:eastAsia="Arial" w:hAnsi="Arial"/>
          <w:sz w:val="13"/>
          <w:szCs w:val="13"/>
          <w:color w:val="auto"/>
        </w:rPr>
        <w:t>Member of Integration Committee.</w:t>
      </w:r>
    </w:p>
    <w:p>
      <w:pPr>
        <w:spacing w:after="0" w:line="4" w:lineRule="exact"/>
        <w:rPr>
          <w:rFonts w:ascii="Arial" w:cs="Arial" w:eastAsia="Arial" w:hAnsi="Arial"/>
          <w:sz w:val="17"/>
          <w:szCs w:val="17"/>
          <w:color w:val="auto"/>
          <w:vertAlign w:val="superscript"/>
        </w:rPr>
      </w:pPr>
    </w:p>
    <w:p>
      <w:pPr>
        <w:ind w:left="260" w:hanging="255"/>
        <w:spacing w:after="0" w:line="190" w:lineRule="auto"/>
        <w:tabs>
          <w:tab w:leader="none" w:pos="260" w:val="left"/>
        </w:tabs>
        <w:numPr>
          <w:ilvl w:val="0"/>
          <w:numId w:val="14"/>
        </w:numPr>
        <w:rPr>
          <w:rFonts w:ascii="Arial" w:cs="Arial" w:eastAsia="Arial" w:hAnsi="Arial"/>
          <w:sz w:val="17"/>
          <w:szCs w:val="17"/>
          <w:color w:val="auto"/>
          <w:vertAlign w:val="superscript"/>
        </w:rPr>
      </w:pPr>
      <w:r>
        <w:rPr>
          <w:rFonts w:ascii="Arial" w:cs="Arial" w:eastAsia="Arial" w:hAnsi="Arial"/>
          <w:sz w:val="13"/>
          <w:szCs w:val="13"/>
          <w:color w:val="auto"/>
        </w:rPr>
        <w:t>Member of Execution Committee.</w:t>
      </w:r>
    </w:p>
    <w:p>
      <w:pPr>
        <w:spacing w:after="0" w:line="183" w:lineRule="exact"/>
        <w:rPr>
          <w:sz w:val="20"/>
          <w:szCs w:val="20"/>
          <w:color w:val="auto"/>
        </w:rPr>
      </w:pPr>
    </w:p>
    <w:p>
      <w:pPr>
        <w:spacing w:after="0"/>
        <w:rPr>
          <w:sz w:val="20"/>
          <w:szCs w:val="20"/>
          <w:color w:val="auto"/>
        </w:rPr>
      </w:pPr>
      <w:r>
        <w:rPr>
          <w:rFonts w:ascii="Arial" w:cs="Arial" w:eastAsia="Arial" w:hAnsi="Arial"/>
          <w:sz w:val="13"/>
          <w:szCs w:val="13"/>
          <w:color w:val="auto"/>
        </w:rPr>
        <w:t>As a result of the Merger, Mr. Colin Shannon and Dr. Linda Grais, who both served on the PRA Board, joined ICON’s Board of Directors with effect from 1 July 2021.</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Details required by Companies Act, section 329, of Directors’ interests in the Group’s shares are set out in </w:t>
      </w:r>
      <w:r>
        <w:rPr>
          <w:rFonts w:ascii="Arial" w:cs="Arial" w:eastAsia="Arial" w:hAnsi="Arial"/>
          <w:sz w:val="13"/>
          <w:szCs w:val="13"/>
          <w:i w:val="1"/>
          <w:iCs w:val="1"/>
          <w:color w:val="auto"/>
        </w:rPr>
        <w:t>note 9</w:t>
      </w:r>
      <w:r>
        <w:rPr>
          <w:rFonts w:ascii="Arial" w:cs="Arial" w:eastAsia="Arial" w:hAnsi="Arial"/>
          <w:sz w:val="13"/>
          <w:szCs w:val="13"/>
          <w:color w:val="auto"/>
        </w:rPr>
        <w:t xml:space="preserve"> to the Consolidated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Directors’ remuneration</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Details of the Directors’ remuneration and interests are set out in </w:t>
      </w:r>
      <w:r>
        <w:rPr>
          <w:rFonts w:ascii="Arial" w:cs="Arial" w:eastAsia="Arial" w:hAnsi="Arial"/>
          <w:sz w:val="13"/>
          <w:szCs w:val="13"/>
          <w:i w:val="1"/>
          <w:iCs w:val="1"/>
          <w:color w:val="auto"/>
        </w:rPr>
        <w:t>notes 3</w:t>
      </w:r>
      <w:r>
        <w:rPr>
          <w:rFonts w:ascii="Arial" w:cs="Arial" w:eastAsia="Arial" w:hAnsi="Arial"/>
          <w:sz w:val="13"/>
          <w:szCs w:val="13"/>
          <w:color w:val="auto"/>
        </w:rPr>
        <w:t xml:space="preserve"> and </w:t>
      </w:r>
      <w:r>
        <w:rPr>
          <w:rFonts w:ascii="Arial" w:cs="Arial" w:eastAsia="Arial" w:hAnsi="Arial"/>
          <w:sz w:val="13"/>
          <w:szCs w:val="13"/>
          <w:i w:val="1"/>
          <w:iCs w:val="1"/>
          <w:color w:val="auto"/>
        </w:rPr>
        <w:t>9</w:t>
      </w:r>
      <w:r>
        <w:rPr>
          <w:rFonts w:ascii="Arial" w:cs="Arial" w:eastAsia="Arial" w:hAnsi="Arial"/>
          <w:sz w:val="13"/>
          <w:szCs w:val="13"/>
          <w:color w:val="auto"/>
        </w:rPr>
        <w:t xml:space="preserve"> to the Consolidated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Directors’ power to purchase and allot company shares</w:t>
      </w:r>
    </w:p>
    <w:p>
      <w:pPr>
        <w:spacing w:after="0" w:line="20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Subject to the provisions of the Companies Act, the Company may purchase any of its own shares. Every contract for the purchase of shares, or under which the Company may become entitled or obliged to purchase shares in the Company shall be authorised by a special resolution of the Company. The Company may cancel any shares so purchased or may hold them as treasury shares or re-issue them.</w:t>
      </w:r>
    </w:p>
    <w:p>
      <w:pPr>
        <w:spacing w:after="0" w:line="170"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A resolution was passed at the Company’s Annual General Meeting (“AGM”) on 22 July 2016, which authorised the Directors to purchase (buyback) up to 10% of the outstanding shares in the Company. This authorisation was renewed at the Company's AGM on each of 25 July 2017, 24 July 2018, 23 July 2019, 21 July 2020 and 20 July 2021. On 3 October 2016, the Company commenced a share buyback programme of up to $400 million. The share buyback programme was completed during the year ended 31 December 2018 with a total of 4,026,576 ordinary shares redeemed for a total consideration of $372.1 million. On 8 January 2019, the Company commenced a further share buyback programme of up to 1,000,000 ordinary shares which was completed during the year ended 31 December 2019. These shares were redeemed by the Company for a total consideration of $141.6 million. On 22 October 2019, the Company commenced a further share buyback programme. At 31 December 2019, 35,100 ordinary shares were redeemed by the Company under this programme for a total consideration of $5.3 million. During the year ended 31 December 2020, 1,235,218 ordinary shares were redeemed by the Company under this buyback programme for a total consideration of $175.0 million. No ordinary shares were redeemed by the Company during the year ended 31 December 2021.</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280"/>
          </w:cols>
          <w:pgMar w:left="300" w:top="889" w:right="31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All ordinary shares that are redeemed under the buyback programme will be cancelled in accordance with the constitutional documents of the Company and the nominal value of these shares transferred to an undenominated capital fund as required under Irish Company law.</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Rights and Obligations attaching to the Company’s shares</w:t>
      </w:r>
    </w:p>
    <w:p>
      <w:pPr>
        <w:spacing w:after="0" w:line="201"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The authorised share capital of the Company is €6,000,000 divided into 100,000,000 ordinary shares of €0.06 at 31 December 2021. Holders of ordinary shares will be entitled to receive such dividends as may be recommended by the Board of Directors of the Company and approved by the shareholders and/or such interim dividends as the Board of Directors of the Company may decide. On liquidation or a winding up of the Company, all assets available for distribution will be paid out to the holders of the Company's ordinary shares. Holders of ordinary shares have no conversion or redemption rights. On a show of hands, every holder of an ordinary share present in person or proxy at a general meeting of shareholders shall have one vote with no individual having more than one vote.</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Change of control</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A certain number of the Group’s customer contracts allow the customer to terminate the contract in the event of a change in control of the Company.</w:t>
      </w:r>
    </w:p>
    <w:p>
      <w:pPr>
        <w:jc w:val="both"/>
        <w:spacing w:after="0" w:line="264" w:lineRule="auto"/>
        <w:rPr>
          <w:sz w:val="20"/>
          <w:szCs w:val="20"/>
          <w:color w:val="auto"/>
        </w:rPr>
      </w:pPr>
      <w:r>
        <w:rPr>
          <w:rFonts w:ascii="Arial" w:cs="Arial" w:eastAsia="Arial" w:hAnsi="Arial"/>
          <w:sz w:val="13"/>
          <w:szCs w:val="13"/>
          <w:color w:val="auto"/>
        </w:rPr>
        <w:t xml:space="preserve">The Senior Secured Credit Facilities, details of which are set out in </w:t>
      </w:r>
      <w:r>
        <w:rPr>
          <w:rFonts w:ascii="Arial" w:cs="Arial" w:eastAsia="Arial" w:hAnsi="Arial"/>
          <w:sz w:val="13"/>
          <w:szCs w:val="13"/>
          <w:i w:val="1"/>
          <w:iCs w:val="1"/>
          <w:color w:val="auto"/>
        </w:rPr>
        <w:t>note 23</w:t>
      </w:r>
      <w:r>
        <w:rPr>
          <w:rFonts w:ascii="Arial" w:cs="Arial" w:eastAsia="Arial" w:hAnsi="Arial"/>
          <w:sz w:val="13"/>
          <w:szCs w:val="13"/>
          <w:color w:val="auto"/>
        </w:rPr>
        <w:t xml:space="preserve"> to the Consolidated Financial Statements, provides that, upon the occurrence of a change of control, the obligations thereunder may be accelerated.</w:t>
      </w:r>
    </w:p>
    <w:p>
      <w:pPr>
        <w:spacing w:after="0" w:line="168"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Furthermore, certain Group companies have entered capital grant agreements with the Irish government agency, Enterprise Ireland, whereby the Group covenants that the controlling interest in the Company will not change without Enterprise Ireland’s prior written consent, which will not be unreasonably withheld.</w:t>
      </w:r>
    </w:p>
    <w:p>
      <w:pPr>
        <w:spacing w:after="0" w:line="157"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Additionally, the Company's share option and restricted share unit plans contain change in control provisions which provide for the acceleration of the vesting and exercisability of outstanding options and awards of restricted share units in the event that a change in control occurs with respect to the Company.</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Corporate Governance</w:t>
      </w:r>
    </w:p>
    <w:p>
      <w:pPr>
        <w:spacing w:after="0" w:line="20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Company is listed on the NASDAQ Global Select Market. The Company complies with the corporate governance listing requirements under the NASDAQ marketplace rules. NASDAQ may provide exemptions from certain NASDAQ corporate governance standards to a foreign private issuer in certain circumstances provided that the foreign private issuer properly notifies NASDAQ and makes the required disclosure except to the extent that such exemptions would be contrary to United States federal securities laws.</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color w:val="auto"/>
        </w:rPr>
        <w:t>The exemptions that the Company relies on, and the practices the Company adheres to, are as follows:</w:t>
      </w:r>
    </w:p>
    <w:p>
      <w:pPr>
        <w:spacing w:after="0" w:line="201" w:lineRule="exact"/>
        <w:rPr>
          <w:sz w:val="20"/>
          <w:szCs w:val="20"/>
          <w:color w:val="auto"/>
        </w:rPr>
      </w:pPr>
    </w:p>
    <w:p>
      <w:pPr>
        <w:jc w:val="both"/>
        <w:ind w:left="760" w:hanging="246"/>
        <w:spacing w:after="0" w:line="259" w:lineRule="auto"/>
        <w:tabs>
          <w:tab w:leader="none" w:pos="751"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Company is exempt from provisions set forth in NASDAQ Rule 5620(c), which requires each issuer (other than limited partnerships) to provide for a quorum in its by-laws for any meeting of the holders of common stock, which shall in no case be less than 33.33% of the outstanding shares of the issuer’s common voting stock. The Company’s Constitution requires that only 3 members be present, in person or by proxy, at a shareholder meeting to constitute a quorum. This quorum requirement is in accordance with Irish law and generally accepted business practices in Ireland.</w:t>
      </w:r>
    </w:p>
    <w:p>
      <w:pPr>
        <w:spacing w:after="0" w:line="171" w:lineRule="exact"/>
        <w:rPr>
          <w:rFonts w:ascii="Arial" w:cs="Arial" w:eastAsia="Arial" w:hAnsi="Arial"/>
          <w:sz w:val="13"/>
          <w:szCs w:val="13"/>
          <w:color w:val="auto"/>
        </w:rPr>
      </w:pPr>
    </w:p>
    <w:p>
      <w:pPr>
        <w:jc w:val="both"/>
        <w:ind w:left="760" w:hanging="246"/>
        <w:spacing w:after="0" w:line="262" w:lineRule="auto"/>
        <w:tabs>
          <w:tab w:leader="none" w:pos="751"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Company is exempt from provisions set forth in NASDAQ Rule 5635(c) which requires (other than for certain specified exceptions) shareholder approval prior to the establishment or material amendment of a stock option or purchase plan or other equity compensation arrangement made or materially amended, pursuant to which stock may be acquired by officers, Directors, employees or consultants. Irish law does not require shareholder approval with respect to equity compensation arrangements. Accordingly, the 2019 Consultants and Directors Restricted Share Unit Plan, the 2013 Employees Restricted Share Unit Plan and the amendments to the Employee Share Option Plan 2008 and Consultants Share Option Plan 2008 were adopted by the Board of Directors without shareholder approval.</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280"/>
          </w:cols>
          <w:pgMar w:left="300" w:top="889" w:right="31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left="760" w:hanging="246"/>
        <w:spacing w:after="0" w:line="259" w:lineRule="auto"/>
        <w:tabs>
          <w:tab w:leader="none" w:pos="751"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Company is exempt from provisions set forth in NASDAQ Rule 5605(b)(2), which requires independent Directors to hold regularly scheduled meetings at which only independent Directors are present. Irish law does not require independent Directors to hold regularly scheduled meetings at which only independent Directors are present. The Company holds regularly scheduled meetings which all of the Directors may attend and the Lead Independent Director may call meetings of the independent Directors and non-employee Directors of the Board, as appropriate, in accordance with the Lead Independent Director Charter.</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color w:val="auto"/>
        </w:rPr>
        <w:t>The Company's practices with regard to these requirements are not prohibited by Irish law.</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Audit Committee</w:t>
      </w:r>
    </w:p>
    <w:p>
      <w:pPr>
        <w:spacing w:after="0" w:line="201"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The Audit Committee meets a minimum of four times a year. It reviews the quarterly and annual financial statements, the effectiveness of the system of internal control (including the arrangement for the Company’s employees to raise concerns in confidence about financial inappropriateness) and recommends the appointment and removal of the external auditors. It monitors the adequacy of internal accounting practices and addresses all issues raised and recommendations made by the external auditors. The Audit Committee pre-approves all audit and non-audit services provided to the Company by its external auditors on a quarterly basis. The Audit Committee, on a case by case basis, may approve additional services not covered by the quarterly pre-approval, as the need for such services arises. The Audit Committee reviews all services which are provided by the external auditor to review the independence and objectivity of the external auditor, taking into consideration relevant professional and regulatory requirements. The Chief Financial Officer, the Head of Internal Audit, the Chief Administrative Officer and General Counsel and the external auditors normally attend all meetings of the Audit Committee and have direct access to the Committee Chair at all times. At 31 December 2021, the Audit Committee was comprised of three independent Directors: Rónán Murphy (Chair), Professor Hugh Brady and Eugene McCague.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600" w:type="dxa"/>
            <w:vAlign w:val="bottom"/>
          </w:tcPr>
          <w:p>
            <w:pPr>
              <w:spacing w:after="0"/>
              <w:rPr>
                <w:sz w:val="20"/>
                <w:szCs w:val="20"/>
                <w:color w:val="auto"/>
              </w:rPr>
            </w:pPr>
            <w:r>
              <w:rPr>
                <w:rFonts w:ascii="Arial" w:cs="Arial" w:eastAsia="Arial" w:hAnsi="Arial"/>
                <w:sz w:val="13"/>
                <w:szCs w:val="13"/>
                <w:b w:val="1"/>
                <w:bCs w:val="1"/>
                <w:color w:val="auto"/>
              </w:rPr>
              <w:t>Significant shareholdings</w:t>
            </w:r>
          </w:p>
        </w:tc>
        <w:tc>
          <w:tcPr>
            <w:tcW w:w="104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344"/>
        </w:trPr>
        <w:tc>
          <w:tcPr>
            <w:tcW w:w="8600" w:type="dxa"/>
            <w:vAlign w:val="bottom"/>
          </w:tcPr>
          <w:p>
            <w:pPr>
              <w:spacing w:after="0"/>
              <w:rPr>
                <w:sz w:val="20"/>
                <w:szCs w:val="20"/>
                <w:color w:val="auto"/>
              </w:rPr>
            </w:pPr>
            <w:r>
              <w:rPr>
                <w:rFonts w:ascii="Arial" w:cs="Arial" w:eastAsia="Arial" w:hAnsi="Arial"/>
                <w:sz w:val="13"/>
                <w:szCs w:val="13"/>
                <w:color w:val="auto"/>
              </w:rPr>
              <w:t>The Company has been notified of the following shareholdings in excess of 3% of the issued share capital of the Company as at 31 December 2021:</w:t>
            </w:r>
          </w:p>
        </w:tc>
        <w:tc>
          <w:tcPr>
            <w:tcW w:w="10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87"/>
        </w:trPr>
        <w:tc>
          <w:tcPr>
            <w:tcW w:w="86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640" w:type="dxa"/>
            <w:vAlign w:val="bottom"/>
          </w:tcPr>
          <w:p>
            <w:pPr>
              <w:spacing w:after="0"/>
              <w:rPr>
                <w:sz w:val="7"/>
                <w:szCs w:val="7"/>
                <w:color w:val="auto"/>
              </w:rPr>
            </w:pPr>
          </w:p>
        </w:tc>
      </w:tr>
      <w:tr>
        <w:trPr>
          <w:trHeight w:val="170"/>
        </w:trPr>
        <w:tc>
          <w:tcPr>
            <w:tcW w:w="86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1040" w:type="dxa"/>
            <w:vAlign w:val="bottom"/>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Number of Shares</w:t>
            </w:r>
          </w:p>
        </w:tc>
      </w:tr>
      <w:tr>
        <w:trPr>
          <w:trHeight w:val="202"/>
        </w:trPr>
        <w:tc>
          <w:tcPr>
            <w:tcW w:w="86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r>
      <w:tr>
        <w:trPr>
          <w:trHeight w:val="159"/>
        </w:trPr>
        <w:tc>
          <w:tcPr>
            <w:tcW w:w="8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WCM Investment Management</w:t>
            </w:r>
          </w:p>
        </w:tc>
        <w:tc>
          <w:tcPr>
            <w:tcW w:w="104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color w:val="auto"/>
              </w:rPr>
              <w:t>8.80</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7,179,979</w:t>
            </w:r>
          </w:p>
        </w:tc>
      </w:tr>
      <w:tr>
        <w:trPr>
          <w:trHeight w:val="160"/>
        </w:trPr>
        <w:tc>
          <w:tcPr>
            <w:tcW w:w="86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MFS Investment Management</w:t>
            </w:r>
          </w:p>
        </w:tc>
        <w:tc>
          <w:tcPr>
            <w:tcW w:w="104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color w:val="auto"/>
              </w:rPr>
              <w:t>8.32</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6,785,703</w:t>
            </w:r>
          </w:p>
        </w:tc>
      </w:tr>
      <w:tr>
        <w:trPr>
          <w:trHeight w:val="160"/>
        </w:trPr>
        <w:tc>
          <w:tcPr>
            <w:tcW w:w="8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Wellington Management Company LLP</w:t>
            </w:r>
          </w:p>
        </w:tc>
        <w:tc>
          <w:tcPr>
            <w:tcW w:w="104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color w:val="auto"/>
              </w:rPr>
              <w:t>6.32</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5,154,597</w:t>
            </w:r>
          </w:p>
        </w:tc>
      </w:tr>
      <w:tr>
        <w:trPr>
          <w:trHeight w:val="162"/>
        </w:trPr>
        <w:tc>
          <w:tcPr>
            <w:tcW w:w="8600" w:type="dxa"/>
            <w:vAlign w:val="bottom"/>
            <w:tcBorders>
              <w:bottom w:val="single" w:sz="8" w:color="auto"/>
            </w:tcBorders>
          </w:tcPr>
          <w:p>
            <w:pPr>
              <w:ind w:left="20"/>
              <w:spacing w:after="0" w:line="161" w:lineRule="exact"/>
              <w:rPr>
                <w:sz w:val="20"/>
                <w:szCs w:val="20"/>
                <w:color w:val="auto"/>
              </w:rPr>
            </w:pPr>
            <w:r>
              <w:rPr>
                <w:rFonts w:ascii="Arial" w:cs="Arial" w:eastAsia="Arial" w:hAnsi="Arial"/>
                <w:sz w:val="13"/>
                <w:szCs w:val="13"/>
                <w:color w:val="auto"/>
              </w:rPr>
              <w:t xml:space="preserve">All Directors and Officers as a group </w:t>
            </w:r>
            <w:r>
              <w:rPr>
                <w:rFonts w:ascii="Arial" w:cs="Arial" w:eastAsia="Arial" w:hAnsi="Arial"/>
                <w:sz w:val="16"/>
                <w:szCs w:val="16"/>
                <w:color w:val="auto"/>
                <w:vertAlign w:val="superscript"/>
              </w:rPr>
              <w:t>(1)</w:t>
            </w:r>
          </w:p>
        </w:tc>
        <w:tc>
          <w:tcPr>
            <w:tcW w:w="104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color w:val="auto"/>
              </w:rPr>
              <w:t>1.39</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1,129,726</w:t>
            </w:r>
          </w:p>
        </w:tc>
      </w:tr>
    </w:tbl>
    <w:p>
      <w:pPr>
        <w:spacing w:after="0" w:line="255" w:lineRule="exact"/>
        <w:rPr>
          <w:sz w:val="20"/>
          <w:szCs w:val="20"/>
          <w:color w:val="auto"/>
        </w:rPr>
      </w:pPr>
    </w:p>
    <w:p>
      <w:pPr>
        <w:jc w:val="both"/>
        <w:ind w:left="260" w:hanging="255"/>
        <w:spacing w:after="0"/>
        <w:tabs>
          <w:tab w:leader="none" w:pos="255" w:val="left"/>
        </w:tabs>
        <w:numPr>
          <w:ilvl w:val="0"/>
          <w:numId w:val="17"/>
        </w:numPr>
        <w:rPr>
          <w:rFonts w:ascii="Arial" w:cs="Arial" w:eastAsia="Arial" w:hAnsi="Arial"/>
          <w:sz w:val="17"/>
          <w:szCs w:val="17"/>
          <w:color w:val="auto"/>
          <w:vertAlign w:val="superscript"/>
        </w:rPr>
      </w:pPr>
      <w:r>
        <w:rPr>
          <w:rFonts w:ascii="Arial" w:cs="Arial" w:eastAsia="Arial" w:hAnsi="Arial"/>
          <w:sz w:val="13"/>
          <w:szCs w:val="13"/>
          <w:color w:val="auto"/>
        </w:rPr>
        <w:t>Includes 430,451 ordinary shares issuable upon the exercise of stock options granted by the Company, 33,568 restricted stock units (“RSUs”) awarded by the Company to Directors, officers and other key employees and 92,866 performance share units (“PSUs”) awarded by the Company to Directors, officers and other key employees. Of the issued PSUs, performance conditions will determine how many of them vest and, if performance targets are exceeded, additional PSUs will be issued and vest in accordance with the terms of the relevant PSU award, the figure included is the maximum amount of PSUs that may be issued.</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Subsidiary undertakings</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The information required by the Companies Act in relation to subsidiary undertakings is presented in </w:t>
      </w:r>
      <w:r>
        <w:rPr>
          <w:rFonts w:ascii="Arial" w:cs="Arial" w:eastAsia="Arial" w:hAnsi="Arial"/>
          <w:sz w:val="13"/>
          <w:szCs w:val="13"/>
          <w:i w:val="1"/>
          <w:iCs w:val="1"/>
          <w:color w:val="auto"/>
        </w:rPr>
        <w:t>note 32 Subsidiary undertakings</w:t>
      </w:r>
      <w:r>
        <w:rPr>
          <w:rFonts w:ascii="Arial" w:cs="Arial" w:eastAsia="Arial" w:hAnsi="Arial"/>
          <w:sz w:val="13"/>
          <w:szCs w:val="13"/>
          <w:color w:val="auto"/>
        </w:rPr>
        <w:t xml:space="preserve"> to the Consolidated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Political donations</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The Group made no disclosable political donations in the period.</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280"/>
          </w:cols>
          <w:pgMar w:left="300" w:top="889" w:right="31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Going concern</w:t>
      </w:r>
    </w:p>
    <w:p>
      <w:pPr>
        <w:spacing w:after="0" w:line="20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time period that the Directors have considered in evaluating the appropriateness of the going concern basis in preparing the 2021 Consolidated Financial Statements is a period of at least twelve months from the date of approval of these financial statements (the 'period of assessment').</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The Group has considerable financial resources and a large number of customers across different geographic areas. Having assessed the relevant business risks (see Appendix A) the Directors believe that the Group is well placed to manage these risks successfully and they have a reasonable expectation that ICON plc, and the Group as a whole, has adequate financial and other resources to continue in operational existence for the period of assessment with no material uncertainties. For this reason, the Group continues to adopt the going concern basis in preparing the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Accounting records</w:t>
      </w:r>
    </w:p>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The Directors are responsible for ensuring that adequate accounting records as outlined in Section 281-285 of the Companies Act, are kept by the Company. The Directors are also responsible for the preparation of the Annual Report. The Directors have appointed professionally qualified accounting personnel with appropriate expertise and have provided adequate resources to the finance function in order to ensure that those requirements are met. The accounting records of the Company are maintained at the Group’s principal executive offices at its registered office at South County Business Park, Leopardstown, Dublin 18.</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Statement of relevant audit information</w:t>
      </w:r>
    </w:p>
    <w:p>
      <w:pPr>
        <w:spacing w:after="0" w:line="201"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Directors believe that they have taken all steps necessary to make themselves aware of any relevant audit information and have established that the Company's statutory auditors are aware of that information. In so far as they are aware, there is no relevant audit information of which the Company's statutory auditors are unaware.</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Disclosure of non-financial information</w:t>
      </w:r>
    </w:p>
    <w:p>
      <w:pPr>
        <w:spacing w:after="0" w:line="137"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European Union (Disclosure of Non-Financial and Diversity Information by certain large undertakings and groups) Regulations 2017 require disclosure of certain non-financial information by certain large undertakings and groups.</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color w:val="auto"/>
        </w:rPr>
        <w:t>We have sought to address the requirements of the legislation in the sections following.</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Business Model</w:t>
      </w:r>
    </w:p>
    <w:p>
      <w:pPr>
        <w:spacing w:after="0" w:line="148"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Our mission is to improve the lives of patients by accelerating the development of our customers’ drugs and devices through innovative solutions. We help our customers deliver life-changing medicines by being innovative in our solutions, collaborative in how we work as teams, accountable for the results we achieve and committed to doing the right thing for our customers and the patients they serve. We are advancing clinical research while offering customers broader and deeper experience, scale, and focus, complemented by continuity of delivery and speed to market. The completion of our Acquisition of PRA Health Sciences in July 2021 marked the birth of the new ICON and the start of work to unify two global leaders in healthcare intelligence and clinical research. The new ICON remains committed to responsible and sustainable business practices. We believe that business should not only operate in compliance with applicable laws, rules, and regulations, but that our behaviours should also address underlying societal concerns.</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color w:val="auto"/>
        </w:rPr>
        <w:t>Our business model is described in the ‘Principal activities, business review and future developments’ section of the Directors’ Report.</w:t>
      </w:r>
    </w:p>
    <w:p>
      <w:pPr>
        <w:spacing w:after="0" w:line="137"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Our core values underpin our mission and drive a culture and mind-set of ownership at ICON. "Own It @ ICON" is a statement of values that has remained at the very heart of ICON’s culture, encouraging our people to seize the opportunity and bring flexibility, innovation, and determination to every situation. We believe our culture of ownership personifies who we are as a company — it also helps us apply our expertise, collaborate to get things done, and succeed at our mission. ICON is redefining the company values to take the best of both ICON and PRA values. The Board approved the new values in December 2021 with a roll out plan during 2022.</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ICON values during 2021 were:</w:t>
      </w:r>
    </w:p>
    <w:p>
      <w:pPr>
        <w:spacing w:after="0" w:line="18" w:lineRule="exact"/>
        <w:rPr>
          <w:sz w:val="20"/>
          <w:szCs w:val="20"/>
          <w:color w:val="auto"/>
        </w:rPr>
      </w:pPr>
    </w:p>
    <w:p>
      <w:pPr>
        <w:ind w:left="1020" w:hanging="251"/>
        <w:spacing w:after="0"/>
        <w:tabs>
          <w:tab w:leader="none" w:pos="1020" w:val="left"/>
        </w:tabs>
        <w:numPr>
          <w:ilvl w:val="0"/>
          <w:numId w:val="18"/>
        </w:numPr>
        <w:rPr>
          <w:rFonts w:ascii="Arial" w:cs="Arial" w:eastAsia="Arial" w:hAnsi="Arial"/>
          <w:sz w:val="13"/>
          <w:szCs w:val="13"/>
          <w:color w:val="auto"/>
        </w:rPr>
      </w:pPr>
      <w:r>
        <w:rPr>
          <w:rFonts w:ascii="Arial" w:cs="Arial" w:eastAsia="Arial" w:hAnsi="Arial"/>
          <w:sz w:val="13"/>
          <w:szCs w:val="13"/>
          <w:b w:val="1"/>
          <w:bCs w:val="1"/>
          <w:color w:val="auto"/>
        </w:rPr>
        <w:t xml:space="preserve">Accountability &amp; delivery: </w:t>
      </w:r>
      <w:r>
        <w:rPr>
          <w:rFonts w:ascii="Arial" w:cs="Arial" w:eastAsia="Arial" w:hAnsi="Arial"/>
          <w:sz w:val="13"/>
          <w:szCs w:val="13"/>
          <w:color w:val="auto"/>
        </w:rPr>
        <w:t>We take pride in what we do.</w:t>
      </w:r>
    </w:p>
    <w:p>
      <w:pPr>
        <w:spacing w:after="0" w:line="2" w:lineRule="exact"/>
        <w:rPr>
          <w:rFonts w:ascii="Arial" w:cs="Arial" w:eastAsia="Arial" w:hAnsi="Arial"/>
          <w:sz w:val="13"/>
          <w:szCs w:val="13"/>
          <w:color w:val="auto"/>
        </w:rPr>
      </w:pPr>
    </w:p>
    <w:p>
      <w:pPr>
        <w:ind w:left="1020" w:hanging="251"/>
        <w:spacing w:after="0"/>
        <w:tabs>
          <w:tab w:leader="none" w:pos="1020" w:val="left"/>
        </w:tabs>
        <w:numPr>
          <w:ilvl w:val="0"/>
          <w:numId w:val="18"/>
        </w:numPr>
        <w:rPr>
          <w:rFonts w:ascii="Arial" w:cs="Arial" w:eastAsia="Arial" w:hAnsi="Arial"/>
          <w:sz w:val="13"/>
          <w:szCs w:val="13"/>
          <w:color w:val="auto"/>
        </w:rPr>
      </w:pPr>
      <w:r>
        <w:rPr>
          <w:rFonts w:ascii="Arial" w:cs="Arial" w:eastAsia="Arial" w:hAnsi="Arial"/>
          <w:sz w:val="13"/>
          <w:szCs w:val="13"/>
          <w:b w:val="1"/>
          <w:bCs w:val="1"/>
          <w:color w:val="auto"/>
        </w:rPr>
        <w:t xml:space="preserve">Collaboration: </w:t>
      </w:r>
      <w:r>
        <w:rPr>
          <w:rFonts w:ascii="Arial" w:cs="Arial" w:eastAsia="Arial" w:hAnsi="Arial"/>
          <w:sz w:val="13"/>
          <w:szCs w:val="13"/>
          <w:color w:val="auto"/>
        </w:rPr>
        <w:t>We are one team.</w:t>
      </w:r>
    </w:p>
    <w:p>
      <w:pPr>
        <w:ind w:left="1020" w:hanging="251"/>
        <w:spacing w:after="0"/>
        <w:tabs>
          <w:tab w:leader="none" w:pos="1020" w:val="left"/>
        </w:tabs>
        <w:numPr>
          <w:ilvl w:val="0"/>
          <w:numId w:val="18"/>
        </w:numPr>
        <w:rPr>
          <w:rFonts w:ascii="Arial" w:cs="Arial" w:eastAsia="Arial" w:hAnsi="Arial"/>
          <w:sz w:val="13"/>
          <w:szCs w:val="13"/>
          <w:color w:val="auto"/>
        </w:rPr>
      </w:pPr>
      <w:r>
        <w:rPr>
          <w:rFonts w:ascii="Arial" w:cs="Arial" w:eastAsia="Arial" w:hAnsi="Arial"/>
          <w:sz w:val="13"/>
          <w:szCs w:val="13"/>
          <w:b w:val="1"/>
          <w:bCs w:val="1"/>
          <w:color w:val="auto"/>
        </w:rPr>
        <w:t xml:space="preserve">Partnership: </w:t>
      </w:r>
      <w:r>
        <w:rPr>
          <w:rFonts w:ascii="Arial" w:cs="Arial" w:eastAsia="Arial" w:hAnsi="Arial"/>
          <w:sz w:val="13"/>
          <w:szCs w:val="13"/>
          <w:color w:val="auto"/>
        </w:rPr>
        <w:t>We partner with our customers.</w:t>
      </w:r>
    </w:p>
    <w:p>
      <w:pPr>
        <w:spacing w:after="0" w:line="9" w:lineRule="exact"/>
        <w:rPr>
          <w:rFonts w:ascii="Arial" w:cs="Arial" w:eastAsia="Arial" w:hAnsi="Arial"/>
          <w:sz w:val="13"/>
          <w:szCs w:val="13"/>
          <w:color w:val="auto"/>
        </w:rPr>
      </w:pPr>
    </w:p>
    <w:p>
      <w:pPr>
        <w:ind w:left="1020" w:hanging="251"/>
        <w:spacing w:after="0"/>
        <w:tabs>
          <w:tab w:leader="none" w:pos="1020" w:val="left"/>
        </w:tabs>
        <w:numPr>
          <w:ilvl w:val="0"/>
          <w:numId w:val="18"/>
        </w:numPr>
        <w:rPr>
          <w:rFonts w:ascii="Arial" w:cs="Arial" w:eastAsia="Arial" w:hAnsi="Arial"/>
          <w:sz w:val="13"/>
          <w:szCs w:val="13"/>
          <w:color w:val="auto"/>
        </w:rPr>
      </w:pPr>
      <w:r>
        <w:rPr>
          <w:rFonts w:ascii="Arial" w:cs="Arial" w:eastAsia="Arial" w:hAnsi="Arial"/>
          <w:sz w:val="13"/>
          <w:szCs w:val="13"/>
          <w:b w:val="1"/>
          <w:bCs w:val="1"/>
          <w:color w:val="auto"/>
        </w:rPr>
        <w:t xml:space="preserve">Integrity: </w:t>
      </w:r>
      <w:r>
        <w:rPr>
          <w:rFonts w:ascii="Arial" w:cs="Arial" w:eastAsia="Arial" w:hAnsi="Arial"/>
          <w:sz w:val="13"/>
          <w:szCs w:val="13"/>
          <w:color w:val="auto"/>
        </w:rPr>
        <w:t>We do the right thing.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280"/>
          </w:cols>
          <w:pgMar w:left="300" w:top="889" w:right="31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refined ICON values being rolled out in 2022 are:</w:t>
      </w:r>
    </w:p>
    <w:p>
      <w:pPr>
        <w:spacing w:after="0" w:line="10" w:lineRule="exact"/>
        <w:rPr>
          <w:sz w:val="20"/>
          <w:szCs w:val="20"/>
          <w:color w:val="auto"/>
        </w:rPr>
      </w:pPr>
    </w:p>
    <w:p>
      <w:pPr>
        <w:ind w:left="1020" w:hanging="251"/>
        <w:spacing w:after="0"/>
        <w:tabs>
          <w:tab w:leader="none" w:pos="1020" w:val="left"/>
        </w:tabs>
        <w:numPr>
          <w:ilvl w:val="0"/>
          <w:numId w:val="19"/>
        </w:numPr>
        <w:rPr>
          <w:rFonts w:ascii="Arial" w:cs="Arial" w:eastAsia="Arial" w:hAnsi="Arial"/>
          <w:sz w:val="13"/>
          <w:szCs w:val="13"/>
          <w:color w:val="auto"/>
        </w:rPr>
      </w:pPr>
      <w:r>
        <w:rPr>
          <w:rFonts w:ascii="Arial" w:cs="Arial" w:eastAsia="Arial" w:hAnsi="Arial"/>
          <w:sz w:val="13"/>
          <w:szCs w:val="13"/>
          <w:b w:val="1"/>
          <w:bCs w:val="1"/>
          <w:color w:val="auto"/>
        </w:rPr>
        <w:t xml:space="preserve">Integrity: </w:t>
      </w:r>
      <w:r>
        <w:rPr>
          <w:rFonts w:ascii="Arial" w:cs="Arial" w:eastAsia="Arial" w:hAnsi="Arial"/>
          <w:sz w:val="13"/>
          <w:szCs w:val="13"/>
          <w:color w:val="auto"/>
        </w:rPr>
        <w:t>We always do the right thing.</w:t>
      </w:r>
    </w:p>
    <w:p>
      <w:pPr>
        <w:ind w:left="1020" w:hanging="251"/>
        <w:spacing w:after="0"/>
        <w:tabs>
          <w:tab w:leader="none" w:pos="1020" w:val="left"/>
        </w:tabs>
        <w:numPr>
          <w:ilvl w:val="0"/>
          <w:numId w:val="19"/>
        </w:numPr>
        <w:rPr>
          <w:rFonts w:ascii="Arial" w:cs="Arial" w:eastAsia="Arial" w:hAnsi="Arial"/>
          <w:sz w:val="13"/>
          <w:szCs w:val="13"/>
          <w:color w:val="auto"/>
        </w:rPr>
      </w:pPr>
      <w:r>
        <w:rPr>
          <w:rFonts w:ascii="Arial" w:cs="Arial" w:eastAsia="Arial" w:hAnsi="Arial"/>
          <w:sz w:val="13"/>
          <w:szCs w:val="13"/>
          <w:b w:val="1"/>
          <w:bCs w:val="1"/>
          <w:color w:val="auto"/>
        </w:rPr>
        <w:t xml:space="preserve">Collaboration: </w:t>
      </w:r>
      <w:r>
        <w:rPr>
          <w:rFonts w:ascii="Arial" w:cs="Arial" w:eastAsia="Arial" w:hAnsi="Arial"/>
          <w:sz w:val="13"/>
          <w:szCs w:val="13"/>
          <w:color w:val="auto"/>
        </w:rPr>
        <w:t>We are better together working as one team.</w:t>
      </w:r>
    </w:p>
    <w:p>
      <w:pPr>
        <w:spacing w:after="0" w:line="9" w:lineRule="exact"/>
        <w:rPr>
          <w:rFonts w:ascii="Arial" w:cs="Arial" w:eastAsia="Arial" w:hAnsi="Arial"/>
          <w:sz w:val="13"/>
          <w:szCs w:val="13"/>
          <w:color w:val="auto"/>
        </w:rPr>
      </w:pPr>
    </w:p>
    <w:p>
      <w:pPr>
        <w:ind w:left="1020" w:hanging="251"/>
        <w:spacing w:after="0"/>
        <w:tabs>
          <w:tab w:leader="none" w:pos="1020" w:val="left"/>
        </w:tabs>
        <w:numPr>
          <w:ilvl w:val="0"/>
          <w:numId w:val="19"/>
        </w:numPr>
        <w:rPr>
          <w:rFonts w:ascii="Arial" w:cs="Arial" w:eastAsia="Arial" w:hAnsi="Arial"/>
          <w:sz w:val="13"/>
          <w:szCs w:val="13"/>
          <w:color w:val="auto"/>
        </w:rPr>
      </w:pPr>
      <w:r>
        <w:rPr>
          <w:rFonts w:ascii="Arial" w:cs="Arial" w:eastAsia="Arial" w:hAnsi="Arial"/>
          <w:sz w:val="13"/>
          <w:szCs w:val="13"/>
          <w:b w:val="1"/>
          <w:bCs w:val="1"/>
          <w:color w:val="auto"/>
        </w:rPr>
        <w:t xml:space="preserve">Agility: </w:t>
      </w:r>
      <w:r>
        <w:rPr>
          <w:rFonts w:ascii="Arial" w:cs="Arial" w:eastAsia="Arial" w:hAnsi="Arial"/>
          <w:sz w:val="13"/>
          <w:szCs w:val="13"/>
          <w:color w:val="auto"/>
        </w:rPr>
        <w:t>We are passionate about providing innovative solutions for customers.</w:t>
      </w:r>
    </w:p>
    <w:p>
      <w:pPr>
        <w:ind w:left="1020" w:hanging="251"/>
        <w:spacing w:after="0"/>
        <w:tabs>
          <w:tab w:leader="none" w:pos="1020" w:val="left"/>
        </w:tabs>
        <w:numPr>
          <w:ilvl w:val="0"/>
          <w:numId w:val="19"/>
        </w:numPr>
        <w:rPr>
          <w:rFonts w:ascii="Arial" w:cs="Arial" w:eastAsia="Arial" w:hAnsi="Arial"/>
          <w:sz w:val="13"/>
          <w:szCs w:val="13"/>
          <w:color w:val="auto"/>
        </w:rPr>
      </w:pPr>
      <w:r>
        <w:rPr>
          <w:rFonts w:ascii="Arial" w:cs="Arial" w:eastAsia="Arial" w:hAnsi="Arial"/>
          <w:sz w:val="13"/>
          <w:szCs w:val="13"/>
          <w:b w:val="1"/>
          <w:bCs w:val="1"/>
          <w:color w:val="auto"/>
        </w:rPr>
        <w:t xml:space="preserve">Inclusion: </w:t>
      </w:r>
      <w:r>
        <w:rPr>
          <w:rFonts w:ascii="Arial" w:cs="Arial" w:eastAsia="Arial" w:hAnsi="Arial"/>
          <w:sz w:val="13"/>
          <w:szCs w:val="13"/>
          <w:color w:val="auto"/>
        </w:rPr>
        <w:t>We value diversity and care about the success of our people.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4318635" cy="30518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318635" cy="3051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Our values underpin how we work together to deliver on our mission to improve the lives of patients by accelerating the development of our customers’ drugs and devices through innovative solutions. These values and our Code of Ethical Conduct, which underpins these values, form the core of what we do and how we do it. It applies to all officers, directors, employees, consultants and agents globally. All employees and temporary workers are mandated to complete global ethics training.</w:t>
      </w:r>
    </w:p>
    <w:p>
      <w:pPr>
        <w:spacing w:after="0" w:line="123"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ICON established an Environmental, Social, and Governance Committee ('ESG Committee') in 2019, which brought together all of our existing initiatives and efforts under one umbrella to ensure consistency, enhance monitoring, reveal areas for development and facilitate reporting to the Board. The ESG Committee is chaired by the Chief Administrative Officer and General Counsel (CAO), who is responsible for reporting to the ICON executive leadership team and Board on ESG matters. In February 2022, the Board delegated oversight responsibilities of the Company's strategies, activities and risks in respect to ESG matters to the Nominating, Sustainability and Governance Committee. Accordingly, the CAO will report to the Nominating, Sustainability and Governance Committee on ESG matters going forward whilst also providing periodic updates to the executive leadership team.</w:t>
      </w:r>
    </w:p>
    <w:p>
      <w:pPr>
        <w:spacing w:after="0" w:line="164"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The ESG Committee is focused on developing our strategy and initiatives relating to the environment, social matters, health and safety, community engagement, corporate governance, sustainability and other public policy matters relevant to the Company. The ESG Committee is a cross-functional management committee of the Company including representation from facilities, corporate communications, finance, legal, investor relations, procurement, commercial, marketing and human resources departments. The composition of the ESG Committee was revised following the Acquisition of PRA to include representatives that have joined from PRA. The Committee assists and supports executive management and the Board of the Company in:</w:t>
      </w:r>
    </w:p>
    <w:p>
      <w:pPr>
        <w:spacing w:after="0" w:line="1" w:lineRule="exact"/>
        <w:rPr>
          <w:sz w:val="20"/>
          <w:szCs w:val="20"/>
          <w:color w:val="auto"/>
        </w:rPr>
      </w:pPr>
    </w:p>
    <w:p>
      <w:pPr>
        <w:ind w:left="1020" w:hanging="251"/>
        <w:spacing w:after="0"/>
        <w:tabs>
          <w:tab w:leader="none" w:pos="10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determining and setting the strategy relating to ESG matters;</w:t>
      </w:r>
    </w:p>
    <w:p>
      <w:pPr>
        <w:spacing w:after="0" w:line="2" w:lineRule="exact"/>
        <w:rPr>
          <w:rFonts w:ascii="Arial" w:cs="Arial" w:eastAsia="Arial" w:hAnsi="Arial"/>
          <w:sz w:val="13"/>
          <w:szCs w:val="13"/>
          <w:color w:val="auto"/>
        </w:rPr>
      </w:pPr>
    </w:p>
    <w:p>
      <w:pPr>
        <w:ind w:left="1020" w:hanging="251"/>
        <w:spacing w:after="0"/>
        <w:tabs>
          <w:tab w:leader="none" w:pos="10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developing, implementing and monitoring initiatives and policies based on that strategy; and</w:t>
      </w:r>
    </w:p>
    <w:p>
      <w:pPr>
        <w:ind w:left="1020" w:hanging="251"/>
        <w:spacing w:after="0"/>
        <w:tabs>
          <w:tab w:leader="none" w:pos="10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communicating our strategies and initiatives and their results.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280"/>
          </w:cols>
          <w:pgMar w:left="300" w:top="889" w:right="31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42" w:lineRule="auto"/>
        <w:rPr>
          <w:sz w:val="20"/>
          <w:szCs w:val="20"/>
          <w:color w:val="auto"/>
        </w:rPr>
      </w:pPr>
      <w:r>
        <w:rPr>
          <w:rFonts w:ascii="Arial" w:cs="Arial" w:eastAsia="Arial" w:hAnsi="Arial"/>
          <w:sz w:val="13"/>
          <w:szCs w:val="13"/>
          <w:color w:val="auto"/>
        </w:rPr>
        <w:t>We are committed to building and developing our ESG strategies and reporting. In 2020 we published our first annual ESG Report covering 2019 and in 2021 we published our ESG Report covering 2020, which provided an overview of both ICON and PRA's actions and results during 2020. It also summarises our current policies, priorities and commitments in respect to ESG matters. We also launched our ESG page in 2020 on the ICON website and have an internal ESG page on our MyICON portal to engage with our employees and provide information and updates relating to ESG matters and our commitment to sustainability. The ESG page is available at https://www.iconplc.com/about/esg/.</w:t>
      </w:r>
    </w:p>
    <w:p>
      <w:pPr>
        <w:spacing w:after="0" w:line="17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global landscape in respect to regulatory and legislative requirements relating to ESG reporting and disclosure requirements is rapidly evolving and we are monitoring potential requirements so that we are in a position to adhere to any additional requirements in due course.</w:t>
      </w:r>
    </w:p>
    <w:p>
      <w:pPr>
        <w:spacing w:after="0" w:line="14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In 2021, as a testament to our commitment to managing ICON responsibly and sustainably, we became a participant in the United Nations Global Compact (UNGC), a set of Ten Principles covering the areas of human rights, labour, environment, and anti-corruption.</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Building a sustainable future – our commitment to the United Nations Sustainable Development Goals</w:t>
      </w:r>
    </w:p>
    <w:p>
      <w:pPr>
        <w:spacing w:after="0" w:line="188"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As a global company, we maintain an ethical and sustainable presence in hundreds of locations worldwide. At its core, ICON’s mission is to improve health and lives. We are also committed to contributing to the 2030 United Nations Sustainable Development Goals (SDGs), and are proud that our work contributes to their advancement.</w:t>
      </w:r>
    </w:p>
    <w:p>
      <w:pPr>
        <w:spacing w:after="0" w:line="14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Our research, our work with customers and patients and our on-the-ground efforts to meet the diverse needs across our communities align with the SDGs. These efforts, however, focus on a subset of themes where we have the greatest opportunity to effect change and further details are set out in our ESG Report.</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Environmental matters</w:t>
      </w:r>
    </w:p>
    <w:p>
      <w:pPr>
        <w:spacing w:after="0" w:line="190" w:lineRule="exact"/>
        <w:rPr>
          <w:sz w:val="20"/>
          <w:szCs w:val="20"/>
          <w:color w:val="auto"/>
        </w:rPr>
      </w:pPr>
    </w:p>
    <w:p>
      <w:pPr>
        <w:jc w:val="both"/>
        <w:spacing w:after="0" w:line="292" w:lineRule="auto"/>
        <w:rPr>
          <w:sz w:val="20"/>
          <w:szCs w:val="20"/>
          <w:color w:val="auto"/>
        </w:rPr>
      </w:pPr>
      <w:r>
        <w:rPr>
          <w:rFonts w:ascii="Arial" w:cs="Arial" w:eastAsia="Arial" w:hAnsi="Arial"/>
          <w:sz w:val="12"/>
          <w:szCs w:val="12"/>
          <w:color w:val="auto"/>
        </w:rPr>
        <w:t>ICON is committed to delivering excellence in care to our communities. To improve our overall sustainability, this commitment means tracking and improving our environmental performance across all business activities. We achieve this by pursuing sustainability strategies that recognise the impact of our operations as a CRO on the environment, addressing greenhouse gas (GHG) emissions, energy use, waste generation and procurement-related activities. Our employees, directors, officers, contractors, and temporary workers are expected to support our sustainability objectives.</w:t>
      </w:r>
    </w:p>
    <w:p>
      <w:pPr>
        <w:spacing w:after="0" w:line="90"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ICON Green is our programme for managing environmental sustainability initiatives, in accordance with our Global Environmental Management Policy and Environmental Management Plan. The implementation of the ICON Green programme is led by our facilities team, reporting to our Chief Administrative Officer and General Counsel (CAO). The CAO is responsible for reporting on the programme to the ICON executive leadership team and Nominating, Sustainability and Governance Committee and the Board.</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color w:val="auto"/>
        </w:rPr>
        <w:t>ICON set environmental goals around the use of renewable energy and carbon emissions in 2019 and we are working towards achieving these goals which are as follows:</w:t>
      </w:r>
    </w:p>
    <w:p>
      <w:pPr>
        <w:spacing w:after="0" w:line="190" w:lineRule="exact"/>
        <w:rPr>
          <w:sz w:val="20"/>
          <w:szCs w:val="20"/>
          <w:color w:val="auto"/>
        </w:rPr>
      </w:pPr>
    </w:p>
    <w:p>
      <w:pPr>
        <w:ind w:left="1020" w:hanging="251"/>
        <w:spacing w:after="0"/>
        <w:tabs>
          <w:tab w:leader="none" w:pos="10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100% renewable electricity by 2025</w:t>
      </w:r>
    </w:p>
    <w:p>
      <w:pPr>
        <w:spacing w:after="0" w:line="11" w:lineRule="exact"/>
        <w:rPr>
          <w:rFonts w:ascii="Arial" w:cs="Arial" w:eastAsia="Arial" w:hAnsi="Arial"/>
          <w:sz w:val="13"/>
          <w:szCs w:val="13"/>
          <w:color w:val="auto"/>
        </w:rPr>
      </w:pPr>
    </w:p>
    <w:p>
      <w:pPr>
        <w:ind w:left="1020" w:hanging="251"/>
        <w:spacing w:after="0"/>
        <w:tabs>
          <w:tab w:leader="none" w:pos="10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20% reduction in kilowatt hours (kWh) of electricity by 2030</w:t>
      </w:r>
    </w:p>
    <w:p>
      <w:pPr>
        <w:ind w:left="1020" w:hanging="251"/>
        <w:spacing w:after="0"/>
        <w:tabs>
          <w:tab w:leader="none" w:pos="10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Net zero carbon emissions on Scope 1 &amp; 2 by 2030</w:t>
      </w:r>
    </w:p>
    <w:p>
      <w:pPr>
        <w:spacing w:after="0" w:line="178"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have programmes in place to manage and minimise climate impacts of business activities. To continue to improve processes and reduce our environmental impact, we track, calculate, and report our GHG footprint. We follow the GHG Protocol Corporate Standard, which is the global corporate accounting and reporting standard for calculating carbon emissions. We work with Carbon Trust to verify emissions data.</w:t>
      </w:r>
    </w:p>
    <w:p>
      <w:pPr>
        <w:spacing w:after="0" w:line="170"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In line with carbon reduction targets, ICON’s Scope 1 and 2 GHG emissions, relative to revenue and the number of employees, have fallen year on year since 2016. Since 2020, following the pandemic-related closure of many of our facilities and a reduction in business travel, GHG emissions across our operations declined significantly. As the recovery continues, and as we resume more normal operations we will reflect on opportunities to continue to reduce our carbon emissions across our combined organisation to develop and improve our environmental programme.</w:t>
      </w:r>
    </w:p>
    <w:p>
      <w:pPr>
        <w:spacing w:after="0" w:line="166"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CDP (formerly the Carbon Disclosure Project) provides a globally recognised system that enables companies to measure and manage their environmental impacts. ICON continues to be committed to improving its current scoring of a C. Legacy PRA’s CDP improved from a D score to a C from 2019.</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280"/>
          </w:cols>
          <w:pgMar w:left="300" w:top="889" w:right="31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are focused on reducing energy use across our global operations. For example, reducing energy use and shifting to renewable energy are components of our specific environmental goals. Waste reduction is embedded into our environmental policies and practices and is one of the objectives of ICON’s Environmental Management Policy. As we continue to combine the ICON and legacy PRA organisations, we will seek new opportunities to reduce waste by increasing recycling volumes, reducing consumption of primary materials, and decreasing use of disposable products in our offices and facilities.</w:t>
      </w:r>
    </w:p>
    <w:p>
      <w:pPr>
        <w:spacing w:after="0" w:line="165"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The majority of our sites are leased and we work closely with our landlords and leasing agents to implement measures to ensure we operate in an environmentally sustainable manner. The Acquisition of PRA has expanded our global real estate footprint and our real estate group is working with other business leaders to understand the sustainability implications and opportunities of this new footprint, and find ways to continue to advance our collective sustainability goals. During 2021, we initiated a project to integrate offices and reduce our footprint. When selecting new locations for offices and planning building modifications, experts from our real estate team factor in environmental considerations. In addition, we have implemented a series of measures globally to reduce the local footprint of our offices, such as installing energy-efficient LED lighting, using motion detectors to reduce energy use, purchasing recycled office supplies, and reducing paper consumption by promoting paperless office processes, or where printing is necessary, enabling double-sided output.</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Our office design has efficiency in mind, utilising space to provide the maximum number of desks and functional provisions while still providing comfortable, safe spaces for our employees. Our strategies include:</w:t>
      </w:r>
    </w:p>
    <w:p>
      <w:pPr>
        <w:spacing w:after="0" w:line="157" w:lineRule="exact"/>
        <w:rPr>
          <w:sz w:val="20"/>
          <w:szCs w:val="20"/>
          <w:color w:val="auto"/>
        </w:rPr>
      </w:pPr>
    </w:p>
    <w:p>
      <w:pPr>
        <w:ind w:left="1020" w:hanging="251"/>
        <w:spacing w:after="0"/>
        <w:tabs>
          <w:tab w:leader="none" w:pos="1020" w:val="left"/>
        </w:tabs>
        <w:numPr>
          <w:ilvl w:val="0"/>
          <w:numId w:val="22"/>
        </w:numPr>
        <w:rPr>
          <w:rFonts w:ascii="Arial" w:cs="Arial" w:eastAsia="Arial" w:hAnsi="Arial"/>
          <w:sz w:val="13"/>
          <w:szCs w:val="13"/>
          <w:color w:val="auto"/>
        </w:rPr>
      </w:pPr>
      <w:r>
        <w:rPr>
          <w:rFonts w:ascii="Arial" w:cs="Arial" w:eastAsia="Arial" w:hAnsi="Arial"/>
          <w:sz w:val="13"/>
          <w:szCs w:val="13"/>
          <w:color w:val="auto"/>
        </w:rPr>
        <w:t>Perimeter glazing of meeting rooms, offices, and other spaces which allow in natural light.</w:t>
      </w:r>
    </w:p>
    <w:p>
      <w:pPr>
        <w:spacing w:after="0" w:line="17" w:lineRule="exact"/>
        <w:rPr>
          <w:rFonts w:ascii="Arial" w:cs="Arial" w:eastAsia="Arial" w:hAnsi="Arial"/>
          <w:sz w:val="13"/>
          <w:szCs w:val="13"/>
          <w:color w:val="auto"/>
        </w:rPr>
      </w:pPr>
    </w:p>
    <w:p>
      <w:pPr>
        <w:ind w:left="1020" w:hanging="251"/>
        <w:spacing w:after="0"/>
        <w:tabs>
          <w:tab w:leader="none" w:pos="1020" w:val="left"/>
        </w:tabs>
        <w:numPr>
          <w:ilvl w:val="0"/>
          <w:numId w:val="22"/>
        </w:numPr>
        <w:rPr>
          <w:rFonts w:ascii="Arial" w:cs="Arial" w:eastAsia="Arial" w:hAnsi="Arial"/>
          <w:sz w:val="13"/>
          <w:szCs w:val="13"/>
          <w:color w:val="auto"/>
        </w:rPr>
      </w:pPr>
      <w:r>
        <w:rPr>
          <w:rFonts w:ascii="Arial" w:cs="Arial" w:eastAsia="Arial" w:hAnsi="Arial"/>
          <w:sz w:val="13"/>
          <w:szCs w:val="13"/>
          <w:color w:val="auto"/>
        </w:rPr>
        <w:t>Recycling areas built into business centers and kitchen/ canteens which reduce waste sent to landfills.</w:t>
      </w:r>
    </w:p>
    <w:p>
      <w:pPr>
        <w:spacing w:after="0" w:line="2" w:lineRule="exact"/>
        <w:rPr>
          <w:rFonts w:ascii="Arial" w:cs="Arial" w:eastAsia="Arial" w:hAnsi="Arial"/>
          <w:sz w:val="13"/>
          <w:szCs w:val="13"/>
          <w:color w:val="auto"/>
        </w:rPr>
      </w:pPr>
    </w:p>
    <w:p>
      <w:pPr>
        <w:ind w:left="1020" w:hanging="251"/>
        <w:spacing w:after="0"/>
        <w:tabs>
          <w:tab w:leader="none" w:pos="1020" w:val="left"/>
        </w:tabs>
        <w:numPr>
          <w:ilvl w:val="0"/>
          <w:numId w:val="22"/>
        </w:numPr>
        <w:rPr>
          <w:rFonts w:ascii="Arial" w:cs="Arial" w:eastAsia="Arial" w:hAnsi="Arial"/>
          <w:sz w:val="13"/>
          <w:szCs w:val="13"/>
          <w:color w:val="auto"/>
        </w:rPr>
      </w:pPr>
      <w:r>
        <w:rPr>
          <w:rFonts w:ascii="Arial" w:cs="Arial" w:eastAsia="Arial" w:hAnsi="Arial"/>
          <w:sz w:val="13"/>
          <w:szCs w:val="13"/>
          <w:color w:val="auto"/>
        </w:rPr>
        <w:t>Planted green spaces which contribute to internal air quality, temperature, and humidity.</w:t>
      </w:r>
    </w:p>
    <w:p>
      <w:pPr>
        <w:ind w:left="1020" w:hanging="251"/>
        <w:spacing w:after="0"/>
        <w:tabs>
          <w:tab w:leader="none" w:pos="1020" w:val="left"/>
        </w:tabs>
        <w:numPr>
          <w:ilvl w:val="0"/>
          <w:numId w:val="22"/>
        </w:numPr>
        <w:rPr>
          <w:rFonts w:ascii="Arial" w:cs="Arial" w:eastAsia="Arial" w:hAnsi="Arial"/>
          <w:sz w:val="13"/>
          <w:szCs w:val="13"/>
          <w:color w:val="auto"/>
        </w:rPr>
      </w:pPr>
      <w:r>
        <w:rPr>
          <w:rFonts w:ascii="Arial" w:cs="Arial" w:eastAsia="Arial" w:hAnsi="Arial"/>
          <w:sz w:val="13"/>
          <w:szCs w:val="13"/>
          <w:color w:val="auto"/>
        </w:rPr>
        <w:t>Building materials and vendors which we select for low environmental impact.</w:t>
      </w:r>
    </w:p>
    <w:p>
      <w:pPr>
        <w:spacing w:after="0" w:line="189"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We also require our suppliers to abide by our Global Supplier Code of Conduct which includes a commitment to comply with applicable environmental laws and regulations, our expectations around waste management and sustainable use of resources.</w:t>
      </w:r>
    </w:p>
    <w:p>
      <w:pPr>
        <w:spacing w:after="0" w:line="114" w:lineRule="exact"/>
        <w:rPr>
          <w:sz w:val="20"/>
          <w:szCs w:val="20"/>
          <w:color w:val="auto"/>
        </w:rPr>
      </w:pPr>
    </w:p>
    <w:p>
      <w:pPr>
        <w:spacing w:after="0"/>
        <w:rPr>
          <w:sz w:val="20"/>
          <w:szCs w:val="20"/>
          <w:color w:val="auto"/>
        </w:rPr>
      </w:pPr>
      <w:r>
        <w:rPr>
          <w:rFonts w:ascii="Arial" w:cs="Arial" w:eastAsia="Arial" w:hAnsi="Arial"/>
          <w:sz w:val="13"/>
          <w:szCs w:val="13"/>
          <w:color w:val="auto"/>
        </w:rPr>
        <w:t>Although the risks associated with environmental matters are actively monitored, ICON does not believe these risks meet the threshold of a principal risk for our business.</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Social and Employee matters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Community Engagement</w:t>
      </w:r>
    </w:p>
    <w:p>
      <w:pPr>
        <w:spacing w:after="0" w:line="148"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We are committed to making a positive impact on the communities in which we work and live and we have aligned our community efforts to a broader vision for social impact, including by aligning priorities with our organisational goals of diversity, inclusion, and belonging.</w:t>
      </w:r>
    </w:p>
    <w:p>
      <w:pPr>
        <w:spacing w:after="0" w:line="114" w:lineRule="exact"/>
        <w:rPr>
          <w:sz w:val="20"/>
          <w:szCs w:val="20"/>
          <w:color w:val="auto"/>
        </w:rPr>
      </w:pPr>
    </w:p>
    <w:p>
      <w:pPr>
        <w:spacing w:after="0"/>
        <w:rPr>
          <w:sz w:val="20"/>
          <w:szCs w:val="20"/>
          <w:color w:val="auto"/>
        </w:rPr>
      </w:pPr>
      <w:r>
        <w:rPr>
          <w:rFonts w:ascii="Arial" w:cs="Arial" w:eastAsia="Arial" w:hAnsi="Arial"/>
          <w:sz w:val="13"/>
          <w:szCs w:val="13"/>
          <w:color w:val="auto"/>
        </w:rPr>
        <w:t>Our community engagement activities are focused on two core areas:</w:t>
      </w:r>
    </w:p>
    <w:p>
      <w:pPr>
        <w:spacing w:after="0" w:line="148" w:lineRule="exact"/>
        <w:rPr>
          <w:sz w:val="20"/>
          <w:szCs w:val="20"/>
          <w:color w:val="auto"/>
        </w:rPr>
      </w:pPr>
    </w:p>
    <w:p>
      <w:pPr>
        <w:ind w:left="500" w:hanging="240"/>
        <w:spacing w:after="0"/>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Supporting education &amp; building closer ties between industry &amp; academia; and</w:t>
      </w:r>
    </w:p>
    <w:p>
      <w:pPr>
        <w:spacing w:after="0" w:line="11" w:lineRule="exact"/>
        <w:rPr>
          <w:rFonts w:ascii="Arial" w:cs="Arial" w:eastAsia="Arial" w:hAnsi="Arial"/>
          <w:sz w:val="13"/>
          <w:szCs w:val="13"/>
          <w:color w:val="auto"/>
        </w:rPr>
      </w:pPr>
    </w:p>
    <w:p>
      <w:pPr>
        <w:ind w:left="500" w:hanging="240"/>
        <w:spacing w:after="0"/>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Improving the welfare of people in the communities in which we live.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280"/>
          </w:cols>
          <w:pgMar w:left="300" w:top="889" w:right="31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Supporting education &amp; building closer ties between industry &amp; academia</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color w:val="auto"/>
        </w:rPr>
        <w:t>A core area of community support includes building ties between industry and academia to inspire the next generation of leaders in business and science.</w:t>
      </w:r>
    </w:p>
    <w:p>
      <w:pPr>
        <w:spacing w:after="0" w:line="137" w:lineRule="exact"/>
        <w:rPr>
          <w:sz w:val="20"/>
          <w:szCs w:val="20"/>
          <w:color w:val="auto"/>
        </w:rPr>
      </w:pPr>
    </w:p>
    <w:p>
      <w:pPr>
        <w:ind w:left="520" w:hanging="260"/>
        <w:spacing w:after="0" w:line="266" w:lineRule="auto"/>
        <w:tabs>
          <w:tab w:leader="none" w:pos="511" w:val="left"/>
        </w:tabs>
        <w:numPr>
          <w:ilvl w:val="0"/>
          <w:numId w:val="24"/>
        </w:numPr>
        <w:rPr>
          <w:rFonts w:ascii="Arial" w:cs="Arial" w:eastAsia="Arial" w:hAnsi="Arial"/>
          <w:sz w:val="13"/>
          <w:szCs w:val="13"/>
          <w:color w:val="auto"/>
        </w:rPr>
      </w:pPr>
      <w:r>
        <w:rPr>
          <w:rFonts w:ascii="Arial" w:cs="Arial" w:eastAsia="Arial" w:hAnsi="Arial"/>
          <w:sz w:val="13"/>
          <w:szCs w:val="13"/>
          <w:b w:val="1"/>
          <w:bCs w:val="1"/>
          <w:color w:val="auto"/>
        </w:rPr>
        <w:t xml:space="preserve">Benefactor through the Centuries of Trinity College Dublin. </w:t>
      </w:r>
      <w:r>
        <w:rPr>
          <w:rFonts w:ascii="Arial" w:cs="Arial" w:eastAsia="Arial" w:hAnsi="Arial"/>
          <w:sz w:val="13"/>
          <w:szCs w:val="13"/>
          <w:color w:val="auto"/>
        </w:rPr>
        <w:t>ICON has been honoured by Trinity College Dublin as a Benefactor Through the Centuries. This award recognises our</w:t>
      </w:r>
      <w:r>
        <w:rPr>
          <w:rFonts w:ascii="Arial" w:cs="Arial" w:eastAsia="Arial" w:hAnsi="Arial"/>
          <w:sz w:val="13"/>
          <w:szCs w:val="13"/>
          <w:b w:val="1"/>
          <w:bCs w:val="1"/>
          <w:color w:val="auto"/>
        </w:rPr>
        <w:t xml:space="preserve"> </w:t>
      </w:r>
      <w:r>
        <w:rPr>
          <w:rFonts w:ascii="Arial" w:cs="Arial" w:eastAsia="Arial" w:hAnsi="Arial"/>
          <w:sz w:val="13"/>
          <w:szCs w:val="13"/>
          <w:color w:val="auto"/>
        </w:rPr>
        <w:t>enduring support for Trinity, including:</w:t>
      </w:r>
    </w:p>
    <w:p>
      <w:pPr>
        <w:spacing w:after="0" w:line="156" w:lineRule="exact"/>
        <w:rPr>
          <w:rFonts w:ascii="Arial" w:cs="Arial" w:eastAsia="Arial" w:hAnsi="Arial"/>
          <w:sz w:val="13"/>
          <w:szCs w:val="13"/>
          <w:color w:val="auto"/>
        </w:rPr>
      </w:pPr>
    </w:p>
    <w:p>
      <w:pPr>
        <w:jc w:val="both"/>
        <w:ind w:left="1020" w:hanging="251"/>
        <w:spacing w:after="0" w:line="244" w:lineRule="auto"/>
        <w:tabs>
          <w:tab w:leader="none" w:pos="1033" w:val="left"/>
        </w:tabs>
        <w:numPr>
          <w:ilvl w:val="1"/>
          <w:numId w:val="24"/>
        </w:numPr>
        <w:rPr>
          <w:rFonts w:ascii="Arial" w:cs="Arial" w:eastAsia="Arial" w:hAnsi="Arial"/>
          <w:sz w:val="13"/>
          <w:szCs w:val="13"/>
          <w:color w:val="auto"/>
        </w:rPr>
      </w:pPr>
      <w:r>
        <w:rPr>
          <w:rFonts w:ascii="Arial" w:cs="Arial" w:eastAsia="Arial" w:hAnsi="Arial"/>
          <w:sz w:val="13"/>
          <w:szCs w:val="13"/>
          <w:color w:val="auto"/>
        </w:rPr>
        <w:t>The creation of the ICON-McKeon Research Fellowship in Motor Neuron Disease ('MND') in recognition of Mr. Declan McKeon, former Board member, acting Chair, Lead Independent Director and Chair of the ICON Audit committee. The ICON-McKeon Research Fellow in MND will carry out research in the areas of machine-learning and artificial intelligence to derive insights from multimodal clinical, imaging neuro-electric signalling, in the context of the neurodegenerative disease of ALS.</w:t>
      </w:r>
    </w:p>
    <w:p>
      <w:pPr>
        <w:spacing w:after="0" w:line="170" w:lineRule="exact"/>
        <w:rPr>
          <w:rFonts w:ascii="Arial" w:cs="Arial" w:eastAsia="Arial" w:hAnsi="Arial"/>
          <w:sz w:val="13"/>
          <w:szCs w:val="13"/>
          <w:color w:val="auto"/>
        </w:rPr>
      </w:pPr>
    </w:p>
    <w:p>
      <w:pPr>
        <w:jc w:val="both"/>
        <w:ind w:left="1020" w:hanging="251"/>
        <w:spacing w:after="0" w:line="242" w:lineRule="auto"/>
        <w:tabs>
          <w:tab w:leader="none" w:pos="1023" w:val="left"/>
        </w:tabs>
        <w:numPr>
          <w:ilvl w:val="1"/>
          <w:numId w:val="24"/>
        </w:numPr>
        <w:rPr>
          <w:rFonts w:ascii="Arial" w:cs="Arial" w:eastAsia="Arial" w:hAnsi="Arial"/>
          <w:sz w:val="13"/>
          <w:szCs w:val="13"/>
          <w:color w:val="auto"/>
        </w:rPr>
      </w:pPr>
      <w:r>
        <w:rPr>
          <w:rFonts w:ascii="Arial" w:cs="Arial" w:eastAsia="Arial" w:hAnsi="Arial"/>
          <w:sz w:val="13"/>
          <w:szCs w:val="13"/>
          <w:color w:val="auto"/>
        </w:rPr>
        <w:t>Partnership with Trinity Centre for People with Intellectual Disabilities ('TCPID') - In 2019, we entered into a partnership with the TCPID. The TCPID situated within the School of Education, Trinity College Dublin, aims to promote the inclusion of people with intellectual disabilities in education and society. The Centre provides people who have intellectual disabilities with the opportunity to participate in a higher education programme designed to enhance their capacity to fully participate in society as independent adults. The 2-year education programme includes work placements and internships to enable students to experience and participate in the work environment.</w:t>
      </w:r>
    </w:p>
    <w:p>
      <w:pPr>
        <w:spacing w:after="0" w:line="182" w:lineRule="exact"/>
        <w:rPr>
          <w:rFonts w:ascii="Arial" w:cs="Arial" w:eastAsia="Arial" w:hAnsi="Arial"/>
          <w:sz w:val="13"/>
          <w:szCs w:val="13"/>
          <w:color w:val="auto"/>
        </w:rPr>
      </w:pPr>
    </w:p>
    <w:p>
      <w:pPr>
        <w:jc w:val="both"/>
        <w:ind w:left="520" w:hanging="260"/>
        <w:spacing w:after="0" w:line="261" w:lineRule="auto"/>
        <w:tabs>
          <w:tab w:leader="none" w:pos="511" w:val="left"/>
        </w:tabs>
        <w:numPr>
          <w:ilvl w:val="0"/>
          <w:numId w:val="24"/>
        </w:numPr>
        <w:rPr>
          <w:rFonts w:ascii="Arial" w:cs="Arial" w:eastAsia="Arial" w:hAnsi="Arial"/>
          <w:sz w:val="13"/>
          <w:szCs w:val="13"/>
          <w:color w:val="auto"/>
        </w:rPr>
      </w:pPr>
      <w:r>
        <w:rPr>
          <w:rFonts w:ascii="Arial" w:cs="Arial" w:eastAsia="Arial" w:hAnsi="Arial"/>
          <w:sz w:val="13"/>
          <w:szCs w:val="13"/>
          <w:b w:val="1"/>
          <w:bCs w:val="1"/>
          <w:color w:val="auto"/>
        </w:rPr>
        <w:t xml:space="preserve">Partnership with Junior Achievement to inspire schoolchildren. </w:t>
      </w:r>
      <w:r>
        <w:rPr>
          <w:rFonts w:ascii="Arial" w:cs="Arial" w:eastAsia="Arial" w:hAnsi="Arial"/>
          <w:sz w:val="13"/>
          <w:szCs w:val="13"/>
          <w:color w:val="auto"/>
        </w:rPr>
        <w:t>ICON supports our people who take time out of their working day to deliver Junior Achievement educational programmes.</w:t>
      </w:r>
      <w:r>
        <w:rPr>
          <w:rFonts w:ascii="Arial" w:cs="Arial" w:eastAsia="Arial" w:hAnsi="Arial"/>
          <w:sz w:val="13"/>
          <w:szCs w:val="13"/>
          <w:b w:val="1"/>
          <w:bCs w:val="1"/>
          <w:color w:val="auto"/>
        </w:rPr>
        <w:t xml:space="preserve"> </w:t>
      </w:r>
      <w:r>
        <w:rPr>
          <w:rFonts w:ascii="Arial" w:cs="Arial" w:eastAsia="Arial" w:hAnsi="Arial"/>
          <w:sz w:val="13"/>
          <w:szCs w:val="13"/>
          <w:color w:val="auto"/>
        </w:rPr>
        <w:t>Junior Achievement encourages young people to remain in education and teaches them the skills they need to succeed in a changing world. Our volunteers teach primary and secondary level students valuable business, STEM and entrepreneurship skills that will stand them in good stead as they progress through education and beyond.</w:t>
      </w:r>
    </w:p>
    <w:p>
      <w:pPr>
        <w:spacing w:after="0" w:line="159" w:lineRule="exact"/>
        <w:rPr>
          <w:rFonts w:ascii="Arial" w:cs="Arial" w:eastAsia="Arial" w:hAnsi="Arial"/>
          <w:sz w:val="13"/>
          <w:szCs w:val="13"/>
          <w:color w:val="auto"/>
        </w:rPr>
      </w:pPr>
    </w:p>
    <w:p>
      <w:pPr>
        <w:jc w:val="both"/>
        <w:ind w:left="520" w:hanging="260"/>
        <w:spacing w:after="0" w:line="292" w:lineRule="auto"/>
        <w:tabs>
          <w:tab w:leader="none" w:pos="511" w:val="left"/>
        </w:tabs>
        <w:numPr>
          <w:ilvl w:val="0"/>
          <w:numId w:val="24"/>
        </w:numPr>
        <w:rPr>
          <w:rFonts w:ascii="Arial" w:cs="Arial" w:eastAsia="Arial" w:hAnsi="Arial"/>
          <w:sz w:val="12"/>
          <w:szCs w:val="12"/>
          <w:color w:val="auto"/>
        </w:rPr>
      </w:pPr>
      <w:r>
        <w:rPr>
          <w:rFonts w:ascii="Arial" w:cs="Arial" w:eastAsia="Arial" w:hAnsi="Arial"/>
          <w:sz w:val="12"/>
          <w:szCs w:val="12"/>
          <w:b w:val="1"/>
          <w:bCs w:val="1"/>
          <w:color w:val="auto"/>
        </w:rPr>
        <w:t xml:space="preserve">The PRA Veteran Leadership Training Programme (VLTP). </w:t>
      </w:r>
      <w:r>
        <w:rPr>
          <w:rFonts w:ascii="Arial" w:cs="Arial" w:eastAsia="Arial" w:hAnsi="Arial"/>
          <w:sz w:val="12"/>
          <w:szCs w:val="12"/>
          <w:color w:val="auto"/>
        </w:rPr>
        <w:t>The VLTP has been recruiting United States military veterans from all branches to join the Company in an operational capacity</w:t>
      </w:r>
      <w:r>
        <w:rPr>
          <w:rFonts w:ascii="Arial" w:cs="Arial" w:eastAsia="Arial" w:hAnsi="Arial"/>
          <w:sz w:val="12"/>
          <w:szCs w:val="12"/>
          <w:b w:val="1"/>
          <w:bCs w:val="1"/>
          <w:color w:val="auto"/>
        </w:rPr>
        <w:t xml:space="preserve"> </w:t>
      </w:r>
      <w:r>
        <w:rPr>
          <w:rFonts w:ascii="Arial" w:cs="Arial" w:eastAsia="Arial" w:hAnsi="Arial"/>
          <w:sz w:val="12"/>
          <w:szCs w:val="12"/>
          <w:color w:val="auto"/>
        </w:rPr>
        <w:t>since 2016. Veterans are placed in roles across the organisation to help translate leadership skills learned during military service and apply them in civilian life and as members of the PRA team. Members of the VLTP also have hands-on learning and mentoring opportunities that will help ease the transition to corporate life and that connect them with team-based support system.</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Improving the welfare of people in the communities in which we live</w:t>
      </w:r>
    </w:p>
    <w:p>
      <w:pPr>
        <w:spacing w:after="0" w:line="12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Through volunteering, donations and other charitable initiatives, our employees across the world are making a positive difference to their communities. We support causes that are important to our employees and have a number of programmes that support the welfare of people in our local communities.</w:t>
      </w:r>
    </w:p>
    <w:p>
      <w:pPr>
        <w:spacing w:after="0" w:line="114"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In July 2021, ICON contributed $0.2 million to support the purchase of 38,000 COVID-19 vaccines through the UNICEF COVID-19 vaccination programme, one to represent each employee in the new ICON - and became a founding member of UNICEF’s Corporate Vaccine Alliance in Ireland. The alliance supported UNICEF’s ambitious goal to deliver over two billion COVID-19 vaccines by the end of 2021.</w:t>
      </w:r>
    </w:p>
    <w:p>
      <w:pPr>
        <w:spacing w:after="0" w:line="176" w:lineRule="exact"/>
        <w:rPr>
          <w:sz w:val="20"/>
          <w:szCs w:val="20"/>
          <w:color w:val="auto"/>
        </w:rPr>
      </w:pPr>
    </w:p>
    <w:p>
      <w:pPr>
        <w:jc w:val="both"/>
        <w:spacing w:after="0" w:line="281" w:lineRule="auto"/>
        <w:rPr>
          <w:sz w:val="20"/>
          <w:szCs w:val="20"/>
          <w:color w:val="auto"/>
        </w:rPr>
      </w:pPr>
      <w:r>
        <w:rPr>
          <w:rFonts w:ascii="Arial" w:cs="Arial" w:eastAsia="Arial" w:hAnsi="Arial"/>
          <w:sz w:val="12"/>
          <w:szCs w:val="12"/>
          <w:color w:val="auto"/>
        </w:rPr>
        <w:t>Since 2012, ICON’s annual employee-nominated charity donation programme has supported over 70 charities. These organisations focus on a range of critical issues, from relieving poverty and homelessness, to improving child welfare through education, to enhancing the lives of patients who are living with a variety of diseases, including cancer, blindness, Alzheimer’s disease, autism, and neuromuscular diseases. Usually, ICON donates $10,000 to each of 10 charities around the world, selected from a list of staff nominations. In 2021, in lieu of formal holiday events, we expanded our programme and donated $10,000 each to 20 organisations around the world, instead of our normal practice of supporting 10 charities. The organisations were chosen to align with our ESG goals.</w:t>
      </w:r>
    </w:p>
    <w:p>
      <w:pPr>
        <w:spacing w:after="0" w:line="149"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Under the PRA Cares initiative, PRA employees from around the world have supported community charity programmes. For more than five years, from donation drives to programming community events, PRA employees have donated time, money, and support to inspire kindness and empower action.</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280"/>
          </w:cols>
          <w:pgMar w:left="300" w:top="889" w:right="31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Talent and People</w:t>
      </w:r>
    </w:p>
    <w:p>
      <w:pPr>
        <w:spacing w:after="0" w:line="179"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At the core of our strategy is our people. Within ICON we have highly qualified and experienced teams, the majority of whom have third level educational qualifications. The need to develop and retain this expertise and talent within the organisation is fundamental in enabling us to be the global CRO partner of choice for our customers.</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At the core of our strategy is our people</w:t>
      </w:r>
    </w:p>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People have long been central to our mission to improve the lives of patients by accelerating the development of our customers’ drugs and devices through innovative solutions. We encourage our people to bring flexibility, innovation, and determination to every situation. By doing so, our people can build exciting and rewarding careers, and deliver results to bring life-changing medicines to market and to maintain our success as an industry leader. We call it: the potential of together.</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The training and development of our staff is a key focus for us</w:t>
      </w:r>
    </w:p>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Our leadership and talent programmes contribute to the enhanced retention of our employees, better project deliverables for our customers and the enhanced financial performance of the business.</w:t>
      </w:r>
    </w:p>
    <w:p>
      <w:pPr>
        <w:spacing w:after="0" w:line="159"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aim to be an industry leader: a company where talented people come to do important work, a place where our employees can shape the future of healthcare, grow their careers, and reach their full potential. We have long held a deep commitment to cultivating strong people practices. This includes competitive total rewards packages along with a focus on continuous learning. We nurture a culture of development and aim to boost engagement by supporting our people’s growth, both personally and professionally. We are dedicated to finding opportunities for our employees to grow and develop.</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Our success depends on the knowledge, capabilities, and quality of our people. To improve their skills, we are committed to providing continuous learning. This commitment is underpinned by clearly defined competencies, which offer employees a clear path along which to develop skills and advance their careers.</w:t>
      </w:r>
    </w:p>
    <w:p>
      <w:pPr>
        <w:spacing w:after="0" w:line="157"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To support employees at every stage of their career journeys, training and development programmes are aimed at advancing scientific, technical, and business knowledge. Programmes include tailored CRA academies and a range of project management curricula, therapeutic-focused programmes, and people leader development programmes.</w:t>
      </w:r>
    </w:p>
    <w:p>
      <w:pPr>
        <w:spacing w:after="0" w:line="14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Our People Leader development programme focuses on providing our People Leaders with the relevant skills to effectively manage themselves, their team and their business, including psychometrics to raise their awareness of their behavioural preferences and the preference of others. ICON also invested in Harvard Manage Mentor, an online learning platform, providing People Leaders with access to learning that can be accessed at any time with topics ranging from Change Management, Diversity &amp; Inclusion, Retaining Employees and Developing Employees.</w:t>
      </w:r>
    </w:p>
    <w:p>
      <w:pPr>
        <w:spacing w:after="0" w:line="159"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provide our people with a personalised and flexible learning experience, delivered through a combination of in-person and technology-driven programmes that suit their learning styles and can flex to suit their schedules. Through our industry leading CareerHub, ICON employees are encouraged to broaden their scientific, technical, leadership, and business knowledge. By tapping into development programmes and partnerships with leading academic institutions, team members can use the hub to develop competencies that advance their careers. We also collaborate with University College Dublin to deliver customised leadership development programmes for global employees.</w:t>
      </w:r>
    </w:p>
    <w:p>
      <w:pPr>
        <w:spacing w:after="0" w:line="176"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During 2021, the PRA Academy was maintained for legacy PRA employees, which served as an umbrella for various training programmes, including the Clinical Research Associate (CRA) Bridge Programme, Speciality Bridge, Oncology University, and the CRA Internship Programme. Additionally, in 2020, two development programmes — PD STRIDES, which focused on Project Managers in Product Delivery, and Leadership Essentials and Development (LEAD), a comprehensive training programme for all PRA Functional Managers — moved from the pilot phase to full implementation. In addition to formal training, PRA also launched LinkedIn Learning globally, which provided unlimited access to more than 16,000 expert-led courses and video tutorials covering professional skills, business software and tools, project management, information technology, creative topics, and much more.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280"/>
          </w:cols>
          <w:pgMar w:left="300" w:top="889" w:right="31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As an organisation we are keen to hear directly from our employees</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recognise that, to attract and retain the best talent, it is essential that we listen to and respond to our people’s needs and we actively seek to understand our employees’ perspectives and amplify their voices. This begins with a focus on diversity, inclusion and belonging, and extends to every aspect of our work, from recruitment and onboarding, to training, engagement, enablement, and reward.</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color w:val="auto"/>
        </w:rPr>
        <w:t>We pursue best-in-class approaches to building employee engagement and these include, among others:</w:t>
      </w:r>
    </w:p>
    <w:p>
      <w:pPr>
        <w:spacing w:after="0" w:line="41" w:lineRule="exact"/>
        <w:rPr>
          <w:sz w:val="20"/>
          <w:szCs w:val="20"/>
          <w:color w:val="auto"/>
        </w:rPr>
      </w:pPr>
    </w:p>
    <w:p>
      <w:pPr>
        <w:ind w:left="520" w:hanging="260"/>
        <w:spacing w:after="0" w:line="266" w:lineRule="auto"/>
        <w:tabs>
          <w:tab w:leader="none" w:pos="511" w:val="left"/>
        </w:tabs>
        <w:numPr>
          <w:ilvl w:val="0"/>
          <w:numId w:val="25"/>
        </w:numPr>
        <w:rPr>
          <w:rFonts w:ascii="Arial" w:cs="Arial" w:eastAsia="Arial" w:hAnsi="Arial"/>
          <w:sz w:val="13"/>
          <w:szCs w:val="13"/>
          <w:color w:val="auto"/>
        </w:rPr>
      </w:pPr>
      <w:r>
        <w:rPr>
          <w:rFonts w:ascii="Arial" w:cs="Arial" w:eastAsia="Arial" w:hAnsi="Arial"/>
          <w:sz w:val="13"/>
          <w:szCs w:val="13"/>
          <w:color w:val="auto"/>
        </w:rPr>
        <w:t>Comprehensive global employee surveys, which measure how people feel about their work and whether they feel they have the tools to do their jobs well. Feedback from these studies informs detailed action plans at the group, function, and team level.</w:t>
      </w:r>
    </w:p>
    <w:p>
      <w:pPr>
        <w:spacing w:after="0" w:line="18" w:lineRule="exact"/>
        <w:rPr>
          <w:rFonts w:ascii="Arial" w:cs="Arial" w:eastAsia="Arial" w:hAnsi="Arial"/>
          <w:sz w:val="13"/>
          <w:szCs w:val="13"/>
          <w:color w:val="auto"/>
        </w:rPr>
      </w:pPr>
    </w:p>
    <w:p>
      <w:pPr>
        <w:ind w:left="500" w:hanging="240"/>
        <w:spacing w:after="0"/>
        <w:tabs>
          <w:tab w:leader="none" w:pos="5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Pulse check surveys, which are smaller-scale studies designed to measure employee sentiment on specific topics and initiatives.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Stay interviews to help managers understand why staff stay and to uncover what might put them at risk to depart.</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Skip-level meetings to develop trust and rapport between senior leaders and employees.</w:t>
      </w:r>
    </w:p>
    <w:p>
      <w:pPr>
        <w:spacing w:after="0" w:line="243"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Our listening strategy also informs our efforts to reduce turnover, which we monitor closely through analytics. Qualitative information is collected through formal exit interviews and, where we believe they’ll make an impact, we intervene via retention plans and related efforts.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Employee well-being</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At the heart of our well-being ethos is a commitment to support our employees’ ability to lead happy, healthy lives. We aim to ensure that all employees worldwide have equal and direct access to locally relevant information and resources to support them and their families across a broad range of needs. These include, but are not limited to, the physical, social, psychological, and environmental dimensions of well-being. Our Global Employee Assistance Programme ensures that all employees, and their families, have access to a range of different resources and experts to help them better manage their working life and personal life.</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Health and safety</w:t>
      </w:r>
    </w:p>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welfare and safety of our employees, customers, and clinical trial patients remains our highest priority. We take guidance from global and regional health authorities and governments to protect the safety and welfare of employees, as well as abide by government directives. Our priority objectives are the safety of our staff, clinical trial patients, protecting the environment, maintaining business continuity, and ensuring ongoing protection of our data.</w:t>
      </w:r>
    </w:p>
    <w:p>
      <w:pPr>
        <w:spacing w:after="0" w:line="159"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We are committed to providing a safe working environment for our people. We achieve this goal by working in ways that protect the safety, health, and welfare of all our employees, clinical trial patients, and visitors. We work to identify, mitigate, and monitor existing and emerging health or environmental risks that may be associated with our business activities.</w:t>
      </w:r>
    </w:p>
    <w:p>
      <w:pPr>
        <w:spacing w:after="0" w:line="14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In response to the pandemic, both PRA and ICON deployed a range of measures to protect employee safety, to ensure the continuity of customers’ research programmes, and to protect patient welfare. These were, and remain, our top priorities for all decisions we make relating to COVID-19. With pandemic conditions changing around the world during 2020 and 2021, the Company's COVID Pandemic Task Force worked through the Business Continuity (BC) office, Site Head network, and with other critical stakeholders to communicate and reopen offices as conditions permitted in accordance with recommendations from the CDC, WHO, and local governments.</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Fostering diversity, inclusion and belonging</w:t>
      </w:r>
    </w:p>
    <w:p>
      <w:pPr>
        <w:spacing w:after="0" w:line="188"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Diversity, inclusion and belonging are fundamental to our culture and values. Our rich diversity makes us more innovative and more creative, which helps us better serve our patients, our customers and our communities. We recognise the critical importance of diversity in clinical trials and also affirm that diversity of thought in an inclusive workplace is vital to innovative ideas, spur more fruitful collaboration and nurture a vibrant culture. We are committed to being a workplace where all employees feel included with a deep sense of belonging. To achieve this, we acknowledge and celebrate our differences in gender, ethnicity, culture and abilities. As a values-driven organisation, respect for diverse points is foundational to how we interact with each other, as well as with customers, patients, and suppliers.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280"/>
          </w:cols>
          <w:pgMar w:left="300" w:top="889" w:right="31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established a Diversity, Inclusion &amp; Belonging Steering Committee in 2019 which was updated in 2021, following the Acquisition, to comprise of leaders from both the legacy ICON and PRA organisations to guide us in our journey to become a more inclusive workplace where all employees feel they can be themselves and deliver their best work. We believe in a workplace culture that embraces diverse perspectives and empowers our team members to grow at work, at home and in their communities. The key areas of focus for our diversity, inclusion, and belonging agenda include talent management, country-level inclusion policies, rewards, training, and communications.</w:t>
      </w:r>
    </w:p>
    <w:p>
      <w:pPr>
        <w:spacing w:after="0" w:line="165" w:lineRule="exact"/>
        <w:rPr>
          <w:sz w:val="20"/>
          <w:szCs w:val="20"/>
          <w:color w:val="auto"/>
        </w:rPr>
      </w:pPr>
    </w:p>
    <w:p>
      <w:pPr>
        <w:spacing w:after="0"/>
        <w:rPr>
          <w:sz w:val="20"/>
          <w:szCs w:val="20"/>
          <w:color w:val="auto"/>
        </w:rPr>
      </w:pPr>
      <w:r>
        <w:rPr>
          <w:rFonts w:ascii="Arial" w:cs="Arial" w:eastAsia="Arial" w:hAnsi="Arial"/>
          <w:sz w:val="12"/>
          <w:szCs w:val="12"/>
          <w:color w:val="auto"/>
        </w:rPr>
        <w:t>The new ICON brings together two diverse organisations, made great by the talented and ambitious people whose varied skills, perspectives, and backgrounds will continue to be vital to our success.</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As a global operation, we deliberately structure teams to be international, so that we can support the delivery of our customers’ clinical development programmes across multiple geographies.</w:t>
      </w:r>
    </w:p>
    <w:p>
      <w:pPr>
        <w:spacing w:after="0" w:line="182"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ICON has Diversity, Inclusion &amp; Belonging advocates from the global employee population to better understand local needs, build local presence and awareness, and to give a voice to every corner of the world. These Diversity, Inclusion &amp; Belonging Advocates play a key role in supporting the Diversity, Inclusion &amp; Belonging Steering Committee, aligning activities across the organisation which led to the creation of community groups which are broadly aligned with groups that were already in place in PRA:</w:t>
      </w:r>
    </w:p>
    <w:p>
      <w:pPr>
        <w:spacing w:after="0" w:line="11" w:lineRule="exact"/>
        <w:rPr>
          <w:sz w:val="20"/>
          <w:szCs w:val="20"/>
          <w:color w:val="auto"/>
        </w:rPr>
      </w:pPr>
    </w:p>
    <w:p>
      <w:pPr>
        <w:ind w:left="520" w:hanging="260"/>
        <w:spacing w:after="0" w:line="281" w:lineRule="auto"/>
        <w:tabs>
          <w:tab w:leader="none" w:pos="511" w:val="left"/>
        </w:tabs>
        <w:numPr>
          <w:ilvl w:val="0"/>
          <w:numId w:val="26"/>
        </w:numPr>
        <w:rPr>
          <w:rFonts w:ascii="Arial" w:cs="Arial" w:eastAsia="Arial" w:hAnsi="Arial"/>
          <w:sz w:val="13"/>
          <w:szCs w:val="13"/>
          <w:color w:val="auto"/>
        </w:rPr>
      </w:pPr>
      <w:r>
        <w:rPr>
          <w:rFonts w:ascii="Arial" w:cs="Arial" w:eastAsia="Arial" w:hAnsi="Arial"/>
          <w:sz w:val="13"/>
          <w:szCs w:val="13"/>
          <w:b w:val="1"/>
          <w:bCs w:val="1"/>
          <w:color w:val="auto"/>
        </w:rPr>
        <w:t>NOW@ICON</w:t>
      </w:r>
      <w:r>
        <w:rPr>
          <w:rFonts w:ascii="Arial" w:cs="Arial" w:eastAsia="Arial" w:hAnsi="Arial"/>
          <w:sz w:val="13"/>
          <w:szCs w:val="13"/>
          <w:color w:val="auto"/>
        </w:rPr>
        <w:t>: Networking Organisation for Women at ICON is committed to inspiring and connecting current and potential leaders through an inclusive environment of targeted initiatives and</w:t>
      </w:r>
      <w:r>
        <w:rPr>
          <w:rFonts w:ascii="Arial" w:cs="Arial" w:eastAsia="Arial" w:hAnsi="Arial"/>
          <w:sz w:val="13"/>
          <w:szCs w:val="13"/>
          <w:b w:val="1"/>
          <w:bCs w:val="1"/>
          <w:color w:val="auto"/>
        </w:rPr>
        <w:t xml:space="preserve"> </w:t>
      </w:r>
      <w:r>
        <w:rPr>
          <w:rFonts w:ascii="Arial" w:cs="Arial" w:eastAsia="Arial" w:hAnsi="Arial"/>
          <w:sz w:val="13"/>
          <w:szCs w:val="13"/>
          <w:color w:val="auto"/>
        </w:rPr>
        <w:t>supportive mentorship.</w:t>
      </w:r>
    </w:p>
    <w:p>
      <w:pPr>
        <w:ind w:left="520" w:hanging="260"/>
        <w:spacing w:after="0" w:line="266" w:lineRule="auto"/>
        <w:tabs>
          <w:tab w:leader="none" w:pos="511" w:val="left"/>
        </w:tabs>
        <w:numPr>
          <w:ilvl w:val="0"/>
          <w:numId w:val="26"/>
        </w:numPr>
        <w:rPr>
          <w:rFonts w:ascii="Arial" w:cs="Arial" w:eastAsia="Arial" w:hAnsi="Arial"/>
          <w:sz w:val="13"/>
          <w:szCs w:val="13"/>
          <w:color w:val="auto"/>
        </w:rPr>
      </w:pPr>
      <w:r>
        <w:rPr>
          <w:rFonts w:ascii="Arial" w:cs="Arial" w:eastAsia="Arial" w:hAnsi="Arial"/>
          <w:sz w:val="13"/>
          <w:szCs w:val="13"/>
          <w:b w:val="1"/>
          <w:bCs w:val="1"/>
          <w:color w:val="auto"/>
        </w:rPr>
        <w:t>SPACE</w:t>
      </w:r>
      <w:r>
        <w:rPr>
          <w:rFonts w:ascii="Arial" w:cs="Arial" w:eastAsia="Arial" w:hAnsi="Arial"/>
          <w:sz w:val="13"/>
          <w:szCs w:val="13"/>
          <w:color w:val="auto"/>
        </w:rPr>
        <w:t>: Supporting Parents and Carers Everywhere to create a workplace where stepping out of careers due to personal commitments for a period is wholly accepted and not career limiting,</w:t>
      </w:r>
      <w:r>
        <w:rPr>
          <w:rFonts w:ascii="Arial" w:cs="Arial" w:eastAsia="Arial" w:hAnsi="Arial"/>
          <w:sz w:val="13"/>
          <w:szCs w:val="13"/>
          <w:b w:val="1"/>
          <w:bCs w:val="1"/>
          <w:color w:val="auto"/>
        </w:rPr>
        <w:t xml:space="preserve"> </w:t>
      </w:r>
      <w:r>
        <w:rPr>
          <w:rFonts w:ascii="Arial" w:cs="Arial" w:eastAsia="Arial" w:hAnsi="Arial"/>
          <w:sz w:val="13"/>
          <w:szCs w:val="13"/>
          <w:color w:val="auto"/>
        </w:rPr>
        <w:t>and where stepping back into their career is an organic and positive process.</w:t>
      </w:r>
    </w:p>
    <w:p>
      <w:pPr>
        <w:spacing w:after="0" w:line="18" w:lineRule="exact"/>
        <w:rPr>
          <w:rFonts w:ascii="Arial" w:cs="Arial" w:eastAsia="Arial" w:hAnsi="Arial"/>
          <w:sz w:val="13"/>
          <w:szCs w:val="13"/>
          <w:color w:val="auto"/>
        </w:rPr>
      </w:pPr>
    </w:p>
    <w:p>
      <w:pPr>
        <w:ind w:left="500" w:hanging="240"/>
        <w:spacing w:after="0"/>
        <w:tabs>
          <w:tab w:leader="none" w:pos="500" w:val="left"/>
        </w:tabs>
        <w:numPr>
          <w:ilvl w:val="0"/>
          <w:numId w:val="26"/>
        </w:numPr>
        <w:rPr>
          <w:rFonts w:ascii="Arial" w:cs="Arial" w:eastAsia="Arial" w:hAnsi="Arial"/>
          <w:sz w:val="12"/>
          <w:szCs w:val="12"/>
          <w:color w:val="auto"/>
        </w:rPr>
      </w:pPr>
      <w:r>
        <w:rPr>
          <w:rFonts w:ascii="Arial" w:cs="Arial" w:eastAsia="Arial" w:hAnsi="Arial"/>
          <w:sz w:val="12"/>
          <w:szCs w:val="12"/>
          <w:b w:val="1"/>
          <w:bCs w:val="1"/>
          <w:color w:val="auto"/>
        </w:rPr>
        <w:t>PRIDE</w:t>
      </w:r>
      <w:r>
        <w:rPr>
          <w:rFonts w:ascii="Arial" w:cs="Arial" w:eastAsia="Arial" w:hAnsi="Arial"/>
          <w:sz w:val="12"/>
          <w:szCs w:val="12"/>
          <w:color w:val="auto"/>
        </w:rPr>
        <w:t>: Supporting LGBTQ+ colleagues and allies, ensuring that no matter where employees are in the world, our offices are a safe space where they are welcomed, respected, and valued.</w:t>
      </w:r>
    </w:p>
    <w:p>
      <w:pPr>
        <w:spacing w:after="0" w:line="52" w:lineRule="exact"/>
        <w:rPr>
          <w:rFonts w:ascii="Arial" w:cs="Arial" w:eastAsia="Arial" w:hAnsi="Arial"/>
          <w:sz w:val="12"/>
          <w:szCs w:val="12"/>
          <w:color w:val="auto"/>
        </w:rPr>
      </w:pPr>
    </w:p>
    <w:p>
      <w:pPr>
        <w:ind w:left="520" w:hanging="260"/>
        <w:spacing w:after="0" w:line="266" w:lineRule="auto"/>
        <w:tabs>
          <w:tab w:leader="none" w:pos="511" w:val="left"/>
        </w:tabs>
        <w:numPr>
          <w:ilvl w:val="0"/>
          <w:numId w:val="26"/>
        </w:numPr>
        <w:rPr>
          <w:rFonts w:ascii="Arial" w:cs="Arial" w:eastAsia="Arial" w:hAnsi="Arial"/>
          <w:sz w:val="13"/>
          <w:szCs w:val="13"/>
          <w:color w:val="auto"/>
        </w:rPr>
      </w:pPr>
      <w:r>
        <w:rPr>
          <w:rFonts w:ascii="Arial" w:cs="Arial" w:eastAsia="Arial" w:hAnsi="Arial"/>
          <w:sz w:val="13"/>
          <w:szCs w:val="13"/>
          <w:b w:val="1"/>
          <w:bCs w:val="1"/>
          <w:color w:val="auto"/>
        </w:rPr>
        <w:t>DAWN</w:t>
      </w:r>
      <w:r>
        <w:rPr>
          <w:rFonts w:ascii="Arial" w:cs="Arial" w:eastAsia="Arial" w:hAnsi="Arial"/>
          <w:sz w:val="13"/>
          <w:szCs w:val="13"/>
          <w:color w:val="auto"/>
        </w:rPr>
        <w:t>: The Disability Awareness Network is a community group striving to develop and foster a mindset towards creating an inclusive workplace and working environment where everyone is</w:t>
      </w:r>
      <w:r>
        <w:rPr>
          <w:rFonts w:ascii="Arial" w:cs="Arial" w:eastAsia="Arial" w:hAnsi="Arial"/>
          <w:sz w:val="13"/>
          <w:szCs w:val="13"/>
          <w:b w:val="1"/>
          <w:bCs w:val="1"/>
          <w:color w:val="auto"/>
        </w:rPr>
        <w:t xml:space="preserve"> </w:t>
      </w:r>
      <w:r>
        <w:rPr>
          <w:rFonts w:ascii="Arial" w:cs="Arial" w:eastAsia="Arial" w:hAnsi="Arial"/>
          <w:sz w:val="13"/>
          <w:szCs w:val="13"/>
          <w:color w:val="auto"/>
        </w:rPr>
        <w:t>treated equally with respect and dignity, irrespective of any visible or hidden disabilities.</w:t>
      </w:r>
    </w:p>
    <w:p>
      <w:pPr>
        <w:spacing w:after="0" w:line="18" w:lineRule="exact"/>
        <w:rPr>
          <w:rFonts w:ascii="Arial" w:cs="Arial" w:eastAsia="Arial" w:hAnsi="Arial"/>
          <w:sz w:val="13"/>
          <w:szCs w:val="13"/>
          <w:color w:val="auto"/>
        </w:rPr>
      </w:pPr>
    </w:p>
    <w:p>
      <w:pPr>
        <w:ind w:left="500" w:hanging="240"/>
        <w:spacing w:after="0"/>
        <w:tabs>
          <w:tab w:leader="none" w:pos="500" w:val="left"/>
        </w:tabs>
        <w:numPr>
          <w:ilvl w:val="0"/>
          <w:numId w:val="26"/>
        </w:numPr>
        <w:rPr>
          <w:rFonts w:ascii="Arial" w:cs="Arial" w:eastAsia="Arial" w:hAnsi="Arial"/>
          <w:sz w:val="13"/>
          <w:szCs w:val="13"/>
          <w:color w:val="auto"/>
        </w:rPr>
      </w:pPr>
      <w:r>
        <w:rPr>
          <w:rFonts w:ascii="Arial" w:cs="Arial" w:eastAsia="Arial" w:hAnsi="Arial"/>
          <w:sz w:val="13"/>
          <w:szCs w:val="13"/>
          <w:b w:val="1"/>
          <w:bCs w:val="1"/>
          <w:color w:val="auto"/>
        </w:rPr>
        <w:t>EmbRACE</w:t>
      </w:r>
      <w:r>
        <w:rPr>
          <w:rFonts w:ascii="Arial" w:cs="Arial" w:eastAsia="Arial" w:hAnsi="Arial"/>
          <w:sz w:val="13"/>
          <w:szCs w:val="13"/>
          <w:color w:val="auto"/>
        </w:rPr>
        <w:t>: Supporting all race and ethnic backgrounds in creating an inclusive workplace culture.</w:t>
      </w:r>
    </w:p>
    <w:p>
      <w:pPr>
        <w:spacing w:after="0" w:line="22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ICON is focused on building an inclusive culture where employees feel supported by a fair system supporting pay equity. We have a long track record of developing talent and filling vacancies through internal hires. Using best-in-class analysis, we conduct regular reviews of salary ranges to ensure fair pay, irrespective of gender, race, or ethnicity.</w:t>
      </w:r>
    </w:p>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monitor and seek to maintain pay equity for our employees and, as such, strive to structure our pay principles to ensure that individual differences are not a factor in how we deliver rewards. We have made significant investments in organisation design structures, tools, and communications which underpin our pay principles. This information is hosted through core technology, giving managers direct access to resources to support and inform pay-related decisions.</w:t>
      </w:r>
    </w:p>
    <w:p>
      <w:pPr>
        <w:spacing w:after="0" w:line="159"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As we are integrating the ICON and PRA legacy organisations, we are performing reviews to identify and close any pay equity gaps and we will continue to expand pay equity analytics and provide actionable guidance to leaders and managers. To support enterprise planning, we will continue to track company-wide metrics and report on progress to the Board.</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We are also committed to ensuring fair employment practices. For every jurisdiction in which we operate, we act in compliance with relevant laws relating to labour rights and labour relations as well as market competitive benefits. We believe in fair and equal treatment for all our people, without regard to gender, race, ethnicity, sexual orientation, marital status, physical or mental disability, age, pregnancy, veteran status, nationality, religion, or any other legally-protected status. We do not tolerate our employees being subjected to physical, sexual, racial, psychological, verbal, or any other form of harassment. We encourage our employees to report any issues of harassment or discrimination. We prohibit retaliation against any employee who rejects, protests, or complains about unlawful discrimination or harassment.</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color w:val="auto"/>
        </w:rPr>
        <w:t>For further details on risks relating to employee matters refer to Appendix A: Risk Factors on page 155.</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280"/>
          </w:cols>
          <w:pgMar w:left="300" w:top="889" w:right="31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Human rights</w:t>
      </w:r>
    </w:p>
    <w:p>
      <w:pPr>
        <w:spacing w:after="0" w:line="19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ICON is committed to human rights and the adoption and pursuit of compliance with the United Nations Guiding Principles on Human Rights and we maintain policies and practices to uphold human rights globally and within our communities around the world. Our business model and our policies, including our Global Code of Ethical Conduct and Global Supplier Code of Conduct, are intended to fully comply with applicable human rights legislation in the countries where we operate. Indeed, our zero-tolerance policy on forced labour, slavery, and human trafficking is defined clearly in these policies, which are available to employees, suppliers, customers, and the public.</w:t>
      </w:r>
    </w:p>
    <w:p>
      <w:pPr>
        <w:spacing w:after="0" w:line="123"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are completely opposed to forced labour, slavery, and human trafficking. We will not knowingly support or conduct business with any organisation involved in such activities. We do not employ anyone below the minimum employment age in the jurisdictions in which we operate.</w:t>
      </w:r>
    </w:p>
    <w:p>
      <w:pPr>
        <w:spacing w:after="0" w:line="167"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Our Global Supplier Code of Conduct incorporates the Pharmaceutical Supply Chain Initiative (PSCI) principles for Responsible Supply Chain Management, including for labour. Before doing business with any supplier, we require suppliers to certify that they will comply with the ICON Global Supplier Code of Conduct or to their own materially equivalent internal code, which includes human rights. We perform pre-engagement due diligence on all of our suppliers, including in relation to labour issues, which we support through periodic re-screening. We hold our suppliers accountable for meeting their contractual obligations. Contract non-compliance can result in termination of the business relationship with the supplier and exclusion from future business.</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The risks associated with human rights abuses are actively monitored, however, we do not believe these risks meet the threshold of a principal risk for our business.</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Ethics and Compliance</w:t>
      </w:r>
    </w:p>
    <w:p>
      <w:pPr>
        <w:spacing w:after="0" w:line="190" w:lineRule="exact"/>
        <w:rPr>
          <w:sz w:val="20"/>
          <w:szCs w:val="20"/>
          <w:color w:val="auto"/>
        </w:rPr>
      </w:pPr>
    </w:p>
    <w:p>
      <w:pPr>
        <w:jc w:val="both"/>
        <w:spacing w:after="0" w:line="292" w:lineRule="auto"/>
        <w:rPr>
          <w:sz w:val="20"/>
          <w:szCs w:val="20"/>
          <w:color w:val="auto"/>
        </w:rPr>
      </w:pPr>
      <w:r>
        <w:rPr>
          <w:rFonts w:ascii="Arial" w:cs="Arial" w:eastAsia="Arial" w:hAnsi="Arial"/>
          <w:sz w:val="12"/>
          <w:szCs w:val="12"/>
          <w:color w:val="auto"/>
        </w:rPr>
        <w:t>ICON's core values (as detailed on page 18) are infused in everything we do. Meeting these values requires us all to work to the highest ethical standards and demonstrate a commitment to honesty, transparency and quality. Our focus on acting ethically is reflected in our policies and codes of conduct, including our Global Code of Ethical Conduct. This Code addresses the core values expected of our people in our internal interactions with each other as well as in external dealings with patients, customers, healthcare professionals, regulators, investors, vendors and other third parties.</w:t>
      </w:r>
    </w:p>
    <w:p>
      <w:pPr>
        <w:spacing w:after="0" w:line="154"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Our Ethics and Compliance Programme is foundational to our culture and will continue to define expectations and guide behaviour across ICON. The Legal Compliance and Ethics Team has oversight of day-to-day management of the programme. The team is independent of the business and reports to the Chief Administrative Officer and General Counsel (CAO). The CAO is responsible to report on the programme to our executive leadership team and the Board. The programme supports all functional areas globally and is dedicated to the implementation of standardised global policies, procedures, training, guidance, communications, monitoring, investigations, issue management, assessing compliance-related risk and mitigations, and reporting to ensure the overall compliance programme is effectively functioning.</w:t>
      </w:r>
    </w:p>
    <w:p>
      <w:pPr>
        <w:spacing w:after="0" w:line="169"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ICON has incorporated a third-party system for employees and third parties to report ethics and compliance questions, as well as concerns, and to track reports through follow-up and resolution. These tools also provide visibility into our risks while highlighting opportunities to address them. ICON’s combined compliance and ethics programmes will continue to grow and evolve in response to changes in our business and in the global business climate.</w:t>
      </w:r>
    </w:p>
    <w:p>
      <w:pPr>
        <w:spacing w:after="0" w:line="17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All employees are required to complete mandatory training in key areas which support our values and our ways of working. The training incorporates the key principles of our policies and codes and includes interactive scenarios where applicable.</w:t>
      </w:r>
    </w:p>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During 2021 we introduced the Speak Up Policy, ICON’s open door policy which replaces the former Ethics Line Charter. The Speak Up Policy promotes a culture that encourages compliance, openness, and accountability without retaliation. The Speak Up Policy aims to support our culture and values and seeks to encourage the prompt reporting or surfacing of concerns or violations. Reported ethics concerns and other ethics and compliance-related data are reported to the Board as appropriate.</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color w:val="auto"/>
        </w:rPr>
        <w:t>For further details on risks relating to ethics and compliance refer to Appendix A: Risk Factors on page 155.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280"/>
          </w:cols>
          <w:pgMar w:left="300" w:top="889" w:right="31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Anti-bribery and Corruption</w:t>
      </w:r>
    </w:p>
    <w:p>
      <w:pPr>
        <w:spacing w:after="0" w:line="126"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ICON is guided by the foundational principle that we do not tolerate bribery or any other form of corruption or fraud. Our anti-bribery/ anti-corruption (ABAC) programme is a key element of our Ethics and Compliance Programme. ICON and all ICON directors, employees, consultants, agents and all third parties acting on ICON's behalf must act in compliance with international laws and regulations relating to bribery, corruption, and illicit payments, including the US Foreign Corrupt Practices Act and the UK Bribery Act 2010.</w:t>
      </w:r>
    </w:p>
    <w:p>
      <w:pPr>
        <w:spacing w:after="0" w:line="113"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ICON has the ISO 37001:2016 certification for its Anti-Bribery Management System having established, implemented, maintained, reviewed and improved an Anti-Bribery Management System that can prevent, detect and mitigate the risk of bribery. Our programme is designed to ensure our compliance with anti-corruption laws, including due diligence, training, policies, procedures, and internal controls.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Bribery and corruption remains a business risk as we conduct our business across the globe and enter into partnerships and collaborations. There is no certainty that all employees and third party business partners (including our vendors, suppliers, agents, contractors, and other partners) will comply with anti-bribery laws. When working with third parties, we are committed to working with only those who embrace high standards of ethical behaviour consistent with our own. Bribery and corruption risks are a focus of our third-party diligence and management process. We hold our suppliers accountable for meeting their contractual obligations with ICON, including commitments that are made with regard to our Global Supplier Code of Conduct and regulatory compliance. Contract non-compliance can result in termination of the business relationship with the supplier and exclusion from future business with ICON.</w:t>
      </w:r>
    </w:p>
    <w:p>
      <w:pPr>
        <w:spacing w:after="0" w:line="164" w:lineRule="exact"/>
        <w:rPr>
          <w:sz w:val="20"/>
          <w:szCs w:val="20"/>
          <w:color w:val="auto"/>
        </w:rPr>
      </w:pPr>
    </w:p>
    <w:p>
      <w:pPr>
        <w:jc w:val="both"/>
        <w:spacing w:after="0" w:line="327" w:lineRule="auto"/>
        <w:rPr>
          <w:sz w:val="20"/>
          <w:szCs w:val="20"/>
          <w:color w:val="auto"/>
        </w:rPr>
      </w:pPr>
      <w:r>
        <w:rPr>
          <w:rFonts w:ascii="Arial" w:cs="Arial" w:eastAsia="Arial" w:hAnsi="Arial"/>
          <w:sz w:val="12"/>
          <w:szCs w:val="12"/>
          <w:color w:val="auto"/>
        </w:rPr>
        <w:t>ICON's internal audit teams conduct ABAC Programme audits. Internal Audit focuses on testing for compliance and design effectiveness of the overall ABAC Programme. Internal Audit incorporates an assessment of ABAC measures in all audits, as appropriate. In this approach, bribery and corruption risks are incorporated into the risk assessment and scoping process of each audit.</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color w:val="auto"/>
        </w:rPr>
        <w:t>For further details on risks relating to anti-corruption refer to Appendix A: Risk Factors on page 155.</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Information Security and Privacy</w:t>
      </w:r>
    </w:p>
    <w:p>
      <w:pPr>
        <w:spacing w:after="0" w:line="148"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We understand that data privacy and information security are fundamental to business and key to retaining customers, building investor trust, protecting patients, and complying with global and regional regulations. We recognise and respect that our customers, employees, patients, and all those who do business with us expect that we will protect their personal information in accordance with our legal obligations and the promises we make. Our cybersecurity strategy and program protect our systems and data against changing threats. The cybersecurity program has the support of executive leadership and the Board, and we have invested heavily in cybersecurity technologies to protect our environment. Our cybersecurity program is independently assessed on a regular basis. We have embedded security in our processes to maintain the security of our data and our customers’ data. We understand that cyber threats move at machine speed and accordingly we have invested in cybersecurity automation to detect and respond to vulnerabilities and threats rapidly.</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Our processes and range of information security policies are certified to ISO27001 and are independently audited twice annually. We also have the Cyber Essentials certification. During an acquisition process, we conduct security and privacy due diligence and risk assessments, implement policies, deliver employee training, and securely integrate IT systems.</w:t>
      </w:r>
    </w:p>
    <w:p>
      <w:pPr>
        <w:spacing w:after="0" w:line="167"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Our Global Data Protection Policy regulates the processing of personal data in accordance with the applicable data protection laws of the countries where we operate, including Europe’s General Data Protection Regulation (GDPR) framework. COVID-19 raised new privacy and data issues, for example, verifying remotely sourced data became a new priority that will likely endure beyond the pandemic.</w:t>
      </w:r>
    </w:p>
    <w:p>
      <w:pPr>
        <w:spacing w:after="0" w:line="15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Our people and partners play a critical role in safeguarding data. ICON has training in place for all employees and contingent workers on information security and privacy practices, so that they understand their responsibilities with respect to data security and privacy.</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For further details on risks relating to information security and privacy refer to Appendix A: Risk Factors on page 155.</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280"/>
          </w:cols>
          <w:pgMar w:left="300" w:top="889" w:right="31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Sustainable procurement</w:t>
      </w:r>
    </w:p>
    <w:p>
      <w:pPr>
        <w:spacing w:after="0" w:line="201" w:lineRule="exact"/>
        <w:rPr>
          <w:sz w:val="20"/>
          <w:szCs w:val="20"/>
          <w:color w:val="auto"/>
        </w:rPr>
      </w:pPr>
    </w:p>
    <w:p>
      <w:pPr>
        <w:jc w:val="both"/>
        <w:spacing w:after="0" w:line="283" w:lineRule="auto"/>
        <w:rPr>
          <w:sz w:val="20"/>
          <w:szCs w:val="20"/>
          <w:color w:val="auto"/>
        </w:rPr>
      </w:pPr>
      <w:r>
        <w:rPr>
          <w:rFonts w:ascii="Arial" w:cs="Arial" w:eastAsia="Arial" w:hAnsi="Arial"/>
          <w:sz w:val="12"/>
          <w:szCs w:val="12"/>
          <w:color w:val="auto"/>
        </w:rPr>
        <w:t>ICON maintains policies and practices to support responsible, sustainable and ethical business practices and is committed to working with only those suppliers who embrace high standards of behaviour. We manage our suppliers through our Global Procurement department. The onboarding of new suppliers is completed through a centrally managed due diligence process</w:t>
      </w:r>
      <w:r>
        <w:rPr>
          <w:rFonts w:ascii="Arial" w:cs="Arial" w:eastAsia="Arial" w:hAnsi="Arial"/>
          <w:sz w:val="12"/>
          <w:szCs w:val="12"/>
          <w:i w:val="1"/>
          <w:iCs w:val="1"/>
          <w:color w:val="auto"/>
        </w:rPr>
        <w:t>.</w:t>
      </w:r>
      <w:r>
        <w:rPr>
          <w:rFonts w:ascii="Arial" w:cs="Arial" w:eastAsia="Arial" w:hAnsi="Arial"/>
          <w:sz w:val="12"/>
          <w:szCs w:val="12"/>
          <w:color w:val="auto"/>
        </w:rPr>
        <w:t xml:space="preserve"> Environmental sustainability, bribery, and corruption risks are a focus of our collective third-party diligence and management process. We require our suppliers to abide by our Global Supplier Code of Conduct.</w:t>
      </w:r>
    </w:p>
    <w:p>
      <w:pPr>
        <w:spacing w:after="0" w:line="159"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ICON performs pre-engagement due diligence on all of our suppliers, this includes screening of sanctions lists, debarment, and adverse media. Suppliers are periodically re-screened to ensure any potential new findings are captured and addressed. As part of this process, suppliers are subject to a risk assessment, with suppliers deemed higher risk subject to enhanced due diligence which may include periodic training, auditing, and assessments. We hold our suppliers accountable for meeting their contractual obligations, including commitments relating to our Global Supplier Code of Conduct and regulatory compliance. Contract noncompliance can result in termination of the business relationship and exclusion from future business our company.</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For further details on risks relating to sustainable procurement refer to Appendix A: Risk Factors on page 155.</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Directors’ compliance statement</w:t>
      </w:r>
    </w:p>
    <w:p>
      <w:pPr>
        <w:spacing w:after="0" w:line="20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Directors, in accordance with Section 225(2) of the Companies Act, acknowledge that they are responsible for securing the Company’s compliance with its relevant obligations as defined within the Companies Act, (hereinafter called the relevant obligations).</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The Directors confirm that:</w:t>
      </w:r>
    </w:p>
    <w:p>
      <w:pPr>
        <w:spacing w:after="0" w:line="201" w:lineRule="exact"/>
        <w:rPr>
          <w:sz w:val="20"/>
          <w:szCs w:val="20"/>
          <w:color w:val="auto"/>
        </w:rPr>
      </w:pPr>
    </w:p>
    <w:p>
      <w:pPr>
        <w:ind w:left="500" w:hanging="240"/>
        <w:spacing w:after="0"/>
        <w:tabs>
          <w:tab w:leader="none" w:pos="5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a compliance policy statement has been drawn up setting out the Company’s policies with regard to such compliance;</w:t>
      </w:r>
    </w:p>
    <w:p>
      <w:pPr>
        <w:spacing w:after="0" w:line="17" w:lineRule="exact"/>
        <w:rPr>
          <w:rFonts w:ascii="Arial" w:cs="Arial" w:eastAsia="Arial" w:hAnsi="Arial"/>
          <w:sz w:val="13"/>
          <w:szCs w:val="13"/>
          <w:color w:val="auto"/>
        </w:rPr>
      </w:pPr>
    </w:p>
    <w:p>
      <w:pPr>
        <w:ind w:left="500" w:hanging="240"/>
        <w:spacing w:after="0"/>
        <w:tabs>
          <w:tab w:leader="none" w:pos="5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appropriate arrangements and structures that, in their opinion, are designed to secure material compliance with the Company’s relevant obligations, have been put in place; and</w:t>
      </w:r>
    </w:p>
    <w:p>
      <w:pPr>
        <w:spacing w:after="0" w:line="9" w:lineRule="exact"/>
        <w:rPr>
          <w:rFonts w:ascii="Arial" w:cs="Arial" w:eastAsia="Arial" w:hAnsi="Arial"/>
          <w:sz w:val="13"/>
          <w:szCs w:val="13"/>
          <w:color w:val="auto"/>
        </w:rPr>
      </w:pPr>
    </w:p>
    <w:p>
      <w:pPr>
        <w:ind w:left="500" w:hanging="240"/>
        <w:spacing w:after="0"/>
        <w:tabs>
          <w:tab w:leader="none" w:pos="5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a review has been conducted, during the financial year, of the arrangements and structures that have been put in place to secure the Company’s compliance with the relevant obligations.</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Auditor</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In accordance with Section 383(2) of the Companies Act, KPMG, Chartered Accountants, will continue in office.</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On behalf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2340" w:type="dxa"/>
            <w:vAlign w:val="bottom"/>
          </w:tcPr>
          <w:p>
            <w:pPr>
              <w:spacing w:after="0"/>
              <w:rPr>
                <w:sz w:val="20"/>
                <w:szCs w:val="20"/>
                <w:color w:val="auto"/>
              </w:rPr>
            </w:pPr>
            <w:r>
              <w:rPr>
                <w:rFonts w:ascii="Arial" w:cs="Arial" w:eastAsia="Arial" w:hAnsi="Arial"/>
                <w:sz w:val="13"/>
                <w:szCs w:val="13"/>
                <w:color w:val="auto"/>
              </w:rPr>
              <w:t>Steve Cutler</w:t>
            </w:r>
          </w:p>
        </w:tc>
        <w:tc>
          <w:tcPr>
            <w:tcW w:w="2960" w:type="dxa"/>
            <w:vAlign w:val="bottom"/>
          </w:tcPr>
          <w:p>
            <w:pPr>
              <w:ind w:left="1060"/>
              <w:spacing w:after="0"/>
              <w:rPr>
                <w:sz w:val="20"/>
                <w:szCs w:val="20"/>
                <w:color w:val="auto"/>
              </w:rPr>
            </w:pPr>
            <w:r>
              <w:rPr>
                <w:rFonts w:ascii="Arial" w:cs="Arial" w:eastAsia="Arial" w:hAnsi="Arial"/>
                <w:sz w:val="13"/>
                <w:szCs w:val="13"/>
                <w:color w:val="auto"/>
              </w:rPr>
              <w:t>Rónán Murphy</w:t>
            </w:r>
          </w:p>
        </w:tc>
        <w:tc>
          <w:tcPr>
            <w:tcW w:w="1820" w:type="dxa"/>
            <w:vAlign w:val="bottom"/>
          </w:tcPr>
          <w:p>
            <w:pPr>
              <w:ind w:left="1040"/>
              <w:spacing w:after="0"/>
              <w:rPr>
                <w:sz w:val="20"/>
                <w:szCs w:val="20"/>
                <w:color w:val="auto"/>
              </w:rPr>
            </w:pPr>
            <w:r>
              <w:rPr>
                <w:rFonts w:ascii="Arial" w:cs="Arial" w:eastAsia="Arial" w:hAnsi="Arial"/>
                <w:sz w:val="13"/>
                <w:szCs w:val="13"/>
                <w:color w:val="auto"/>
                <w:w w:val="96"/>
              </w:rPr>
              <w:t>17 June 2022</w:t>
            </w:r>
          </w:p>
        </w:tc>
      </w:tr>
      <w:tr>
        <w:trPr>
          <w:trHeight w:val="180"/>
        </w:trPr>
        <w:tc>
          <w:tcPr>
            <w:tcW w:w="2340" w:type="dxa"/>
            <w:vAlign w:val="bottom"/>
          </w:tcPr>
          <w:p>
            <w:pPr>
              <w:spacing w:after="0"/>
              <w:rPr>
                <w:sz w:val="20"/>
                <w:szCs w:val="20"/>
                <w:color w:val="auto"/>
              </w:rPr>
            </w:pPr>
            <w:r>
              <w:rPr>
                <w:rFonts w:ascii="Arial" w:cs="Arial" w:eastAsia="Arial" w:hAnsi="Arial"/>
                <w:sz w:val="13"/>
                <w:szCs w:val="13"/>
                <w:i w:val="1"/>
                <w:iCs w:val="1"/>
                <w:color w:val="auto"/>
              </w:rPr>
              <w:t>Chief Executive Officer</w:t>
            </w:r>
          </w:p>
        </w:tc>
        <w:tc>
          <w:tcPr>
            <w:tcW w:w="2960" w:type="dxa"/>
            <w:vAlign w:val="bottom"/>
          </w:tcPr>
          <w:p>
            <w:pPr>
              <w:ind w:left="1060"/>
              <w:spacing w:after="0"/>
              <w:rPr>
                <w:sz w:val="20"/>
                <w:szCs w:val="20"/>
                <w:color w:val="auto"/>
              </w:rPr>
            </w:pPr>
            <w:r>
              <w:rPr>
                <w:rFonts w:ascii="Arial" w:cs="Arial" w:eastAsia="Arial" w:hAnsi="Arial"/>
                <w:sz w:val="13"/>
                <w:szCs w:val="13"/>
                <w:i w:val="1"/>
                <w:iCs w:val="1"/>
                <w:color w:val="auto"/>
              </w:rPr>
              <w:t>Director</w:t>
            </w:r>
          </w:p>
        </w:tc>
        <w:tc>
          <w:tcPr>
            <w:tcW w:w="1820" w:type="dxa"/>
            <w:vAlign w:val="bottom"/>
          </w:tcPr>
          <w:p>
            <w:pPr>
              <w:spacing w:after="0"/>
              <w:rPr>
                <w:sz w:val="15"/>
                <w:szCs w:val="15"/>
                <w:color w:val="auto"/>
              </w:rPr>
            </w:pPr>
          </w:p>
        </w:tc>
      </w:tr>
    </w:tbl>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280"/>
          </w:cols>
          <w:pgMar w:left="300" w:top="889" w:right="31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Statement of Directors’ Responsibilities in respect of the Directors’ report and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3"/>
          <w:szCs w:val="13"/>
          <w:color w:val="auto"/>
        </w:rPr>
        <w:t>The directors are responsible for preparing the annual report and the Group and Company financial statements in accordance with applicable law and regulations.</w:t>
      </w:r>
    </w:p>
    <w:p>
      <w:pPr>
        <w:spacing w:after="0" w:line="126"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Company law requires the directors to prepare the Group and Company financial statements for each financial year. The directors have elected to prepare the Group and Company financial statements in accordance with IFRS as adopted by the EU and as applied in accordance with the Companies Act.</w:t>
      </w:r>
    </w:p>
    <w:p>
      <w:pPr>
        <w:spacing w:after="0" w:line="104"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Under company law the directors must not approve the Group and Company financial statements unless they are satisfied that they give a true and fair view of the assets, liabilities and financial position of the Group and Company and of the Group’s profit or loss for that year. In preparing the Group and Company financial statements, the directors are required to:</w:t>
      </w:r>
    </w:p>
    <w:p>
      <w:pPr>
        <w:spacing w:after="0" w:line="104" w:lineRule="exact"/>
        <w:rPr>
          <w:sz w:val="20"/>
          <w:szCs w:val="20"/>
          <w:color w:val="auto"/>
        </w:rPr>
      </w:pPr>
    </w:p>
    <w:p>
      <w:pPr>
        <w:ind w:left="500" w:hanging="240"/>
        <w:spacing w:after="0"/>
        <w:tabs>
          <w:tab w:leader="none" w:pos="5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select suitable accounting policies and then apply them consistently;</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make judgements and estimates that are reasonable and prudent;</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state whether applicable Accounting Standards have been followed, subject to any material departures disclosed and explained in the financial statements;</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assess the Group and Company’s ability to continue as a going concern, disclosing, as applicable, matters related to going concern; and</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use the going concern basis of accounting unless they either intend to liquidate the Group or Company or to cease operations, or have no realistic alternative but to do so.</w:t>
      </w:r>
    </w:p>
    <w:p>
      <w:pPr>
        <w:spacing w:after="0" w:line="95" w:lineRule="exact"/>
        <w:rPr>
          <w:sz w:val="20"/>
          <w:szCs w:val="20"/>
          <w:color w:val="auto"/>
        </w:rPr>
      </w:pPr>
    </w:p>
    <w:p>
      <w:pPr>
        <w:jc w:val="both"/>
        <w:ind w:left="260"/>
        <w:spacing w:after="0" w:line="249" w:lineRule="auto"/>
        <w:rPr>
          <w:sz w:val="20"/>
          <w:szCs w:val="20"/>
          <w:color w:val="auto"/>
        </w:rPr>
      </w:pPr>
      <w:r>
        <w:rPr>
          <w:rFonts w:ascii="Arial" w:cs="Arial" w:eastAsia="Arial" w:hAnsi="Arial"/>
          <w:sz w:val="13"/>
          <w:szCs w:val="13"/>
          <w:color w:val="auto"/>
        </w:rPr>
        <w:t>The directors are responsible for keeping adequate accounting records which disclose with reasonable accuracy at any time the assets, liabilities, financial position of the Group and Company and profit or loss of the Group and which enable them to ensure that the financial statements comply with the provision of the Companies Act. They are responsible for such internal controls as they determine are necessary to enable the preparation of financial statements that are free from material misstatement, whether due to fraud or error, and have a general responsibility for safeguarding the assets of the Company and the Group, and hence for taking reasonable steps for the prevention and detection of fraud and other irregularities. The directors are also responsible for preparing a directors’ report that complies with the requirements of the Companies Act.</w:t>
      </w:r>
    </w:p>
    <w:p>
      <w:pPr>
        <w:spacing w:after="0" w:line="105" w:lineRule="exact"/>
        <w:rPr>
          <w:sz w:val="20"/>
          <w:szCs w:val="20"/>
          <w:color w:val="auto"/>
        </w:rPr>
      </w:pPr>
    </w:p>
    <w:p>
      <w:pPr>
        <w:jc w:val="both"/>
        <w:ind w:left="260"/>
        <w:spacing w:after="0" w:line="283" w:lineRule="auto"/>
        <w:rPr>
          <w:sz w:val="20"/>
          <w:szCs w:val="20"/>
          <w:color w:val="auto"/>
        </w:rPr>
      </w:pPr>
      <w:r>
        <w:rPr>
          <w:rFonts w:ascii="Arial" w:cs="Arial" w:eastAsia="Arial" w:hAnsi="Arial"/>
          <w:sz w:val="13"/>
          <w:szCs w:val="13"/>
          <w:color w:val="auto"/>
        </w:rPr>
        <w:t>The directors are responsible for the maintenance and integrity of the corporate and financial information included on the Company's website. Legislation in the Republic of Ireland governing the preparation and dissemination of financial statements may differ from legislation in other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On behalf of the Board</w:t>
      </w:r>
    </w:p>
    <w:p>
      <w:pPr>
        <w:sectPr>
          <w:pgSz w:w="11900" w:h="16838" w:orient="portrait"/>
          <w:cols w:equalWidth="0" w:num="1">
            <w:col w:w="11280"/>
          </w:cols>
          <w:pgMar w:left="300" w:top="698" w:right="319" w:bottom="1440" w:gutter="0" w:footer="0" w:header="0"/>
        </w:sectPr>
      </w:pPr>
    </w:p>
    <w:p>
      <w:pPr>
        <w:spacing w:after="0" w:line="243" w:lineRule="exact"/>
        <w:rPr>
          <w:sz w:val="20"/>
          <w:szCs w:val="20"/>
          <w:color w:val="auto"/>
        </w:rPr>
      </w:pPr>
    </w:p>
    <w:p>
      <w:pPr>
        <w:ind w:left="20"/>
        <w:spacing w:after="0"/>
        <w:rPr>
          <w:sz w:val="20"/>
          <w:szCs w:val="20"/>
          <w:color w:val="auto"/>
        </w:rPr>
      </w:pPr>
      <w:r>
        <w:rPr>
          <w:rFonts w:ascii="Arial" w:cs="Arial" w:eastAsia="Arial" w:hAnsi="Arial"/>
          <w:sz w:val="12"/>
          <w:szCs w:val="12"/>
          <w:color w:val="auto"/>
        </w:rPr>
        <w:t>Steve Cutler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Arial" w:cs="Arial" w:eastAsia="Arial" w:hAnsi="Arial"/>
          <w:sz w:val="12"/>
          <w:szCs w:val="12"/>
          <w:color w:val="auto"/>
        </w:rPr>
        <w:t>Rónán Murphy</w:t>
      </w:r>
    </w:p>
    <w:p>
      <w:pPr>
        <w:spacing w:after="0" w:line="66" w:lineRule="exact"/>
        <w:rPr>
          <w:sz w:val="20"/>
          <w:szCs w:val="20"/>
          <w:color w:val="auto"/>
        </w:rPr>
      </w:pPr>
    </w:p>
    <w:p>
      <w:pPr>
        <w:sectPr>
          <w:pgSz w:w="11900" w:h="16838" w:orient="portrait"/>
          <w:cols w:equalWidth="0" w:num="2">
            <w:col w:w="2700" w:space="720"/>
            <w:col w:w="7860"/>
          </w:cols>
          <w:pgMar w:left="300" w:top="698" w:right="319" w:bottom="1440" w:gutter="0" w:footer="0" w:header="0"/>
          <w:type w:val="continuous"/>
        </w:sectPr>
      </w:pPr>
    </w:p>
    <w:p>
      <w:pPr>
        <w:ind w:left="20"/>
        <w:spacing w:after="0"/>
        <w:rPr>
          <w:sz w:val="20"/>
          <w:szCs w:val="20"/>
          <w:color w:val="auto"/>
        </w:rPr>
      </w:pPr>
      <w:r>
        <w:rPr>
          <w:rFonts w:ascii="Arial" w:cs="Arial" w:eastAsia="Arial" w:hAnsi="Arial"/>
          <w:sz w:val="12"/>
          <w:szCs w:val="12"/>
          <w:i w:val="1"/>
          <w:iCs w:val="1"/>
          <w:color w:val="auto"/>
        </w:rPr>
        <w:t>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i w:val="1"/>
          <w:iCs w:val="1"/>
          <w:color w:val="auto"/>
        </w:rPr>
        <w:t>Director</w:t>
      </w:r>
    </w:p>
    <w:p>
      <w:pPr>
        <w:spacing w:after="0" w:line="200" w:lineRule="exact"/>
        <w:rPr>
          <w:sz w:val="20"/>
          <w:szCs w:val="20"/>
          <w:color w:val="auto"/>
        </w:rPr>
      </w:pPr>
    </w:p>
    <w:p>
      <w:pPr>
        <w:sectPr>
          <w:pgSz w:w="11900" w:h="16838" w:orient="portrait"/>
          <w:cols w:equalWidth="0" w:num="2">
            <w:col w:w="2700" w:space="720"/>
            <w:col w:w="7860"/>
          </w:cols>
          <w:pgMar w:left="300" w:top="698" w:right="319" w:bottom="1440" w:gutter="0" w:footer="0" w:header="0"/>
          <w:type w:val="continuous"/>
        </w:sect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280"/>
          </w:cols>
          <w:pgMar w:left="300" w:top="698" w:right="31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8"/>
          <w:szCs w:val="18"/>
          <w:color w:val="auto"/>
        </w:rPr>
        <w:t>Independent Auditor’s Report to the members of 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 on the audit of the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Opinion</w:t>
      </w:r>
    </w:p>
    <w:p>
      <w:pPr>
        <w:spacing w:after="0" w:line="190" w:lineRule="exact"/>
        <w:rPr>
          <w:sz w:val="20"/>
          <w:szCs w:val="20"/>
          <w:color w:val="auto"/>
        </w:rPr>
      </w:pPr>
    </w:p>
    <w:p>
      <w:pPr>
        <w:spacing w:after="0"/>
        <w:rPr>
          <w:sz w:val="20"/>
          <w:szCs w:val="20"/>
          <w:color w:val="auto"/>
        </w:rPr>
      </w:pPr>
      <w:r>
        <w:rPr>
          <w:rFonts w:ascii="Arial" w:cs="Arial" w:eastAsia="Arial" w:hAnsi="Arial"/>
          <w:sz w:val="12"/>
          <w:szCs w:val="12"/>
          <w:color w:val="auto"/>
        </w:rPr>
        <w:t>We have audited the financial statements of ICON plc (‘the Company’) and subsidiaries (together, “the Group”) for the year ended 31 December 2021, set out on pages 35 to 150, which comprise the</w:t>
      </w:r>
    </w:p>
    <w:p>
      <w:pPr>
        <w:spacing w:after="0" w:line="12" w:lineRule="exact"/>
        <w:rPr>
          <w:sz w:val="20"/>
          <w:szCs w:val="20"/>
          <w:color w:val="auto"/>
        </w:rPr>
      </w:pPr>
    </w:p>
    <w:p>
      <w:pPr>
        <w:spacing w:after="0" w:line="212" w:lineRule="auto"/>
        <w:rPr>
          <w:sz w:val="20"/>
          <w:szCs w:val="20"/>
          <w:color w:val="auto"/>
        </w:rPr>
      </w:pPr>
      <w:r>
        <w:rPr>
          <w:rFonts w:ascii="Arial" w:cs="Arial" w:eastAsia="Arial" w:hAnsi="Arial"/>
          <w:sz w:val="13"/>
          <w:szCs w:val="13"/>
          <w:color w:val="auto"/>
        </w:rPr>
        <w:t>Consolidated Statement of Profit and Loss, Consolidated Statement of Comprehensive Income, Consolidated Statement of Financial Position, Consolidated Statement of Changes in Equity, Consolidated Statement of Cash Flows, Company Statement of Financial Position, Company Statement of Changes in Equity, Company Statement of Cash Flows and related notes, including the</w:t>
      </w:r>
    </w:p>
    <w:p>
      <w:pPr>
        <w:spacing w:after="0" w:line="1" w:lineRule="exact"/>
        <w:rPr>
          <w:sz w:val="20"/>
          <w:szCs w:val="20"/>
          <w:color w:val="auto"/>
        </w:rPr>
      </w:pPr>
    </w:p>
    <w:p>
      <w:pPr>
        <w:spacing w:after="0" w:line="235" w:lineRule="auto"/>
        <w:rPr>
          <w:sz w:val="20"/>
          <w:szCs w:val="20"/>
          <w:color w:val="auto"/>
        </w:rPr>
      </w:pPr>
      <w:r>
        <w:rPr>
          <w:rFonts w:ascii="Arial" w:cs="Arial" w:eastAsia="Arial" w:hAnsi="Arial"/>
          <w:sz w:val="13"/>
          <w:szCs w:val="13"/>
          <w:color w:val="auto"/>
        </w:rPr>
        <w:t>summary of significant accounting policies set out in note 1.The financial reporting framework that has been applied in their preparation is Irish Law and International Financial Reporting Standards (IFRS) as adopted by the European Union.</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color w:val="auto"/>
        </w:rPr>
        <w:t>In our opinion:</w:t>
      </w:r>
    </w:p>
    <w:p>
      <w:pPr>
        <w:spacing w:after="0" w:line="179" w:lineRule="exact"/>
        <w:rPr>
          <w:sz w:val="20"/>
          <w:szCs w:val="20"/>
          <w:color w:val="auto"/>
        </w:rPr>
      </w:pPr>
    </w:p>
    <w:p>
      <w:pPr>
        <w:ind w:left="520" w:hanging="260"/>
        <w:spacing w:after="0" w:line="249" w:lineRule="auto"/>
        <w:tabs>
          <w:tab w:leader="none" w:pos="511"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 financial statements give a true and fair view of the assets, liabilities and financial position of the Group and the Company as at 31 December 2021 and of the Group’s profit for the year then ended;</w:t>
      </w:r>
    </w:p>
    <w:p>
      <w:pPr>
        <w:spacing w:after="0" w:line="156" w:lineRule="exact"/>
        <w:rPr>
          <w:rFonts w:ascii="Arial" w:cs="Arial" w:eastAsia="Arial" w:hAnsi="Arial"/>
          <w:sz w:val="13"/>
          <w:szCs w:val="13"/>
          <w:color w:val="auto"/>
        </w:rPr>
      </w:pPr>
    </w:p>
    <w:p>
      <w:pPr>
        <w:ind w:left="500" w:hanging="240"/>
        <w:spacing w:after="0"/>
        <w:tabs>
          <w:tab w:leader="none" w:pos="5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 Group financial statements have been properly prepared in accordance with IFRS as adopted by the European Union;</w:t>
      </w:r>
    </w:p>
    <w:p>
      <w:pPr>
        <w:spacing w:after="0" w:line="179" w:lineRule="exact"/>
        <w:rPr>
          <w:rFonts w:ascii="Arial" w:cs="Arial" w:eastAsia="Arial" w:hAnsi="Arial"/>
          <w:sz w:val="13"/>
          <w:szCs w:val="13"/>
          <w:color w:val="auto"/>
        </w:rPr>
      </w:pPr>
    </w:p>
    <w:p>
      <w:pPr>
        <w:ind w:left="520" w:hanging="260"/>
        <w:spacing w:after="0" w:line="249" w:lineRule="auto"/>
        <w:tabs>
          <w:tab w:leader="none" w:pos="511"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 Company Financial Statements have been properly prepared in accordance with IFRS as adopted by the European Union, as applied in accordance with the provisions of the Companies Act 2014; and</w:t>
      </w:r>
    </w:p>
    <w:p>
      <w:pPr>
        <w:spacing w:after="0" w:line="146" w:lineRule="exact"/>
        <w:rPr>
          <w:rFonts w:ascii="Arial" w:cs="Arial" w:eastAsia="Arial" w:hAnsi="Arial"/>
          <w:sz w:val="13"/>
          <w:szCs w:val="13"/>
          <w:color w:val="auto"/>
        </w:rPr>
      </w:pPr>
    </w:p>
    <w:p>
      <w:pPr>
        <w:ind w:left="500" w:hanging="240"/>
        <w:spacing w:after="0"/>
        <w:tabs>
          <w:tab w:leader="none" w:pos="5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 Group and Company financial statements have been properly prepared in accordance with the requirements of the Companies Act 2014.</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Basis for opinion</w:t>
      </w:r>
    </w:p>
    <w:p>
      <w:pPr>
        <w:spacing w:after="0" w:line="190" w:lineRule="exact"/>
        <w:rPr>
          <w:sz w:val="20"/>
          <w:szCs w:val="20"/>
          <w:color w:val="auto"/>
        </w:rPr>
      </w:pPr>
    </w:p>
    <w:p>
      <w:pPr>
        <w:spacing w:after="0" w:line="241" w:lineRule="auto"/>
        <w:rPr>
          <w:sz w:val="20"/>
          <w:szCs w:val="20"/>
          <w:color w:val="auto"/>
        </w:rPr>
      </w:pPr>
      <w:r>
        <w:rPr>
          <w:rFonts w:ascii="Arial" w:cs="Arial" w:eastAsia="Arial" w:hAnsi="Arial"/>
          <w:sz w:val="12"/>
          <w:szCs w:val="12"/>
          <w:color w:val="auto"/>
        </w:rPr>
        <w:t>We conducted our audit in accordance with International Standards on Auditing (Ireland) (ISAs (Ireland)) and applicable law. Our responsibilities under those standards are further described in the Auditor's responsibilities for the audit of the financial statements section of our report. We have fulfilled our ethical responsibilities under, and we remained independent of the Group in accordance with</w:t>
      </w:r>
    </w:p>
    <w:p>
      <w:pPr>
        <w:spacing w:after="0" w:line="235" w:lineRule="auto"/>
        <w:rPr>
          <w:sz w:val="20"/>
          <w:szCs w:val="20"/>
          <w:color w:val="auto"/>
        </w:rPr>
      </w:pPr>
      <w:r>
        <w:rPr>
          <w:rFonts w:ascii="Arial" w:cs="Arial" w:eastAsia="Arial" w:hAnsi="Arial"/>
          <w:sz w:val="13"/>
          <w:szCs w:val="13"/>
          <w:color w:val="auto"/>
        </w:rPr>
        <w:t>ethical requirements that are relevant to our audit of financial statements in Ireland, including the Ethical Standard issued by the Irish Auditing and Accounting Supervisory Authority (IAASA), as applied to listed entities.</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color w:val="auto"/>
        </w:rPr>
        <w:t>We believe that the audit evidence we have obtained is sufficient and appropriate to provide a basis for our opinion.</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Conclusions relating to going concern</w:t>
      </w:r>
    </w:p>
    <w:p>
      <w:pPr>
        <w:spacing w:after="0" w:line="179" w:lineRule="exact"/>
        <w:rPr>
          <w:sz w:val="20"/>
          <w:szCs w:val="20"/>
          <w:color w:val="auto"/>
        </w:rPr>
      </w:pPr>
    </w:p>
    <w:p>
      <w:pPr>
        <w:spacing w:after="0" w:line="249" w:lineRule="auto"/>
        <w:rPr>
          <w:sz w:val="20"/>
          <w:szCs w:val="20"/>
          <w:color w:val="auto"/>
        </w:rPr>
      </w:pPr>
      <w:r>
        <w:rPr>
          <w:rFonts w:ascii="Arial" w:cs="Arial" w:eastAsia="Arial" w:hAnsi="Arial"/>
          <w:sz w:val="13"/>
          <w:szCs w:val="13"/>
          <w:color w:val="auto"/>
        </w:rPr>
        <w:t>In auditing the financial statements, we have concluded that the director's use of the going concern basis of accounting in the preparation of the financial statements is appropriate. Our evaluation of the director’s assessment of the entity’s ability to continue to adopt the going concern basis of accounting included:</w:t>
      </w:r>
    </w:p>
    <w:p>
      <w:pPr>
        <w:spacing w:after="0" w:line="157" w:lineRule="exact"/>
        <w:rPr>
          <w:sz w:val="20"/>
          <w:szCs w:val="20"/>
          <w:color w:val="auto"/>
        </w:rPr>
      </w:pPr>
    </w:p>
    <w:p>
      <w:pPr>
        <w:ind w:left="500" w:hanging="240"/>
        <w:spacing w:after="0"/>
        <w:tabs>
          <w:tab w:leader="none" w:pos="5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agreeing the underlying cash flow projections to management approved forecasts, assessing how these forecasts are compiled, and assessing the accuracy of management’s forecasts;</w:t>
      </w:r>
    </w:p>
    <w:p>
      <w:pPr>
        <w:spacing w:after="0" w:line="179" w:lineRule="exact"/>
        <w:rPr>
          <w:rFonts w:ascii="Arial" w:cs="Arial" w:eastAsia="Arial" w:hAnsi="Arial"/>
          <w:sz w:val="13"/>
          <w:szCs w:val="13"/>
          <w:color w:val="auto"/>
        </w:rPr>
      </w:pPr>
    </w:p>
    <w:p>
      <w:pPr>
        <w:ind w:left="500" w:hanging="240"/>
        <w:spacing w:after="0"/>
        <w:tabs>
          <w:tab w:leader="none" w:pos="5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evaluating the key assumptions within management’s forecasts;</w:t>
      </w:r>
    </w:p>
    <w:p>
      <w:pPr>
        <w:spacing w:after="0" w:line="168" w:lineRule="exact"/>
        <w:rPr>
          <w:rFonts w:ascii="Arial" w:cs="Arial" w:eastAsia="Arial" w:hAnsi="Arial"/>
          <w:sz w:val="13"/>
          <w:szCs w:val="13"/>
          <w:color w:val="auto"/>
        </w:rPr>
      </w:pPr>
    </w:p>
    <w:p>
      <w:pPr>
        <w:ind w:left="520" w:hanging="260"/>
        <w:spacing w:after="0"/>
        <w:tabs>
          <w:tab w:leader="none" w:pos="520" w:val="left"/>
        </w:tabs>
        <w:numPr>
          <w:ilvl w:val="0"/>
          <w:numId w:val="30"/>
        </w:numPr>
        <w:rPr>
          <w:rFonts w:ascii="Calibri" w:cs="Calibri" w:eastAsia="Calibri" w:hAnsi="Calibri"/>
          <w:sz w:val="13"/>
          <w:szCs w:val="13"/>
          <w:color w:val="auto"/>
        </w:rPr>
      </w:pPr>
      <w:r>
        <w:rPr>
          <w:rFonts w:ascii="Arial" w:cs="Arial" w:eastAsia="Arial" w:hAnsi="Arial"/>
          <w:sz w:val="13"/>
          <w:szCs w:val="13"/>
          <w:color w:val="auto"/>
        </w:rPr>
        <w:t>considering liquidity and available financial resources;</w:t>
      </w:r>
    </w:p>
    <w:p>
      <w:pPr>
        <w:spacing w:after="0" w:line="180" w:lineRule="exact"/>
        <w:rPr>
          <w:rFonts w:ascii="Calibri" w:cs="Calibri" w:eastAsia="Calibri" w:hAnsi="Calibri"/>
          <w:sz w:val="13"/>
          <w:szCs w:val="13"/>
          <w:color w:val="auto"/>
        </w:rPr>
      </w:pPr>
    </w:p>
    <w:p>
      <w:pPr>
        <w:ind w:left="500" w:hanging="240"/>
        <w:spacing w:after="0"/>
        <w:tabs>
          <w:tab w:leader="none" w:pos="5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assessing whether the stress testing performed by management appropriately considered the principal risks facing the business; and</w:t>
      </w:r>
    </w:p>
    <w:p>
      <w:pPr>
        <w:spacing w:after="0" w:line="179" w:lineRule="exact"/>
        <w:rPr>
          <w:rFonts w:ascii="Arial" w:cs="Arial" w:eastAsia="Arial" w:hAnsi="Arial"/>
          <w:sz w:val="13"/>
          <w:szCs w:val="13"/>
          <w:color w:val="auto"/>
        </w:rPr>
      </w:pPr>
    </w:p>
    <w:p>
      <w:pPr>
        <w:ind w:left="500" w:hanging="240"/>
        <w:spacing w:after="0"/>
        <w:tabs>
          <w:tab w:leader="none" w:pos="5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evaluating the feasibility of management’s mitigating actions in the stress testing scenarios.</w:t>
      </w:r>
    </w:p>
    <w:p>
      <w:pPr>
        <w:spacing w:after="0" w:line="179" w:lineRule="exact"/>
        <w:rPr>
          <w:sz w:val="20"/>
          <w:szCs w:val="20"/>
          <w:color w:val="auto"/>
        </w:rPr>
      </w:pPr>
    </w:p>
    <w:p>
      <w:pPr>
        <w:spacing w:after="0" w:line="249" w:lineRule="auto"/>
        <w:rPr>
          <w:sz w:val="20"/>
          <w:szCs w:val="20"/>
          <w:color w:val="auto"/>
        </w:rPr>
      </w:pPr>
      <w:r>
        <w:rPr>
          <w:rFonts w:ascii="Arial" w:cs="Arial" w:eastAsia="Arial" w:hAnsi="Arial"/>
          <w:sz w:val="13"/>
          <w:szCs w:val="13"/>
          <w:color w:val="auto"/>
        </w:rPr>
        <w:t>Based on the work we have performed, we have not identified any material uncertainties relating to events or conditions that, individually or collectively, may cast significant doubt on the Group’s or the Company’s ability to continue as a going concern for a period of at least twelve months from the date when the financial statements are authorised for issue.</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Our responsibilities and the responsibilities of the directors with respect to going concern are described in the relevant sections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280"/>
          </w:cols>
          <w:pgMar w:left="300" w:top="889" w:right="31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 xml:space="preserve">Independent Auditor’s Report to the members of ICON plc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Key audit matters: our assessment of risks of material misstatement</w:t>
      </w:r>
    </w:p>
    <w:p>
      <w:pPr>
        <w:spacing w:after="0" w:line="190" w:lineRule="exact"/>
        <w:rPr>
          <w:sz w:val="20"/>
          <w:szCs w:val="20"/>
          <w:color w:val="auto"/>
        </w:rPr>
      </w:pPr>
    </w:p>
    <w:p>
      <w:pPr>
        <w:jc w:val="both"/>
        <w:spacing w:after="0" w:line="241" w:lineRule="auto"/>
        <w:rPr>
          <w:sz w:val="20"/>
          <w:szCs w:val="20"/>
          <w:color w:val="auto"/>
        </w:rPr>
      </w:pPr>
      <w:r>
        <w:rPr>
          <w:rFonts w:ascii="Arial" w:cs="Arial" w:eastAsia="Arial" w:hAnsi="Arial"/>
          <w:sz w:val="12"/>
          <w:szCs w:val="12"/>
          <w:color w:val="auto"/>
        </w:rPr>
        <w:t>Key audit matters are those matters that, in our professional judgment, were of most significance in the audit of the financial statements and include the most significant assessed risks of material misstatement (whether or not due to fraud) identified by us, including those which had the greatest effect on: the overall audit strategy; the allocation of resources in the audit; and directing the efforts of</w:t>
      </w:r>
    </w:p>
    <w:p>
      <w:pPr>
        <w:jc w:val="both"/>
        <w:spacing w:after="0" w:line="235" w:lineRule="auto"/>
        <w:rPr>
          <w:sz w:val="20"/>
          <w:szCs w:val="20"/>
          <w:color w:val="auto"/>
        </w:rPr>
      </w:pPr>
      <w:r>
        <w:rPr>
          <w:rFonts w:ascii="Arial" w:cs="Arial" w:eastAsia="Arial" w:hAnsi="Arial"/>
          <w:sz w:val="13"/>
          <w:szCs w:val="13"/>
          <w:color w:val="auto"/>
        </w:rPr>
        <w:t>the engagement team. These matters were addressed in the context of our audit of the financial statements as a whole, and in forming our opinion thereon, and we do not provide a separate opinion on these matters.</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color w:val="auto"/>
        </w:rPr>
        <w:t>In arriving at our audit opinion above, the key audit matters, in decreasing order of audit significance, were as follows: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Group Key Audit Matters</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Valuation of customer relationship intangible asset acquired in a business combination</w:t>
      </w:r>
    </w:p>
    <w:p>
      <w:pPr>
        <w:spacing w:after="0" w:line="177"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As discussed in Note 14 to the consolidated financial statements, the Company completed its merger (the “Merger”) with PRA Health Sciences, Inc. ("PRA") on 1 July 2021. The Company estimated the preliminary fair value of the customer relationship intangible asset to be $3,915.0 million as of the date of the Acquisition.</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The key audit matter</w:t>
      </w:r>
    </w:p>
    <w:p>
      <w:pPr>
        <w:spacing w:after="0" w:line="190" w:lineRule="exact"/>
        <w:rPr>
          <w:sz w:val="20"/>
          <w:szCs w:val="20"/>
          <w:color w:val="auto"/>
        </w:rPr>
      </w:pPr>
    </w:p>
    <w:p>
      <w:pPr>
        <w:jc w:val="both"/>
        <w:spacing w:after="0" w:line="241" w:lineRule="auto"/>
        <w:rPr>
          <w:sz w:val="20"/>
          <w:szCs w:val="20"/>
          <w:color w:val="auto"/>
        </w:rPr>
      </w:pPr>
      <w:r>
        <w:rPr>
          <w:rFonts w:ascii="Arial" w:cs="Arial" w:eastAsia="Arial" w:hAnsi="Arial"/>
          <w:sz w:val="12"/>
          <w:szCs w:val="12"/>
          <w:color w:val="auto"/>
        </w:rPr>
        <w:t>We identified the evaluation of the preliminary fair value of the customer relationship intangible asset acquired as a key audit matter. Complex and subjective auditor judgement was required to assess the forecasts of the acquiree’s cash flows, which include forecasted revenue growth, operating income margins and the customer attrition rate, as well as the discount rate based on an analysis of the</w:t>
      </w:r>
    </w:p>
    <w:p>
      <w:pPr>
        <w:spacing w:after="0"/>
        <w:rPr>
          <w:sz w:val="20"/>
          <w:szCs w:val="20"/>
          <w:color w:val="auto"/>
        </w:rPr>
      </w:pPr>
      <w:r>
        <w:rPr>
          <w:rFonts w:ascii="Arial" w:cs="Arial" w:eastAsia="Arial" w:hAnsi="Arial"/>
          <w:sz w:val="13"/>
          <w:szCs w:val="13"/>
          <w:color w:val="auto"/>
        </w:rPr>
        <w:t>acquiree’s weighted average cost of capital. In addition, specialised skills and knowledge were needed to test the significant assumptions listed above and used in the discounted cash flow model.</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How the matter was addressed in our audit</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Our audit procedures included, amongst others:</w:t>
      </w:r>
    </w:p>
    <w:p>
      <w:pPr>
        <w:spacing w:after="0" w:line="179" w:lineRule="exact"/>
        <w:rPr>
          <w:sz w:val="20"/>
          <w:szCs w:val="20"/>
          <w:color w:val="auto"/>
        </w:rPr>
      </w:pPr>
    </w:p>
    <w:p>
      <w:pPr>
        <w:jc w:val="both"/>
        <w:spacing w:after="0" w:line="237" w:lineRule="auto"/>
        <w:rPr>
          <w:sz w:val="20"/>
          <w:szCs w:val="20"/>
          <w:color w:val="auto"/>
        </w:rPr>
      </w:pPr>
      <w:r>
        <w:rPr>
          <w:rFonts w:ascii="Arial" w:cs="Arial" w:eastAsia="Arial" w:hAnsi="Arial"/>
          <w:sz w:val="13"/>
          <w:szCs w:val="13"/>
          <w:color w:val="auto"/>
        </w:rPr>
        <w:t>We evaluated the design and tested the operating effectiveness of certain internal controls related to the business combinations process, including controls over the valuation of the customer relationship intangible asset. This included controls related to the significant assumptions used in the development of the discounted cash flow model, including forecasted revenue growth, operating income margins, customer attrition rate and the discount rate. We also tested management's controls over the completeness and accuracy of the data used in the fair value estimate.</w:t>
      </w:r>
    </w:p>
    <w:p>
      <w:pPr>
        <w:spacing w:after="0" w:line="162"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We assessed the reasonableness of the Company’s estimated forecasted revenue growth and operating income margins by comparing forecasted revenue growth and operating income margins to the acquiree’s historical results and publicly available industry data. To assess the Company’s customer attrition rates, we compared them to historic customer attrition rates of the acquiree.</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color w:val="auto"/>
        </w:rPr>
        <w:t>We also involved a valuation professional with specialised skills and knowledge who assisted in:</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3"/>
          <w:szCs w:val="13"/>
          <w:color w:val="auto"/>
        </w:rPr>
        <w:t>–   evaluating the discount rate by comparing it against discount rates that were independently developed using publicly available market data of comparable entities</w:t>
      </w:r>
    </w:p>
    <w:p>
      <w:pPr>
        <w:spacing w:after="0" w:line="179" w:lineRule="exact"/>
        <w:rPr>
          <w:sz w:val="20"/>
          <w:szCs w:val="20"/>
          <w:color w:val="auto"/>
        </w:rPr>
      </w:pPr>
    </w:p>
    <w:p>
      <w:pPr>
        <w:ind w:left="260"/>
        <w:spacing w:after="0"/>
        <w:rPr>
          <w:sz w:val="20"/>
          <w:szCs w:val="20"/>
          <w:color w:val="auto"/>
        </w:rPr>
      </w:pPr>
      <w:r>
        <w:rPr>
          <w:rFonts w:ascii="Calibri" w:cs="Calibri" w:eastAsia="Calibri" w:hAnsi="Calibri"/>
          <w:sz w:val="13"/>
          <w:szCs w:val="13"/>
          <w:color w:val="auto"/>
        </w:rPr>
        <w:t xml:space="preserve">–   </w:t>
      </w:r>
      <w:r>
        <w:rPr>
          <w:rFonts w:ascii="Arial" w:cs="Arial" w:eastAsia="Arial" w:hAnsi="Arial"/>
          <w:sz w:val="13"/>
          <w:szCs w:val="13"/>
          <w:color w:val="auto"/>
        </w:rPr>
        <w:t>assessing the fair value of the customer relationship intangible asset acquired using (1) the Company’s forecasted cash flows and (2) our independently developed discount rates.</w:t>
      </w:r>
    </w:p>
    <w:p>
      <w:pPr>
        <w:spacing w:after="0" w:line="181" w:lineRule="exact"/>
        <w:rPr>
          <w:sz w:val="20"/>
          <w:szCs w:val="20"/>
          <w:color w:val="auto"/>
        </w:rPr>
      </w:pPr>
    </w:p>
    <w:p>
      <w:pPr>
        <w:spacing w:after="0" w:line="249" w:lineRule="auto"/>
        <w:rPr>
          <w:sz w:val="20"/>
          <w:szCs w:val="20"/>
          <w:color w:val="auto"/>
        </w:rPr>
      </w:pPr>
      <w:r>
        <w:rPr>
          <w:rFonts w:ascii="Arial" w:cs="Arial" w:eastAsia="Arial" w:hAnsi="Arial"/>
          <w:sz w:val="13"/>
          <w:szCs w:val="13"/>
          <w:color w:val="auto"/>
        </w:rPr>
        <w:t>Our procedures in respect of this risk were performed as planned. We found that the estimates and judgements used in determining the preliminary fair value of the customer relationship intangible asset were appropriate.</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Revenue recognition for clinical trial service contracts</w:t>
      </w:r>
    </w:p>
    <w:p>
      <w:pPr>
        <w:spacing w:after="0" w:line="177" w:lineRule="exact"/>
        <w:rPr>
          <w:sz w:val="20"/>
          <w:szCs w:val="20"/>
          <w:color w:val="auto"/>
        </w:rPr>
      </w:pPr>
    </w:p>
    <w:p>
      <w:pPr>
        <w:spacing w:after="0" w:line="250" w:lineRule="auto"/>
        <w:rPr>
          <w:sz w:val="20"/>
          <w:szCs w:val="20"/>
          <w:color w:val="auto"/>
        </w:rPr>
      </w:pPr>
      <w:r>
        <w:rPr>
          <w:rFonts w:ascii="Arial" w:cs="Arial" w:eastAsia="Arial" w:hAnsi="Arial"/>
          <w:sz w:val="12"/>
          <w:szCs w:val="12"/>
          <w:color w:val="auto"/>
        </w:rPr>
        <w:t>As discussed in Note 21 to the consolidated financial statements, the Company recognised revenue of US$5,472.8 million for the year ended 31 December 2021, a significant portion of which relates to clinical trial service revenue. As discussed in Note 1 to the consolidated financial statements, clinical trial service revenue is recognised over time, using an input measure, being total project costs</w:t>
      </w:r>
    </w:p>
    <w:p>
      <w:pPr>
        <w:spacing w:after="0" w:line="226" w:lineRule="auto"/>
        <w:rPr>
          <w:sz w:val="20"/>
          <w:szCs w:val="20"/>
          <w:color w:val="auto"/>
        </w:rPr>
      </w:pPr>
      <w:r>
        <w:rPr>
          <w:rFonts w:ascii="Arial" w:cs="Arial" w:eastAsia="Arial" w:hAnsi="Arial"/>
          <w:sz w:val="13"/>
          <w:szCs w:val="13"/>
          <w:color w:val="auto"/>
        </w:rPr>
        <w:t>(inclusive of third party costs) incurred to date relative to total forecast project costs, to measure progress towards satisfying the Company’s performance obligation. The transaction price is based on the contract or latest change order value, adjusted to reflect the estimated realisable contract value.</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The key audit matter</w:t>
      </w:r>
    </w:p>
    <w:p>
      <w:pPr>
        <w:spacing w:after="0" w:line="190" w:lineRule="exact"/>
        <w:rPr>
          <w:sz w:val="20"/>
          <w:szCs w:val="20"/>
          <w:color w:val="auto"/>
        </w:rPr>
      </w:pPr>
    </w:p>
    <w:p>
      <w:pPr>
        <w:spacing w:after="0" w:line="236" w:lineRule="auto"/>
        <w:rPr>
          <w:sz w:val="20"/>
          <w:szCs w:val="20"/>
          <w:color w:val="auto"/>
        </w:rPr>
      </w:pPr>
      <w:r>
        <w:rPr>
          <w:rFonts w:ascii="Arial" w:cs="Arial" w:eastAsia="Arial" w:hAnsi="Arial"/>
          <w:sz w:val="13"/>
          <w:szCs w:val="13"/>
          <w:color w:val="auto"/>
        </w:rPr>
        <w:t>We identified the evaluation of revenue recognition for clinical trial service revenue as a key audit matter. Complex and subjective auditor judgment was required to evaluate the Company’s estimate of total forecast project costs and the estimated realisable contract values.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280"/>
          </w:cols>
          <w:pgMar w:left="300" w:top="889" w:right="31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 xml:space="preserve">Independent Auditor’s Report to the members of ICON plc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How the matter was addressed in our audit</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Our audit procedures included, amongst others:</w:t>
      </w:r>
    </w:p>
    <w:p>
      <w:pPr>
        <w:spacing w:after="0" w:line="169" w:lineRule="exact"/>
        <w:rPr>
          <w:sz w:val="20"/>
          <w:szCs w:val="20"/>
          <w:color w:val="auto"/>
        </w:rPr>
      </w:pPr>
    </w:p>
    <w:p>
      <w:pPr>
        <w:spacing w:after="0" w:line="249" w:lineRule="auto"/>
        <w:rPr>
          <w:sz w:val="20"/>
          <w:szCs w:val="20"/>
          <w:color w:val="auto"/>
        </w:rPr>
      </w:pPr>
      <w:r>
        <w:rPr>
          <w:rFonts w:ascii="Arial" w:cs="Arial" w:eastAsia="Arial" w:hAnsi="Arial"/>
          <w:sz w:val="13"/>
          <w:szCs w:val="13"/>
          <w:color w:val="auto"/>
        </w:rPr>
        <w:t>We evaluated the design and tested the operating effectiveness of certain internal controls related to the revenue process, including controls over total forecast project costs and estimated realisable contract values.</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We tested the total forecast project costs and the realisable contract values for a selection of clinical trial service contracts, by evaluating:</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3"/>
          <w:szCs w:val="13"/>
          <w:color w:val="auto"/>
        </w:rPr>
        <w:t>–   Direct costs incurred, both during the year and cumulative over the life of the contracts. We tested the accuracy and completeness of the direct costs by agreeing to source data;</w:t>
      </w:r>
    </w:p>
    <w:p>
      <w:pPr>
        <w:spacing w:after="0" w:line="179" w:lineRule="exact"/>
        <w:rPr>
          <w:sz w:val="20"/>
          <w:szCs w:val="20"/>
          <w:color w:val="auto"/>
        </w:rPr>
      </w:pPr>
    </w:p>
    <w:p>
      <w:pPr>
        <w:ind w:left="520" w:hanging="255"/>
        <w:spacing w:after="0" w:line="249" w:lineRule="auto"/>
        <w:rPr>
          <w:sz w:val="20"/>
          <w:szCs w:val="20"/>
          <w:color w:val="auto"/>
        </w:rPr>
      </w:pPr>
      <w:r>
        <w:rPr>
          <w:rFonts w:ascii="Arial" w:cs="Arial" w:eastAsia="Arial" w:hAnsi="Arial"/>
          <w:sz w:val="13"/>
          <w:szCs w:val="13"/>
          <w:color w:val="auto"/>
        </w:rPr>
        <w:t>– Third-party costs incurred, both during the year and cumulative over the life of the contracts. We tested the accuracy and completeness of the third-party costs incurred by agreeing to invoices received;</w:t>
      </w:r>
    </w:p>
    <w:p>
      <w:pPr>
        <w:spacing w:after="0" w:line="146" w:lineRule="exact"/>
        <w:rPr>
          <w:sz w:val="20"/>
          <w:szCs w:val="20"/>
          <w:color w:val="auto"/>
        </w:rPr>
      </w:pPr>
    </w:p>
    <w:p>
      <w:pPr>
        <w:ind w:left="520" w:hanging="255"/>
        <w:spacing w:after="0" w:line="249" w:lineRule="auto"/>
        <w:rPr>
          <w:sz w:val="20"/>
          <w:szCs w:val="20"/>
          <w:color w:val="auto"/>
        </w:rPr>
      </w:pPr>
      <w:r>
        <w:rPr>
          <w:rFonts w:ascii="Arial" w:cs="Arial" w:eastAsia="Arial" w:hAnsi="Arial"/>
          <w:sz w:val="13"/>
          <w:szCs w:val="13"/>
          <w:color w:val="auto"/>
        </w:rPr>
        <w:t>– Findings from interviews with operational personnel of the Company to assess progress to date, the estimate of remaining costs to be incurred and factors impacting the amount of time and costs to complete the selected contracts, including an understanding of the nature and complexity of the work to be performed;</w:t>
      </w:r>
    </w:p>
    <w:p>
      <w:pPr>
        <w:spacing w:after="0" w:line="156" w:lineRule="exact"/>
        <w:rPr>
          <w:sz w:val="20"/>
          <w:szCs w:val="20"/>
          <w:color w:val="auto"/>
        </w:rPr>
      </w:pPr>
    </w:p>
    <w:p>
      <w:pPr>
        <w:ind w:left="260"/>
        <w:spacing w:after="0"/>
        <w:rPr>
          <w:sz w:val="20"/>
          <w:szCs w:val="20"/>
          <w:color w:val="auto"/>
        </w:rPr>
      </w:pPr>
      <w:r>
        <w:rPr>
          <w:rFonts w:ascii="Arial" w:cs="Arial" w:eastAsia="Arial" w:hAnsi="Arial"/>
          <w:sz w:val="13"/>
          <w:szCs w:val="13"/>
          <w:color w:val="auto"/>
        </w:rPr>
        <w:t>–   Correspondence of amendments to the scope or contract value, if any, between the Company and the customer for the selected contracts as part of our evaluation of contract progress;</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3"/>
          <w:szCs w:val="13"/>
          <w:color w:val="auto"/>
        </w:rPr>
        <w:t>–   Changes to estimated costs and project margins, including the amount and timing of the changes; and</w:t>
      </w:r>
    </w:p>
    <w:p>
      <w:pPr>
        <w:spacing w:after="0" w:line="179" w:lineRule="exact"/>
        <w:rPr>
          <w:sz w:val="20"/>
          <w:szCs w:val="20"/>
          <w:color w:val="auto"/>
        </w:rPr>
      </w:pPr>
    </w:p>
    <w:p>
      <w:pPr>
        <w:ind w:left="520" w:hanging="255"/>
        <w:spacing w:after="0" w:line="249" w:lineRule="auto"/>
        <w:rPr>
          <w:sz w:val="20"/>
          <w:szCs w:val="20"/>
          <w:color w:val="auto"/>
        </w:rPr>
      </w:pPr>
      <w:r>
        <w:rPr>
          <w:rFonts w:ascii="Arial" w:cs="Arial" w:eastAsia="Arial" w:hAnsi="Arial"/>
          <w:sz w:val="13"/>
          <w:szCs w:val="13"/>
          <w:color w:val="auto"/>
        </w:rPr>
        <w:t>– The reasonableness of the Company’s adjustments from total contract value to arrive at realisable contract value. We confirmed total contract value with customers and compared the assumptions used to derive the adjustments from total contract value to realisable contract value to underlying records.</w:t>
      </w:r>
    </w:p>
    <w:p>
      <w:pPr>
        <w:spacing w:after="0" w:line="146" w:lineRule="exact"/>
        <w:rPr>
          <w:sz w:val="20"/>
          <w:szCs w:val="20"/>
          <w:color w:val="auto"/>
        </w:rPr>
      </w:pPr>
    </w:p>
    <w:p>
      <w:pPr>
        <w:spacing w:after="0" w:line="249" w:lineRule="auto"/>
        <w:rPr>
          <w:sz w:val="20"/>
          <w:szCs w:val="20"/>
          <w:color w:val="auto"/>
        </w:rPr>
      </w:pPr>
      <w:r>
        <w:rPr>
          <w:rFonts w:ascii="Arial" w:cs="Arial" w:eastAsia="Arial" w:hAnsi="Arial"/>
          <w:sz w:val="13"/>
          <w:szCs w:val="13"/>
          <w:color w:val="auto"/>
        </w:rPr>
        <w:t>We also evaluated the Company’s methods, assumptions and data used to accurately estimate total forecast project costs and realisable contract values, by comparing historical estimates developed at contract inception to actual results for a selection of contracts.</w:t>
      </w:r>
    </w:p>
    <w:p>
      <w:pPr>
        <w:spacing w:after="0" w:line="157" w:lineRule="exact"/>
        <w:rPr>
          <w:sz w:val="20"/>
          <w:szCs w:val="20"/>
          <w:color w:val="auto"/>
        </w:rPr>
      </w:pPr>
    </w:p>
    <w:p>
      <w:pPr>
        <w:spacing w:after="0" w:line="249" w:lineRule="auto"/>
        <w:rPr>
          <w:sz w:val="20"/>
          <w:szCs w:val="20"/>
          <w:color w:val="auto"/>
        </w:rPr>
      </w:pPr>
      <w:r>
        <w:rPr>
          <w:rFonts w:ascii="Arial" w:cs="Arial" w:eastAsia="Arial" w:hAnsi="Arial"/>
          <w:sz w:val="13"/>
          <w:szCs w:val="13"/>
          <w:color w:val="auto"/>
        </w:rPr>
        <w:t>Our procedures in respect of this risk were performed as planned. We found that the estimates and judgements used in determining the progress towards completion and realisable contract value related to revenue recognition for clinical trial services contracts were appropriate.</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Parent Company key audit matters</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color w:val="auto"/>
        </w:rPr>
        <w:t>Due to the nature of the Parent Company</w:t>
      </w:r>
      <w:r>
        <w:rPr>
          <w:rFonts w:ascii="Calibri" w:cs="Calibri" w:eastAsia="Calibri" w:hAnsi="Calibri"/>
          <w:sz w:val="13"/>
          <w:szCs w:val="13"/>
          <w:color w:val="auto"/>
        </w:rPr>
        <w:t>’</w:t>
      </w:r>
      <w:r>
        <w:rPr>
          <w:rFonts w:ascii="Arial" w:cs="Arial" w:eastAsia="Arial" w:hAnsi="Arial"/>
          <w:sz w:val="13"/>
          <w:szCs w:val="13"/>
          <w:color w:val="auto"/>
        </w:rPr>
        <w:t>s activities, there are no key audit matters that we are required to communicate in accordance with ISAs (Ireland).</w:t>
      </w:r>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application of materiality and an overview of the scope of our audit</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Materiality for the Group Financial Statements as a whole was set at US$30.0 million (2020: US$17.5 million). Materiality for the Company Financial Statements was set at US$70.0 million (2020:</w:t>
      </w:r>
    </w:p>
    <w:p>
      <w:pPr>
        <w:spacing w:after="0"/>
        <w:rPr>
          <w:sz w:val="20"/>
          <w:szCs w:val="20"/>
          <w:color w:val="auto"/>
        </w:rPr>
      </w:pPr>
      <w:r>
        <w:rPr>
          <w:rFonts w:ascii="Arial" w:cs="Arial" w:eastAsia="Arial" w:hAnsi="Arial"/>
          <w:sz w:val="13"/>
          <w:szCs w:val="13"/>
          <w:color w:val="auto"/>
        </w:rPr>
        <w:t>US$10.7 million).</w:t>
      </w:r>
    </w:p>
    <w:p>
      <w:pPr>
        <w:spacing w:after="0" w:line="167" w:lineRule="exact"/>
        <w:rPr>
          <w:sz w:val="20"/>
          <w:szCs w:val="20"/>
          <w:color w:val="auto"/>
        </w:rPr>
      </w:pPr>
    </w:p>
    <w:p>
      <w:pPr>
        <w:spacing w:after="0" w:line="241" w:lineRule="auto"/>
        <w:rPr>
          <w:sz w:val="20"/>
          <w:szCs w:val="20"/>
          <w:color w:val="auto"/>
        </w:rPr>
      </w:pPr>
      <w:r>
        <w:rPr>
          <w:rFonts w:ascii="Arial" w:cs="Arial" w:eastAsia="Arial" w:hAnsi="Arial"/>
          <w:sz w:val="12"/>
          <w:szCs w:val="12"/>
          <w:color w:val="auto"/>
        </w:rPr>
        <w:t>For the Group, materiality has been calculated as 6% (2020: 5%) of the benchmark of expected Group profit before tax (this estimated amount was based on earnings guidance available at the planning stage of the audit adjusted for exceptional items), which we have determined in our professional judgement, to be one of the principal benchmarks within the financial statements relevant to</w:t>
      </w:r>
    </w:p>
    <w:p>
      <w:pPr>
        <w:spacing w:after="0" w:line="235" w:lineRule="auto"/>
        <w:rPr>
          <w:sz w:val="20"/>
          <w:szCs w:val="20"/>
          <w:color w:val="auto"/>
        </w:rPr>
      </w:pPr>
      <w:r>
        <w:rPr>
          <w:rFonts w:ascii="Arial" w:cs="Arial" w:eastAsia="Arial" w:hAnsi="Arial"/>
          <w:sz w:val="13"/>
          <w:szCs w:val="13"/>
          <w:color w:val="auto"/>
        </w:rPr>
        <w:t>members of the Company in assessing the financial performance of the Group. For the Parent Company, materiality has been calculated based on 1% (2020:1%) of the benchmark of total assets. We applied materiality to assist us determine what risks were significant risks and the procedures to be performed.</w:t>
      </w:r>
    </w:p>
    <w:p>
      <w:pPr>
        <w:spacing w:after="0" w:line="162" w:lineRule="exact"/>
        <w:rPr>
          <w:sz w:val="20"/>
          <w:szCs w:val="20"/>
          <w:color w:val="auto"/>
        </w:rPr>
      </w:pPr>
    </w:p>
    <w:p>
      <w:pPr>
        <w:spacing w:after="0" w:line="249" w:lineRule="auto"/>
        <w:rPr>
          <w:sz w:val="20"/>
          <w:szCs w:val="20"/>
          <w:color w:val="auto"/>
        </w:rPr>
      </w:pPr>
      <w:r>
        <w:rPr>
          <w:rFonts w:ascii="Arial" w:cs="Arial" w:eastAsia="Arial" w:hAnsi="Arial"/>
          <w:sz w:val="13"/>
          <w:szCs w:val="13"/>
          <w:color w:val="auto"/>
        </w:rPr>
        <w:t>We report to the Audit Committee all corrected and uncorrected audit misstatements we identified through our audit in excess of US$1.5 million (Group) and US$3.5 million (Company), in addition to other audit misstatements below that threshold that we believe warranted reporting on qualitative grounds.</w:t>
      </w:r>
    </w:p>
    <w:p>
      <w:pPr>
        <w:spacing w:after="0" w:line="146" w:lineRule="exact"/>
        <w:rPr>
          <w:sz w:val="20"/>
          <w:szCs w:val="20"/>
          <w:color w:val="auto"/>
        </w:rPr>
      </w:pPr>
    </w:p>
    <w:p>
      <w:pPr>
        <w:spacing w:after="0" w:line="249" w:lineRule="auto"/>
        <w:rPr>
          <w:sz w:val="20"/>
          <w:szCs w:val="20"/>
          <w:color w:val="auto"/>
        </w:rPr>
      </w:pPr>
      <w:r>
        <w:rPr>
          <w:rFonts w:ascii="Arial" w:cs="Arial" w:eastAsia="Arial" w:hAnsi="Arial"/>
          <w:sz w:val="13"/>
          <w:szCs w:val="13"/>
          <w:color w:val="auto"/>
        </w:rPr>
        <w:t>We performed comprehensive audit procedures, including those in relation to the significant risks set out above, on those transactions accounted for at Group level. Our audit covered 100% (2020:96%) of total Group revenue and 96% (2020: 98%) of total Group assets, including 100% of the Parent Company’s revenue and total assets.</w:t>
      </w:r>
    </w:p>
    <w:p>
      <w:pPr>
        <w:spacing w:after="0" w:line="157" w:lineRule="exact"/>
        <w:rPr>
          <w:sz w:val="20"/>
          <w:szCs w:val="20"/>
          <w:color w:val="auto"/>
        </w:rPr>
      </w:pPr>
    </w:p>
    <w:p>
      <w:pPr>
        <w:spacing w:after="0" w:line="249" w:lineRule="auto"/>
        <w:rPr>
          <w:sz w:val="20"/>
          <w:szCs w:val="20"/>
          <w:color w:val="auto"/>
        </w:rPr>
      </w:pPr>
      <w:r>
        <w:rPr>
          <w:rFonts w:ascii="Arial" w:cs="Arial" w:eastAsia="Arial" w:hAnsi="Arial"/>
          <w:sz w:val="13"/>
          <w:szCs w:val="13"/>
          <w:color w:val="auto"/>
        </w:rPr>
        <w:t>We identified 3 components in the scope of our audit. We subjected 2 components to full scope audits for group purposes and 1 component to specified risk-focused audit procedures. The component full scope audits were conducted by component auditors for which a lower materiality level had been set by the group audit team.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280"/>
          </w:cols>
          <w:pgMar w:left="300" w:top="889" w:right="31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 xml:space="preserve">Independent Auditor’s Report to the members of ICON plc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Other information</w:t>
      </w:r>
    </w:p>
    <w:p>
      <w:pPr>
        <w:spacing w:after="0" w:line="190" w:lineRule="exact"/>
        <w:rPr>
          <w:sz w:val="20"/>
          <w:szCs w:val="20"/>
          <w:color w:val="auto"/>
        </w:rPr>
      </w:pPr>
    </w:p>
    <w:p>
      <w:pPr>
        <w:jc w:val="both"/>
        <w:spacing w:after="0" w:line="241" w:lineRule="auto"/>
        <w:rPr>
          <w:sz w:val="20"/>
          <w:szCs w:val="20"/>
          <w:color w:val="auto"/>
        </w:rPr>
      </w:pPr>
      <w:r>
        <w:rPr>
          <w:rFonts w:ascii="Arial" w:cs="Arial" w:eastAsia="Arial" w:hAnsi="Arial"/>
          <w:sz w:val="12"/>
          <w:szCs w:val="12"/>
          <w:color w:val="auto"/>
        </w:rPr>
        <w:t>The directors are responsible for the other information presented in the Annual Report together with the financial statements. The other information comprises the information included in the directors’ report. The financial statements and our auditor’s report thereon do not comprise part of the other information. Our opinion on the financial statements does not cover the other information and,</w:t>
      </w:r>
    </w:p>
    <w:p>
      <w:pPr>
        <w:spacing w:after="0"/>
        <w:rPr>
          <w:sz w:val="20"/>
          <w:szCs w:val="20"/>
          <w:color w:val="auto"/>
        </w:rPr>
      </w:pPr>
      <w:r>
        <w:rPr>
          <w:rFonts w:ascii="Arial" w:cs="Arial" w:eastAsia="Arial" w:hAnsi="Arial"/>
          <w:sz w:val="13"/>
          <w:szCs w:val="13"/>
          <w:color w:val="auto"/>
        </w:rPr>
        <w:t>accordingly, we do not express an audit opinion or, except as explicitly stated below, any form of assurance conclusion thereon.</w:t>
      </w:r>
    </w:p>
    <w:p>
      <w:pPr>
        <w:spacing w:after="0" w:line="167" w:lineRule="exact"/>
        <w:rPr>
          <w:sz w:val="20"/>
          <w:szCs w:val="20"/>
          <w:color w:val="auto"/>
        </w:rPr>
      </w:pPr>
    </w:p>
    <w:p>
      <w:pPr>
        <w:spacing w:after="0" w:line="249" w:lineRule="auto"/>
        <w:rPr>
          <w:sz w:val="20"/>
          <w:szCs w:val="20"/>
          <w:color w:val="auto"/>
        </w:rPr>
      </w:pPr>
      <w:r>
        <w:rPr>
          <w:rFonts w:ascii="Arial" w:cs="Arial" w:eastAsia="Arial" w:hAnsi="Arial"/>
          <w:sz w:val="13"/>
          <w:szCs w:val="13"/>
          <w:color w:val="auto"/>
        </w:rPr>
        <w:t>Our responsibility is to read the other information and, in doing so, consider whether, based on our financial statements audit work, the information therein is materially misstated or inconsistent with the financial statements or our audit knowledge. Based solely on that work we have not identified material misstatements in the other information.</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Based solely on our work on the other information undertaken during the course of the audit, we report that:</w:t>
      </w:r>
    </w:p>
    <w:p>
      <w:pPr>
        <w:spacing w:after="0" w:line="169" w:lineRule="exact"/>
        <w:rPr>
          <w:sz w:val="20"/>
          <w:szCs w:val="20"/>
          <w:color w:val="auto"/>
        </w:rPr>
      </w:pPr>
    </w:p>
    <w:p>
      <w:pPr>
        <w:ind w:left="500" w:hanging="240"/>
        <w:spacing w:after="0"/>
        <w:tabs>
          <w:tab w:leader="none" w:pos="5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we have not identified material misstatements in the directors’ report;</w:t>
      </w:r>
    </w:p>
    <w:p>
      <w:pPr>
        <w:ind w:left="500" w:hanging="240"/>
        <w:spacing w:after="0" w:line="221" w:lineRule="auto"/>
        <w:tabs>
          <w:tab w:leader="none" w:pos="5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in our opinion, the information given in the directors’ report is consistent with the financial statements;</w:t>
      </w:r>
    </w:p>
    <w:p>
      <w:pPr>
        <w:ind w:left="500" w:hanging="240"/>
        <w:spacing w:after="0"/>
        <w:tabs>
          <w:tab w:leader="none" w:pos="5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in our opinion, the directors’ report has been prepared in accordance with the Companies Act 2014.</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opinions on other matters prescribed by the Companies Act 2014 are unmodified</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We have obtained all the information and explanations which we consider necessary for the purpose of our audit.</w:t>
      </w:r>
    </w:p>
    <w:p>
      <w:pPr>
        <w:spacing w:after="0" w:line="179"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In our opinion, the accounting records of the Company were sufficient to permit the financial statements to be readily and properly audited and the Company’s financial statements are in agreement with the accounting records.</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have nothing to report on other matters on which we are required to report by exception</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The Companies Act 2014 requires us to report to you if, in our opinion, the disclosures of directors’ remuneration and transactions required by Sections 305 to 312 of the Act are not made.</w:t>
      </w:r>
    </w:p>
    <w:p>
      <w:pPr>
        <w:spacing w:after="0" w:line="179" w:lineRule="exact"/>
        <w:rPr>
          <w:sz w:val="20"/>
          <w:szCs w:val="20"/>
          <w:color w:val="auto"/>
        </w:rPr>
      </w:pPr>
    </w:p>
    <w:p>
      <w:pPr>
        <w:jc w:val="both"/>
        <w:spacing w:after="0" w:line="237" w:lineRule="auto"/>
        <w:rPr>
          <w:sz w:val="20"/>
          <w:szCs w:val="20"/>
          <w:color w:val="auto"/>
        </w:rPr>
      </w:pPr>
      <w:r>
        <w:rPr>
          <w:rFonts w:ascii="Arial" w:cs="Arial" w:eastAsia="Arial" w:hAnsi="Arial"/>
          <w:sz w:val="13"/>
          <w:szCs w:val="13"/>
          <w:color w:val="auto"/>
        </w:rPr>
        <w:t>The Companies Act 2014 also requires us to report to you if, in our opinion, the Company has not provided the information required by section 5(2) to (7) of the European Union (Disclosure of Non-Financial and Diversity Information by certain large undertakings and groups) Regulations 2017 for the year ended 31 December 2020 as required by the European Union (Disclosure of Non-Financial and Diversity Information by certain large undertakings and groups) (amendment) Regulations 2018.</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color w:val="auto"/>
        </w:rPr>
        <w:t>We have nothing to report in this regard.</w:t>
      </w:r>
    </w:p>
    <w:p>
      <w:pPr>
        <w:spacing w:after="0" w:line="2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Respective responsibilities and restrictions on use</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Directors’ responsibilities</w:t>
      </w:r>
    </w:p>
    <w:p>
      <w:pPr>
        <w:spacing w:after="0" w:line="190" w:lineRule="exact"/>
        <w:rPr>
          <w:sz w:val="20"/>
          <w:szCs w:val="20"/>
          <w:color w:val="auto"/>
        </w:rPr>
      </w:pPr>
    </w:p>
    <w:p>
      <w:pPr>
        <w:jc w:val="both"/>
        <w:spacing w:after="0" w:line="250" w:lineRule="auto"/>
        <w:rPr>
          <w:sz w:val="20"/>
          <w:szCs w:val="20"/>
          <w:color w:val="auto"/>
        </w:rPr>
      </w:pPr>
      <w:r>
        <w:rPr>
          <w:rFonts w:ascii="Arial" w:cs="Arial" w:eastAsia="Arial" w:hAnsi="Arial"/>
          <w:sz w:val="12"/>
          <w:szCs w:val="12"/>
          <w:color w:val="auto"/>
        </w:rPr>
        <w:t>As explained more fully in their statement set out on page 29, the directors are responsible for: the preparation of the financial statements including being satisfied that they give a true and fair view; such internal control as they determine is necessary to enable the preparation of financial statements that are free from material misstatement, whether due to fraud or error; assessing the Group and</w:t>
      </w:r>
    </w:p>
    <w:p>
      <w:pPr>
        <w:jc w:val="both"/>
        <w:spacing w:after="0" w:line="226" w:lineRule="auto"/>
        <w:rPr>
          <w:sz w:val="20"/>
          <w:szCs w:val="20"/>
          <w:color w:val="auto"/>
        </w:rPr>
      </w:pPr>
      <w:r>
        <w:rPr>
          <w:rFonts w:ascii="Arial" w:cs="Arial" w:eastAsia="Arial" w:hAnsi="Arial"/>
          <w:sz w:val="13"/>
          <w:szCs w:val="13"/>
          <w:color w:val="auto"/>
        </w:rPr>
        <w:t>Company’s ability to continue as a going concern, disclosing, as applicable, matters related to going concern; and using the going concern basis of accounting unless they either intend to liquidate the Group or the Company or to cease operations, or have no realistic alternative but to do so.</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Auditor’s responsibilities for the audit of the financial statements</w:t>
      </w:r>
    </w:p>
    <w:p>
      <w:pPr>
        <w:spacing w:after="0" w:line="190" w:lineRule="exact"/>
        <w:rPr>
          <w:sz w:val="20"/>
          <w:szCs w:val="20"/>
          <w:color w:val="auto"/>
        </w:rPr>
      </w:pPr>
    </w:p>
    <w:p>
      <w:pPr>
        <w:jc w:val="both"/>
        <w:spacing w:after="0" w:line="222" w:lineRule="auto"/>
        <w:rPr>
          <w:sz w:val="20"/>
          <w:szCs w:val="20"/>
          <w:color w:val="auto"/>
        </w:rPr>
      </w:pPr>
      <w:r>
        <w:rPr>
          <w:rFonts w:ascii="Arial" w:cs="Arial" w:eastAsia="Arial" w:hAnsi="Arial"/>
          <w:sz w:val="13"/>
          <w:szCs w:val="13"/>
          <w:color w:val="auto"/>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 guarantee that an audit conducted in accordance with ISAs (Ireland) will always detect a material</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3"/>
          <w:szCs w:val="13"/>
          <w:color w:val="auto"/>
        </w:rPr>
        <w:t>misstatement when it exists. Misstatements can arise from fraud or error and are considered material if, individually or in the aggregate, they could reasonably be expected to influence the economic decisions of users taken on the basis of these financial statements.</w:t>
      </w:r>
    </w:p>
    <w:p>
      <w:pPr>
        <w:spacing w:after="0" w:line="162" w:lineRule="exact"/>
        <w:rPr>
          <w:sz w:val="20"/>
          <w:szCs w:val="20"/>
          <w:color w:val="auto"/>
        </w:rPr>
      </w:pPr>
    </w:p>
    <w:p>
      <w:pPr>
        <w:ind w:right="2900"/>
        <w:spacing w:after="0" w:line="266" w:lineRule="auto"/>
        <w:rPr>
          <w:sz w:val="20"/>
          <w:szCs w:val="20"/>
          <w:color w:val="auto"/>
        </w:rPr>
      </w:pPr>
      <w:r>
        <w:rPr>
          <w:rFonts w:ascii="Arial" w:cs="Arial" w:eastAsia="Arial" w:hAnsi="Arial"/>
          <w:sz w:val="13"/>
          <w:szCs w:val="13"/>
          <w:color w:val="auto"/>
        </w:rPr>
        <w:t>A fuller description of our responsibilities is provided on IAASA’s website at http://www.iaasa.ie/Publications/Auditing-standards/International-Standards-on-Auditing-for-use-in-Ire/Description-of-the-auditor-s-responsibilities-for.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280"/>
          </w:cols>
          <w:pgMar w:left="300" w:top="889" w:right="31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 xml:space="preserve">Independent Auditor’s Report to the members of ICON plc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purpose of our audit work and to whom we owe our responsibilities</w:t>
      </w:r>
    </w:p>
    <w:p>
      <w:pPr>
        <w:spacing w:after="0" w:line="190" w:lineRule="exact"/>
        <w:rPr>
          <w:sz w:val="20"/>
          <w:szCs w:val="20"/>
          <w:color w:val="auto"/>
        </w:rPr>
      </w:pPr>
    </w:p>
    <w:p>
      <w:pPr>
        <w:spacing w:after="0" w:line="241" w:lineRule="auto"/>
        <w:rPr>
          <w:sz w:val="20"/>
          <w:szCs w:val="20"/>
          <w:color w:val="auto"/>
        </w:rPr>
      </w:pPr>
      <w:r>
        <w:rPr>
          <w:rFonts w:ascii="Arial" w:cs="Arial" w:eastAsia="Arial" w:hAnsi="Arial"/>
          <w:sz w:val="12"/>
          <w:szCs w:val="12"/>
          <w:color w:val="auto"/>
        </w:rPr>
        <w:t>Our report is made solely to the Company’s members, as a body, in accordance with Section 391 of the Companies Act 2014. Our audit work has been undertaken so that we might state to the Company’s members those matters we are required to state to them in an auditor’s report and for no other purpose. To the fullest extent permitted by law, we do not accept or assume responsibility to</w:t>
      </w:r>
    </w:p>
    <w:p>
      <w:pPr>
        <w:spacing w:after="0"/>
        <w:rPr>
          <w:sz w:val="20"/>
          <w:szCs w:val="20"/>
          <w:color w:val="auto"/>
        </w:rPr>
      </w:pPr>
      <w:r>
        <w:rPr>
          <w:rFonts w:ascii="Arial" w:cs="Arial" w:eastAsia="Arial" w:hAnsi="Arial"/>
          <w:sz w:val="13"/>
          <w:szCs w:val="13"/>
          <w:color w:val="auto"/>
        </w:rPr>
        <w:t>anyone other than the Company and the Company’s members, as a body, for our audit work, for our report, or for the opinions we have formed.</w:t>
      </w:r>
    </w:p>
    <w:p>
      <w:pPr>
        <w:spacing w:after="0" w:line="200" w:lineRule="exact"/>
        <w:rPr>
          <w:sz w:val="20"/>
          <w:szCs w:val="20"/>
          <w:color w:val="auto"/>
        </w:rPr>
      </w:pPr>
    </w:p>
    <w:p>
      <w:pPr>
        <w:spacing w:after="0" w:line="398" w:lineRule="exact"/>
        <w:rPr>
          <w:sz w:val="20"/>
          <w:szCs w:val="20"/>
          <w:color w:val="auto"/>
        </w:rPr>
      </w:pPr>
    </w:p>
    <w:p>
      <w:pPr>
        <w:spacing w:after="0"/>
        <w:tabs>
          <w:tab w:leader="none" w:pos="2320" w:val="left"/>
        </w:tabs>
        <w:rPr>
          <w:sz w:val="20"/>
          <w:szCs w:val="20"/>
          <w:color w:val="auto"/>
        </w:rPr>
      </w:pPr>
      <w:r>
        <w:rPr>
          <w:rFonts w:ascii="Arial" w:cs="Arial" w:eastAsia="Arial" w:hAnsi="Arial"/>
          <w:sz w:val="14"/>
          <w:szCs w:val="14"/>
          <w:color w:val="auto"/>
        </w:rPr>
        <w:t>Sean O’Keefe</w:t>
      </w:r>
      <w:r>
        <w:rPr>
          <w:sz w:val="20"/>
          <w:szCs w:val="20"/>
          <w:color w:val="auto"/>
        </w:rPr>
        <w:tab/>
      </w:r>
      <w:r>
        <w:rPr>
          <w:rFonts w:ascii="Arial" w:cs="Arial" w:eastAsia="Arial" w:hAnsi="Arial"/>
          <w:sz w:val="12"/>
          <w:szCs w:val="12"/>
          <w:color w:val="auto"/>
        </w:rPr>
        <w:t>17 June 2022</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KPMG</w:t>
      </w:r>
    </w:p>
    <w:p>
      <w:pPr>
        <w:spacing w:after="0"/>
        <w:rPr>
          <w:sz w:val="20"/>
          <w:szCs w:val="20"/>
          <w:color w:val="auto"/>
        </w:rPr>
      </w:pPr>
      <w:r>
        <w:rPr>
          <w:rFonts w:ascii="Arial" w:cs="Arial" w:eastAsia="Arial" w:hAnsi="Arial"/>
          <w:sz w:val="13"/>
          <w:szCs w:val="13"/>
          <w:b w:val="1"/>
          <w:bCs w:val="1"/>
          <w:color w:val="auto"/>
        </w:rPr>
        <w:t>Chartered Accountants, Statutory Audit Firm</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1 Stokes Place</w:t>
      </w:r>
    </w:p>
    <w:p>
      <w:pPr>
        <w:spacing w:after="0"/>
        <w:rPr>
          <w:sz w:val="20"/>
          <w:szCs w:val="20"/>
          <w:color w:val="auto"/>
        </w:rPr>
      </w:pPr>
      <w:r>
        <w:rPr>
          <w:rFonts w:ascii="Arial" w:cs="Arial" w:eastAsia="Arial" w:hAnsi="Arial"/>
          <w:sz w:val="13"/>
          <w:szCs w:val="13"/>
          <w:i w:val="1"/>
          <w:iCs w:val="1"/>
          <w:color w:val="auto"/>
        </w:rPr>
        <w:t>St. Stephen’s Green</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Dublin 2</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Ireland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280"/>
          </w:cols>
          <w:pgMar w:left="300" w:top="889" w:right="31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Consolidated Statement of Profit and Loss</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00" w:type="dxa"/>
            <w:vAlign w:val="bottom"/>
            <w:shd w:val="clear" w:color="auto" w:fill="CCEEFF"/>
          </w:tcPr>
          <w:p>
            <w:pPr>
              <w:spacing w:after="0"/>
              <w:rPr>
                <w:sz w:val="13"/>
                <w:szCs w:val="13"/>
                <w:color w:val="auto"/>
              </w:rPr>
            </w:pPr>
          </w:p>
        </w:tc>
        <w:tc>
          <w:tcPr>
            <w:tcW w:w="1480" w:type="dxa"/>
            <w:vAlign w:val="bottom"/>
            <w:tcBorders>
              <w:right w:val="single" w:sz="8" w:color="auto"/>
            </w:tcBorders>
            <w:shd w:val="clear" w:color="auto" w:fill="CCEEFF"/>
          </w:tcPr>
          <w:p>
            <w:pPr>
              <w:spacing w:after="0"/>
              <w:rPr>
                <w:sz w:val="13"/>
                <w:szCs w:val="13"/>
                <w:color w:val="auto"/>
              </w:rPr>
            </w:pPr>
          </w:p>
        </w:tc>
        <w:tc>
          <w:tcPr>
            <w:tcW w:w="1860" w:type="dxa"/>
            <w:vAlign w:val="bottom"/>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31 December</w:t>
            </w:r>
          </w:p>
        </w:tc>
        <w:tc>
          <w:tcPr>
            <w:tcW w:w="13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31 December</w:t>
            </w:r>
          </w:p>
        </w:tc>
        <w:tc>
          <w:tcPr>
            <w:tcW w:w="16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31 December</w:t>
            </w:r>
          </w:p>
        </w:tc>
        <w:tc>
          <w:tcPr>
            <w:tcW w:w="16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0"/>
        </w:trPr>
        <w:tc>
          <w:tcPr>
            <w:tcW w:w="3300" w:type="dxa"/>
            <w:vAlign w:val="bottom"/>
            <w:shd w:val="clear" w:color="auto" w:fill="CCEEFF"/>
          </w:tcPr>
          <w:p>
            <w:pPr>
              <w:spacing w:after="0"/>
              <w:rPr>
                <w:sz w:val="14"/>
                <w:szCs w:val="14"/>
                <w:color w:val="auto"/>
              </w:rPr>
            </w:pPr>
          </w:p>
        </w:tc>
        <w:tc>
          <w:tcPr>
            <w:tcW w:w="1480" w:type="dxa"/>
            <w:vAlign w:val="bottom"/>
            <w:tcBorders>
              <w:right w:val="single" w:sz="8" w:color="auto"/>
            </w:tcBorders>
            <w:shd w:val="clear" w:color="auto" w:fill="CCEEFF"/>
          </w:tcPr>
          <w:p>
            <w:pPr>
              <w:spacing w:after="0"/>
              <w:rPr>
                <w:sz w:val="14"/>
                <w:szCs w:val="14"/>
                <w:color w:val="auto"/>
              </w:rPr>
            </w:pPr>
          </w:p>
        </w:tc>
        <w:tc>
          <w:tcPr>
            <w:tcW w:w="1860" w:type="dxa"/>
            <w:vAlign w:val="bottom"/>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2021</w:t>
            </w:r>
          </w:p>
        </w:tc>
        <w:tc>
          <w:tcPr>
            <w:tcW w:w="13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2021</w:t>
            </w:r>
          </w:p>
        </w:tc>
        <w:tc>
          <w:tcPr>
            <w:tcW w:w="16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2021</w:t>
            </w:r>
          </w:p>
        </w:tc>
        <w:tc>
          <w:tcPr>
            <w:tcW w:w="16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2020</w:t>
            </w:r>
          </w:p>
        </w:tc>
      </w:tr>
      <w:tr>
        <w:trPr>
          <w:trHeight w:val="127"/>
        </w:trPr>
        <w:tc>
          <w:tcPr>
            <w:tcW w:w="3300" w:type="dxa"/>
            <w:vAlign w:val="bottom"/>
          </w:tcPr>
          <w:p>
            <w:pPr>
              <w:spacing w:after="0"/>
              <w:rPr>
                <w:sz w:val="11"/>
                <w:szCs w:val="11"/>
                <w:color w:val="auto"/>
              </w:rPr>
            </w:pPr>
          </w:p>
        </w:tc>
        <w:tc>
          <w:tcPr>
            <w:tcW w:w="1480" w:type="dxa"/>
            <w:vAlign w:val="bottom"/>
            <w:tcBorders>
              <w:right w:val="single" w:sz="8" w:color="auto"/>
            </w:tcBorders>
          </w:tcPr>
          <w:p>
            <w:pPr>
              <w:spacing w:after="0"/>
              <w:rPr>
                <w:sz w:val="11"/>
                <w:szCs w:val="11"/>
                <w:color w:val="auto"/>
              </w:rPr>
            </w:pPr>
          </w:p>
        </w:tc>
        <w:tc>
          <w:tcPr>
            <w:tcW w:w="1860" w:type="dxa"/>
            <w:vAlign w:val="bottom"/>
          </w:tcPr>
          <w:p>
            <w:pPr>
              <w:jc w:val="right"/>
              <w:ind w:right="216"/>
              <w:spacing w:after="0" w:line="128" w:lineRule="exact"/>
              <w:rPr>
                <w:sz w:val="20"/>
                <w:szCs w:val="20"/>
                <w:color w:val="auto"/>
              </w:rPr>
            </w:pPr>
            <w:r>
              <w:rPr>
                <w:rFonts w:ascii="Arial" w:cs="Arial" w:eastAsia="Arial" w:hAnsi="Arial"/>
                <w:sz w:val="13"/>
                <w:szCs w:val="13"/>
                <w:b w:val="1"/>
                <w:bCs w:val="1"/>
                <w:color w:val="auto"/>
              </w:rPr>
              <w:t>Excluding</w:t>
            </w:r>
          </w:p>
        </w:tc>
        <w:tc>
          <w:tcPr>
            <w:tcW w:w="1380" w:type="dxa"/>
            <w:vAlign w:val="bottom"/>
            <w:tcBorders>
              <w:right w:val="single" w:sz="8" w:color="auto"/>
            </w:tcBorders>
          </w:tcPr>
          <w:p>
            <w:pPr>
              <w:jc w:val="right"/>
              <w:spacing w:after="0" w:line="128" w:lineRule="exact"/>
              <w:rPr>
                <w:sz w:val="20"/>
                <w:szCs w:val="20"/>
                <w:color w:val="auto"/>
              </w:rPr>
            </w:pPr>
            <w:r>
              <w:rPr>
                <w:rFonts w:ascii="Arial" w:cs="Arial" w:eastAsia="Arial" w:hAnsi="Arial"/>
                <w:sz w:val="13"/>
                <w:szCs w:val="13"/>
                <w:b w:val="1"/>
                <w:bCs w:val="1"/>
                <w:color w:val="auto"/>
              </w:rPr>
              <w:t>(Note 8)</w:t>
            </w:r>
          </w:p>
        </w:tc>
        <w:tc>
          <w:tcPr>
            <w:tcW w:w="1620" w:type="dxa"/>
            <w:vAlign w:val="bottom"/>
            <w:tcBorders>
              <w:right w:val="single" w:sz="8" w:color="auto"/>
            </w:tcBorders>
          </w:tcPr>
          <w:p>
            <w:pPr>
              <w:jc w:val="right"/>
              <w:spacing w:after="0" w:line="128" w:lineRule="exact"/>
              <w:rPr>
                <w:sz w:val="20"/>
                <w:szCs w:val="20"/>
                <w:color w:val="auto"/>
              </w:rPr>
            </w:pPr>
            <w:r>
              <w:rPr>
                <w:rFonts w:ascii="Arial" w:cs="Arial" w:eastAsia="Arial" w:hAnsi="Arial"/>
                <w:sz w:val="13"/>
                <w:szCs w:val="13"/>
                <w:b w:val="1"/>
                <w:bCs w:val="1"/>
                <w:color w:val="auto"/>
              </w:rPr>
              <w:t>Including</w:t>
            </w:r>
          </w:p>
        </w:tc>
        <w:tc>
          <w:tcPr>
            <w:tcW w:w="1640" w:type="dxa"/>
            <w:vAlign w:val="bottom"/>
            <w:tcBorders>
              <w:right w:val="single" w:sz="8" w:color="auto"/>
            </w:tcBorders>
          </w:tcPr>
          <w:p>
            <w:pPr>
              <w:jc w:val="right"/>
              <w:spacing w:after="0" w:line="128" w:lineRule="exact"/>
              <w:rPr>
                <w:sz w:val="20"/>
                <w:szCs w:val="20"/>
                <w:color w:val="auto"/>
              </w:rPr>
            </w:pPr>
            <w:r>
              <w:rPr>
                <w:rFonts w:ascii="Arial" w:cs="Arial" w:eastAsia="Arial" w:hAnsi="Arial"/>
                <w:sz w:val="13"/>
                <w:szCs w:val="13"/>
                <w:color w:val="auto"/>
              </w:rPr>
              <w:t>Including</w:t>
            </w:r>
          </w:p>
        </w:tc>
      </w:tr>
      <w:tr>
        <w:trPr>
          <w:trHeight w:val="170"/>
        </w:trPr>
        <w:tc>
          <w:tcPr>
            <w:tcW w:w="3300" w:type="dxa"/>
            <w:vAlign w:val="bottom"/>
            <w:tcBorders>
              <w:bottom w:val="single" w:sz="8" w:color="CCEEFF"/>
            </w:tcBorders>
          </w:tcPr>
          <w:p>
            <w:pPr>
              <w:spacing w:after="0"/>
              <w:rPr>
                <w:sz w:val="14"/>
                <w:szCs w:val="14"/>
                <w:color w:val="auto"/>
              </w:rPr>
            </w:pPr>
          </w:p>
        </w:tc>
        <w:tc>
          <w:tcPr>
            <w:tcW w:w="1480" w:type="dxa"/>
            <w:vAlign w:val="bottom"/>
            <w:tcBorders>
              <w:bottom w:val="single" w:sz="8" w:color="CCEEFF"/>
              <w:right w:val="single" w:sz="8" w:color="auto"/>
            </w:tcBorders>
          </w:tcPr>
          <w:p>
            <w:pPr>
              <w:spacing w:after="0"/>
              <w:rPr>
                <w:sz w:val="14"/>
                <w:szCs w:val="14"/>
                <w:color w:val="auto"/>
              </w:rPr>
            </w:pPr>
          </w:p>
        </w:tc>
        <w:tc>
          <w:tcPr>
            <w:tcW w:w="186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Exceptional items</w:t>
            </w: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Exceptional items</w:t>
            </w:r>
          </w:p>
        </w:tc>
        <w:tc>
          <w:tcPr>
            <w:tcW w:w="1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Exceptional items</w:t>
            </w:r>
          </w:p>
        </w:tc>
        <w:tc>
          <w:tcPr>
            <w:tcW w:w="1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Exceptional items</w:t>
            </w:r>
          </w:p>
        </w:tc>
      </w:tr>
      <w:tr>
        <w:trPr>
          <w:trHeight w:val="160"/>
        </w:trPr>
        <w:tc>
          <w:tcPr>
            <w:tcW w:w="33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Continuing Operations</w:t>
            </w:r>
          </w:p>
        </w:tc>
        <w:tc>
          <w:tcPr>
            <w:tcW w:w="14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i w:val="1"/>
                <w:iCs w:val="1"/>
                <w:color w:val="auto"/>
              </w:rPr>
              <w:t>Note</w:t>
            </w:r>
          </w:p>
        </w:tc>
        <w:tc>
          <w:tcPr>
            <w:tcW w:w="1860" w:type="dxa"/>
            <w:vAlign w:val="bottom"/>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$’000</w:t>
            </w:r>
          </w:p>
        </w:tc>
        <w:tc>
          <w:tcPr>
            <w:tcW w:w="13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$’000</w:t>
            </w:r>
          </w:p>
        </w:tc>
        <w:tc>
          <w:tcPr>
            <w:tcW w:w="16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$’000</w:t>
            </w:r>
          </w:p>
        </w:tc>
        <w:tc>
          <w:tcPr>
            <w:tcW w:w="16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$’000</w:t>
            </w:r>
          </w:p>
        </w:tc>
      </w:tr>
      <w:tr>
        <w:trPr>
          <w:trHeight w:val="212"/>
        </w:trPr>
        <w:tc>
          <w:tcPr>
            <w:tcW w:w="3300" w:type="dxa"/>
            <w:vAlign w:val="bottom"/>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86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r>
      <w:tr>
        <w:trPr>
          <w:trHeight w:val="170"/>
        </w:trPr>
        <w:tc>
          <w:tcPr>
            <w:tcW w:w="33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Revenue</w:t>
            </w:r>
          </w:p>
        </w:tc>
        <w:tc>
          <w:tcPr>
            <w:tcW w:w="1480" w:type="dxa"/>
            <w:vAlign w:val="bottom"/>
            <w:tcBorders>
              <w:right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i w:val="1"/>
                <w:iCs w:val="1"/>
                <w:color w:val="auto"/>
              </w:rPr>
              <w:t>2</w:t>
            </w:r>
          </w:p>
        </w:tc>
        <w:tc>
          <w:tcPr>
            <w:tcW w:w="1860" w:type="dxa"/>
            <w:vAlign w:val="bottom"/>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5,472,826</w:t>
            </w:r>
          </w:p>
        </w:tc>
        <w:tc>
          <w:tcPr>
            <w:tcW w:w="1380" w:type="dxa"/>
            <w:vAlign w:val="bottom"/>
            <w:tcBorders>
              <w:right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w:t>
            </w:r>
          </w:p>
        </w:tc>
        <w:tc>
          <w:tcPr>
            <w:tcW w:w="16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5,472,826</w:t>
            </w:r>
          </w:p>
        </w:tc>
        <w:tc>
          <w:tcPr>
            <w:tcW w:w="1640" w:type="dxa"/>
            <w:vAlign w:val="bottom"/>
            <w:tcBorders>
              <w:right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2,797,288</w:t>
            </w:r>
          </w:p>
        </w:tc>
      </w:tr>
      <w:tr>
        <w:trPr>
          <w:trHeight w:val="202"/>
        </w:trPr>
        <w:tc>
          <w:tcPr>
            <w:tcW w:w="3300" w:type="dxa"/>
            <w:vAlign w:val="bottom"/>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860" w:type="dxa"/>
            <w:vAlign w:val="bottom"/>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r>
      <w:tr>
        <w:trPr>
          <w:trHeight w:val="170"/>
        </w:trPr>
        <w:tc>
          <w:tcPr>
            <w:tcW w:w="3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Direct costs</w:t>
            </w:r>
          </w:p>
        </w:tc>
        <w:tc>
          <w:tcPr>
            <w:tcW w:w="1480" w:type="dxa"/>
            <w:vAlign w:val="bottom"/>
            <w:tcBorders>
              <w:right w:val="single" w:sz="8" w:color="auto"/>
            </w:tcBorders>
            <w:shd w:val="clear" w:color="auto" w:fill="CCEEFF"/>
          </w:tcPr>
          <w:p>
            <w:pPr>
              <w:spacing w:after="0"/>
              <w:rPr>
                <w:sz w:val="14"/>
                <w:szCs w:val="14"/>
                <w:color w:val="auto"/>
              </w:rPr>
            </w:pPr>
          </w:p>
        </w:tc>
        <w:tc>
          <w:tcPr>
            <w:tcW w:w="1860" w:type="dxa"/>
            <w:vAlign w:val="bottom"/>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(3,970,025)</w:t>
            </w:r>
          </w:p>
        </w:tc>
        <w:tc>
          <w:tcPr>
            <w:tcW w:w="1380" w:type="dxa"/>
            <w:vAlign w:val="bottom"/>
            <w:tcBorders>
              <w:right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w:t>
            </w:r>
          </w:p>
        </w:tc>
        <w:tc>
          <w:tcPr>
            <w:tcW w:w="16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(3,970,025)</w:t>
            </w:r>
          </w:p>
        </w:tc>
        <w:tc>
          <w:tcPr>
            <w:tcW w:w="16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(1,989,256)</w:t>
            </w:r>
          </w:p>
        </w:tc>
      </w:tr>
      <w:tr>
        <w:trPr>
          <w:trHeight w:val="170"/>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Other operating expenses</w:t>
            </w:r>
          </w:p>
        </w:tc>
        <w:tc>
          <w:tcPr>
            <w:tcW w:w="1480" w:type="dxa"/>
            <w:vAlign w:val="bottom"/>
            <w:tcBorders>
              <w:bottom w:val="single" w:sz="8" w:color="auto"/>
              <w:right w:val="single" w:sz="8" w:color="auto"/>
            </w:tcBorders>
          </w:tcPr>
          <w:p>
            <w:pPr>
              <w:spacing w:after="0"/>
              <w:rPr>
                <w:sz w:val="14"/>
                <w:szCs w:val="14"/>
                <w:color w:val="auto"/>
              </w:rPr>
            </w:pPr>
          </w:p>
        </w:tc>
        <w:tc>
          <w:tcPr>
            <w:tcW w:w="186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(898,288)</w:t>
            </w: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(201,719)</w:t>
            </w:r>
          </w:p>
        </w:tc>
        <w:tc>
          <w:tcPr>
            <w:tcW w:w="1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(1,100,007)</w:t>
            </w:r>
          </w:p>
        </w:tc>
        <w:tc>
          <w:tcPr>
            <w:tcW w:w="1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(416,065)</w:t>
            </w:r>
          </w:p>
        </w:tc>
      </w:tr>
      <w:tr>
        <w:trPr>
          <w:trHeight w:val="160"/>
        </w:trPr>
        <w:tc>
          <w:tcPr>
            <w:tcW w:w="33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Operating profit</w:t>
            </w:r>
          </w:p>
        </w:tc>
        <w:tc>
          <w:tcPr>
            <w:tcW w:w="1480" w:type="dxa"/>
            <w:vAlign w:val="bottom"/>
            <w:tcBorders>
              <w:right w:val="single" w:sz="8" w:color="auto"/>
            </w:tcBorders>
            <w:shd w:val="clear" w:color="auto" w:fill="CCEEFF"/>
          </w:tcPr>
          <w:p>
            <w:pPr>
              <w:spacing w:after="0"/>
              <w:rPr>
                <w:sz w:val="13"/>
                <w:szCs w:val="13"/>
                <w:color w:val="auto"/>
              </w:rPr>
            </w:pPr>
          </w:p>
        </w:tc>
        <w:tc>
          <w:tcPr>
            <w:tcW w:w="1860" w:type="dxa"/>
            <w:vAlign w:val="bottom"/>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604,513</w:t>
            </w:r>
          </w:p>
        </w:tc>
        <w:tc>
          <w:tcPr>
            <w:tcW w:w="13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(201,719)</w:t>
            </w:r>
          </w:p>
        </w:tc>
        <w:tc>
          <w:tcPr>
            <w:tcW w:w="16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402,794</w:t>
            </w:r>
          </w:p>
        </w:tc>
        <w:tc>
          <w:tcPr>
            <w:tcW w:w="1640" w:type="dxa"/>
            <w:vAlign w:val="bottom"/>
            <w:tcBorders>
              <w:right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391,967</w:t>
            </w:r>
          </w:p>
        </w:tc>
      </w:tr>
      <w:tr>
        <w:trPr>
          <w:trHeight w:val="212"/>
        </w:trPr>
        <w:tc>
          <w:tcPr>
            <w:tcW w:w="3300" w:type="dxa"/>
            <w:vAlign w:val="bottom"/>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86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r>
      <w:tr>
        <w:trPr>
          <w:trHeight w:val="170"/>
        </w:trPr>
        <w:tc>
          <w:tcPr>
            <w:tcW w:w="3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 of equity method investments net of tax</w:t>
            </w:r>
          </w:p>
        </w:tc>
        <w:tc>
          <w:tcPr>
            <w:tcW w:w="14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i w:val="1"/>
                <w:iCs w:val="1"/>
                <w:color w:val="auto"/>
              </w:rPr>
              <w:t>18</w:t>
            </w:r>
          </w:p>
        </w:tc>
        <w:tc>
          <w:tcPr>
            <w:tcW w:w="1860" w:type="dxa"/>
            <w:vAlign w:val="bottom"/>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(2,161)</w:t>
            </w:r>
          </w:p>
        </w:tc>
        <w:tc>
          <w:tcPr>
            <w:tcW w:w="1380" w:type="dxa"/>
            <w:vAlign w:val="bottom"/>
            <w:tcBorders>
              <w:right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w:t>
            </w:r>
          </w:p>
        </w:tc>
        <w:tc>
          <w:tcPr>
            <w:tcW w:w="16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(2,161)</w:t>
            </w:r>
          </w:p>
        </w:tc>
        <w:tc>
          <w:tcPr>
            <w:tcW w:w="16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(366)</w:t>
            </w:r>
          </w:p>
        </w:tc>
      </w:tr>
      <w:tr>
        <w:trPr>
          <w:trHeight w:val="170"/>
        </w:trPr>
        <w:tc>
          <w:tcPr>
            <w:tcW w:w="3300" w:type="dxa"/>
            <w:vAlign w:val="bottom"/>
          </w:tcPr>
          <w:p>
            <w:pPr>
              <w:ind w:left="20"/>
              <w:spacing w:after="0"/>
              <w:rPr>
                <w:sz w:val="20"/>
                <w:szCs w:val="20"/>
                <w:color w:val="auto"/>
              </w:rPr>
            </w:pPr>
            <w:r>
              <w:rPr>
                <w:rFonts w:ascii="Arial" w:cs="Arial" w:eastAsia="Arial" w:hAnsi="Arial"/>
                <w:sz w:val="13"/>
                <w:szCs w:val="13"/>
                <w:color w:val="auto"/>
              </w:rPr>
              <w:t>Financing income</w:t>
            </w:r>
          </w:p>
        </w:tc>
        <w:tc>
          <w:tcPr>
            <w:tcW w:w="1480" w:type="dxa"/>
            <w:vAlign w:val="bottom"/>
            <w:tcBorders>
              <w:right w:val="single" w:sz="8" w:color="auto"/>
            </w:tcBorders>
          </w:tcPr>
          <w:p>
            <w:pPr>
              <w:jc w:val="right"/>
              <w:spacing w:after="0"/>
              <w:rPr>
                <w:sz w:val="20"/>
                <w:szCs w:val="20"/>
                <w:color w:val="auto"/>
              </w:rPr>
            </w:pPr>
            <w:r>
              <w:rPr>
                <w:rFonts w:ascii="Arial" w:cs="Arial" w:eastAsia="Arial" w:hAnsi="Arial"/>
                <w:sz w:val="13"/>
                <w:szCs w:val="13"/>
                <w:i w:val="1"/>
                <w:iCs w:val="1"/>
                <w:color w:val="auto"/>
              </w:rPr>
              <w:t>4</w:t>
            </w:r>
          </w:p>
        </w:tc>
        <w:tc>
          <w:tcPr>
            <w:tcW w:w="1860" w:type="dxa"/>
            <w:vAlign w:val="bottom"/>
          </w:tcPr>
          <w:p>
            <w:pPr>
              <w:jc w:val="right"/>
              <w:ind w:right="256"/>
              <w:spacing w:after="0"/>
              <w:rPr>
                <w:sz w:val="20"/>
                <w:szCs w:val="20"/>
                <w:color w:val="auto"/>
              </w:rPr>
            </w:pPr>
            <w:r>
              <w:rPr>
                <w:rFonts w:ascii="Arial" w:cs="Arial" w:eastAsia="Arial" w:hAnsi="Arial"/>
                <w:sz w:val="13"/>
                <w:szCs w:val="13"/>
                <w:b w:val="1"/>
                <w:bCs w:val="1"/>
                <w:color w:val="auto"/>
              </w:rPr>
              <w:t>574</w:t>
            </w:r>
          </w:p>
        </w:tc>
        <w:tc>
          <w:tcPr>
            <w:tcW w:w="1380" w:type="dxa"/>
            <w:vAlign w:val="bottom"/>
            <w:tcBorders>
              <w:right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w:t>
            </w:r>
          </w:p>
        </w:tc>
        <w:tc>
          <w:tcPr>
            <w:tcW w:w="162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574</w:t>
            </w:r>
          </w:p>
        </w:tc>
        <w:tc>
          <w:tcPr>
            <w:tcW w:w="1640" w:type="dxa"/>
            <w:vAlign w:val="bottom"/>
            <w:tcBorders>
              <w:right w:val="single" w:sz="8" w:color="auto"/>
            </w:tcBorders>
          </w:tcPr>
          <w:p>
            <w:pPr>
              <w:jc w:val="right"/>
              <w:ind w:right="16"/>
              <w:spacing w:after="0"/>
              <w:rPr>
                <w:sz w:val="20"/>
                <w:szCs w:val="20"/>
                <w:color w:val="auto"/>
              </w:rPr>
            </w:pPr>
            <w:r>
              <w:rPr>
                <w:rFonts w:ascii="Arial" w:cs="Arial" w:eastAsia="Arial" w:hAnsi="Arial"/>
                <w:sz w:val="13"/>
                <w:szCs w:val="13"/>
                <w:color w:val="auto"/>
              </w:rPr>
              <w:t>2,724</w:t>
            </w:r>
          </w:p>
        </w:tc>
      </w:tr>
      <w:tr>
        <w:trPr>
          <w:trHeight w:val="170"/>
        </w:trPr>
        <w:tc>
          <w:tcPr>
            <w:tcW w:w="3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Financing expense</w:t>
            </w:r>
          </w:p>
        </w:tc>
        <w:tc>
          <w:tcPr>
            <w:tcW w:w="14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3"/>
                <w:szCs w:val="13"/>
                <w:i w:val="1"/>
                <w:iCs w:val="1"/>
                <w:color w:val="auto"/>
              </w:rPr>
              <w:t>5</w:t>
            </w:r>
          </w:p>
        </w:tc>
        <w:tc>
          <w:tcPr>
            <w:tcW w:w="186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(111,145)</w:t>
            </w:r>
          </w:p>
        </w:tc>
        <w:tc>
          <w:tcPr>
            <w:tcW w:w="13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(75,391)</w:t>
            </w:r>
          </w:p>
        </w:tc>
        <w:tc>
          <w:tcPr>
            <w:tcW w:w="16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(186,536)</w:t>
            </w:r>
          </w:p>
        </w:tc>
        <w:tc>
          <w:tcPr>
            <w:tcW w:w="16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(12,147)</w:t>
            </w:r>
          </w:p>
        </w:tc>
      </w:tr>
      <w:tr>
        <w:trPr>
          <w:trHeight w:val="192"/>
        </w:trPr>
        <w:tc>
          <w:tcPr>
            <w:tcW w:w="3300" w:type="dxa"/>
            <w:vAlign w:val="bottom"/>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1860" w:type="dxa"/>
            <w:vAlign w:val="bottom"/>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1620" w:type="dxa"/>
            <w:vAlign w:val="bottom"/>
            <w:tcBorders>
              <w:right w:val="single" w:sz="8" w:color="auto"/>
            </w:tcBorders>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r>
      <w:tr>
        <w:trPr>
          <w:trHeight w:val="170"/>
        </w:trPr>
        <w:tc>
          <w:tcPr>
            <w:tcW w:w="33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Profit before taxation</w:t>
            </w:r>
          </w:p>
        </w:tc>
        <w:tc>
          <w:tcPr>
            <w:tcW w:w="14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i w:val="1"/>
                <w:iCs w:val="1"/>
                <w:color w:val="auto"/>
              </w:rPr>
              <w:t>3</w:t>
            </w:r>
          </w:p>
        </w:tc>
        <w:tc>
          <w:tcPr>
            <w:tcW w:w="1860" w:type="dxa"/>
            <w:vAlign w:val="bottom"/>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491,781</w:t>
            </w:r>
          </w:p>
        </w:tc>
        <w:tc>
          <w:tcPr>
            <w:tcW w:w="13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(277,110)</w:t>
            </w:r>
          </w:p>
        </w:tc>
        <w:tc>
          <w:tcPr>
            <w:tcW w:w="16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214,671</w:t>
            </w:r>
          </w:p>
        </w:tc>
        <w:tc>
          <w:tcPr>
            <w:tcW w:w="1640" w:type="dxa"/>
            <w:vAlign w:val="bottom"/>
            <w:tcBorders>
              <w:right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382,178</w:t>
            </w:r>
          </w:p>
        </w:tc>
      </w:tr>
      <w:tr>
        <w:trPr>
          <w:trHeight w:val="170"/>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Income tax expense</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i w:val="1"/>
                <w:iCs w:val="1"/>
                <w:color w:val="auto"/>
              </w:rPr>
              <w:t>6</w:t>
            </w:r>
          </w:p>
        </w:tc>
        <w:tc>
          <w:tcPr>
            <w:tcW w:w="186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(51,061)</w:t>
            </w:r>
          </w:p>
        </w:tc>
        <w:tc>
          <w:tcPr>
            <w:tcW w:w="1380" w:type="dxa"/>
            <w:vAlign w:val="bottom"/>
            <w:tcBorders>
              <w:bottom w:val="single" w:sz="8" w:color="auto"/>
              <w:right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10,842</w:t>
            </w:r>
          </w:p>
        </w:tc>
        <w:tc>
          <w:tcPr>
            <w:tcW w:w="1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(40,219)</w:t>
            </w:r>
          </w:p>
        </w:tc>
        <w:tc>
          <w:tcPr>
            <w:tcW w:w="1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(50,753)</w:t>
            </w:r>
          </w:p>
        </w:tc>
      </w:tr>
      <w:tr>
        <w:trPr>
          <w:trHeight w:val="192"/>
        </w:trPr>
        <w:tc>
          <w:tcPr>
            <w:tcW w:w="3300" w:type="dxa"/>
            <w:vAlign w:val="bottom"/>
            <w:shd w:val="clear" w:color="auto" w:fill="CCEEFF"/>
          </w:tcPr>
          <w:p>
            <w:pPr>
              <w:spacing w:after="0"/>
              <w:rPr>
                <w:sz w:val="16"/>
                <w:szCs w:val="16"/>
                <w:color w:val="auto"/>
              </w:rPr>
            </w:pPr>
          </w:p>
        </w:tc>
        <w:tc>
          <w:tcPr>
            <w:tcW w:w="1480" w:type="dxa"/>
            <w:vAlign w:val="bottom"/>
            <w:tcBorders>
              <w:right w:val="single" w:sz="8" w:color="auto"/>
            </w:tcBorders>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1380" w:type="dxa"/>
            <w:vAlign w:val="bottom"/>
            <w:tcBorders>
              <w:right w:val="single" w:sz="8" w:color="auto"/>
            </w:tcBorders>
            <w:shd w:val="clear" w:color="auto" w:fill="CCEEFF"/>
          </w:tcPr>
          <w:p>
            <w:pPr>
              <w:spacing w:after="0"/>
              <w:rPr>
                <w:sz w:val="16"/>
                <w:szCs w:val="16"/>
                <w:color w:val="auto"/>
              </w:rPr>
            </w:pPr>
          </w:p>
        </w:tc>
        <w:tc>
          <w:tcPr>
            <w:tcW w:w="1620" w:type="dxa"/>
            <w:vAlign w:val="bottom"/>
            <w:tcBorders>
              <w:right w:val="single" w:sz="8" w:color="auto"/>
            </w:tcBorders>
            <w:shd w:val="clear" w:color="auto" w:fill="CCEEFF"/>
          </w:tcPr>
          <w:p>
            <w:pPr>
              <w:spacing w:after="0"/>
              <w:rPr>
                <w:sz w:val="16"/>
                <w:szCs w:val="16"/>
                <w:color w:val="auto"/>
              </w:rPr>
            </w:pPr>
          </w:p>
        </w:tc>
        <w:tc>
          <w:tcPr>
            <w:tcW w:w="1640" w:type="dxa"/>
            <w:vAlign w:val="bottom"/>
            <w:tcBorders>
              <w:right w:val="single" w:sz="8" w:color="auto"/>
            </w:tcBorders>
            <w:shd w:val="clear" w:color="auto" w:fill="CCEEFF"/>
          </w:tcPr>
          <w:p>
            <w:pPr>
              <w:spacing w:after="0"/>
              <w:rPr>
                <w:sz w:val="16"/>
                <w:szCs w:val="16"/>
                <w:color w:val="auto"/>
              </w:rPr>
            </w:pPr>
          </w:p>
        </w:tc>
      </w:tr>
      <w:tr>
        <w:trPr>
          <w:trHeight w:val="171"/>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Profit for the financial year</w:t>
            </w:r>
          </w:p>
        </w:tc>
        <w:tc>
          <w:tcPr>
            <w:tcW w:w="1480" w:type="dxa"/>
            <w:vAlign w:val="bottom"/>
            <w:tcBorders>
              <w:bottom w:val="single" w:sz="8" w:color="auto"/>
              <w:right w:val="single" w:sz="8" w:color="auto"/>
            </w:tcBorders>
          </w:tcPr>
          <w:p>
            <w:pPr>
              <w:spacing w:after="0"/>
              <w:rPr>
                <w:sz w:val="14"/>
                <w:szCs w:val="14"/>
                <w:color w:val="auto"/>
              </w:rPr>
            </w:pPr>
          </w:p>
        </w:tc>
        <w:tc>
          <w:tcPr>
            <w:tcW w:w="186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440,720</w:t>
            </w: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(266,268)</w:t>
            </w:r>
          </w:p>
        </w:tc>
        <w:tc>
          <w:tcPr>
            <w:tcW w:w="1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174,452</w:t>
            </w:r>
          </w:p>
        </w:tc>
        <w:tc>
          <w:tcPr>
            <w:tcW w:w="1640" w:type="dxa"/>
            <w:vAlign w:val="bottom"/>
            <w:tcBorders>
              <w:bottom w:val="single" w:sz="8" w:color="auto"/>
              <w:right w:val="single" w:sz="8" w:color="auto"/>
            </w:tcBorders>
          </w:tcPr>
          <w:p>
            <w:pPr>
              <w:jc w:val="right"/>
              <w:ind w:right="16"/>
              <w:spacing w:after="0"/>
              <w:rPr>
                <w:sz w:val="20"/>
                <w:szCs w:val="20"/>
                <w:color w:val="auto"/>
              </w:rPr>
            </w:pPr>
            <w:r>
              <w:rPr>
                <w:rFonts w:ascii="Arial" w:cs="Arial" w:eastAsia="Arial" w:hAnsi="Arial"/>
                <w:sz w:val="13"/>
                <w:szCs w:val="13"/>
                <w:color w:val="auto"/>
              </w:rPr>
              <w:t>331,425</w:t>
            </w:r>
          </w:p>
        </w:tc>
      </w:tr>
      <w:tr>
        <w:trPr>
          <w:trHeight w:val="202"/>
        </w:trPr>
        <w:tc>
          <w:tcPr>
            <w:tcW w:w="3300" w:type="dxa"/>
            <w:vAlign w:val="bottom"/>
            <w:shd w:val="clear" w:color="auto" w:fill="CCEEFF"/>
          </w:tcPr>
          <w:p>
            <w:pPr>
              <w:spacing w:after="0"/>
              <w:rPr>
                <w:sz w:val="17"/>
                <w:szCs w:val="17"/>
                <w:color w:val="auto"/>
              </w:rPr>
            </w:pPr>
          </w:p>
        </w:tc>
        <w:tc>
          <w:tcPr>
            <w:tcW w:w="1480" w:type="dxa"/>
            <w:vAlign w:val="bottom"/>
            <w:tcBorders>
              <w:right w:val="single" w:sz="8" w:color="auto"/>
            </w:tcBorders>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380" w:type="dxa"/>
            <w:vAlign w:val="bottom"/>
            <w:tcBorders>
              <w:right w:val="single" w:sz="8" w:color="auto"/>
            </w:tcBorders>
            <w:shd w:val="clear" w:color="auto" w:fill="CCEEFF"/>
          </w:tcPr>
          <w:p>
            <w:pPr>
              <w:spacing w:after="0"/>
              <w:rPr>
                <w:sz w:val="17"/>
                <w:szCs w:val="17"/>
                <w:color w:val="auto"/>
              </w:rPr>
            </w:pPr>
          </w:p>
        </w:tc>
        <w:tc>
          <w:tcPr>
            <w:tcW w:w="1620" w:type="dxa"/>
            <w:vAlign w:val="bottom"/>
            <w:tcBorders>
              <w:right w:val="single" w:sz="8" w:color="auto"/>
            </w:tcBorders>
            <w:shd w:val="clear" w:color="auto" w:fill="CCEEFF"/>
          </w:tcPr>
          <w:p>
            <w:pPr>
              <w:spacing w:after="0"/>
              <w:rPr>
                <w:sz w:val="17"/>
                <w:szCs w:val="17"/>
                <w:color w:val="auto"/>
              </w:rPr>
            </w:pPr>
          </w:p>
        </w:tc>
        <w:tc>
          <w:tcPr>
            <w:tcW w:w="1640" w:type="dxa"/>
            <w:vAlign w:val="bottom"/>
            <w:tcBorders>
              <w:right w:val="single" w:sz="8" w:color="auto"/>
            </w:tcBorders>
            <w:shd w:val="clear" w:color="auto" w:fill="CCEEFF"/>
          </w:tcPr>
          <w:p>
            <w:pPr>
              <w:spacing w:after="0"/>
              <w:rPr>
                <w:sz w:val="17"/>
                <w:szCs w:val="17"/>
                <w:color w:val="auto"/>
              </w:rPr>
            </w:pPr>
          </w:p>
        </w:tc>
      </w:tr>
      <w:tr>
        <w:trPr>
          <w:trHeight w:val="170"/>
        </w:trPr>
        <w:tc>
          <w:tcPr>
            <w:tcW w:w="3300" w:type="dxa"/>
            <w:vAlign w:val="bottom"/>
          </w:tcPr>
          <w:p>
            <w:pPr>
              <w:ind w:left="20"/>
              <w:spacing w:after="0"/>
              <w:rPr>
                <w:sz w:val="20"/>
                <w:szCs w:val="20"/>
                <w:color w:val="auto"/>
              </w:rPr>
            </w:pPr>
            <w:r>
              <w:rPr>
                <w:rFonts w:ascii="Arial" w:cs="Arial" w:eastAsia="Arial" w:hAnsi="Arial"/>
                <w:sz w:val="13"/>
                <w:szCs w:val="13"/>
                <w:b w:val="1"/>
                <w:bCs w:val="1"/>
                <w:color w:val="auto"/>
              </w:rPr>
              <w:t>Profit for the financial year is attributable to:</w:t>
            </w:r>
          </w:p>
        </w:tc>
        <w:tc>
          <w:tcPr>
            <w:tcW w:w="1480" w:type="dxa"/>
            <w:vAlign w:val="bottom"/>
            <w:tcBorders>
              <w:right w:val="single" w:sz="8" w:color="auto"/>
            </w:tcBorders>
          </w:tcPr>
          <w:p>
            <w:pPr>
              <w:spacing w:after="0"/>
              <w:rPr>
                <w:sz w:val="14"/>
                <w:szCs w:val="14"/>
                <w:color w:val="auto"/>
              </w:rPr>
            </w:pPr>
          </w:p>
        </w:tc>
        <w:tc>
          <w:tcPr>
            <w:tcW w:w="1860" w:type="dxa"/>
            <w:vAlign w:val="bottom"/>
          </w:tcPr>
          <w:p>
            <w:pPr>
              <w:spacing w:after="0"/>
              <w:rPr>
                <w:sz w:val="14"/>
                <w:szCs w:val="14"/>
                <w:color w:val="auto"/>
              </w:rPr>
            </w:pPr>
          </w:p>
        </w:tc>
        <w:tc>
          <w:tcPr>
            <w:tcW w:w="1380" w:type="dxa"/>
            <w:vAlign w:val="bottom"/>
            <w:tcBorders>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640" w:type="dxa"/>
            <w:vAlign w:val="bottom"/>
            <w:tcBorders>
              <w:right w:val="single" w:sz="8" w:color="auto"/>
            </w:tcBorders>
          </w:tcPr>
          <w:p>
            <w:pPr>
              <w:spacing w:after="0"/>
              <w:rPr>
                <w:sz w:val="14"/>
                <w:szCs w:val="14"/>
                <w:color w:val="auto"/>
              </w:rPr>
            </w:pPr>
          </w:p>
        </w:tc>
      </w:tr>
      <w:tr>
        <w:trPr>
          <w:trHeight w:val="212"/>
        </w:trPr>
        <w:tc>
          <w:tcPr>
            <w:tcW w:w="3300" w:type="dxa"/>
            <w:vAlign w:val="bottom"/>
            <w:shd w:val="clear" w:color="auto" w:fill="CCEEFF"/>
          </w:tcPr>
          <w:p>
            <w:pPr>
              <w:spacing w:after="0"/>
              <w:rPr>
                <w:sz w:val="18"/>
                <w:szCs w:val="18"/>
                <w:color w:val="auto"/>
              </w:rPr>
            </w:pPr>
          </w:p>
        </w:tc>
        <w:tc>
          <w:tcPr>
            <w:tcW w:w="1480" w:type="dxa"/>
            <w:vAlign w:val="bottom"/>
            <w:tcBorders>
              <w:right w:val="single" w:sz="8" w:color="auto"/>
            </w:tcBorders>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380" w:type="dxa"/>
            <w:vAlign w:val="bottom"/>
            <w:tcBorders>
              <w:right w:val="single" w:sz="8" w:color="auto"/>
            </w:tcBorders>
            <w:shd w:val="clear" w:color="auto" w:fill="CCEEFF"/>
          </w:tcPr>
          <w:p>
            <w:pPr>
              <w:spacing w:after="0"/>
              <w:rPr>
                <w:sz w:val="18"/>
                <w:szCs w:val="18"/>
                <w:color w:val="auto"/>
              </w:rPr>
            </w:pPr>
          </w:p>
        </w:tc>
        <w:tc>
          <w:tcPr>
            <w:tcW w:w="1620" w:type="dxa"/>
            <w:vAlign w:val="bottom"/>
            <w:tcBorders>
              <w:right w:val="single" w:sz="8" w:color="auto"/>
            </w:tcBorders>
            <w:shd w:val="clear" w:color="auto" w:fill="CCEEFF"/>
          </w:tcPr>
          <w:p>
            <w:pPr>
              <w:spacing w:after="0"/>
              <w:rPr>
                <w:sz w:val="18"/>
                <w:szCs w:val="18"/>
                <w:color w:val="auto"/>
              </w:rPr>
            </w:pPr>
          </w:p>
        </w:tc>
        <w:tc>
          <w:tcPr>
            <w:tcW w:w="1640" w:type="dxa"/>
            <w:vAlign w:val="bottom"/>
            <w:tcBorders>
              <w:right w:val="single" w:sz="8" w:color="auto"/>
            </w:tcBorders>
            <w:shd w:val="clear" w:color="auto" w:fill="CCEEFF"/>
          </w:tcPr>
          <w:p>
            <w:pPr>
              <w:spacing w:after="0"/>
              <w:rPr>
                <w:sz w:val="18"/>
                <w:szCs w:val="18"/>
                <w:color w:val="auto"/>
              </w:rPr>
            </w:pPr>
          </w:p>
        </w:tc>
      </w:tr>
      <w:tr>
        <w:trPr>
          <w:trHeight w:val="170"/>
        </w:trPr>
        <w:tc>
          <w:tcPr>
            <w:tcW w:w="3300" w:type="dxa"/>
            <w:vAlign w:val="bottom"/>
          </w:tcPr>
          <w:p>
            <w:pPr>
              <w:ind w:left="20"/>
              <w:spacing w:after="0"/>
              <w:rPr>
                <w:sz w:val="20"/>
                <w:szCs w:val="20"/>
                <w:color w:val="auto"/>
              </w:rPr>
            </w:pPr>
            <w:r>
              <w:rPr>
                <w:rFonts w:ascii="Arial" w:cs="Arial" w:eastAsia="Arial" w:hAnsi="Arial"/>
                <w:sz w:val="13"/>
                <w:szCs w:val="13"/>
                <w:color w:val="auto"/>
              </w:rPr>
              <w:t>Owners of the Company</w:t>
            </w:r>
          </w:p>
        </w:tc>
        <w:tc>
          <w:tcPr>
            <w:tcW w:w="1480" w:type="dxa"/>
            <w:vAlign w:val="bottom"/>
            <w:tcBorders>
              <w:right w:val="single" w:sz="8" w:color="auto"/>
            </w:tcBorders>
          </w:tcPr>
          <w:p>
            <w:pPr>
              <w:jc w:val="right"/>
              <w:spacing w:after="0"/>
              <w:rPr>
                <w:sz w:val="20"/>
                <w:szCs w:val="20"/>
                <w:color w:val="auto"/>
              </w:rPr>
            </w:pPr>
            <w:r>
              <w:rPr>
                <w:rFonts w:ascii="Arial" w:cs="Arial" w:eastAsia="Arial" w:hAnsi="Arial"/>
                <w:sz w:val="13"/>
                <w:szCs w:val="13"/>
                <w:i w:val="1"/>
                <w:iCs w:val="1"/>
                <w:color w:val="auto"/>
              </w:rPr>
              <w:t>25</w:t>
            </w:r>
          </w:p>
        </w:tc>
        <w:tc>
          <w:tcPr>
            <w:tcW w:w="1860" w:type="dxa"/>
            <w:vAlign w:val="bottom"/>
          </w:tcPr>
          <w:p>
            <w:pPr>
              <w:jc w:val="right"/>
              <w:ind w:right="256"/>
              <w:spacing w:after="0"/>
              <w:rPr>
                <w:sz w:val="20"/>
                <w:szCs w:val="20"/>
                <w:color w:val="auto"/>
              </w:rPr>
            </w:pPr>
            <w:r>
              <w:rPr>
                <w:rFonts w:ascii="Arial" w:cs="Arial" w:eastAsia="Arial" w:hAnsi="Arial"/>
                <w:sz w:val="13"/>
                <w:szCs w:val="13"/>
                <w:b w:val="1"/>
                <w:bCs w:val="1"/>
                <w:color w:val="auto"/>
              </w:rPr>
              <w:t>440,720</w:t>
            </w:r>
          </w:p>
        </w:tc>
        <w:tc>
          <w:tcPr>
            <w:tcW w:w="138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(266,268)</w:t>
            </w:r>
          </w:p>
        </w:tc>
        <w:tc>
          <w:tcPr>
            <w:tcW w:w="162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174,452</w:t>
            </w:r>
          </w:p>
        </w:tc>
        <w:tc>
          <w:tcPr>
            <w:tcW w:w="1640" w:type="dxa"/>
            <w:vAlign w:val="bottom"/>
            <w:tcBorders>
              <w:right w:val="single" w:sz="8" w:color="auto"/>
            </w:tcBorders>
          </w:tcPr>
          <w:p>
            <w:pPr>
              <w:jc w:val="right"/>
              <w:ind w:right="16"/>
              <w:spacing w:after="0"/>
              <w:rPr>
                <w:sz w:val="20"/>
                <w:szCs w:val="20"/>
                <w:color w:val="auto"/>
              </w:rPr>
            </w:pPr>
            <w:r>
              <w:rPr>
                <w:rFonts w:ascii="Arial" w:cs="Arial" w:eastAsia="Arial" w:hAnsi="Arial"/>
                <w:sz w:val="13"/>
                <w:szCs w:val="13"/>
                <w:color w:val="auto"/>
              </w:rPr>
              <w:t>330,792</w:t>
            </w:r>
          </w:p>
        </w:tc>
      </w:tr>
      <w:tr>
        <w:trPr>
          <w:trHeight w:val="170"/>
        </w:trPr>
        <w:tc>
          <w:tcPr>
            <w:tcW w:w="3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Noncontrolling interest</w:t>
            </w:r>
          </w:p>
        </w:tc>
        <w:tc>
          <w:tcPr>
            <w:tcW w:w="1480" w:type="dxa"/>
            <w:vAlign w:val="bottom"/>
            <w:tcBorders>
              <w:bottom w:val="single" w:sz="8" w:color="auto"/>
              <w:right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i w:val="1"/>
                <w:iCs w:val="1"/>
                <w:color w:val="auto"/>
              </w:rPr>
              <w:t>25</w:t>
            </w:r>
          </w:p>
        </w:tc>
        <w:tc>
          <w:tcPr>
            <w:tcW w:w="186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w:t>
            </w:r>
          </w:p>
        </w:tc>
        <w:tc>
          <w:tcPr>
            <w:tcW w:w="1380" w:type="dxa"/>
            <w:vAlign w:val="bottom"/>
            <w:tcBorders>
              <w:bottom w:val="single" w:sz="8" w:color="auto"/>
              <w:right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w:t>
            </w:r>
          </w:p>
        </w:tc>
        <w:tc>
          <w:tcPr>
            <w:tcW w:w="16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640" w:type="dxa"/>
            <w:vAlign w:val="bottom"/>
            <w:tcBorders>
              <w:bottom w:val="single" w:sz="8" w:color="auto"/>
              <w:right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633</w:t>
            </w:r>
          </w:p>
        </w:tc>
      </w:tr>
      <w:tr>
        <w:trPr>
          <w:trHeight w:val="162"/>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Profit for the financial year attributable to the Group</w:t>
            </w:r>
          </w:p>
        </w:tc>
        <w:tc>
          <w:tcPr>
            <w:tcW w:w="1480" w:type="dxa"/>
            <w:vAlign w:val="bottom"/>
            <w:tcBorders>
              <w:bottom w:val="single" w:sz="8" w:color="auto"/>
              <w:right w:val="single" w:sz="8" w:color="auto"/>
            </w:tcBorders>
          </w:tcPr>
          <w:p>
            <w:pPr>
              <w:spacing w:after="0"/>
              <w:rPr>
                <w:sz w:val="14"/>
                <w:szCs w:val="14"/>
                <w:color w:val="auto"/>
              </w:rPr>
            </w:pPr>
          </w:p>
        </w:tc>
        <w:tc>
          <w:tcPr>
            <w:tcW w:w="186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440,720</w:t>
            </w: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(266,268)</w:t>
            </w:r>
          </w:p>
        </w:tc>
        <w:tc>
          <w:tcPr>
            <w:tcW w:w="1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174,452</w:t>
            </w:r>
          </w:p>
        </w:tc>
        <w:tc>
          <w:tcPr>
            <w:tcW w:w="1640" w:type="dxa"/>
            <w:vAlign w:val="bottom"/>
            <w:tcBorders>
              <w:bottom w:val="single" w:sz="8" w:color="auto"/>
              <w:right w:val="single" w:sz="8" w:color="auto"/>
            </w:tcBorders>
          </w:tcPr>
          <w:p>
            <w:pPr>
              <w:jc w:val="right"/>
              <w:ind w:right="16"/>
              <w:spacing w:after="0"/>
              <w:rPr>
                <w:sz w:val="20"/>
                <w:szCs w:val="20"/>
                <w:color w:val="auto"/>
              </w:rPr>
            </w:pPr>
            <w:r>
              <w:rPr>
                <w:rFonts w:ascii="Arial" w:cs="Arial" w:eastAsia="Arial" w:hAnsi="Arial"/>
                <w:sz w:val="13"/>
                <w:szCs w:val="13"/>
                <w:color w:val="auto"/>
              </w:rPr>
              <w:t>331,425</w:t>
            </w:r>
          </w:p>
        </w:tc>
      </w:tr>
      <w:tr>
        <w:trPr>
          <w:trHeight w:val="202"/>
        </w:trPr>
        <w:tc>
          <w:tcPr>
            <w:tcW w:w="3300" w:type="dxa"/>
            <w:vAlign w:val="bottom"/>
            <w:shd w:val="clear" w:color="auto" w:fill="CCEEFF"/>
          </w:tcPr>
          <w:p>
            <w:pPr>
              <w:spacing w:after="0"/>
              <w:rPr>
                <w:sz w:val="17"/>
                <w:szCs w:val="17"/>
                <w:color w:val="auto"/>
              </w:rPr>
            </w:pPr>
          </w:p>
        </w:tc>
        <w:tc>
          <w:tcPr>
            <w:tcW w:w="1480" w:type="dxa"/>
            <w:vAlign w:val="bottom"/>
            <w:tcBorders>
              <w:right w:val="single" w:sz="8" w:color="auto"/>
            </w:tcBorders>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380" w:type="dxa"/>
            <w:vAlign w:val="bottom"/>
            <w:tcBorders>
              <w:right w:val="single" w:sz="8" w:color="auto"/>
            </w:tcBorders>
            <w:shd w:val="clear" w:color="auto" w:fill="CCEEFF"/>
          </w:tcPr>
          <w:p>
            <w:pPr>
              <w:spacing w:after="0"/>
              <w:rPr>
                <w:sz w:val="17"/>
                <w:szCs w:val="17"/>
                <w:color w:val="auto"/>
              </w:rPr>
            </w:pPr>
          </w:p>
        </w:tc>
        <w:tc>
          <w:tcPr>
            <w:tcW w:w="1620" w:type="dxa"/>
            <w:vAlign w:val="bottom"/>
            <w:tcBorders>
              <w:right w:val="single" w:sz="8" w:color="auto"/>
            </w:tcBorders>
            <w:shd w:val="clear" w:color="auto" w:fill="CCEEFF"/>
          </w:tcPr>
          <w:p>
            <w:pPr>
              <w:spacing w:after="0"/>
              <w:rPr>
                <w:sz w:val="17"/>
                <w:szCs w:val="17"/>
                <w:color w:val="auto"/>
              </w:rPr>
            </w:pPr>
          </w:p>
        </w:tc>
        <w:tc>
          <w:tcPr>
            <w:tcW w:w="1640" w:type="dxa"/>
            <w:vAlign w:val="bottom"/>
            <w:tcBorders>
              <w:right w:val="single" w:sz="8" w:color="auto"/>
            </w:tcBorders>
            <w:shd w:val="clear" w:color="auto" w:fill="CCEEFF"/>
          </w:tcPr>
          <w:p>
            <w:pPr>
              <w:spacing w:after="0"/>
              <w:rPr>
                <w:sz w:val="17"/>
                <w:szCs w:val="17"/>
                <w:color w:val="auto"/>
              </w:rPr>
            </w:pPr>
          </w:p>
        </w:tc>
      </w:tr>
      <w:tr>
        <w:trPr>
          <w:trHeight w:val="170"/>
        </w:trPr>
        <w:tc>
          <w:tcPr>
            <w:tcW w:w="3300" w:type="dxa"/>
            <w:vAlign w:val="bottom"/>
          </w:tcPr>
          <w:p>
            <w:pPr>
              <w:ind w:left="20"/>
              <w:spacing w:after="0"/>
              <w:rPr>
                <w:sz w:val="20"/>
                <w:szCs w:val="20"/>
                <w:color w:val="auto"/>
              </w:rPr>
            </w:pPr>
            <w:r>
              <w:rPr>
                <w:rFonts w:ascii="Arial" w:cs="Arial" w:eastAsia="Arial" w:hAnsi="Arial"/>
                <w:sz w:val="13"/>
                <w:szCs w:val="13"/>
                <w:b w:val="1"/>
                <w:bCs w:val="1"/>
                <w:color w:val="auto"/>
              </w:rPr>
              <w:t>Earnings per ordinary share</w:t>
            </w:r>
          </w:p>
        </w:tc>
        <w:tc>
          <w:tcPr>
            <w:tcW w:w="1480" w:type="dxa"/>
            <w:vAlign w:val="bottom"/>
            <w:tcBorders>
              <w:right w:val="single" w:sz="8" w:color="auto"/>
            </w:tcBorders>
          </w:tcPr>
          <w:p>
            <w:pPr>
              <w:spacing w:after="0"/>
              <w:rPr>
                <w:sz w:val="14"/>
                <w:szCs w:val="14"/>
                <w:color w:val="auto"/>
              </w:rPr>
            </w:pPr>
          </w:p>
        </w:tc>
        <w:tc>
          <w:tcPr>
            <w:tcW w:w="1860" w:type="dxa"/>
            <w:vAlign w:val="bottom"/>
          </w:tcPr>
          <w:p>
            <w:pPr>
              <w:spacing w:after="0"/>
              <w:rPr>
                <w:sz w:val="14"/>
                <w:szCs w:val="14"/>
                <w:color w:val="auto"/>
              </w:rPr>
            </w:pPr>
          </w:p>
        </w:tc>
        <w:tc>
          <w:tcPr>
            <w:tcW w:w="1380" w:type="dxa"/>
            <w:vAlign w:val="bottom"/>
            <w:tcBorders>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640" w:type="dxa"/>
            <w:vAlign w:val="bottom"/>
            <w:tcBorders>
              <w:right w:val="single" w:sz="8" w:color="auto"/>
            </w:tcBorders>
          </w:tcPr>
          <w:p>
            <w:pPr>
              <w:spacing w:after="0"/>
              <w:rPr>
                <w:sz w:val="14"/>
                <w:szCs w:val="14"/>
                <w:color w:val="auto"/>
              </w:rPr>
            </w:pPr>
          </w:p>
        </w:tc>
      </w:tr>
      <w:tr>
        <w:trPr>
          <w:trHeight w:val="171"/>
        </w:trPr>
        <w:tc>
          <w:tcPr>
            <w:tcW w:w="3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Basic</w:t>
            </w:r>
          </w:p>
        </w:tc>
        <w:tc>
          <w:tcPr>
            <w:tcW w:w="14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3"/>
                <w:szCs w:val="13"/>
                <w:i w:val="1"/>
                <w:iCs w:val="1"/>
                <w:color w:val="auto"/>
              </w:rPr>
              <w:t>7</w:t>
            </w:r>
          </w:p>
        </w:tc>
        <w:tc>
          <w:tcPr>
            <w:tcW w:w="186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right w:val="single" w:sz="8" w:color="auto"/>
            </w:tcBorders>
            <w:shd w:val="clear" w:color="auto" w:fill="CCEEFF"/>
          </w:tcPr>
          <w:p>
            <w:pPr>
              <w:spacing w:after="0"/>
              <w:rPr>
                <w:sz w:val="14"/>
                <w:szCs w:val="14"/>
                <w:color w:val="auto"/>
              </w:rPr>
            </w:pPr>
          </w:p>
        </w:tc>
        <w:tc>
          <w:tcPr>
            <w:tcW w:w="16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2.60</w:t>
            </w:r>
          </w:p>
        </w:tc>
        <w:tc>
          <w:tcPr>
            <w:tcW w:w="1640" w:type="dxa"/>
            <w:vAlign w:val="bottom"/>
            <w:tcBorders>
              <w:bottom w:val="single" w:sz="8" w:color="auto"/>
              <w:right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6.27</w:t>
            </w:r>
          </w:p>
        </w:tc>
      </w:tr>
      <w:tr>
        <w:trPr>
          <w:trHeight w:val="202"/>
        </w:trPr>
        <w:tc>
          <w:tcPr>
            <w:tcW w:w="3300" w:type="dxa"/>
            <w:vAlign w:val="bottom"/>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860" w:type="dxa"/>
            <w:vAlign w:val="bottom"/>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r>
      <w:tr>
        <w:trPr>
          <w:trHeight w:val="171"/>
        </w:trPr>
        <w:tc>
          <w:tcPr>
            <w:tcW w:w="3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Diluted</w:t>
            </w:r>
          </w:p>
        </w:tc>
        <w:tc>
          <w:tcPr>
            <w:tcW w:w="14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3"/>
                <w:szCs w:val="13"/>
                <w:i w:val="1"/>
                <w:iCs w:val="1"/>
                <w:color w:val="auto"/>
              </w:rPr>
              <w:t>7</w:t>
            </w:r>
          </w:p>
        </w:tc>
        <w:tc>
          <w:tcPr>
            <w:tcW w:w="186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right w:val="single" w:sz="8" w:color="auto"/>
            </w:tcBorders>
            <w:shd w:val="clear" w:color="auto" w:fill="CCEEFF"/>
          </w:tcPr>
          <w:p>
            <w:pPr>
              <w:spacing w:after="0"/>
              <w:rPr>
                <w:sz w:val="14"/>
                <w:szCs w:val="14"/>
                <w:color w:val="auto"/>
              </w:rPr>
            </w:pPr>
          </w:p>
        </w:tc>
        <w:tc>
          <w:tcPr>
            <w:tcW w:w="16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2.57</w:t>
            </w:r>
          </w:p>
        </w:tc>
        <w:tc>
          <w:tcPr>
            <w:tcW w:w="1640" w:type="dxa"/>
            <w:vAlign w:val="bottom"/>
            <w:tcBorders>
              <w:bottom w:val="single" w:sz="8" w:color="auto"/>
              <w:right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6.22</w:t>
            </w:r>
          </w:p>
        </w:tc>
      </w:tr>
      <w:tr>
        <w:trPr>
          <w:trHeight w:val="831"/>
        </w:trPr>
        <w:tc>
          <w:tcPr>
            <w:tcW w:w="3300" w:type="dxa"/>
            <w:vAlign w:val="bottom"/>
          </w:tcPr>
          <w:p>
            <w:pPr>
              <w:spacing w:after="0"/>
              <w:rPr>
                <w:sz w:val="20"/>
                <w:szCs w:val="20"/>
                <w:color w:val="auto"/>
              </w:rPr>
            </w:pPr>
            <w:r>
              <w:rPr>
                <w:rFonts w:ascii="Arial" w:cs="Arial" w:eastAsia="Arial" w:hAnsi="Arial"/>
                <w:sz w:val="13"/>
                <w:szCs w:val="13"/>
                <w:b w:val="1"/>
                <w:bCs w:val="1"/>
                <w:color w:val="auto"/>
              </w:rPr>
              <w:t>On behalf of the Board</w:t>
            </w:r>
          </w:p>
        </w:tc>
        <w:tc>
          <w:tcPr>
            <w:tcW w:w="14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87"/>
        </w:trPr>
        <w:tc>
          <w:tcPr>
            <w:tcW w:w="3300" w:type="dxa"/>
            <w:vAlign w:val="bottom"/>
          </w:tcPr>
          <w:p>
            <w:pPr>
              <w:ind w:left="20"/>
              <w:spacing w:after="0"/>
              <w:rPr>
                <w:sz w:val="20"/>
                <w:szCs w:val="20"/>
                <w:color w:val="auto"/>
              </w:rPr>
            </w:pPr>
            <w:r>
              <w:rPr>
                <w:rFonts w:ascii="Arial" w:cs="Arial" w:eastAsia="Arial" w:hAnsi="Arial"/>
                <w:sz w:val="13"/>
                <w:szCs w:val="13"/>
                <w:color w:val="auto"/>
              </w:rPr>
              <w:t>Steve Cutler</w:t>
            </w:r>
          </w:p>
        </w:tc>
        <w:tc>
          <w:tcPr>
            <w:tcW w:w="1480" w:type="dxa"/>
            <w:vAlign w:val="bottom"/>
          </w:tcPr>
          <w:p>
            <w:pPr>
              <w:ind w:left="120"/>
              <w:spacing w:after="0"/>
              <w:rPr>
                <w:sz w:val="20"/>
                <w:szCs w:val="20"/>
                <w:color w:val="auto"/>
              </w:rPr>
            </w:pPr>
            <w:r>
              <w:rPr>
                <w:rFonts w:ascii="Arial" w:cs="Arial" w:eastAsia="Arial" w:hAnsi="Arial"/>
                <w:sz w:val="13"/>
                <w:szCs w:val="13"/>
                <w:color w:val="auto"/>
              </w:rPr>
              <w:t>Rónán Murphy</w:t>
            </w:r>
          </w:p>
        </w:tc>
        <w:tc>
          <w:tcPr>
            <w:tcW w:w="18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02"/>
        </w:trPr>
        <w:tc>
          <w:tcPr>
            <w:tcW w:w="3300" w:type="dxa"/>
            <w:vAlign w:val="bottom"/>
          </w:tcPr>
          <w:p>
            <w:pPr>
              <w:ind w:left="20"/>
              <w:spacing w:after="0"/>
              <w:rPr>
                <w:sz w:val="20"/>
                <w:szCs w:val="20"/>
                <w:color w:val="auto"/>
              </w:rPr>
            </w:pPr>
            <w:r>
              <w:rPr>
                <w:rFonts w:ascii="Arial" w:cs="Arial" w:eastAsia="Arial" w:hAnsi="Arial"/>
                <w:sz w:val="13"/>
                <w:szCs w:val="13"/>
                <w:i w:val="1"/>
                <w:iCs w:val="1"/>
                <w:color w:val="auto"/>
              </w:rPr>
              <w:t>Chief Executive Officer</w:t>
            </w:r>
          </w:p>
        </w:tc>
        <w:tc>
          <w:tcPr>
            <w:tcW w:w="1480" w:type="dxa"/>
            <w:vAlign w:val="bottom"/>
          </w:tcPr>
          <w:p>
            <w:pPr>
              <w:ind w:left="120"/>
              <w:spacing w:after="0"/>
              <w:rPr>
                <w:sz w:val="20"/>
                <w:szCs w:val="20"/>
                <w:color w:val="auto"/>
              </w:rPr>
            </w:pPr>
            <w:r>
              <w:rPr>
                <w:rFonts w:ascii="Arial" w:cs="Arial" w:eastAsia="Arial" w:hAnsi="Arial"/>
                <w:sz w:val="13"/>
                <w:szCs w:val="13"/>
                <w:i w:val="1"/>
                <w:iCs w:val="1"/>
                <w:color w:val="auto"/>
              </w:rPr>
              <w:t>Director</w:t>
            </w:r>
          </w:p>
        </w:tc>
        <w:tc>
          <w:tcPr>
            <w:tcW w:w="18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40" w:type="dxa"/>
            <w:vAlign w:val="bottom"/>
          </w:tcPr>
          <w:p>
            <w:pPr>
              <w:spacing w:after="0"/>
              <w:rPr>
                <w:sz w:val="17"/>
                <w:szCs w:val="17"/>
                <w:color w:val="auto"/>
              </w:rPr>
            </w:pPr>
          </w:p>
        </w:tc>
      </w:tr>
    </w:tbl>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280"/>
          </w:cols>
          <w:pgMar w:left="300" w:top="698" w:right="31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Consolidated Statement of Comprehensive Income</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60" w:type="dxa"/>
            <w:vAlign w:val="bottom"/>
            <w:shd w:val="clear" w:color="auto" w:fill="CCEEFF"/>
          </w:tcPr>
          <w:p>
            <w:pPr>
              <w:spacing w:after="0"/>
              <w:rPr>
                <w:sz w:val="13"/>
                <w:szCs w:val="13"/>
                <w:color w:val="auto"/>
              </w:rPr>
            </w:pPr>
          </w:p>
        </w:tc>
        <w:tc>
          <w:tcPr>
            <w:tcW w:w="426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ind w:right="296"/>
              <w:spacing w:after="0"/>
              <w:rPr>
                <w:sz w:val="20"/>
                <w:szCs w:val="20"/>
                <w:color w:val="auto"/>
              </w:rPr>
            </w:pPr>
            <w:r>
              <w:rPr>
                <w:rFonts w:ascii="Arial" w:cs="Arial" w:eastAsia="Arial" w:hAnsi="Arial"/>
                <w:sz w:val="13"/>
                <w:szCs w:val="13"/>
                <w:b w:val="1"/>
                <w:bCs w:val="1"/>
                <w:i w:val="1"/>
                <w:iCs w:val="1"/>
                <w:color w:val="auto"/>
              </w:rPr>
              <w:t>Note</w:t>
            </w:r>
          </w:p>
        </w:tc>
        <w:tc>
          <w:tcPr>
            <w:tcW w:w="150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c>
          <w:tcPr>
            <w:tcW w:w="0" w:type="dxa"/>
            <w:vAlign w:val="bottom"/>
          </w:tcPr>
          <w:p>
            <w:pPr>
              <w:spacing w:after="0"/>
              <w:rPr>
                <w:sz w:val="1"/>
                <w:szCs w:val="1"/>
                <w:color w:val="auto"/>
              </w:rPr>
            </w:pPr>
          </w:p>
        </w:tc>
      </w:tr>
      <w:tr>
        <w:trPr>
          <w:trHeight w:val="170"/>
        </w:trPr>
        <w:tc>
          <w:tcPr>
            <w:tcW w:w="3360" w:type="dxa"/>
            <w:vAlign w:val="bottom"/>
            <w:shd w:val="clear" w:color="auto" w:fill="CCEEFF"/>
          </w:tcPr>
          <w:p>
            <w:pPr>
              <w:spacing w:after="0"/>
              <w:rPr>
                <w:sz w:val="14"/>
                <w:szCs w:val="14"/>
                <w:color w:val="auto"/>
              </w:rPr>
            </w:pPr>
          </w:p>
        </w:tc>
        <w:tc>
          <w:tcPr>
            <w:tcW w:w="4260" w:type="dxa"/>
            <w:vAlign w:val="bottom"/>
            <w:shd w:val="clear" w:color="auto" w:fill="CCEEFF"/>
          </w:tcPr>
          <w:p>
            <w:pPr>
              <w:spacing w:after="0"/>
              <w:rPr>
                <w:sz w:val="14"/>
                <w:szCs w:val="14"/>
                <w:color w:val="auto"/>
              </w:rPr>
            </w:pPr>
          </w:p>
        </w:tc>
        <w:tc>
          <w:tcPr>
            <w:tcW w:w="1020" w:type="dxa"/>
            <w:vAlign w:val="bottom"/>
            <w:tcBorders>
              <w:bottom w:val="single" w:sz="8" w:color="auto"/>
            </w:tcBorders>
            <w:vMerge w:val="continue"/>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2021</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2020</w:t>
            </w:r>
          </w:p>
        </w:tc>
        <w:tc>
          <w:tcPr>
            <w:tcW w:w="0" w:type="dxa"/>
            <w:vAlign w:val="bottom"/>
          </w:tcPr>
          <w:p>
            <w:pPr>
              <w:spacing w:after="0"/>
              <w:rPr>
                <w:sz w:val="1"/>
                <w:szCs w:val="1"/>
                <w:color w:val="auto"/>
              </w:rPr>
            </w:pPr>
          </w:p>
        </w:tc>
      </w:tr>
      <w:tr>
        <w:trPr>
          <w:trHeight w:val="160"/>
        </w:trPr>
        <w:tc>
          <w:tcPr>
            <w:tcW w:w="3360" w:type="dxa"/>
            <w:vAlign w:val="bottom"/>
            <w:tcBorders>
              <w:bottom w:val="single" w:sz="8" w:color="auto"/>
            </w:tcBorders>
          </w:tcPr>
          <w:p>
            <w:pPr>
              <w:spacing w:after="0"/>
              <w:rPr>
                <w:sz w:val="13"/>
                <w:szCs w:val="13"/>
                <w:color w:val="auto"/>
              </w:rPr>
            </w:pPr>
          </w:p>
        </w:tc>
        <w:tc>
          <w:tcPr>
            <w:tcW w:w="4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$’000</w:t>
            </w:r>
          </w:p>
        </w:tc>
        <w:tc>
          <w:tcPr>
            <w:tcW w:w="0" w:type="dxa"/>
            <w:vAlign w:val="bottom"/>
          </w:tcPr>
          <w:p>
            <w:pPr>
              <w:spacing w:after="0"/>
              <w:rPr>
                <w:sz w:val="1"/>
                <w:szCs w:val="1"/>
                <w:color w:val="auto"/>
              </w:rPr>
            </w:pPr>
          </w:p>
        </w:tc>
      </w:tr>
      <w:tr>
        <w:trPr>
          <w:trHeight w:val="160"/>
        </w:trPr>
        <w:tc>
          <w:tcPr>
            <w:tcW w:w="33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Other Comprehensive Income/ (Loss)</w:t>
            </w:r>
          </w:p>
        </w:tc>
        <w:tc>
          <w:tcPr>
            <w:tcW w:w="42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36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33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Items that will not be reclassified to profit or loss:</w:t>
            </w:r>
          </w:p>
        </w:tc>
        <w:tc>
          <w:tcPr>
            <w:tcW w:w="42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Re-measurement of defined benefit liability</w:t>
            </w:r>
          </w:p>
        </w:tc>
        <w:tc>
          <w:tcPr>
            <w:tcW w:w="5280" w:type="dxa"/>
            <w:vAlign w:val="bottom"/>
            <w:tcBorders>
              <w:bottom w:val="single" w:sz="8" w:color="auto"/>
            </w:tcBorders>
            <w:gridSpan w:val="2"/>
          </w:tcPr>
          <w:p>
            <w:pPr>
              <w:jc w:val="right"/>
              <w:ind w:right="296"/>
              <w:spacing w:after="0"/>
              <w:rPr>
                <w:sz w:val="20"/>
                <w:szCs w:val="20"/>
                <w:color w:val="auto"/>
              </w:rPr>
            </w:pPr>
            <w:r>
              <w:rPr>
                <w:rFonts w:ascii="Arial" w:cs="Arial" w:eastAsia="Arial" w:hAnsi="Arial"/>
                <w:sz w:val="13"/>
                <w:szCs w:val="13"/>
                <w:i w:val="1"/>
                <w:iCs w:val="1"/>
                <w:color w:val="auto"/>
              </w:rPr>
              <w:t>10</w:t>
            </w:r>
          </w:p>
        </w:tc>
        <w:tc>
          <w:tcPr>
            <w:tcW w:w="150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4,175</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(3,730)</w:t>
            </w:r>
          </w:p>
        </w:tc>
        <w:tc>
          <w:tcPr>
            <w:tcW w:w="0" w:type="dxa"/>
            <w:vAlign w:val="bottom"/>
          </w:tcPr>
          <w:p>
            <w:pPr>
              <w:spacing w:after="0"/>
              <w:rPr>
                <w:sz w:val="1"/>
                <w:szCs w:val="1"/>
                <w:color w:val="auto"/>
              </w:rPr>
            </w:pPr>
          </w:p>
        </w:tc>
      </w:tr>
      <w:tr>
        <w:trPr>
          <w:trHeight w:val="182"/>
        </w:trPr>
        <w:tc>
          <w:tcPr>
            <w:tcW w:w="3360" w:type="dxa"/>
            <w:vAlign w:val="bottom"/>
            <w:shd w:val="clear" w:color="auto" w:fill="CCEEFF"/>
          </w:tcPr>
          <w:p>
            <w:pPr>
              <w:spacing w:after="0"/>
              <w:rPr>
                <w:sz w:val="15"/>
                <w:szCs w:val="15"/>
                <w:color w:val="auto"/>
              </w:rPr>
            </w:pPr>
          </w:p>
        </w:tc>
        <w:tc>
          <w:tcPr>
            <w:tcW w:w="4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8"/>
              </w:rPr>
              <w:t>Total items that will not be reclassified to profit or loss</w:t>
            </w:r>
          </w:p>
        </w:tc>
        <w:tc>
          <w:tcPr>
            <w:tcW w:w="4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4,175</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(3,730)</w:t>
            </w:r>
          </w:p>
        </w:tc>
        <w:tc>
          <w:tcPr>
            <w:tcW w:w="0" w:type="dxa"/>
            <w:vAlign w:val="bottom"/>
          </w:tcPr>
          <w:p>
            <w:pPr>
              <w:spacing w:after="0"/>
              <w:rPr>
                <w:sz w:val="1"/>
                <w:szCs w:val="1"/>
                <w:color w:val="auto"/>
              </w:rPr>
            </w:pPr>
          </w:p>
        </w:tc>
      </w:tr>
      <w:tr>
        <w:trPr>
          <w:trHeight w:val="182"/>
        </w:trPr>
        <w:tc>
          <w:tcPr>
            <w:tcW w:w="3360" w:type="dxa"/>
            <w:vAlign w:val="bottom"/>
            <w:shd w:val="clear" w:color="auto" w:fill="CCEEFF"/>
          </w:tcPr>
          <w:p>
            <w:pPr>
              <w:spacing w:after="0"/>
              <w:rPr>
                <w:sz w:val="15"/>
                <w:szCs w:val="15"/>
                <w:color w:val="auto"/>
              </w:rPr>
            </w:pPr>
          </w:p>
        </w:tc>
        <w:tc>
          <w:tcPr>
            <w:tcW w:w="4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8640" w:type="dxa"/>
            <w:vAlign w:val="bottom"/>
            <w:gridSpan w:val="3"/>
          </w:tcPr>
          <w:p>
            <w:pPr>
              <w:ind w:left="20"/>
              <w:spacing w:after="0"/>
              <w:rPr>
                <w:sz w:val="20"/>
                <w:szCs w:val="20"/>
                <w:color w:val="auto"/>
              </w:rPr>
            </w:pPr>
            <w:r>
              <w:rPr>
                <w:rFonts w:ascii="Arial" w:cs="Arial" w:eastAsia="Arial" w:hAnsi="Arial"/>
                <w:sz w:val="13"/>
                <w:szCs w:val="13"/>
                <w:b w:val="1"/>
                <w:bCs w:val="1"/>
                <w:color w:val="auto"/>
              </w:rPr>
              <w:t>Items that are or may be reclassified subsequently to profit or loss, net of tax:</w:t>
            </w:r>
          </w:p>
        </w:tc>
        <w:tc>
          <w:tcPr>
            <w:tcW w:w="1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Currency translation differences</w:t>
            </w:r>
          </w:p>
        </w:tc>
        <w:tc>
          <w:tcPr>
            <w:tcW w:w="5280" w:type="dxa"/>
            <w:vAlign w:val="bottom"/>
            <w:gridSpan w:val="2"/>
            <w:shd w:val="clear" w:color="auto" w:fill="CCEEFF"/>
          </w:tcPr>
          <w:p>
            <w:pPr>
              <w:jc w:val="right"/>
              <w:ind w:right="296"/>
              <w:spacing w:after="0"/>
              <w:rPr>
                <w:sz w:val="20"/>
                <w:szCs w:val="20"/>
                <w:color w:val="auto"/>
              </w:rPr>
            </w:pPr>
            <w:r>
              <w:rPr>
                <w:rFonts w:ascii="Arial" w:cs="Arial" w:eastAsia="Arial" w:hAnsi="Arial"/>
                <w:sz w:val="13"/>
                <w:szCs w:val="13"/>
                <w:i w:val="1"/>
                <w:iCs w:val="1"/>
                <w:color w:val="auto"/>
              </w:rPr>
              <w:t>25</w:t>
            </w:r>
          </w:p>
        </w:tc>
        <w:tc>
          <w:tcPr>
            <w:tcW w:w="150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(61,130)</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48,129</w:t>
            </w:r>
          </w:p>
        </w:tc>
        <w:tc>
          <w:tcPr>
            <w:tcW w:w="0" w:type="dxa"/>
            <w:vAlign w:val="bottom"/>
          </w:tcPr>
          <w:p>
            <w:pPr>
              <w:spacing w:after="0"/>
              <w:rPr>
                <w:sz w:val="1"/>
                <w:szCs w:val="1"/>
                <w:color w:val="auto"/>
              </w:rPr>
            </w:pPr>
          </w:p>
        </w:tc>
      </w:tr>
      <w:tr>
        <w:trPr>
          <w:trHeight w:val="170"/>
        </w:trPr>
        <w:tc>
          <w:tcPr>
            <w:tcW w:w="3360" w:type="dxa"/>
            <w:vAlign w:val="bottom"/>
          </w:tcPr>
          <w:p>
            <w:pPr>
              <w:ind w:left="20"/>
              <w:spacing w:after="0"/>
              <w:rPr>
                <w:sz w:val="20"/>
                <w:szCs w:val="20"/>
                <w:color w:val="auto"/>
              </w:rPr>
            </w:pPr>
            <w:r>
              <w:rPr>
                <w:rFonts w:ascii="Arial" w:cs="Arial" w:eastAsia="Arial" w:hAnsi="Arial"/>
                <w:sz w:val="13"/>
                <w:szCs w:val="13"/>
                <w:color w:val="auto"/>
              </w:rPr>
              <w:t>Currency impact on long-term funding</w:t>
            </w:r>
          </w:p>
        </w:tc>
        <w:tc>
          <w:tcPr>
            <w:tcW w:w="5280" w:type="dxa"/>
            <w:vAlign w:val="bottom"/>
            <w:gridSpan w:val="2"/>
          </w:tcPr>
          <w:p>
            <w:pPr>
              <w:jc w:val="right"/>
              <w:ind w:right="296"/>
              <w:spacing w:after="0"/>
              <w:rPr>
                <w:sz w:val="20"/>
                <w:szCs w:val="20"/>
                <w:color w:val="auto"/>
              </w:rPr>
            </w:pPr>
            <w:r>
              <w:rPr>
                <w:rFonts w:ascii="Arial" w:cs="Arial" w:eastAsia="Arial" w:hAnsi="Arial"/>
                <w:sz w:val="13"/>
                <w:szCs w:val="13"/>
                <w:i w:val="1"/>
                <w:iCs w:val="1"/>
                <w:color w:val="auto"/>
              </w:rPr>
              <w:t>25</w:t>
            </w:r>
          </w:p>
        </w:tc>
        <w:tc>
          <w:tcPr>
            <w:tcW w:w="1500" w:type="dxa"/>
            <w:vAlign w:val="bottom"/>
          </w:tcPr>
          <w:p>
            <w:pPr>
              <w:jc w:val="right"/>
              <w:ind w:right="316"/>
              <w:spacing w:after="0"/>
              <w:rPr>
                <w:sz w:val="20"/>
                <w:szCs w:val="20"/>
                <w:color w:val="auto"/>
              </w:rPr>
            </w:pPr>
            <w:r>
              <w:rPr>
                <w:rFonts w:ascii="Arial" w:cs="Arial" w:eastAsia="Arial" w:hAnsi="Arial"/>
                <w:sz w:val="13"/>
                <w:szCs w:val="13"/>
                <w:b w:val="1"/>
                <w:bCs w:val="1"/>
                <w:color w:val="auto"/>
              </w:rPr>
              <w:t>(525)</w:t>
            </w:r>
          </w:p>
        </w:tc>
        <w:tc>
          <w:tcPr>
            <w:tcW w:w="1140" w:type="dxa"/>
            <w:vAlign w:val="bottom"/>
          </w:tcPr>
          <w:p>
            <w:pPr>
              <w:jc w:val="right"/>
              <w:spacing w:after="0"/>
              <w:rPr>
                <w:sz w:val="20"/>
                <w:szCs w:val="20"/>
                <w:color w:val="auto"/>
              </w:rPr>
            </w:pPr>
            <w:r>
              <w:rPr>
                <w:rFonts w:ascii="Arial" w:cs="Arial" w:eastAsia="Arial" w:hAnsi="Arial"/>
                <w:sz w:val="13"/>
                <w:szCs w:val="13"/>
                <w:color w:val="auto"/>
              </w:rPr>
              <w:t>(1,603)</w:t>
            </w:r>
          </w:p>
        </w:tc>
        <w:tc>
          <w:tcPr>
            <w:tcW w:w="0" w:type="dxa"/>
            <w:vAlign w:val="bottom"/>
          </w:tcPr>
          <w:p>
            <w:pPr>
              <w:spacing w:after="0"/>
              <w:rPr>
                <w:sz w:val="1"/>
                <w:szCs w:val="1"/>
                <w:color w:val="auto"/>
              </w:rPr>
            </w:pPr>
          </w:p>
        </w:tc>
      </w:tr>
      <w:tr>
        <w:trPr>
          <w:trHeight w:val="170"/>
        </w:trPr>
        <w:tc>
          <w:tcPr>
            <w:tcW w:w="3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Unrealised capital loss on investments</w:t>
            </w:r>
          </w:p>
        </w:tc>
        <w:tc>
          <w:tcPr>
            <w:tcW w:w="5280" w:type="dxa"/>
            <w:vAlign w:val="bottom"/>
            <w:gridSpan w:val="2"/>
            <w:shd w:val="clear" w:color="auto" w:fill="CCEEFF"/>
          </w:tcPr>
          <w:p>
            <w:pPr>
              <w:jc w:val="right"/>
              <w:ind w:right="296"/>
              <w:spacing w:after="0"/>
              <w:rPr>
                <w:sz w:val="20"/>
                <w:szCs w:val="20"/>
                <w:color w:val="auto"/>
              </w:rPr>
            </w:pPr>
            <w:r>
              <w:rPr>
                <w:rFonts w:ascii="Arial" w:cs="Arial" w:eastAsia="Arial" w:hAnsi="Arial"/>
                <w:sz w:val="13"/>
                <w:szCs w:val="13"/>
                <w:i w:val="1"/>
                <w:iCs w:val="1"/>
                <w:color w:val="auto"/>
              </w:rPr>
              <w:t>25</w:t>
            </w:r>
          </w:p>
        </w:tc>
        <w:tc>
          <w:tcPr>
            <w:tcW w:w="15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w:t>
            </w:r>
          </w:p>
        </w:tc>
        <w:tc>
          <w:tcPr>
            <w:tcW w:w="0" w:type="dxa"/>
            <w:vAlign w:val="bottom"/>
          </w:tcPr>
          <w:p>
            <w:pPr>
              <w:spacing w:after="0"/>
              <w:rPr>
                <w:sz w:val="1"/>
                <w:szCs w:val="1"/>
                <w:color w:val="auto"/>
              </w:rPr>
            </w:pPr>
          </w:p>
        </w:tc>
      </w:tr>
      <w:tr>
        <w:trPr>
          <w:trHeight w:val="170"/>
        </w:trPr>
        <w:tc>
          <w:tcPr>
            <w:tcW w:w="3360" w:type="dxa"/>
            <w:vAlign w:val="bottom"/>
          </w:tcPr>
          <w:p>
            <w:pPr>
              <w:ind w:left="20"/>
              <w:spacing w:after="0"/>
              <w:rPr>
                <w:sz w:val="20"/>
                <w:szCs w:val="20"/>
                <w:color w:val="auto"/>
              </w:rPr>
            </w:pPr>
            <w:r>
              <w:rPr>
                <w:rFonts w:ascii="Arial" w:cs="Arial" w:eastAsia="Arial" w:hAnsi="Arial"/>
                <w:sz w:val="13"/>
                <w:szCs w:val="13"/>
                <w:color w:val="auto"/>
              </w:rPr>
              <w:t>Amortisation of interest rate hedge</w:t>
            </w:r>
          </w:p>
        </w:tc>
        <w:tc>
          <w:tcPr>
            <w:tcW w:w="5280" w:type="dxa"/>
            <w:vAlign w:val="bottom"/>
            <w:gridSpan w:val="2"/>
          </w:tcPr>
          <w:p>
            <w:pPr>
              <w:jc w:val="right"/>
              <w:ind w:right="296"/>
              <w:spacing w:after="0"/>
              <w:rPr>
                <w:sz w:val="20"/>
                <w:szCs w:val="20"/>
                <w:color w:val="auto"/>
              </w:rPr>
            </w:pPr>
            <w:r>
              <w:rPr>
                <w:rFonts w:ascii="Arial" w:cs="Arial" w:eastAsia="Arial" w:hAnsi="Arial"/>
                <w:sz w:val="13"/>
                <w:szCs w:val="13"/>
                <w:i w:val="1"/>
                <w:iCs w:val="1"/>
                <w:color w:val="auto"/>
              </w:rPr>
              <w:t>25</w:t>
            </w:r>
          </w:p>
        </w:tc>
        <w:tc>
          <w:tcPr>
            <w:tcW w:w="1500" w:type="dxa"/>
            <w:vAlign w:val="bottom"/>
          </w:tcPr>
          <w:p>
            <w:pPr>
              <w:jc w:val="right"/>
              <w:ind w:right="336"/>
              <w:spacing w:after="0"/>
              <w:rPr>
                <w:sz w:val="20"/>
                <w:szCs w:val="20"/>
                <w:color w:val="auto"/>
              </w:rPr>
            </w:pPr>
            <w:r>
              <w:rPr>
                <w:rFonts w:ascii="Arial" w:cs="Arial" w:eastAsia="Arial" w:hAnsi="Arial"/>
                <w:sz w:val="13"/>
                <w:szCs w:val="13"/>
                <w:b w:val="1"/>
                <w:bCs w:val="1"/>
                <w:color w:val="auto"/>
              </w:rPr>
              <w:t>113</w:t>
            </w:r>
          </w:p>
        </w:tc>
        <w:tc>
          <w:tcPr>
            <w:tcW w:w="1140" w:type="dxa"/>
            <w:vAlign w:val="bottom"/>
          </w:tcPr>
          <w:p>
            <w:pPr>
              <w:jc w:val="right"/>
              <w:spacing w:after="0"/>
              <w:rPr>
                <w:sz w:val="20"/>
                <w:szCs w:val="20"/>
                <w:color w:val="auto"/>
              </w:rPr>
            </w:pPr>
            <w:r>
              <w:rPr>
                <w:rFonts w:ascii="Arial" w:cs="Arial" w:eastAsia="Arial" w:hAnsi="Arial"/>
                <w:sz w:val="13"/>
                <w:szCs w:val="13"/>
                <w:color w:val="auto"/>
              </w:rPr>
              <w:t>(910)</w:t>
            </w:r>
          </w:p>
        </w:tc>
        <w:tc>
          <w:tcPr>
            <w:tcW w:w="0" w:type="dxa"/>
            <w:vAlign w:val="bottom"/>
          </w:tcPr>
          <w:p>
            <w:pPr>
              <w:spacing w:after="0"/>
              <w:rPr>
                <w:sz w:val="1"/>
                <w:szCs w:val="1"/>
                <w:color w:val="auto"/>
              </w:rPr>
            </w:pPr>
          </w:p>
        </w:tc>
      </w:tr>
      <w:tr>
        <w:trPr>
          <w:trHeight w:val="170"/>
        </w:trPr>
        <w:tc>
          <w:tcPr>
            <w:tcW w:w="3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Settlement of interest rate hedge *</w:t>
            </w:r>
          </w:p>
        </w:tc>
        <w:tc>
          <w:tcPr>
            <w:tcW w:w="5280" w:type="dxa"/>
            <w:vAlign w:val="bottom"/>
            <w:tcBorders>
              <w:bottom w:val="single" w:sz="8" w:color="auto"/>
            </w:tcBorders>
            <w:gridSpan w:val="2"/>
            <w:shd w:val="clear" w:color="auto" w:fill="CCEEFF"/>
          </w:tcPr>
          <w:p>
            <w:pPr>
              <w:jc w:val="right"/>
              <w:ind w:right="296"/>
              <w:spacing w:after="0"/>
              <w:rPr>
                <w:sz w:val="20"/>
                <w:szCs w:val="20"/>
                <w:color w:val="auto"/>
              </w:rPr>
            </w:pPr>
            <w:r>
              <w:rPr>
                <w:rFonts w:ascii="Arial" w:cs="Arial" w:eastAsia="Arial" w:hAnsi="Arial"/>
                <w:sz w:val="13"/>
                <w:szCs w:val="13"/>
                <w:i w:val="1"/>
                <w:iCs w:val="1"/>
                <w:color w:val="auto"/>
              </w:rPr>
              <w:t>25</w:t>
            </w:r>
          </w:p>
        </w:tc>
        <w:tc>
          <w:tcPr>
            <w:tcW w:w="150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778</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(905)</w:t>
            </w:r>
          </w:p>
        </w:tc>
        <w:tc>
          <w:tcPr>
            <w:tcW w:w="0" w:type="dxa"/>
            <w:vAlign w:val="bottom"/>
          </w:tcPr>
          <w:p>
            <w:pPr>
              <w:spacing w:after="0"/>
              <w:rPr>
                <w:sz w:val="1"/>
                <w:szCs w:val="1"/>
                <w:color w:val="auto"/>
              </w:rPr>
            </w:pPr>
          </w:p>
        </w:tc>
      </w:tr>
      <w:tr>
        <w:trPr>
          <w:trHeight w:val="159"/>
        </w:trPr>
        <w:tc>
          <w:tcPr>
            <w:tcW w:w="3360" w:type="dxa"/>
            <w:vAlign w:val="bottom"/>
          </w:tcPr>
          <w:p>
            <w:pPr>
              <w:ind w:left="20"/>
              <w:spacing w:after="0"/>
              <w:rPr>
                <w:sz w:val="20"/>
                <w:szCs w:val="20"/>
                <w:color w:val="auto"/>
              </w:rPr>
            </w:pPr>
            <w:r>
              <w:rPr>
                <w:rFonts w:ascii="Arial" w:cs="Arial" w:eastAsia="Arial" w:hAnsi="Arial"/>
                <w:sz w:val="13"/>
                <w:szCs w:val="13"/>
                <w:i w:val="1"/>
                <w:iCs w:val="1"/>
                <w:color w:val="auto"/>
              </w:rPr>
              <w:t>* recycled through profit and loss in 2021</w:t>
            </w:r>
          </w:p>
        </w:tc>
        <w:tc>
          <w:tcPr>
            <w:tcW w:w="4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8640" w:type="dxa"/>
            <w:vAlign w:val="bottom"/>
            <w:tcBorders>
              <w:bottom w:val="single" w:sz="8" w:color="auto"/>
            </w:tcBorders>
            <w:gridSpan w:val="3"/>
            <w:shd w:val="clear" w:color="auto" w:fill="CCEEFF"/>
          </w:tcPr>
          <w:p>
            <w:pPr>
              <w:ind w:left="20"/>
              <w:spacing w:after="0"/>
              <w:rPr>
                <w:sz w:val="20"/>
                <w:szCs w:val="20"/>
                <w:color w:val="auto"/>
              </w:rPr>
            </w:pPr>
            <w:r>
              <w:rPr>
                <w:rFonts w:ascii="Arial" w:cs="Arial" w:eastAsia="Arial" w:hAnsi="Arial"/>
                <w:sz w:val="13"/>
                <w:szCs w:val="13"/>
                <w:b w:val="1"/>
                <w:bCs w:val="1"/>
                <w:color w:val="auto"/>
              </w:rPr>
              <w:t>Total items that are or may be reclassified to profit or loss</w:t>
            </w:r>
          </w:p>
        </w:tc>
        <w:tc>
          <w:tcPr>
            <w:tcW w:w="150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(60,764)</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44,480</w:t>
            </w:r>
          </w:p>
        </w:tc>
        <w:tc>
          <w:tcPr>
            <w:tcW w:w="0" w:type="dxa"/>
            <w:vAlign w:val="bottom"/>
          </w:tcPr>
          <w:p>
            <w:pPr>
              <w:spacing w:after="0"/>
              <w:rPr>
                <w:sz w:val="1"/>
                <w:szCs w:val="1"/>
                <w:color w:val="auto"/>
              </w:rPr>
            </w:pPr>
          </w:p>
        </w:tc>
      </w:tr>
      <w:tr>
        <w:trPr>
          <w:trHeight w:val="182"/>
        </w:trPr>
        <w:tc>
          <w:tcPr>
            <w:tcW w:w="336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 loss for the year, net of tax</w:t>
            </w:r>
          </w:p>
        </w:tc>
        <w:tc>
          <w:tcPr>
            <w:tcW w:w="42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(56,589)</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40,750</w:t>
            </w:r>
          </w:p>
        </w:tc>
        <w:tc>
          <w:tcPr>
            <w:tcW w:w="0" w:type="dxa"/>
            <w:vAlign w:val="bottom"/>
          </w:tcPr>
          <w:p>
            <w:pPr>
              <w:spacing w:after="0"/>
              <w:rPr>
                <w:sz w:val="1"/>
                <w:szCs w:val="1"/>
                <w:color w:val="auto"/>
              </w:rPr>
            </w:pPr>
          </w:p>
        </w:tc>
      </w:tr>
      <w:tr>
        <w:trPr>
          <w:trHeight w:val="170"/>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Profit for the financial year</w:t>
            </w:r>
          </w:p>
        </w:tc>
        <w:tc>
          <w:tcPr>
            <w:tcW w:w="4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174,452</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331,425</w:t>
            </w:r>
          </w:p>
        </w:tc>
        <w:tc>
          <w:tcPr>
            <w:tcW w:w="0" w:type="dxa"/>
            <w:vAlign w:val="bottom"/>
          </w:tcPr>
          <w:p>
            <w:pPr>
              <w:spacing w:after="0"/>
              <w:rPr>
                <w:sz w:val="1"/>
                <w:szCs w:val="1"/>
                <w:color w:val="auto"/>
              </w:rPr>
            </w:pPr>
          </w:p>
        </w:tc>
      </w:tr>
      <w:tr>
        <w:trPr>
          <w:trHeight w:val="182"/>
        </w:trPr>
        <w:tc>
          <w:tcPr>
            <w:tcW w:w="3360" w:type="dxa"/>
            <w:vAlign w:val="bottom"/>
            <w:shd w:val="clear" w:color="auto" w:fill="CCEEFF"/>
          </w:tcPr>
          <w:p>
            <w:pPr>
              <w:spacing w:after="0"/>
              <w:rPr>
                <w:sz w:val="15"/>
                <w:szCs w:val="15"/>
                <w:color w:val="auto"/>
              </w:rPr>
            </w:pPr>
          </w:p>
        </w:tc>
        <w:tc>
          <w:tcPr>
            <w:tcW w:w="4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 comprehensive income for the financial year</w:t>
            </w:r>
          </w:p>
        </w:tc>
        <w:tc>
          <w:tcPr>
            <w:tcW w:w="4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117,863</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372,175</w:t>
            </w:r>
          </w:p>
        </w:tc>
        <w:tc>
          <w:tcPr>
            <w:tcW w:w="0" w:type="dxa"/>
            <w:vAlign w:val="bottom"/>
          </w:tcPr>
          <w:p>
            <w:pPr>
              <w:spacing w:after="0"/>
              <w:rPr>
                <w:sz w:val="1"/>
                <w:szCs w:val="1"/>
                <w:color w:val="auto"/>
              </w:rPr>
            </w:pPr>
          </w:p>
        </w:tc>
      </w:tr>
      <w:tr>
        <w:trPr>
          <w:trHeight w:val="191"/>
        </w:trPr>
        <w:tc>
          <w:tcPr>
            <w:tcW w:w="3360" w:type="dxa"/>
            <w:vAlign w:val="bottom"/>
            <w:shd w:val="clear" w:color="auto" w:fill="CCEEFF"/>
          </w:tcPr>
          <w:p>
            <w:pPr>
              <w:spacing w:after="0"/>
              <w:rPr>
                <w:sz w:val="16"/>
                <w:szCs w:val="16"/>
                <w:color w:val="auto"/>
              </w:rPr>
            </w:pPr>
          </w:p>
        </w:tc>
        <w:tc>
          <w:tcPr>
            <w:tcW w:w="42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360" w:type="dxa"/>
            <w:vAlign w:val="bottom"/>
          </w:tcPr>
          <w:p>
            <w:pPr>
              <w:ind w:left="20"/>
              <w:spacing w:after="0"/>
              <w:rPr>
                <w:sz w:val="20"/>
                <w:szCs w:val="20"/>
                <w:color w:val="auto"/>
              </w:rPr>
            </w:pPr>
            <w:r>
              <w:rPr>
                <w:rFonts w:ascii="Arial" w:cs="Arial" w:eastAsia="Arial" w:hAnsi="Arial"/>
                <w:sz w:val="13"/>
                <w:szCs w:val="13"/>
                <w:b w:val="1"/>
                <w:bCs w:val="1"/>
                <w:color w:val="auto"/>
              </w:rPr>
              <w:t>Attributable to:</w:t>
            </w:r>
          </w:p>
        </w:tc>
        <w:tc>
          <w:tcPr>
            <w:tcW w:w="4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Equity holders of the Company</w:t>
            </w:r>
          </w:p>
        </w:tc>
        <w:tc>
          <w:tcPr>
            <w:tcW w:w="42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117,863</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371,542</w:t>
            </w:r>
          </w:p>
        </w:tc>
        <w:tc>
          <w:tcPr>
            <w:tcW w:w="0" w:type="dxa"/>
            <w:vAlign w:val="bottom"/>
          </w:tcPr>
          <w:p>
            <w:pPr>
              <w:spacing w:after="0"/>
              <w:rPr>
                <w:sz w:val="1"/>
                <w:szCs w:val="1"/>
                <w:color w:val="auto"/>
              </w:rPr>
            </w:pPr>
          </w:p>
        </w:tc>
      </w:tr>
      <w:tr>
        <w:trPr>
          <w:trHeight w:val="171"/>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Noncontrolling interest</w:t>
            </w:r>
          </w:p>
        </w:tc>
        <w:tc>
          <w:tcPr>
            <w:tcW w:w="4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633</w:t>
            </w:r>
          </w:p>
        </w:tc>
        <w:tc>
          <w:tcPr>
            <w:tcW w:w="0" w:type="dxa"/>
            <w:vAlign w:val="bottom"/>
          </w:tcPr>
          <w:p>
            <w:pPr>
              <w:spacing w:after="0"/>
              <w:rPr>
                <w:sz w:val="1"/>
                <w:szCs w:val="1"/>
                <w:color w:val="auto"/>
              </w:rPr>
            </w:pPr>
          </w:p>
        </w:tc>
      </w:tr>
      <w:tr>
        <w:trPr>
          <w:trHeight w:val="191"/>
        </w:trPr>
        <w:tc>
          <w:tcPr>
            <w:tcW w:w="3360" w:type="dxa"/>
            <w:vAlign w:val="bottom"/>
            <w:shd w:val="clear" w:color="auto" w:fill="CCEEFF"/>
          </w:tcPr>
          <w:p>
            <w:pPr>
              <w:spacing w:after="0"/>
              <w:rPr>
                <w:sz w:val="16"/>
                <w:szCs w:val="16"/>
                <w:color w:val="auto"/>
              </w:rPr>
            </w:pPr>
          </w:p>
        </w:tc>
        <w:tc>
          <w:tcPr>
            <w:tcW w:w="42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comprehensive income for the financial year</w:t>
            </w:r>
          </w:p>
        </w:tc>
        <w:tc>
          <w:tcPr>
            <w:tcW w:w="4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117,863</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372,175</w:t>
            </w:r>
          </w:p>
        </w:tc>
        <w:tc>
          <w:tcPr>
            <w:tcW w:w="0" w:type="dxa"/>
            <w:vAlign w:val="bottom"/>
          </w:tcPr>
          <w:p>
            <w:pPr>
              <w:spacing w:after="0"/>
              <w:rPr>
                <w:sz w:val="1"/>
                <w:szCs w:val="1"/>
                <w:color w:val="auto"/>
              </w:rPr>
            </w:pPr>
          </w:p>
        </w:tc>
      </w:tr>
      <w:tr>
        <w:trPr>
          <w:trHeight w:val="417"/>
        </w:trPr>
        <w:tc>
          <w:tcPr>
            <w:tcW w:w="3360" w:type="dxa"/>
            <w:vAlign w:val="bottom"/>
          </w:tcPr>
          <w:p>
            <w:pPr>
              <w:spacing w:after="0"/>
              <w:rPr>
                <w:sz w:val="20"/>
                <w:szCs w:val="20"/>
                <w:color w:val="auto"/>
              </w:rPr>
            </w:pPr>
            <w:r>
              <w:rPr>
                <w:rFonts w:ascii="Arial" w:cs="Arial" w:eastAsia="Arial" w:hAnsi="Arial"/>
                <w:sz w:val="13"/>
                <w:szCs w:val="13"/>
                <w:b w:val="1"/>
                <w:bCs w:val="1"/>
                <w:color w:val="auto"/>
              </w:rPr>
              <w:t>On behalf of the Board</w:t>
            </w:r>
          </w:p>
        </w:tc>
        <w:tc>
          <w:tcPr>
            <w:tcW w:w="4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8"/>
        </w:trPr>
        <w:tc>
          <w:tcPr>
            <w:tcW w:w="3360" w:type="dxa"/>
            <w:vAlign w:val="bottom"/>
          </w:tcPr>
          <w:p>
            <w:pPr>
              <w:ind w:left="20"/>
              <w:spacing w:after="0"/>
              <w:rPr>
                <w:sz w:val="20"/>
                <w:szCs w:val="20"/>
                <w:color w:val="auto"/>
              </w:rPr>
            </w:pPr>
            <w:r>
              <w:rPr>
                <w:rFonts w:ascii="Arial" w:cs="Arial" w:eastAsia="Arial" w:hAnsi="Arial"/>
                <w:sz w:val="13"/>
                <w:szCs w:val="13"/>
                <w:color w:val="auto"/>
              </w:rPr>
              <w:t>Steve Cutler</w:t>
            </w:r>
          </w:p>
        </w:tc>
        <w:tc>
          <w:tcPr>
            <w:tcW w:w="5280" w:type="dxa"/>
            <w:vAlign w:val="bottom"/>
            <w:gridSpan w:val="2"/>
          </w:tcPr>
          <w:p>
            <w:pPr>
              <w:ind w:left="60"/>
              <w:spacing w:after="0"/>
              <w:rPr>
                <w:sz w:val="20"/>
                <w:szCs w:val="20"/>
                <w:color w:val="auto"/>
              </w:rPr>
            </w:pPr>
            <w:r>
              <w:rPr>
                <w:rFonts w:ascii="Arial" w:cs="Arial" w:eastAsia="Arial" w:hAnsi="Arial"/>
                <w:sz w:val="13"/>
                <w:szCs w:val="13"/>
                <w:color w:val="auto"/>
              </w:rPr>
              <w:t>Rónán Murphy</w:t>
            </w:r>
          </w:p>
        </w:tc>
        <w:tc>
          <w:tcPr>
            <w:tcW w:w="1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360" w:type="dxa"/>
            <w:vAlign w:val="bottom"/>
          </w:tcPr>
          <w:p>
            <w:pPr>
              <w:ind w:left="20"/>
              <w:spacing w:after="0"/>
              <w:rPr>
                <w:sz w:val="20"/>
                <w:szCs w:val="20"/>
                <w:color w:val="auto"/>
              </w:rPr>
            </w:pPr>
            <w:r>
              <w:rPr>
                <w:rFonts w:ascii="Arial" w:cs="Arial" w:eastAsia="Arial" w:hAnsi="Arial"/>
                <w:sz w:val="13"/>
                <w:szCs w:val="13"/>
                <w:i w:val="1"/>
                <w:iCs w:val="1"/>
                <w:color w:val="auto"/>
              </w:rPr>
              <w:t>Chief Executive Officer</w:t>
            </w:r>
          </w:p>
        </w:tc>
        <w:tc>
          <w:tcPr>
            <w:tcW w:w="5280" w:type="dxa"/>
            <w:vAlign w:val="bottom"/>
            <w:gridSpan w:val="2"/>
          </w:tcPr>
          <w:p>
            <w:pPr>
              <w:ind w:left="60"/>
              <w:spacing w:after="0"/>
              <w:rPr>
                <w:sz w:val="20"/>
                <w:szCs w:val="20"/>
                <w:color w:val="auto"/>
              </w:rPr>
            </w:pPr>
            <w:r>
              <w:rPr>
                <w:rFonts w:ascii="Arial" w:cs="Arial" w:eastAsia="Arial" w:hAnsi="Arial"/>
                <w:sz w:val="13"/>
                <w:szCs w:val="13"/>
                <w:i w:val="1"/>
                <w:iCs w:val="1"/>
                <w:color w:val="auto"/>
              </w:rPr>
              <w:t>Director</w:t>
            </w:r>
          </w:p>
        </w:tc>
        <w:tc>
          <w:tcPr>
            <w:tcW w:w="1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280"/>
          </w:cols>
          <w:pgMar w:left="300" w:top="698" w:right="31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Consolidated Statement of Financial Position</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as at 31 December 2021</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60" w:type="dxa"/>
            <w:vAlign w:val="bottom"/>
            <w:shd w:val="clear" w:color="auto" w:fill="CCEEFF"/>
          </w:tcPr>
          <w:p>
            <w:pPr>
              <w:spacing w:after="0"/>
              <w:rPr>
                <w:sz w:val="13"/>
                <w:szCs w:val="13"/>
                <w:color w:val="auto"/>
              </w:rPr>
            </w:pPr>
          </w:p>
        </w:tc>
        <w:tc>
          <w:tcPr>
            <w:tcW w:w="5280" w:type="dxa"/>
            <w:vAlign w:val="bottom"/>
            <w:vMerge w:val="restart"/>
            <w:shd w:val="clear" w:color="auto" w:fill="CCEEFF"/>
          </w:tcPr>
          <w:p>
            <w:pPr>
              <w:jc w:val="right"/>
              <w:ind w:right="296"/>
              <w:spacing w:after="0"/>
              <w:rPr>
                <w:sz w:val="20"/>
                <w:szCs w:val="20"/>
                <w:color w:val="auto"/>
              </w:rPr>
            </w:pPr>
            <w:r>
              <w:rPr>
                <w:rFonts w:ascii="Arial" w:cs="Arial" w:eastAsia="Arial" w:hAnsi="Arial"/>
                <w:sz w:val="13"/>
                <w:szCs w:val="13"/>
                <w:b w:val="1"/>
                <w:bCs w:val="1"/>
                <w:i w:val="1"/>
                <w:iCs w:val="1"/>
                <w:color w:val="auto"/>
              </w:rPr>
              <w:t>Note</w:t>
            </w:r>
          </w:p>
        </w:tc>
        <w:tc>
          <w:tcPr>
            <w:tcW w:w="150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c>
          <w:tcPr>
            <w:tcW w:w="0" w:type="dxa"/>
            <w:vAlign w:val="bottom"/>
          </w:tcPr>
          <w:p>
            <w:pPr>
              <w:spacing w:after="0"/>
              <w:rPr>
                <w:sz w:val="1"/>
                <w:szCs w:val="1"/>
                <w:color w:val="auto"/>
              </w:rPr>
            </w:pPr>
          </w:p>
        </w:tc>
      </w:tr>
      <w:tr>
        <w:trPr>
          <w:trHeight w:val="110"/>
        </w:trPr>
        <w:tc>
          <w:tcPr>
            <w:tcW w:w="3360" w:type="dxa"/>
            <w:vAlign w:val="bottom"/>
            <w:shd w:val="clear" w:color="auto" w:fill="CCEEFF"/>
          </w:tcPr>
          <w:p>
            <w:pPr>
              <w:spacing w:after="0"/>
              <w:rPr>
                <w:sz w:val="9"/>
                <w:szCs w:val="9"/>
                <w:color w:val="auto"/>
              </w:rPr>
            </w:pPr>
          </w:p>
        </w:tc>
        <w:tc>
          <w:tcPr>
            <w:tcW w:w="5280" w:type="dxa"/>
            <w:vAlign w:val="bottom"/>
            <w:vMerge w:val="continue"/>
            <w:shd w:val="clear" w:color="auto" w:fill="CCEEFF"/>
          </w:tcPr>
          <w:p>
            <w:pPr>
              <w:spacing w:after="0"/>
              <w:rPr>
                <w:sz w:val="9"/>
                <w:szCs w:val="9"/>
                <w:color w:val="auto"/>
              </w:rPr>
            </w:pPr>
          </w:p>
        </w:tc>
        <w:tc>
          <w:tcPr>
            <w:tcW w:w="1500" w:type="dxa"/>
            <w:vAlign w:val="bottom"/>
            <w:vMerge w:val="restart"/>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2021</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2020</w:t>
            </w:r>
          </w:p>
        </w:tc>
        <w:tc>
          <w:tcPr>
            <w:tcW w:w="0" w:type="dxa"/>
            <w:vAlign w:val="bottom"/>
          </w:tcPr>
          <w:p>
            <w:pPr>
              <w:spacing w:after="0"/>
              <w:rPr>
                <w:sz w:val="1"/>
                <w:szCs w:val="1"/>
                <w:color w:val="auto"/>
              </w:rPr>
            </w:pPr>
          </w:p>
        </w:tc>
      </w:tr>
      <w:tr>
        <w:trPr>
          <w:trHeight w:val="60"/>
        </w:trPr>
        <w:tc>
          <w:tcPr>
            <w:tcW w:w="3360" w:type="dxa"/>
            <w:vAlign w:val="bottom"/>
            <w:tcBorders>
              <w:bottom w:val="single" w:sz="8" w:color="auto"/>
            </w:tcBorders>
            <w:shd w:val="clear" w:color="auto" w:fill="CCEEFF"/>
          </w:tcPr>
          <w:p>
            <w:pPr>
              <w:spacing w:after="0"/>
              <w:rPr>
                <w:sz w:val="5"/>
                <w:szCs w:val="5"/>
                <w:color w:val="auto"/>
              </w:rPr>
            </w:pPr>
          </w:p>
        </w:tc>
        <w:tc>
          <w:tcPr>
            <w:tcW w:w="5280" w:type="dxa"/>
            <w:vAlign w:val="bottom"/>
            <w:tcBorders>
              <w:bottom w:val="single" w:sz="8" w:color="auto"/>
            </w:tcBorders>
            <w:shd w:val="clear" w:color="auto" w:fill="CCEEFF"/>
          </w:tcPr>
          <w:p>
            <w:pPr>
              <w:spacing w:after="0"/>
              <w:rPr>
                <w:sz w:val="5"/>
                <w:szCs w:val="5"/>
                <w:color w:val="auto"/>
              </w:rPr>
            </w:pPr>
          </w:p>
        </w:tc>
        <w:tc>
          <w:tcPr>
            <w:tcW w:w="1500" w:type="dxa"/>
            <w:vAlign w:val="bottom"/>
            <w:tcBorders>
              <w:bottom w:val="single" w:sz="8" w:color="auto"/>
            </w:tcBorders>
            <w:vMerge w:val="continue"/>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3360" w:type="dxa"/>
            <w:vAlign w:val="bottom"/>
          </w:tcPr>
          <w:p>
            <w:pPr>
              <w:ind w:left="20"/>
              <w:spacing w:after="0"/>
              <w:rPr>
                <w:sz w:val="20"/>
                <w:szCs w:val="20"/>
                <w:color w:val="auto"/>
              </w:rPr>
            </w:pPr>
            <w:r>
              <w:rPr>
                <w:rFonts w:ascii="Arial" w:cs="Arial" w:eastAsia="Arial" w:hAnsi="Arial"/>
                <w:sz w:val="13"/>
                <w:szCs w:val="13"/>
                <w:b w:val="1"/>
                <w:bCs w:val="1"/>
                <w:color w:val="auto"/>
              </w:rPr>
              <w:t>ASSETS</w:t>
            </w:r>
          </w:p>
        </w:tc>
        <w:tc>
          <w:tcPr>
            <w:tcW w:w="5280" w:type="dxa"/>
            <w:vAlign w:val="bottom"/>
          </w:tcPr>
          <w:p>
            <w:pPr>
              <w:spacing w:after="0"/>
              <w:rPr>
                <w:sz w:val="13"/>
                <w:szCs w:val="13"/>
                <w:color w:val="auto"/>
              </w:rPr>
            </w:pPr>
          </w:p>
        </w:tc>
        <w:tc>
          <w:tcPr>
            <w:tcW w:w="150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c>
          <w:tcPr>
            <w:tcW w:w="0" w:type="dxa"/>
            <w:vAlign w:val="bottom"/>
          </w:tcPr>
          <w:p>
            <w:pPr>
              <w:spacing w:after="0"/>
              <w:rPr>
                <w:sz w:val="1"/>
                <w:szCs w:val="1"/>
                <w:color w:val="auto"/>
              </w:rPr>
            </w:pPr>
          </w:p>
        </w:tc>
      </w:tr>
      <w:tr>
        <w:trPr>
          <w:trHeight w:val="170"/>
        </w:trPr>
        <w:tc>
          <w:tcPr>
            <w:tcW w:w="33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Non-current assets</w:t>
            </w:r>
          </w:p>
        </w:tc>
        <w:tc>
          <w:tcPr>
            <w:tcW w:w="52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60" w:type="dxa"/>
            <w:vAlign w:val="bottom"/>
          </w:tcPr>
          <w:p>
            <w:pPr>
              <w:ind w:left="20"/>
              <w:spacing w:after="0"/>
              <w:rPr>
                <w:sz w:val="20"/>
                <w:szCs w:val="20"/>
                <w:color w:val="auto"/>
              </w:rPr>
            </w:pPr>
            <w:r>
              <w:rPr>
                <w:rFonts w:ascii="Arial" w:cs="Arial" w:eastAsia="Arial" w:hAnsi="Arial"/>
                <w:sz w:val="13"/>
                <w:szCs w:val="13"/>
                <w:color w:val="auto"/>
              </w:rPr>
              <w:t>Property, plant and equipment</w:t>
            </w:r>
          </w:p>
        </w:tc>
        <w:tc>
          <w:tcPr>
            <w:tcW w:w="5280" w:type="dxa"/>
            <w:vAlign w:val="bottom"/>
          </w:tcPr>
          <w:p>
            <w:pPr>
              <w:jc w:val="right"/>
              <w:ind w:right="296"/>
              <w:spacing w:after="0"/>
              <w:rPr>
                <w:sz w:val="20"/>
                <w:szCs w:val="20"/>
                <w:color w:val="auto"/>
              </w:rPr>
            </w:pPr>
            <w:r>
              <w:rPr>
                <w:rFonts w:ascii="Arial" w:cs="Arial" w:eastAsia="Arial" w:hAnsi="Arial"/>
                <w:sz w:val="13"/>
                <w:szCs w:val="13"/>
                <w:i w:val="1"/>
                <w:iCs w:val="1"/>
                <w:color w:val="auto"/>
              </w:rPr>
              <w:t>12</w:t>
            </w:r>
          </w:p>
        </w:tc>
        <w:tc>
          <w:tcPr>
            <w:tcW w:w="1500" w:type="dxa"/>
            <w:vAlign w:val="bottom"/>
          </w:tcPr>
          <w:p>
            <w:pPr>
              <w:jc w:val="right"/>
              <w:ind w:right="336"/>
              <w:spacing w:after="0"/>
              <w:rPr>
                <w:sz w:val="20"/>
                <w:szCs w:val="20"/>
                <w:color w:val="auto"/>
              </w:rPr>
            </w:pPr>
            <w:r>
              <w:rPr>
                <w:rFonts w:ascii="Arial" w:cs="Arial" w:eastAsia="Arial" w:hAnsi="Arial"/>
                <w:sz w:val="13"/>
                <w:szCs w:val="13"/>
                <w:b w:val="1"/>
                <w:bCs w:val="1"/>
                <w:color w:val="auto"/>
              </w:rPr>
              <w:t>194,912</w:t>
            </w:r>
          </w:p>
        </w:tc>
        <w:tc>
          <w:tcPr>
            <w:tcW w:w="1140" w:type="dxa"/>
            <w:vAlign w:val="bottom"/>
          </w:tcPr>
          <w:p>
            <w:pPr>
              <w:jc w:val="right"/>
              <w:spacing w:after="0"/>
              <w:rPr>
                <w:sz w:val="20"/>
                <w:szCs w:val="20"/>
                <w:color w:val="auto"/>
              </w:rPr>
            </w:pPr>
            <w:r>
              <w:rPr>
                <w:rFonts w:ascii="Arial" w:cs="Arial" w:eastAsia="Arial" w:hAnsi="Arial"/>
                <w:sz w:val="13"/>
                <w:szCs w:val="13"/>
                <w:color w:val="auto"/>
              </w:rPr>
              <w:t>109,830</w:t>
            </w:r>
          </w:p>
        </w:tc>
        <w:tc>
          <w:tcPr>
            <w:tcW w:w="0" w:type="dxa"/>
            <w:vAlign w:val="bottom"/>
          </w:tcPr>
          <w:p>
            <w:pPr>
              <w:spacing w:after="0"/>
              <w:rPr>
                <w:sz w:val="1"/>
                <w:szCs w:val="1"/>
                <w:color w:val="auto"/>
              </w:rPr>
            </w:pPr>
          </w:p>
        </w:tc>
      </w:tr>
      <w:tr>
        <w:trPr>
          <w:trHeight w:val="170"/>
        </w:trPr>
        <w:tc>
          <w:tcPr>
            <w:tcW w:w="3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Right-of-use assets</w:t>
            </w:r>
          </w:p>
        </w:tc>
        <w:tc>
          <w:tcPr>
            <w:tcW w:w="5280" w:type="dxa"/>
            <w:vAlign w:val="bottom"/>
            <w:shd w:val="clear" w:color="auto" w:fill="CCEEFF"/>
          </w:tcPr>
          <w:p>
            <w:pPr>
              <w:jc w:val="right"/>
              <w:ind w:right="296"/>
              <w:spacing w:after="0"/>
              <w:rPr>
                <w:sz w:val="20"/>
                <w:szCs w:val="20"/>
                <w:color w:val="auto"/>
              </w:rPr>
            </w:pPr>
            <w:r>
              <w:rPr>
                <w:rFonts w:ascii="Arial" w:cs="Arial" w:eastAsia="Arial" w:hAnsi="Arial"/>
                <w:sz w:val="13"/>
                <w:szCs w:val="13"/>
                <w:i w:val="1"/>
                <w:iCs w:val="1"/>
                <w:color w:val="auto"/>
              </w:rPr>
              <w:t>27</w:t>
            </w:r>
          </w:p>
        </w:tc>
        <w:tc>
          <w:tcPr>
            <w:tcW w:w="15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197,716</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83,079</w:t>
            </w:r>
          </w:p>
        </w:tc>
        <w:tc>
          <w:tcPr>
            <w:tcW w:w="0" w:type="dxa"/>
            <w:vAlign w:val="bottom"/>
          </w:tcPr>
          <w:p>
            <w:pPr>
              <w:spacing w:after="0"/>
              <w:rPr>
                <w:sz w:val="1"/>
                <w:szCs w:val="1"/>
                <w:color w:val="auto"/>
              </w:rPr>
            </w:pPr>
          </w:p>
        </w:tc>
      </w:tr>
      <w:tr>
        <w:trPr>
          <w:trHeight w:val="170"/>
        </w:trPr>
        <w:tc>
          <w:tcPr>
            <w:tcW w:w="3360" w:type="dxa"/>
            <w:vAlign w:val="bottom"/>
          </w:tcPr>
          <w:p>
            <w:pPr>
              <w:ind w:left="20"/>
              <w:spacing w:after="0"/>
              <w:rPr>
                <w:sz w:val="20"/>
                <w:szCs w:val="20"/>
                <w:color w:val="auto"/>
              </w:rPr>
            </w:pPr>
            <w:r>
              <w:rPr>
                <w:rFonts w:ascii="Arial" w:cs="Arial" w:eastAsia="Arial" w:hAnsi="Arial"/>
                <w:sz w:val="13"/>
                <w:szCs w:val="13"/>
                <w:color w:val="auto"/>
              </w:rPr>
              <w:t>Goodwill</w:t>
            </w:r>
          </w:p>
        </w:tc>
        <w:tc>
          <w:tcPr>
            <w:tcW w:w="5280" w:type="dxa"/>
            <w:vAlign w:val="bottom"/>
          </w:tcPr>
          <w:p>
            <w:pPr>
              <w:jc w:val="right"/>
              <w:ind w:right="296"/>
              <w:spacing w:after="0"/>
              <w:rPr>
                <w:sz w:val="20"/>
                <w:szCs w:val="20"/>
                <w:color w:val="auto"/>
              </w:rPr>
            </w:pPr>
            <w:r>
              <w:rPr>
                <w:rFonts w:ascii="Arial" w:cs="Arial" w:eastAsia="Arial" w:hAnsi="Arial"/>
                <w:sz w:val="13"/>
                <w:szCs w:val="13"/>
                <w:i w:val="1"/>
                <w:iCs w:val="1"/>
                <w:color w:val="auto"/>
              </w:rPr>
              <w:t>13</w:t>
            </w:r>
          </w:p>
        </w:tc>
        <w:tc>
          <w:tcPr>
            <w:tcW w:w="1500" w:type="dxa"/>
            <w:vAlign w:val="bottom"/>
          </w:tcPr>
          <w:p>
            <w:pPr>
              <w:jc w:val="right"/>
              <w:ind w:right="336"/>
              <w:spacing w:after="0"/>
              <w:rPr>
                <w:sz w:val="20"/>
                <w:szCs w:val="20"/>
                <w:color w:val="auto"/>
              </w:rPr>
            </w:pPr>
            <w:r>
              <w:rPr>
                <w:rFonts w:ascii="Arial" w:cs="Arial" w:eastAsia="Arial" w:hAnsi="Arial"/>
                <w:sz w:val="13"/>
                <w:szCs w:val="13"/>
                <w:b w:val="1"/>
                <w:bCs w:val="1"/>
                <w:color w:val="auto"/>
              </w:rPr>
              <w:t>9,090,061</w:t>
            </w:r>
          </w:p>
        </w:tc>
        <w:tc>
          <w:tcPr>
            <w:tcW w:w="1140" w:type="dxa"/>
            <w:vAlign w:val="bottom"/>
          </w:tcPr>
          <w:p>
            <w:pPr>
              <w:jc w:val="right"/>
              <w:spacing w:after="0"/>
              <w:rPr>
                <w:sz w:val="20"/>
                <w:szCs w:val="20"/>
                <w:color w:val="auto"/>
              </w:rPr>
            </w:pPr>
            <w:r>
              <w:rPr>
                <w:rFonts w:ascii="Arial" w:cs="Arial" w:eastAsia="Arial" w:hAnsi="Arial"/>
                <w:sz w:val="13"/>
                <w:szCs w:val="13"/>
                <w:color w:val="auto"/>
              </w:rPr>
              <w:t>950,267</w:t>
            </w:r>
          </w:p>
        </w:tc>
        <w:tc>
          <w:tcPr>
            <w:tcW w:w="0" w:type="dxa"/>
            <w:vAlign w:val="bottom"/>
          </w:tcPr>
          <w:p>
            <w:pPr>
              <w:spacing w:after="0"/>
              <w:rPr>
                <w:sz w:val="1"/>
                <w:szCs w:val="1"/>
                <w:color w:val="auto"/>
              </w:rPr>
            </w:pPr>
          </w:p>
        </w:tc>
      </w:tr>
      <w:tr>
        <w:trPr>
          <w:trHeight w:val="170"/>
        </w:trPr>
        <w:tc>
          <w:tcPr>
            <w:tcW w:w="3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Intangible assets</w:t>
            </w:r>
          </w:p>
        </w:tc>
        <w:tc>
          <w:tcPr>
            <w:tcW w:w="5280" w:type="dxa"/>
            <w:vAlign w:val="bottom"/>
            <w:shd w:val="clear" w:color="auto" w:fill="CCEEFF"/>
          </w:tcPr>
          <w:p>
            <w:pPr>
              <w:jc w:val="right"/>
              <w:ind w:right="296"/>
              <w:spacing w:after="0"/>
              <w:rPr>
                <w:sz w:val="20"/>
                <w:szCs w:val="20"/>
                <w:color w:val="auto"/>
              </w:rPr>
            </w:pPr>
            <w:r>
              <w:rPr>
                <w:rFonts w:ascii="Arial" w:cs="Arial" w:eastAsia="Arial" w:hAnsi="Arial"/>
                <w:sz w:val="13"/>
                <w:szCs w:val="13"/>
                <w:i w:val="1"/>
                <w:iCs w:val="1"/>
                <w:color w:val="auto"/>
              </w:rPr>
              <w:t>13</w:t>
            </w:r>
          </w:p>
        </w:tc>
        <w:tc>
          <w:tcPr>
            <w:tcW w:w="15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4,852,369</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130,972</w:t>
            </w:r>
          </w:p>
        </w:tc>
        <w:tc>
          <w:tcPr>
            <w:tcW w:w="0" w:type="dxa"/>
            <w:vAlign w:val="bottom"/>
          </w:tcPr>
          <w:p>
            <w:pPr>
              <w:spacing w:after="0"/>
              <w:rPr>
                <w:sz w:val="1"/>
                <w:szCs w:val="1"/>
                <w:color w:val="auto"/>
              </w:rPr>
            </w:pPr>
          </w:p>
        </w:tc>
      </w:tr>
      <w:tr>
        <w:trPr>
          <w:trHeight w:val="170"/>
        </w:trPr>
        <w:tc>
          <w:tcPr>
            <w:tcW w:w="3360" w:type="dxa"/>
            <w:vAlign w:val="bottom"/>
          </w:tcPr>
          <w:p>
            <w:pPr>
              <w:ind w:left="20"/>
              <w:spacing w:after="0"/>
              <w:rPr>
                <w:sz w:val="20"/>
                <w:szCs w:val="20"/>
                <w:color w:val="auto"/>
              </w:rPr>
            </w:pPr>
            <w:r>
              <w:rPr>
                <w:rFonts w:ascii="Arial" w:cs="Arial" w:eastAsia="Arial" w:hAnsi="Arial"/>
                <w:sz w:val="13"/>
                <w:szCs w:val="13"/>
                <w:color w:val="auto"/>
              </w:rPr>
              <w:t>Other non-current assets</w:t>
            </w:r>
          </w:p>
        </w:tc>
        <w:tc>
          <w:tcPr>
            <w:tcW w:w="5280" w:type="dxa"/>
            <w:vAlign w:val="bottom"/>
          </w:tcPr>
          <w:p>
            <w:pPr>
              <w:jc w:val="right"/>
              <w:ind w:right="296"/>
              <w:spacing w:after="0"/>
              <w:rPr>
                <w:sz w:val="20"/>
                <w:szCs w:val="20"/>
                <w:color w:val="auto"/>
              </w:rPr>
            </w:pPr>
            <w:r>
              <w:rPr>
                <w:rFonts w:ascii="Arial" w:cs="Arial" w:eastAsia="Arial" w:hAnsi="Arial"/>
                <w:sz w:val="13"/>
                <w:szCs w:val="13"/>
                <w:i w:val="1"/>
                <w:iCs w:val="1"/>
                <w:color w:val="auto"/>
              </w:rPr>
              <w:t>17</w:t>
            </w:r>
          </w:p>
        </w:tc>
        <w:tc>
          <w:tcPr>
            <w:tcW w:w="1500" w:type="dxa"/>
            <w:vAlign w:val="bottom"/>
          </w:tcPr>
          <w:p>
            <w:pPr>
              <w:jc w:val="right"/>
              <w:ind w:right="336"/>
              <w:spacing w:after="0"/>
              <w:rPr>
                <w:sz w:val="20"/>
                <w:szCs w:val="20"/>
                <w:color w:val="auto"/>
              </w:rPr>
            </w:pPr>
            <w:r>
              <w:rPr>
                <w:rFonts w:ascii="Arial" w:cs="Arial" w:eastAsia="Arial" w:hAnsi="Arial"/>
                <w:sz w:val="13"/>
                <w:szCs w:val="13"/>
                <w:b w:val="1"/>
                <w:bCs w:val="1"/>
                <w:color w:val="auto"/>
              </w:rPr>
              <w:t>76,800</w:t>
            </w:r>
          </w:p>
        </w:tc>
        <w:tc>
          <w:tcPr>
            <w:tcW w:w="1140" w:type="dxa"/>
            <w:vAlign w:val="bottom"/>
          </w:tcPr>
          <w:p>
            <w:pPr>
              <w:jc w:val="right"/>
              <w:spacing w:after="0"/>
              <w:rPr>
                <w:sz w:val="20"/>
                <w:szCs w:val="20"/>
                <w:color w:val="auto"/>
              </w:rPr>
            </w:pPr>
            <w:r>
              <w:rPr>
                <w:rFonts w:ascii="Arial" w:cs="Arial" w:eastAsia="Arial" w:hAnsi="Arial"/>
                <w:sz w:val="13"/>
                <w:szCs w:val="13"/>
                <w:color w:val="auto"/>
              </w:rPr>
              <w:t>26,902</w:t>
            </w:r>
          </w:p>
        </w:tc>
        <w:tc>
          <w:tcPr>
            <w:tcW w:w="0" w:type="dxa"/>
            <w:vAlign w:val="bottom"/>
          </w:tcPr>
          <w:p>
            <w:pPr>
              <w:spacing w:after="0"/>
              <w:rPr>
                <w:sz w:val="1"/>
                <w:szCs w:val="1"/>
                <w:color w:val="auto"/>
              </w:rPr>
            </w:pPr>
          </w:p>
        </w:tc>
      </w:tr>
      <w:tr>
        <w:trPr>
          <w:trHeight w:val="170"/>
        </w:trPr>
        <w:tc>
          <w:tcPr>
            <w:tcW w:w="3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Equity method investments</w:t>
            </w:r>
          </w:p>
        </w:tc>
        <w:tc>
          <w:tcPr>
            <w:tcW w:w="5280" w:type="dxa"/>
            <w:vAlign w:val="bottom"/>
            <w:shd w:val="clear" w:color="auto" w:fill="CCEEFF"/>
          </w:tcPr>
          <w:p>
            <w:pPr>
              <w:jc w:val="right"/>
              <w:ind w:right="336"/>
              <w:spacing w:after="0"/>
              <w:rPr>
                <w:sz w:val="20"/>
                <w:szCs w:val="20"/>
                <w:color w:val="auto"/>
              </w:rPr>
            </w:pPr>
            <w:r>
              <w:rPr>
                <w:rFonts w:ascii="Arial" w:cs="Arial" w:eastAsia="Arial" w:hAnsi="Arial"/>
                <w:sz w:val="13"/>
                <w:szCs w:val="13"/>
                <w:i w:val="1"/>
                <w:iCs w:val="1"/>
                <w:color w:val="auto"/>
              </w:rPr>
              <w:t>18</w:t>
            </w:r>
          </w:p>
        </w:tc>
        <w:tc>
          <w:tcPr>
            <w:tcW w:w="15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2,373</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4,534</w:t>
            </w:r>
          </w:p>
        </w:tc>
        <w:tc>
          <w:tcPr>
            <w:tcW w:w="0" w:type="dxa"/>
            <w:vAlign w:val="bottom"/>
          </w:tcPr>
          <w:p>
            <w:pPr>
              <w:spacing w:after="0"/>
              <w:rPr>
                <w:sz w:val="1"/>
                <w:szCs w:val="1"/>
                <w:color w:val="auto"/>
              </w:rPr>
            </w:pPr>
          </w:p>
        </w:tc>
      </w:tr>
      <w:tr>
        <w:trPr>
          <w:trHeight w:val="170"/>
        </w:trPr>
        <w:tc>
          <w:tcPr>
            <w:tcW w:w="3360" w:type="dxa"/>
            <w:vAlign w:val="bottom"/>
          </w:tcPr>
          <w:p>
            <w:pPr>
              <w:ind w:left="20"/>
              <w:spacing w:after="0"/>
              <w:rPr>
                <w:sz w:val="20"/>
                <w:szCs w:val="20"/>
                <w:color w:val="auto"/>
              </w:rPr>
            </w:pPr>
            <w:r>
              <w:rPr>
                <w:rFonts w:ascii="Arial" w:cs="Arial" w:eastAsia="Arial" w:hAnsi="Arial"/>
                <w:sz w:val="13"/>
                <w:szCs w:val="13"/>
                <w:color w:val="auto"/>
              </w:rPr>
              <w:t>Financial assets</w:t>
            </w:r>
          </w:p>
        </w:tc>
        <w:tc>
          <w:tcPr>
            <w:tcW w:w="5280" w:type="dxa"/>
            <w:vAlign w:val="bottom"/>
          </w:tcPr>
          <w:p>
            <w:pPr>
              <w:jc w:val="right"/>
              <w:ind w:right="336"/>
              <w:spacing w:after="0"/>
              <w:rPr>
                <w:sz w:val="20"/>
                <w:szCs w:val="20"/>
                <w:color w:val="auto"/>
              </w:rPr>
            </w:pPr>
            <w:r>
              <w:rPr>
                <w:rFonts w:ascii="Arial" w:cs="Arial" w:eastAsia="Arial" w:hAnsi="Arial"/>
                <w:sz w:val="13"/>
                <w:szCs w:val="13"/>
                <w:i w:val="1"/>
                <w:iCs w:val="1"/>
                <w:color w:val="auto"/>
              </w:rPr>
              <w:t>18</w:t>
            </w:r>
          </w:p>
        </w:tc>
        <w:tc>
          <w:tcPr>
            <w:tcW w:w="1500" w:type="dxa"/>
            <w:vAlign w:val="bottom"/>
          </w:tcPr>
          <w:p>
            <w:pPr>
              <w:jc w:val="right"/>
              <w:ind w:right="336"/>
              <w:spacing w:after="0"/>
              <w:rPr>
                <w:sz w:val="20"/>
                <w:szCs w:val="20"/>
                <w:color w:val="auto"/>
              </w:rPr>
            </w:pPr>
            <w:r>
              <w:rPr>
                <w:rFonts w:ascii="Arial" w:cs="Arial" w:eastAsia="Arial" w:hAnsi="Arial"/>
                <w:sz w:val="13"/>
                <w:szCs w:val="13"/>
                <w:b w:val="1"/>
                <w:bCs w:val="1"/>
                <w:color w:val="auto"/>
              </w:rPr>
              <w:t>22,592</w:t>
            </w:r>
          </w:p>
        </w:tc>
        <w:tc>
          <w:tcPr>
            <w:tcW w:w="1140" w:type="dxa"/>
            <w:vAlign w:val="bottom"/>
          </w:tcPr>
          <w:p>
            <w:pPr>
              <w:jc w:val="right"/>
              <w:spacing w:after="0"/>
              <w:rPr>
                <w:sz w:val="20"/>
                <w:szCs w:val="20"/>
                <w:color w:val="auto"/>
              </w:rPr>
            </w:pPr>
            <w:r>
              <w:rPr>
                <w:rFonts w:ascii="Arial" w:cs="Arial" w:eastAsia="Arial" w:hAnsi="Arial"/>
                <w:sz w:val="13"/>
                <w:szCs w:val="13"/>
                <w:color w:val="auto"/>
              </w:rPr>
              <w:t>15,765</w:t>
            </w:r>
          </w:p>
        </w:tc>
        <w:tc>
          <w:tcPr>
            <w:tcW w:w="0" w:type="dxa"/>
            <w:vAlign w:val="bottom"/>
          </w:tcPr>
          <w:p>
            <w:pPr>
              <w:spacing w:after="0"/>
              <w:rPr>
                <w:sz w:val="1"/>
                <w:szCs w:val="1"/>
                <w:color w:val="auto"/>
              </w:rPr>
            </w:pPr>
          </w:p>
        </w:tc>
      </w:tr>
      <w:tr>
        <w:trPr>
          <w:trHeight w:val="170"/>
        </w:trPr>
        <w:tc>
          <w:tcPr>
            <w:tcW w:w="3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Deferred tax assets</w:t>
            </w:r>
          </w:p>
        </w:tc>
        <w:tc>
          <w:tcPr>
            <w:tcW w:w="528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i w:val="1"/>
                <w:iCs w:val="1"/>
                <w:color w:val="auto"/>
              </w:rPr>
              <w:t>6</w:t>
            </w:r>
          </w:p>
        </w:tc>
        <w:tc>
          <w:tcPr>
            <w:tcW w:w="150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102,954</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30,370</w:t>
            </w:r>
          </w:p>
        </w:tc>
        <w:tc>
          <w:tcPr>
            <w:tcW w:w="0" w:type="dxa"/>
            <w:vAlign w:val="bottom"/>
          </w:tcPr>
          <w:p>
            <w:pPr>
              <w:spacing w:after="0"/>
              <w:rPr>
                <w:sz w:val="1"/>
                <w:szCs w:val="1"/>
                <w:color w:val="auto"/>
              </w:rPr>
            </w:pPr>
          </w:p>
        </w:tc>
      </w:tr>
      <w:tr>
        <w:trPr>
          <w:trHeight w:val="160"/>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non-current assets</w:t>
            </w:r>
          </w:p>
        </w:tc>
        <w:tc>
          <w:tcPr>
            <w:tcW w:w="52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14,539,777</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1,351,719</w:t>
            </w:r>
          </w:p>
        </w:tc>
        <w:tc>
          <w:tcPr>
            <w:tcW w:w="0" w:type="dxa"/>
            <w:vAlign w:val="bottom"/>
          </w:tcPr>
          <w:p>
            <w:pPr>
              <w:spacing w:after="0"/>
              <w:rPr>
                <w:sz w:val="1"/>
                <w:szCs w:val="1"/>
                <w:color w:val="auto"/>
              </w:rPr>
            </w:pPr>
          </w:p>
        </w:tc>
      </w:tr>
      <w:tr>
        <w:trPr>
          <w:trHeight w:val="160"/>
        </w:trPr>
        <w:tc>
          <w:tcPr>
            <w:tcW w:w="33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Current assets</w:t>
            </w:r>
          </w:p>
        </w:tc>
        <w:tc>
          <w:tcPr>
            <w:tcW w:w="528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360" w:type="dxa"/>
            <w:vAlign w:val="bottom"/>
          </w:tcPr>
          <w:p>
            <w:pPr>
              <w:ind w:left="20"/>
              <w:spacing w:after="0"/>
              <w:rPr>
                <w:sz w:val="20"/>
                <w:szCs w:val="20"/>
                <w:color w:val="auto"/>
              </w:rPr>
            </w:pPr>
            <w:r>
              <w:rPr>
                <w:rFonts w:ascii="Arial" w:cs="Arial" w:eastAsia="Arial" w:hAnsi="Arial"/>
                <w:sz w:val="13"/>
                <w:szCs w:val="13"/>
                <w:color w:val="auto"/>
              </w:rPr>
              <w:t>Inventories</w:t>
            </w:r>
          </w:p>
        </w:tc>
        <w:tc>
          <w:tcPr>
            <w:tcW w:w="5280" w:type="dxa"/>
            <w:vAlign w:val="bottom"/>
          </w:tcPr>
          <w:p>
            <w:pPr>
              <w:jc w:val="right"/>
              <w:ind w:right="296"/>
              <w:spacing w:after="0"/>
              <w:rPr>
                <w:sz w:val="20"/>
                <w:szCs w:val="20"/>
                <w:color w:val="auto"/>
              </w:rPr>
            </w:pPr>
            <w:r>
              <w:rPr>
                <w:rFonts w:ascii="Arial" w:cs="Arial" w:eastAsia="Arial" w:hAnsi="Arial"/>
                <w:sz w:val="13"/>
                <w:szCs w:val="13"/>
                <w:i w:val="1"/>
                <w:iCs w:val="1"/>
                <w:color w:val="auto"/>
              </w:rPr>
              <w:t>15</w:t>
            </w:r>
          </w:p>
        </w:tc>
        <w:tc>
          <w:tcPr>
            <w:tcW w:w="1500" w:type="dxa"/>
            <w:vAlign w:val="bottom"/>
          </w:tcPr>
          <w:p>
            <w:pPr>
              <w:jc w:val="right"/>
              <w:ind w:right="336"/>
              <w:spacing w:after="0"/>
              <w:rPr>
                <w:sz w:val="20"/>
                <w:szCs w:val="20"/>
                <w:color w:val="auto"/>
              </w:rPr>
            </w:pPr>
            <w:r>
              <w:rPr>
                <w:rFonts w:ascii="Arial" w:cs="Arial" w:eastAsia="Arial" w:hAnsi="Arial"/>
                <w:sz w:val="13"/>
                <w:szCs w:val="13"/>
                <w:b w:val="1"/>
                <w:bCs w:val="1"/>
                <w:color w:val="auto"/>
              </w:rPr>
              <w:t>5,772</w:t>
            </w:r>
          </w:p>
        </w:tc>
        <w:tc>
          <w:tcPr>
            <w:tcW w:w="1140" w:type="dxa"/>
            <w:vAlign w:val="bottom"/>
          </w:tcPr>
          <w:p>
            <w:pPr>
              <w:jc w:val="right"/>
              <w:spacing w:after="0"/>
              <w:rPr>
                <w:sz w:val="20"/>
                <w:szCs w:val="20"/>
                <w:color w:val="auto"/>
              </w:rPr>
            </w:pPr>
            <w:r>
              <w:rPr>
                <w:rFonts w:ascii="Arial" w:cs="Arial" w:eastAsia="Arial" w:hAnsi="Arial"/>
                <w:sz w:val="13"/>
                <w:szCs w:val="13"/>
                <w:color w:val="auto"/>
              </w:rPr>
              <w:t>4,806</w:t>
            </w:r>
          </w:p>
        </w:tc>
        <w:tc>
          <w:tcPr>
            <w:tcW w:w="0" w:type="dxa"/>
            <w:vAlign w:val="bottom"/>
          </w:tcPr>
          <w:p>
            <w:pPr>
              <w:spacing w:after="0"/>
              <w:rPr>
                <w:sz w:val="1"/>
                <w:szCs w:val="1"/>
                <w:color w:val="auto"/>
              </w:rPr>
            </w:pPr>
          </w:p>
        </w:tc>
      </w:tr>
      <w:tr>
        <w:trPr>
          <w:trHeight w:val="170"/>
        </w:trPr>
        <w:tc>
          <w:tcPr>
            <w:tcW w:w="3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Trade receivables</w:t>
            </w:r>
          </w:p>
        </w:tc>
        <w:tc>
          <w:tcPr>
            <w:tcW w:w="5280" w:type="dxa"/>
            <w:vAlign w:val="bottom"/>
            <w:shd w:val="clear" w:color="auto" w:fill="CCEEFF"/>
          </w:tcPr>
          <w:p>
            <w:pPr>
              <w:jc w:val="right"/>
              <w:ind w:right="296"/>
              <w:spacing w:after="0"/>
              <w:rPr>
                <w:sz w:val="20"/>
                <w:szCs w:val="20"/>
                <w:color w:val="auto"/>
              </w:rPr>
            </w:pPr>
            <w:r>
              <w:rPr>
                <w:rFonts w:ascii="Arial" w:cs="Arial" w:eastAsia="Arial" w:hAnsi="Arial"/>
                <w:sz w:val="13"/>
                <w:szCs w:val="13"/>
                <w:i w:val="1"/>
                <w:iCs w:val="1"/>
                <w:color w:val="auto"/>
              </w:rPr>
              <w:t>16</w:t>
            </w:r>
          </w:p>
        </w:tc>
        <w:tc>
          <w:tcPr>
            <w:tcW w:w="15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1,342,770</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715,271</w:t>
            </w:r>
          </w:p>
        </w:tc>
        <w:tc>
          <w:tcPr>
            <w:tcW w:w="0" w:type="dxa"/>
            <w:vAlign w:val="bottom"/>
          </w:tcPr>
          <w:p>
            <w:pPr>
              <w:spacing w:after="0"/>
              <w:rPr>
                <w:sz w:val="1"/>
                <w:szCs w:val="1"/>
                <w:color w:val="auto"/>
              </w:rPr>
            </w:pPr>
          </w:p>
        </w:tc>
      </w:tr>
      <w:tr>
        <w:trPr>
          <w:trHeight w:val="170"/>
        </w:trPr>
        <w:tc>
          <w:tcPr>
            <w:tcW w:w="3360" w:type="dxa"/>
            <w:vAlign w:val="bottom"/>
          </w:tcPr>
          <w:p>
            <w:pPr>
              <w:ind w:left="20"/>
              <w:spacing w:after="0"/>
              <w:rPr>
                <w:sz w:val="20"/>
                <w:szCs w:val="20"/>
                <w:color w:val="auto"/>
              </w:rPr>
            </w:pPr>
            <w:r>
              <w:rPr>
                <w:rFonts w:ascii="Arial" w:cs="Arial" w:eastAsia="Arial" w:hAnsi="Arial"/>
                <w:sz w:val="13"/>
                <w:szCs w:val="13"/>
                <w:color w:val="auto"/>
              </w:rPr>
              <w:t>Unbilled revenue (contract assets)</w:t>
            </w:r>
          </w:p>
        </w:tc>
        <w:tc>
          <w:tcPr>
            <w:tcW w:w="5280" w:type="dxa"/>
            <w:vAlign w:val="bottom"/>
          </w:tcPr>
          <w:p>
            <w:pPr>
              <w:jc w:val="right"/>
              <w:ind w:right="296"/>
              <w:spacing w:after="0"/>
              <w:rPr>
                <w:sz w:val="20"/>
                <w:szCs w:val="20"/>
                <w:color w:val="auto"/>
              </w:rPr>
            </w:pPr>
            <w:r>
              <w:rPr>
                <w:rFonts w:ascii="Arial" w:cs="Arial" w:eastAsia="Arial" w:hAnsi="Arial"/>
                <w:sz w:val="13"/>
                <w:szCs w:val="13"/>
                <w:i w:val="1"/>
                <w:iCs w:val="1"/>
                <w:color w:val="auto"/>
              </w:rPr>
              <w:t>16</w:t>
            </w:r>
          </w:p>
        </w:tc>
        <w:tc>
          <w:tcPr>
            <w:tcW w:w="1500" w:type="dxa"/>
            <w:vAlign w:val="bottom"/>
          </w:tcPr>
          <w:p>
            <w:pPr>
              <w:jc w:val="right"/>
              <w:ind w:right="336"/>
              <w:spacing w:after="0"/>
              <w:rPr>
                <w:sz w:val="20"/>
                <w:szCs w:val="20"/>
                <w:color w:val="auto"/>
              </w:rPr>
            </w:pPr>
            <w:r>
              <w:rPr>
                <w:rFonts w:ascii="Arial" w:cs="Arial" w:eastAsia="Arial" w:hAnsi="Arial"/>
                <w:sz w:val="13"/>
                <w:szCs w:val="13"/>
                <w:b w:val="1"/>
                <w:bCs w:val="1"/>
                <w:color w:val="auto"/>
              </w:rPr>
              <w:t>623,121</w:t>
            </w:r>
          </w:p>
        </w:tc>
        <w:tc>
          <w:tcPr>
            <w:tcW w:w="1140" w:type="dxa"/>
            <w:vAlign w:val="bottom"/>
          </w:tcPr>
          <w:p>
            <w:pPr>
              <w:jc w:val="right"/>
              <w:spacing w:after="0"/>
              <w:rPr>
                <w:sz w:val="20"/>
                <w:szCs w:val="20"/>
                <w:color w:val="auto"/>
              </w:rPr>
            </w:pPr>
            <w:r>
              <w:rPr>
                <w:rFonts w:ascii="Arial" w:cs="Arial" w:eastAsia="Arial" w:hAnsi="Arial"/>
                <w:sz w:val="13"/>
                <w:szCs w:val="13"/>
                <w:color w:val="auto"/>
              </w:rPr>
              <w:t>428,684</w:t>
            </w:r>
          </w:p>
        </w:tc>
        <w:tc>
          <w:tcPr>
            <w:tcW w:w="0" w:type="dxa"/>
            <w:vAlign w:val="bottom"/>
          </w:tcPr>
          <w:p>
            <w:pPr>
              <w:spacing w:after="0"/>
              <w:rPr>
                <w:sz w:val="1"/>
                <w:szCs w:val="1"/>
                <w:color w:val="auto"/>
              </w:rPr>
            </w:pPr>
          </w:p>
        </w:tc>
      </w:tr>
      <w:tr>
        <w:trPr>
          <w:trHeight w:val="170"/>
        </w:trPr>
        <w:tc>
          <w:tcPr>
            <w:tcW w:w="3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current assets</w:t>
            </w:r>
          </w:p>
        </w:tc>
        <w:tc>
          <w:tcPr>
            <w:tcW w:w="5280" w:type="dxa"/>
            <w:vAlign w:val="bottom"/>
            <w:shd w:val="clear" w:color="auto" w:fill="CCEEFF"/>
          </w:tcPr>
          <w:p>
            <w:pPr>
              <w:jc w:val="right"/>
              <w:ind w:right="296"/>
              <w:spacing w:after="0"/>
              <w:rPr>
                <w:sz w:val="20"/>
                <w:szCs w:val="20"/>
                <w:color w:val="auto"/>
              </w:rPr>
            </w:pPr>
            <w:r>
              <w:rPr>
                <w:rFonts w:ascii="Arial" w:cs="Arial" w:eastAsia="Arial" w:hAnsi="Arial"/>
                <w:sz w:val="13"/>
                <w:szCs w:val="13"/>
                <w:i w:val="1"/>
                <w:iCs w:val="1"/>
                <w:color w:val="auto"/>
              </w:rPr>
              <w:t>17</w:t>
            </w:r>
          </w:p>
        </w:tc>
        <w:tc>
          <w:tcPr>
            <w:tcW w:w="15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159,068</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77,937</w:t>
            </w:r>
          </w:p>
        </w:tc>
        <w:tc>
          <w:tcPr>
            <w:tcW w:w="0" w:type="dxa"/>
            <w:vAlign w:val="bottom"/>
          </w:tcPr>
          <w:p>
            <w:pPr>
              <w:spacing w:after="0"/>
              <w:rPr>
                <w:sz w:val="1"/>
                <w:szCs w:val="1"/>
                <w:color w:val="auto"/>
              </w:rPr>
            </w:pPr>
          </w:p>
        </w:tc>
      </w:tr>
      <w:tr>
        <w:trPr>
          <w:trHeight w:val="170"/>
        </w:trPr>
        <w:tc>
          <w:tcPr>
            <w:tcW w:w="3360" w:type="dxa"/>
            <w:vAlign w:val="bottom"/>
          </w:tcPr>
          <w:p>
            <w:pPr>
              <w:ind w:left="20"/>
              <w:spacing w:after="0"/>
              <w:rPr>
                <w:sz w:val="20"/>
                <w:szCs w:val="20"/>
                <w:color w:val="auto"/>
              </w:rPr>
            </w:pPr>
            <w:r>
              <w:rPr>
                <w:rFonts w:ascii="Arial" w:cs="Arial" w:eastAsia="Arial" w:hAnsi="Arial"/>
                <w:sz w:val="13"/>
                <w:szCs w:val="13"/>
                <w:color w:val="auto"/>
              </w:rPr>
              <w:t>Current taxes receivable</w:t>
            </w:r>
          </w:p>
        </w:tc>
        <w:tc>
          <w:tcPr>
            <w:tcW w:w="5280" w:type="dxa"/>
            <w:vAlign w:val="bottom"/>
          </w:tcPr>
          <w:p>
            <w:pPr>
              <w:spacing w:after="0"/>
              <w:rPr>
                <w:sz w:val="14"/>
                <w:szCs w:val="14"/>
                <w:color w:val="auto"/>
              </w:rPr>
            </w:pPr>
          </w:p>
        </w:tc>
        <w:tc>
          <w:tcPr>
            <w:tcW w:w="1500" w:type="dxa"/>
            <w:vAlign w:val="bottom"/>
          </w:tcPr>
          <w:p>
            <w:pPr>
              <w:jc w:val="right"/>
              <w:ind w:right="336"/>
              <w:spacing w:after="0"/>
              <w:rPr>
                <w:sz w:val="20"/>
                <w:szCs w:val="20"/>
                <w:color w:val="auto"/>
              </w:rPr>
            </w:pPr>
            <w:r>
              <w:rPr>
                <w:rFonts w:ascii="Arial" w:cs="Arial" w:eastAsia="Arial" w:hAnsi="Arial"/>
                <w:sz w:val="13"/>
                <w:szCs w:val="13"/>
                <w:b w:val="1"/>
                <w:bCs w:val="1"/>
                <w:color w:val="auto"/>
              </w:rPr>
              <w:t>66,884</w:t>
            </w:r>
          </w:p>
        </w:tc>
        <w:tc>
          <w:tcPr>
            <w:tcW w:w="1140" w:type="dxa"/>
            <w:vAlign w:val="bottom"/>
          </w:tcPr>
          <w:p>
            <w:pPr>
              <w:jc w:val="right"/>
              <w:spacing w:after="0"/>
              <w:rPr>
                <w:sz w:val="20"/>
                <w:szCs w:val="20"/>
                <w:color w:val="auto"/>
              </w:rPr>
            </w:pPr>
            <w:r>
              <w:rPr>
                <w:rFonts w:ascii="Arial" w:cs="Arial" w:eastAsia="Arial" w:hAnsi="Arial"/>
                <w:sz w:val="13"/>
                <w:szCs w:val="13"/>
                <w:color w:val="auto"/>
              </w:rPr>
              <w:t>45,348</w:t>
            </w:r>
          </w:p>
        </w:tc>
        <w:tc>
          <w:tcPr>
            <w:tcW w:w="0" w:type="dxa"/>
            <w:vAlign w:val="bottom"/>
          </w:tcPr>
          <w:p>
            <w:pPr>
              <w:spacing w:after="0"/>
              <w:rPr>
                <w:sz w:val="1"/>
                <w:szCs w:val="1"/>
                <w:color w:val="auto"/>
              </w:rPr>
            </w:pPr>
          </w:p>
        </w:tc>
      </w:tr>
      <w:tr>
        <w:trPr>
          <w:trHeight w:val="170"/>
        </w:trPr>
        <w:tc>
          <w:tcPr>
            <w:tcW w:w="3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Current asset investments</w:t>
            </w:r>
          </w:p>
        </w:tc>
        <w:tc>
          <w:tcPr>
            <w:tcW w:w="5280" w:type="dxa"/>
            <w:vAlign w:val="bottom"/>
            <w:shd w:val="clear" w:color="auto" w:fill="CCEEFF"/>
          </w:tcPr>
          <w:p>
            <w:pPr>
              <w:jc w:val="right"/>
              <w:ind w:right="296"/>
              <w:spacing w:after="0"/>
              <w:rPr>
                <w:sz w:val="20"/>
                <w:szCs w:val="20"/>
                <w:color w:val="auto"/>
              </w:rPr>
            </w:pPr>
            <w:r>
              <w:rPr>
                <w:rFonts w:ascii="Arial" w:cs="Arial" w:eastAsia="Arial" w:hAnsi="Arial"/>
                <w:sz w:val="13"/>
                <w:szCs w:val="13"/>
                <w:i w:val="1"/>
                <w:iCs w:val="1"/>
                <w:color w:val="auto"/>
              </w:rPr>
              <w:t>18</w:t>
            </w:r>
          </w:p>
        </w:tc>
        <w:tc>
          <w:tcPr>
            <w:tcW w:w="15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1,712</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1,729</w:t>
            </w:r>
          </w:p>
        </w:tc>
        <w:tc>
          <w:tcPr>
            <w:tcW w:w="0" w:type="dxa"/>
            <w:vAlign w:val="bottom"/>
          </w:tcPr>
          <w:p>
            <w:pPr>
              <w:spacing w:after="0"/>
              <w:rPr>
                <w:sz w:val="1"/>
                <w:szCs w:val="1"/>
                <w:color w:val="auto"/>
              </w:rPr>
            </w:pPr>
          </w:p>
        </w:tc>
      </w:tr>
      <w:tr>
        <w:trPr>
          <w:trHeight w:val="170"/>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Cash and cash equivalents</w:t>
            </w:r>
          </w:p>
        </w:tc>
        <w:tc>
          <w:tcPr>
            <w:tcW w:w="528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i w:val="1"/>
                <w:iCs w:val="1"/>
                <w:color w:val="auto"/>
              </w:rPr>
              <w:t>19</w:t>
            </w:r>
          </w:p>
        </w:tc>
        <w:tc>
          <w:tcPr>
            <w:tcW w:w="150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752,213</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840,305</w:t>
            </w:r>
          </w:p>
        </w:tc>
        <w:tc>
          <w:tcPr>
            <w:tcW w:w="0" w:type="dxa"/>
            <w:vAlign w:val="bottom"/>
          </w:tcPr>
          <w:p>
            <w:pPr>
              <w:spacing w:after="0"/>
              <w:rPr>
                <w:sz w:val="1"/>
                <w:szCs w:val="1"/>
                <w:color w:val="auto"/>
              </w:rPr>
            </w:pPr>
          </w:p>
        </w:tc>
      </w:tr>
      <w:tr>
        <w:trPr>
          <w:trHeight w:val="160"/>
        </w:trPr>
        <w:tc>
          <w:tcPr>
            <w:tcW w:w="3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current assets</w:t>
            </w:r>
          </w:p>
        </w:tc>
        <w:tc>
          <w:tcPr>
            <w:tcW w:w="528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2,951,540</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2,114,080</w:t>
            </w:r>
          </w:p>
        </w:tc>
        <w:tc>
          <w:tcPr>
            <w:tcW w:w="0" w:type="dxa"/>
            <w:vAlign w:val="bottom"/>
          </w:tcPr>
          <w:p>
            <w:pPr>
              <w:spacing w:after="0"/>
              <w:rPr>
                <w:sz w:val="1"/>
                <w:szCs w:val="1"/>
                <w:color w:val="auto"/>
              </w:rPr>
            </w:pPr>
          </w:p>
        </w:tc>
      </w:tr>
      <w:tr>
        <w:trPr>
          <w:trHeight w:val="162"/>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assets</w:t>
            </w:r>
          </w:p>
        </w:tc>
        <w:tc>
          <w:tcPr>
            <w:tcW w:w="52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17,491,317</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3,465,799</w:t>
            </w:r>
          </w:p>
        </w:tc>
        <w:tc>
          <w:tcPr>
            <w:tcW w:w="0" w:type="dxa"/>
            <w:vAlign w:val="bottom"/>
          </w:tcPr>
          <w:p>
            <w:pPr>
              <w:spacing w:after="0"/>
              <w:rPr>
                <w:sz w:val="1"/>
                <w:szCs w:val="1"/>
                <w:color w:val="auto"/>
              </w:rPr>
            </w:pPr>
          </w:p>
        </w:tc>
      </w:tr>
      <w:tr>
        <w:trPr>
          <w:trHeight w:val="170"/>
        </w:trPr>
        <w:tc>
          <w:tcPr>
            <w:tcW w:w="33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EQUITY</w:t>
            </w:r>
          </w:p>
        </w:tc>
        <w:tc>
          <w:tcPr>
            <w:tcW w:w="52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60" w:type="dxa"/>
            <w:vAlign w:val="bottom"/>
          </w:tcPr>
          <w:p>
            <w:pPr>
              <w:ind w:left="20"/>
              <w:spacing w:after="0"/>
              <w:rPr>
                <w:sz w:val="20"/>
                <w:szCs w:val="20"/>
                <w:color w:val="auto"/>
              </w:rPr>
            </w:pPr>
            <w:r>
              <w:rPr>
                <w:rFonts w:ascii="Arial" w:cs="Arial" w:eastAsia="Arial" w:hAnsi="Arial"/>
                <w:sz w:val="13"/>
                <w:szCs w:val="13"/>
                <w:color w:val="auto"/>
              </w:rPr>
              <w:t>Share capital</w:t>
            </w:r>
          </w:p>
        </w:tc>
        <w:tc>
          <w:tcPr>
            <w:tcW w:w="5280" w:type="dxa"/>
            <w:vAlign w:val="bottom"/>
          </w:tcPr>
          <w:p>
            <w:pPr>
              <w:jc w:val="right"/>
              <w:ind w:right="296"/>
              <w:spacing w:after="0"/>
              <w:rPr>
                <w:sz w:val="20"/>
                <w:szCs w:val="20"/>
                <w:color w:val="auto"/>
              </w:rPr>
            </w:pPr>
            <w:r>
              <w:rPr>
                <w:rFonts w:ascii="Arial" w:cs="Arial" w:eastAsia="Arial" w:hAnsi="Arial"/>
                <w:sz w:val="13"/>
                <w:szCs w:val="13"/>
                <w:i w:val="1"/>
                <w:iCs w:val="1"/>
                <w:color w:val="auto"/>
              </w:rPr>
              <w:t>24</w:t>
            </w:r>
          </w:p>
        </w:tc>
        <w:tc>
          <w:tcPr>
            <w:tcW w:w="1500" w:type="dxa"/>
            <w:vAlign w:val="bottom"/>
          </w:tcPr>
          <w:p>
            <w:pPr>
              <w:jc w:val="right"/>
              <w:ind w:right="336"/>
              <w:spacing w:after="0"/>
              <w:rPr>
                <w:sz w:val="20"/>
                <w:szCs w:val="20"/>
                <w:color w:val="auto"/>
              </w:rPr>
            </w:pPr>
            <w:r>
              <w:rPr>
                <w:rFonts w:ascii="Arial" w:cs="Arial" w:eastAsia="Arial" w:hAnsi="Arial"/>
                <w:sz w:val="13"/>
                <w:szCs w:val="13"/>
                <w:b w:val="1"/>
                <w:bCs w:val="1"/>
                <w:color w:val="auto"/>
              </w:rPr>
              <w:t>6,640</w:t>
            </w:r>
          </w:p>
        </w:tc>
        <w:tc>
          <w:tcPr>
            <w:tcW w:w="1140" w:type="dxa"/>
            <w:vAlign w:val="bottom"/>
          </w:tcPr>
          <w:p>
            <w:pPr>
              <w:jc w:val="right"/>
              <w:spacing w:after="0"/>
              <w:rPr>
                <w:sz w:val="20"/>
                <w:szCs w:val="20"/>
                <w:color w:val="auto"/>
              </w:rPr>
            </w:pPr>
            <w:r>
              <w:rPr>
                <w:rFonts w:ascii="Arial" w:cs="Arial" w:eastAsia="Arial" w:hAnsi="Arial"/>
                <w:sz w:val="13"/>
                <w:szCs w:val="13"/>
                <w:color w:val="auto"/>
              </w:rPr>
              <w:t>4,580</w:t>
            </w:r>
          </w:p>
        </w:tc>
        <w:tc>
          <w:tcPr>
            <w:tcW w:w="0" w:type="dxa"/>
            <w:vAlign w:val="bottom"/>
          </w:tcPr>
          <w:p>
            <w:pPr>
              <w:spacing w:after="0"/>
              <w:rPr>
                <w:sz w:val="1"/>
                <w:szCs w:val="1"/>
                <w:color w:val="auto"/>
              </w:rPr>
            </w:pPr>
          </w:p>
        </w:tc>
      </w:tr>
      <w:tr>
        <w:trPr>
          <w:trHeight w:val="170"/>
        </w:trPr>
        <w:tc>
          <w:tcPr>
            <w:tcW w:w="3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 premium</w:t>
            </w:r>
          </w:p>
        </w:tc>
        <w:tc>
          <w:tcPr>
            <w:tcW w:w="528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436,916</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318,404</w:t>
            </w:r>
          </w:p>
        </w:tc>
        <w:tc>
          <w:tcPr>
            <w:tcW w:w="0" w:type="dxa"/>
            <w:vAlign w:val="bottom"/>
          </w:tcPr>
          <w:p>
            <w:pPr>
              <w:spacing w:after="0"/>
              <w:rPr>
                <w:sz w:val="1"/>
                <w:szCs w:val="1"/>
                <w:color w:val="auto"/>
              </w:rPr>
            </w:pPr>
          </w:p>
        </w:tc>
      </w:tr>
      <w:tr>
        <w:trPr>
          <w:trHeight w:val="170"/>
        </w:trPr>
        <w:tc>
          <w:tcPr>
            <w:tcW w:w="3360" w:type="dxa"/>
            <w:vAlign w:val="bottom"/>
          </w:tcPr>
          <w:p>
            <w:pPr>
              <w:ind w:left="20"/>
              <w:spacing w:after="0"/>
              <w:rPr>
                <w:sz w:val="20"/>
                <w:szCs w:val="20"/>
                <w:color w:val="auto"/>
              </w:rPr>
            </w:pPr>
            <w:r>
              <w:rPr>
                <w:rFonts w:ascii="Arial" w:cs="Arial" w:eastAsia="Arial" w:hAnsi="Arial"/>
                <w:sz w:val="13"/>
                <w:szCs w:val="13"/>
                <w:color w:val="auto"/>
              </w:rPr>
              <w:t>Other undenominated capital</w:t>
            </w:r>
          </w:p>
        </w:tc>
        <w:tc>
          <w:tcPr>
            <w:tcW w:w="5280" w:type="dxa"/>
            <w:vAlign w:val="bottom"/>
          </w:tcPr>
          <w:p>
            <w:pPr>
              <w:jc w:val="right"/>
              <w:ind w:right="296"/>
              <w:spacing w:after="0"/>
              <w:rPr>
                <w:sz w:val="20"/>
                <w:szCs w:val="20"/>
                <w:color w:val="auto"/>
              </w:rPr>
            </w:pPr>
            <w:r>
              <w:rPr>
                <w:rFonts w:ascii="Arial" w:cs="Arial" w:eastAsia="Arial" w:hAnsi="Arial"/>
                <w:sz w:val="13"/>
                <w:szCs w:val="13"/>
                <w:i w:val="1"/>
                <w:iCs w:val="1"/>
                <w:color w:val="auto"/>
              </w:rPr>
              <w:t>25</w:t>
            </w:r>
          </w:p>
        </w:tc>
        <w:tc>
          <w:tcPr>
            <w:tcW w:w="1500" w:type="dxa"/>
            <w:vAlign w:val="bottom"/>
          </w:tcPr>
          <w:p>
            <w:pPr>
              <w:jc w:val="right"/>
              <w:ind w:right="336"/>
              <w:spacing w:after="0"/>
              <w:rPr>
                <w:sz w:val="20"/>
                <w:szCs w:val="20"/>
                <w:color w:val="auto"/>
              </w:rPr>
            </w:pPr>
            <w:r>
              <w:rPr>
                <w:rFonts w:ascii="Arial" w:cs="Arial" w:eastAsia="Arial" w:hAnsi="Arial"/>
                <w:sz w:val="13"/>
                <w:szCs w:val="13"/>
                <w:b w:val="1"/>
                <w:bCs w:val="1"/>
                <w:color w:val="auto"/>
              </w:rPr>
              <w:t>1,134</w:t>
            </w:r>
          </w:p>
        </w:tc>
        <w:tc>
          <w:tcPr>
            <w:tcW w:w="1140" w:type="dxa"/>
            <w:vAlign w:val="bottom"/>
          </w:tcPr>
          <w:p>
            <w:pPr>
              <w:jc w:val="right"/>
              <w:spacing w:after="0"/>
              <w:rPr>
                <w:sz w:val="20"/>
                <w:szCs w:val="20"/>
                <w:color w:val="auto"/>
              </w:rPr>
            </w:pPr>
            <w:r>
              <w:rPr>
                <w:rFonts w:ascii="Arial" w:cs="Arial" w:eastAsia="Arial" w:hAnsi="Arial"/>
                <w:sz w:val="13"/>
                <w:szCs w:val="13"/>
                <w:color w:val="auto"/>
              </w:rPr>
              <w:t>1,134</w:t>
            </w:r>
          </w:p>
        </w:tc>
        <w:tc>
          <w:tcPr>
            <w:tcW w:w="0" w:type="dxa"/>
            <w:vAlign w:val="bottom"/>
          </w:tcPr>
          <w:p>
            <w:pPr>
              <w:spacing w:after="0"/>
              <w:rPr>
                <w:sz w:val="1"/>
                <w:szCs w:val="1"/>
                <w:color w:val="auto"/>
              </w:rPr>
            </w:pPr>
          </w:p>
        </w:tc>
      </w:tr>
      <w:tr>
        <w:trPr>
          <w:trHeight w:val="170"/>
        </w:trPr>
        <w:tc>
          <w:tcPr>
            <w:tcW w:w="3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 based payment reserve</w:t>
            </w:r>
          </w:p>
        </w:tc>
        <w:tc>
          <w:tcPr>
            <w:tcW w:w="5280" w:type="dxa"/>
            <w:vAlign w:val="bottom"/>
            <w:shd w:val="clear" w:color="auto" w:fill="CCEEFF"/>
          </w:tcPr>
          <w:p>
            <w:pPr>
              <w:jc w:val="right"/>
              <w:ind w:right="296"/>
              <w:spacing w:after="0"/>
              <w:rPr>
                <w:sz w:val="20"/>
                <w:szCs w:val="20"/>
                <w:color w:val="auto"/>
              </w:rPr>
            </w:pPr>
            <w:r>
              <w:rPr>
                <w:rFonts w:ascii="Arial" w:cs="Arial" w:eastAsia="Arial" w:hAnsi="Arial"/>
                <w:sz w:val="13"/>
                <w:szCs w:val="13"/>
                <w:i w:val="1"/>
                <w:iCs w:val="1"/>
                <w:color w:val="auto"/>
              </w:rPr>
              <w:t>25</w:t>
            </w:r>
          </w:p>
        </w:tc>
        <w:tc>
          <w:tcPr>
            <w:tcW w:w="15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420,973</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179,569</w:t>
            </w:r>
          </w:p>
        </w:tc>
        <w:tc>
          <w:tcPr>
            <w:tcW w:w="0" w:type="dxa"/>
            <w:vAlign w:val="bottom"/>
          </w:tcPr>
          <w:p>
            <w:pPr>
              <w:spacing w:after="0"/>
              <w:rPr>
                <w:sz w:val="1"/>
                <w:szCs w:val="1"/>
                <w:color w:val="auto"/>
              </w:rPr>
            </w:pPr>
          </w:p>
        </w:tc>
      </w:tr>
      <w:tr>
        <w:trPr>
          <w:trHeight w:val="170"/>
        </w:trPr>
        <w:tc>
          <w:tcPr>
            <w:tcW w:w="3360" w:type="dxa"/>
            <w:vAlign w:val="bottom"/>
          </w:tcPr>
          <w:p>
            <w:pPr>
              <w:ind w:left="20"/>
              <w:spacing w:after="0"/>
              <w:rPr>
                <w:sz w:val="20"/>
                <w:szCs w:val="20"/>
                <w:color w:val="auto"/>
              </w:rPr>
            </w:pPr>
            <w:r>
              <w:rPr>
                <w:rFonts w:ascii="Arial" w:cs="Arial" w:eastAsia="Arial" w:hAnsi="Arial"/>
                <w:sz w:val="13"/>
                <w:szCs w:val="13"/>
                <w:color w:val="auto"/>
              </w:rPr>
              <w:t>Other reserves</w:t>
            </w:r>
          </w:p>
        </w:tc>
        <w:tc>
          <w:tcPr>
            <w:tcW w:w="5280" w:type="dxa"/>
            <w:vAlign w:val="bottom"/>
          </w:tcPr>
          <w:p>
            <w:pPr>
              <w:jc w:val="right"/>
              <w:ind w:right="296"/>
              <w:spacing w:after="0"/>
              <w:rPr>
                <w:sz w:val="20"/>
                <w:szCs w:val="20"/>
                <w:color w:val="auto"/>
              </w:rPr>
            </w:pPr>
            <w:r>
              <w:rPr>
                <w:rFonts w:ascii="Arial" w:cs="Arial" w:eastAsia="Arial" w:hAnsi="Arial"/>
                <w:sz w:val="13"/>
                <w:szCs w:val="13"/>
                <w:i w:val="1"/>
                <w:iCs w:val="1"/>
                <w:color w:val="auto"/>
              </w:rPr>
              <w:t>25</w:t>
            </w:r>
          </w:p>
        </w:tc>
        <w:tc>
          <w:tcPr>
            <w:tcW w:w="1500" w:type="dxa"/>
            <w:vAlign w:val="bottom"/>
          </w:tcPr>
          <w:p>
            <w:pPr>
              <w:jc w:val="right"/>
              <w:ind w:right="336"/>
              <w:spacing w:after="0"/>
              <w:rPr>
                <w:sz w:val="20"/>
                <w:szCs w:val="20"/>
                <w:color w:val="auto"/>
              </w:rPr>
            </w:pPr>
            <w:r>
              <w:rPr>
                <w:rFonts w:ascii="Arial" w:cs="Arial" w:eastAsia="Arial" w:hAnsi="Arial"/>
                <w:sz w:val="13"/>
                <w:szCs w:val="13"/>
                <w:b w:val="1"/>
                <w:bCs w:val="1"/>
                <w:color w:val="auto"/>
              </w:rPr>
              <w:t>12,438</w:t>
            </w:r>
          </w:p>
        </w:tc>
        <w:tc>
          <w:tcPr>
            <w:tcW w:w="1140" w:type="dxa"/>
            <w:vAlign w:val="bottom"/>
          </w:tcPr>
          <w:p>
            <w:pPr>
              <w:jc w:val="right"/>
              <w:spacing w:after="0"/>
              <w:rPr>
                <w:sz w:val="20"/>
                <w:szCs w:val="20"/>
                <w:color w:val="auto"/>
              </w:rPr>
            </w:pPr>
            <w:r>
              <w:rPr>
                <w:rFonts w:ascii="Arial" w:cs="Arial" w:eastAsia="Arial" w:hAnsi="Arial"/>
                <w:sz w:val="13"/>
                <w:szCs w:val="13"/>
                <w:color w:val="auto"/>
              </w:rPr>
              <w:t>11,966</w:t>
            </w:r>
          </w:p>
        </w:tc>
        <w:tc>
          <w:tcPr>
            <w:tcW w:w="0" w:type="dxa"/>
            <w:vAlign w:val="bottom"/>
          </w:tcPr>
          <w:p>
            <w:pPr>
              <w:spacing w:after="0"/>
              <w:rPr>
                <w:sz w:val="1"/>
                <w:szCs w:val="1"/>
                <w:color w:val="auto"/>
              </w:rPr>
            </w:pPr>
          </w:p>
        </w:tc>
      </w:tr>
      <w:tr>
        <w:trPr>
          <w:trHeight w:val="170"/>
        </w:trPr>
        <w:tc>
          <w:tcPr>
            <w:tcW w:w="3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Foreign currency translation reserve</w:t>
            </w:r>
          </w:p>
        </w:tc>
        <w:tc>
          <w:tcPr>
            <w:tcW w:w="5280" w:type="dxa"/>
            <w:vAlign w:val="bottom"/>
            <w:shd w:val="clear" w:color="auto" w:fill="CCEEFF"/>
          </w:tcPr>
          <w:p>
            <w:pPr>
              <w:jc w:val="right"/>
              <w:ind w:right="296"/>
              <w:spacing w:after="0"/>
              <w:rPr>
                <w:sz w:val="20"/>
                <w:szCs w:val="20"/>
                <w:color w:val="auto"/>
              </w:rPr>
            </w:pPr>
            <w:r>
              <w:rPr>
                <w:rFonts w:ascii="Arial" w:cs="Arial" w:eastAsia="Arial" w:hAnsi="Arial"/>
                <w:sz w:val="13"/>
                <w:szCs w:val="13"/>
                <w:i w:val="1"/>
                <w:iCs w:val="1"/>
                <w:color w:val="auto"/>
              </w:rPr>
              <w:t>25</w:t>
            </w:r>
          </w:p>
        </w:tc>
        <w:tc>
          <w:tcPr>
            <w:tcW w:w="150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(86,621)</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(24,966)</w:t>
            </w:r>
          </w:p>
        </w:tc>
        <w:tc>
          <w:tcPr>
            <w:tcW w:w="0" w:type="dxa"/>
            <w:vAlign w:val="bottom"/>
          </w:tcPr>
          <w:p>
            <w:pPr>
              <w:spacing w:after="0"/>
              <w:rPr>
                <w:sz w:val="1"/>
                <w:szCs w:val="1"/>
                <w:color w:val="auto"/>
              </w:rPr>
            </w:pPr>
          </w:p>
        </w:tc>
      </w:tr>
      <w:tr>
        <w:trPr>
          <w:trHeight w:val="170"/>
        </w:trPr>
        <w:tc>
          <w:tcPr>
            <w:tcW w:w="3360" w:type="dxa"/>
            <w:vAlign w:val="bottom"/>
          </w:tcPr>
          <w:p>
            <w:pPr>
              <w:ind w:left="20"/>
              <w:spacing w:after="0"/>
              <w:rPr>
                <w:sz w:val="20"/>
                <w:szCs w:val="20"/>
                <w:color w:val="auto"/>
              </w:rPr>
            </w:pPr>
            <w:r>
              <w:rPr>
                <w:rFonts w:ascii="Arial" w:cs="Arial" w:eastAsia="Arial" w:hAnsi="Arial"/>
                <w:sz w:val="13"/>
                <w:szCs w:val="13"/>
                <w:color w:val="auto"/>
              </w:rPr>
              <w:t>Merger reserve</w:t>
            </w:r>
          </w:p>
        </w:tc>
        <w:tc>
          <w:tcPr>
            <w:tcW w:w="5280" w:type="dxa"/>
            <w:vAlign w:val="bottom"/>
          </w:tcPr>
          <w:p>
            <w:pPr>
              <w:jc w:val="right"/>
              <w:ind w:right="296"/>
              <w:spacing w:after="0"/>
              <w:rPr>
                <w:sz w:val="20"/>
                <w:szCs w:val="20"/>
                <w:color w:val="auto"/>
              </w:rPr>
            </w:pPr>
            <w:r>
              <w:rPr>
                <w:rFonts w:ascii="Arial" w:cs="Arial" w:eastAsia="Arial" w:hAnsi="Arial"/>
                <w:sz w:val="13"/>
                <w:szCs w:val="13"/>
                <w:i w:val="1"/>
                <w:iCs w:val="1"/>
                <w:color w:val="auto"/>
              </w:rPr>
              <w:t>25</w:t>
            </w:r>
          </w:p>
        </w:tc>
        <w:tc>
          <w:tcPr>
            <w:tcW w:w="1500" w:type="dxa"/>
            <w:vAlign w:val="bottom"/>
          </w:tcPr>
          <w:p>
            <w:pPr>
              <w:jc w:val="right"/>
              <w:ind w:right="336"/>
              <w:spacing w:after="0"/>
              <w:rPr>
                <w:sz w:val="20"/>
                <w:szCs w:val="20"/>
                <w:color w:val="auto"/>
              </w:rPr>
            </w:pPr>
            <w:r>
              <w:rPr>
                <w:rFonts w:ascii="Arial" w:cs="Arial" w:eastAsia="Arial" w:hAnsi="Arial"/>
                <w:sz w:val="13"/>
                <w:szCs w:val="13"/>
                <w:b w:val="1"/>
                <w:bCs w:val="1"/>
                <w:color w:val="auto"/>
              </w:rPr>
              <w:t>5,656,195</w:t>
            </w: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3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Retained earnings</w:t>
            </w:r>
          </w:p>
        </w:tc>
        <w:tc>
          <w:tcPr>
            <w:tcW w:w="528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i w:val="1"/>
                <w:iCs w:val="1"/>
                <w:color w:val="auto"/>
              </w:rPr>
              <w:t>25</w:t>
            </w:r>
          </w:p>
        </w:tc>
        <w:tc>
          <w:tcPr>
            <w:tcW w:w="150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1,730,190</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1,389,982</w:t>
            </w:r>
          </w:p>
        </w:tc>
        <w:tc>
          <w:tcPr>
            <w:tcW w:w="0" w:type="dxa"/>
            <w:vAlign w:val="bottom"/>
          </w:tcPr>
          <w:p>
            <w:pPr>
              <w:spacing w:after="0"/>
              <w:rPr>
                <w:sz w:val="1"/>
                <w:szCs w:val="1"/>
                <w:color w:val="auto"/>
              </w:rPr>
            </w:pPr>
          </w:p>
        </w:tc>
      </w:tr>
      <w:tr>
        <w:trPr>
          <w:trHeight w:val="160"/>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8"/>
              </w:rPr>
              <w:t>Total equity attributable to the owners of the Company</w:t>
            </w:r>
          </w:p>
        </w:tc>
        <w:tc>
          <w:tcPr>
            <w:tcW w:w="52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8,177,865</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1,880,669</w:t>
            </w:r>
          </w:p>
        </w:tc>
        <w:tc>
          <w:tcPr>
            <w:tcW w:w="0" w:type="dxa"/>
            <w:vAlign w:val="bottom"/>
          </w:tcPr>
          <w:p>
            <w:pPr>
              <w:spacing w:after="0"/>
              <w:rPr>
                <w:sz w:val="1"/>
                <w:szCs w:val="1"/>
                <w:color w:val="auto"/>
              </w:rPr>
            </w:pPr>
          </w:p>
        </w:tc>
      </w:tr>
      <w:tr>
        <w:trPr>
          <w:trHeight w:val="170"/>
        </w:trPr>
        <w:tc>
          <w:tcPr>
            <w:tcW w:w="33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LIABILITIES</w:t>
            </w:r>
          </w:p>
        </w:tc>
        <w:tc>
          <w:tcPr>
            <w:tcW w:w="52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60" w:type="dxa"/>
            <w:vAlign w:val="bottom"/>
          </w:tcPr>
          <w:p>
            <w:pPr>
              <w:ind w:left="20"/>
              <w:spacing w:after="0"/>
              <w:rPr>
                <w:sz w:val="20"/>
                <w:szCs w:val="20"/>
                <w:color w:val="auto"/>
              </w:rPr>
            </w:pPr>
            <w:r>
              <w:rPr>
                <w:rFonts w:ascii="Arial" w:cs="Arial" w:eastAsia="Arial" w:hAnsi="Arial"/>
                <w:sz w:val="13"/>
                <w:szCs w:val="13"/>
                <w:b w:val="1"/>
                <w:bCs w:val="1"/>
                <w:color w:val="auto"/>
              </w:rPr>
              <w:t>Non-current liabilities</w:t>
            </w:r>
          </w:p>
        </w:tc>
        <w:tc>
          <w:tcPr>
            <w:tcW w:w="5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Non-current bank credit lines and loan facilities</w:t>
            </w:r>
          </w:p>
        </w:tc>
        <w:tc>
          <w:tcPr>
            <w:tcW w:w="5280" w:type="dxa"/>
            <w:vAlign w:val="bottom"/>
            <w:shd w:val="clear" w:color="auto" w:fill="CCEEFF"/>
          </w:tcPr>
          <w:p>
            <w:pPr>
              <w:jc w:val="right"/>
              <w:ind w:right="296"/>
              <w:spacing w:after="0"/>
              <w:rPr>
                <w:sz w:val="20"/>
                <w:szCs w:val="20"/>
                <w:color w:val="auto"/>
              </w:rPr>
            </w:pPr>
            <w:r>
              <w:rPr>
                <w:rFonts w:ascii="Arial" w:cs="Arial" w:eastAsia="Arial" w:hAnsi="Arial"/>
                <w:sz w:val="13"/>
                <w:szCs w:val="13"/>
                <w:i w:val="1"/>
                <w:iCs w:val="1"/>
                <w:color w:val="auto"/>
              </w:rPr>
              <w:t>23</w:t>
            </w:r>
          </w:p>
        </w:tc>
        <w:tc>
          <w:tcPr>
            <w:tcW w:w="15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5,381,162</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348,477</w:t>
            </w:r>
          </w:p>
        </w:tc>
        <w:tc>
          <w:tcPr>
            <w:tcW w:w="0" w:type="dxa"/>
            <w:vAlign w:val="bottom"/>
          </w:tcPr>
          <w:p>
            <w:pPr>
              <w:spacing w:after="0"/>
              <w:rPr>
                <w:sz w:val="1"/>
                <w:szCs w:val="1"/>
                <w:color w:val="auto"/>
              </w:rPr>
            </w:pPr>
          </w:p>
        </w:tc>
      </w:tr>
      <w:tr>
        <w:trPr>
          <w:trHeight w:val="170"/>
        </w:trPr>
        <w:tc>
          <w:tcPr>
            <w:tcW w:w="3360" w:type="dxa"/>
            <w:vAlign w:val="bottom"/>
          </w:tcPr>
          <w:p>
            <w:pPr>
              <w:ind w:left="20"/>
              <w:spacing w:after="0"/>
              <w:rPr>
                <w:sz w:val="20"/>
                <w:szCs w:val="20"/>
                <w:color w:val="auto"/>
              </w:rPr>
            </w:pPr>
            <w:r>
              <w:rPr>
                <w:rFonts w:ascii="Arial" w:cs="Arial" w:eastAsia="Arial" w:hAnsi="Arial"/>
                <w:sz w:val="13"/>
                <w:szCs w:val="13"/>
                <w:color w:val="auto"/>
              </w:rPr>
              <w:t>Non-current lease liabilities</w:t>
            </w:r>
          </w:p>
        </w:tc>
        <w:tc>
          <w:tcPr>
            <w:tcW w:w="5280" w:type="dxa"/>
            <w:vAlign w:val="bottom"/>
          </w:tcPr>
          <w:p>
            <w:pPr>
              <w:jc w:val="right"/>
              <w:ind w:right="296"/>
              <w:spacing w:after="0"/>
              <w:rPr>
                <w:sz w:val="20"/>
                <w:szCs w:val="20"/>
                <w:color w:val="auto"/>
              </w:rPr>
            </w:pPr>
            <w:r>
              <w:rPr>
                <w:rFonts w:ascii="Arial" w:cs="Arial" w:eastAsia="Arial" w:hAnsi="Arial"/>
                <w:sz w:val="13"/>
                <w:szCs w:val="13"/>
                <w:i w:val="1"/>
                <w:iCs w:val="1"/>
                <w:color w:val="auto"/>
              </w:rPr>
              <w:t>27</w:t>
            </w:r>
          </w:p>
        </w:tc>
        <w:tc>
          <w:tcPr>
            <w:tcW w:w="1500" w:type="dxa"/>
            <w:vAlign w:val="bottom"/>
          </w:tcPr>
          <w:p>
            <w:pPr>
              <w:jc w:val="right"/>
              <w:ind w:right="336"/>
              <w:spacing w:after="0"/>
              <w:rPr>
                <w:sz w:val="20"/>
                <w:szCs w:val="20"/>
                <w:color w:val="auto"/>
              </w:rPr>
            </w:pPr>
            <w:r>
              <w:rPr>
                <w:rFonts w:ascii="Arial" w:cs="Arial" w:eastAsia="Arial" w:hAnsi="Arial"/>
                <w:sz w:val="13"/>
                <w:szCs w:val="13"/>
                <w:b w:val="1"/>
                <w:bCs w:val="1"/>
                <w:color w:val="auto"/>
              </w:rPr>
              <w:t>161,096</w:t>
            </w:r>
          </w:p>
        </w:tc>
        <w:tc>
          <w:tcPr>
            <w:tcW w:w="1140" w:type="dxa"/>
            <w:vAlign w:val="bottom"/>
          </w:tcPr>
          <w:p>
            <w:pPr>
              <w:jc w:val="right"/>
              <w:spacing w:after="0"/>
              <w:rPr>
                <w:sz w:val="20"/>
                <w:szCs w:val="20"/>
                <w:color w:val="auto"/>
              </w:rPr>
            </w:pPr>
            <w:r>
              <w:rPr>
                <w:rFonts w:ascii="Arial" w:cs="Arial" w:eastAsia="Arial" w:hAnsi="Arial"/>
                <w:sz w:val="13"/>
                <w:szCs w:val="13"/>
                <w:color w:val="auto"/>
              </w:rPr>
              <w:t>60,801</w:t>
            </w:r>
          </w:p>
        </w:tc>
        <w:tc>
          <w:tcPr>
            <w:tcW w:w="0" w:type="dxa"/>
            <w:vAlign w:val="bottom"/>
          </w:tcPr>
          <w:p>
            <w:pPr>
              <w:spacing w:after="0"/>
              <w:rPr>
                <w:sz w:val="1"/>
                <w:szCs w:val="1"/>
                <w:color w:val="auto"/>
              </w:rPr>
            </w:pPr>
          </w:p>
        </w:tc>
      </w:tr>
      <w:tr>
        <w:trPr>
          <w:trHeight w:val="170"/>
        </w:trPr>
        <w:tc>
          <w:tcPr>
            <w:tcW w:w="3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Non-current other liabilities</w:t>
            </w:r>
          </w:p>
        </w:tc>
        <w:tc>
          <w:tcPr>
            <w:tcW w:w="5280" w:type="dxa"/>
            <w:vAlign w:val="bottom"/>
            <w:shd w:val="clear" w:color="auto" w:fill="CCEEFF"/>
          </w:tcPr>
          <w:p>
            <w:pPr>
              <w:jc w:val="right"/>
              <w:ind w:right="296"/>
              <w:spacing w:after="0"/>
              <w:rPr>
                <w:sz w:val="20"/>
                <w:szCs w:val="20"/>
                <w:color w:val="auto"/>
              </w:rPr>
            </w:pPr>
            <w:r>
              <w:rPr>
                <w:rFonts w:ascii="Arial" w:cs="Arial" w:eastAsia="Arial" w:hAnsi="Arial"/>
                <w:sz w:val="13"/>
                <w:szCs w:val="13"/>
                <w:i w:val="1"/>
                <w:iCs w:val="1"/>
                <w:color w:val="auto"/>
              </w:rPr>
              <w:t>20</w:t>
            </w:r>
          </w:p>
        </w:tc>
        <w:tc>
          <w:tcPr>
            <w:tcW w:w="15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35,221</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23,675</w:t>
            </w:r>
          </w:p>
        </w:tc>
        <w:tc>
          <w:tcPr>
            <w:tcW w:w="0" w:type="dxa"/>
            <w:vAlign w:val="bottom"/>
          </w:tcPr>
          <w:p>
            <w:pPr>
              <w:spacing w:after="0"/>
              <w:rPr>
                <w:sz w:val="1"/>
                <w:szCs w:val="1"/>
                <w:color w:val="auto"/>
              </w:rPr>
            </w:pPr>
          </w:p>
        </w:tc>
      </w:tr>
      <w:tr>
        <w:trPr>
          <w:trHeight w:val="170"/>
        </w:trPr>
        <w:tc>
          <w:tcPr>
            <w:tcW w:w="3360" w:type="dxa"/>
            <w:vAlign w:val="bottom"/>
          </w:tcPr>
          <w:p>
            <w:pPr>
              <w:ind w:left="20"/>
              <w:spacing w:after="0"/>
              <w:rPr>
                <w:sz w:val="20"/>
                <w:szCs w:val="20"/>
                <w:color w:val="auto"/>
              </w:rPr>
            </w:pPr>
            <w:r>
              <w:rPr>
                <w:rFonts w:ascii="Arial" w:cs="Arial" w:eastAsia="Arial" w:hAnsi="Arial"/>
                <w:sz w:val="13"/>
                <w:szCs w:val="13"/>
                <w:color w:val="auto"/>
              </w:rPr>
              <w:t>Non-current provisions</w:t>
            </w:r>
          </w:p>
        </w:tc>
        <w:tc>
          <w:tcPr>
            <w:tcW w:w="5280" w:type="dxa"/>
            <w:vAlign w:val="bottom"/>
          </w:tcPr>
          <w:p>
            <w:pPr>
              <w:jc w:val="right"/>
              <w:ind w:right="296"/>
              <w:spacing w:after="0"/>
              <w:rPr>
                <w:sz w:val="20"/>
                <w:szCs w:val="20"/>
                <w:color w:val="auto"/>
              </w:rPr>
            </w:pPr>
            <w:r>
              <w:rPr>
                <w:rFonts w:ascii="Arial" w:cs="Arial" w:eastAsia="Arial" w:hAnsi="Arial"/>
                <w:sz w:val="13"/>
                <w:szCs w:val="13"/>
                <w:i w:val="1"/>
                <w:iCs w:val="1"/>
                <w:color w:val="auto"/>
              </w:rPr>
              <w:t>8</w:t>
            </w:r>
          </w:p>
        </w:tc>
        <w:tc>
          <w:tcPr>
            <w:tcW w:w="1500" w:type="dxa"/>
            <w:vAlign w:val="bottom"/>
          </w:tcPr>
          <w:p>
            <w:pPr>
              <w:jc w:val="right"/>
              <w:ind w:right="336"/>
              <w:spacing w:after="0"/>
              <w:rPr>
                <w:sz w:val="20"/>
                <w:szCs w:val="20"/>
                <w:color w:val="auto"/>
              </w:rPr>
            </w:pPr>
            <w:r>
              <w:rPr>
                <w:rFonts w:ascii="Arial" w:cs="Arial" w:eastAsia="Arial" w:hAnsi="Arial"/>
                <w:sz w:val="13"/>
                <w:szCs w:val="13"/>
                <w:b w:val="1"/>
                <w:bCs w:val="1"/>
                <w:color w:val="auto"/>
              </w:rPr>
              <w:t>7,377</w:t>
            </w:r>
          </w:p>
        </w:tc>
        <w:tc>
          <w:tcPr>
            <w:tcW w:w="1140" w:type="dxa"/>
            <w:vAlign w:val="bottom"/>
          </w:tcPr>
          <w:p>
            <w:pPr>
              <w:jc w:val="right"/>
              <w:spacing w:after="0"/>
              <w:rPr>
                <w:sz w:val="20"/>
                <w:szCs w:val="20"/>
                <w:color w:val="auto"/>
              </w:rPr>
            </w:pPr>
            <w:r>
              <w:rPr>
                <w:rFonts w:ascii="Arial" w:cs="Arial" w:eastAsia="Arial" w:hAnsi="Arial"/>
                <w:sz w:val="13"/>
                <w:szCs w:val="13"/>
                <w:color w:val="auto"/>
              </w:rPr>
              <w:t>3,529</w:t>
            </w:r>
          </w:p>
        </w:tc>
        <w:tc>
          <w:tcPr>
            <w:tcW w:w="0" w:type="dxa"/>
            <w:vAlign w:val="bottom"/>
          </w:tcPr>
          <w:p>
            <w:pPr>
              <w:spacing w:after="0"/>
              <w:rPr>
                <w:sz w:val="1"/>
                <w:szCs w:val="1"/>
                <w:color w:val="auto"/>
              </w:rPr>
            </w:pPr>
          </w:p>
        </w:tc>
      </w:tr>
      <w:tr>
        <w:trPr>
          <w:trHeight w:val="170"/>
        </w:trPr>
        <w:tc>
          <w:tcPr>
            <w:tcW w:w="3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Deferred tax liabilities</w:t>
            </w:r>
          </w:p>
        </w:tc>
        <w:tc>
          <w:tcPr>
            <w:tcW w:w="528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i w:val="1"/>
                <w:iCs w:val="1"/>
                <w:color w:val="auto"/>
              </w:rPr>
              <w:t>6</w:t>
            </w:r>
          </w:p>
        </w:tc>
        <w:tc>
          <w:tcPr>
            <w:tcW w:w="150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1,085,742</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10,166</w:t>
            </w:r>
          </w:p>
        </w:tc>
        <w:tc>
          <w:tcPr>
            <w:tcW w:w="0" w:type="dxa"/>
            <w:vAlign w:val="bottom"/>
          </w:tcPr>
          <w:p>
            <w:pPr>
              <w:spacing w:after="0"/>
              <w:rPr>
                <w:sz w:val="1"/>
                <w:szCs w:val="1"/>
                <w:color w:val="auto"/>
              </w:rPr>
            </w:pPr>
          </w:p>
        </w:tc>
      </w:tr>
      <w:tr>
        <w:trPr>
          <w:trHeight w:val="160"/>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non-current liabilities</w:t>
            </w:r>
          </w:p>
        </w:tc>
        <w:tc>
          <w:tcPr>
            <w:tcW w:w="52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6,670,598</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446,648</w:t>
            </w:r>
          </w:p>
        </w:tc>
        <w:tc>
          <w:tcPr>
            <w:tcW w:w="0" w:type="dxa"/>
            <w:vAlign w:val="bottom"/>
          </w:tcPr>
          <w:p>
            <w:pPr>
              <w:spacing w:after="0"/>
              <w:rPr>
                <w:sz w:val="1"/>
                <w:szCs w:val="1"/>
                <w:color w:val="auto"/>
              </w:rPr>
            </w:pPr>
          </w:p>
        </w:tc>
      </w:tr>
      <w:tr>
        <w:trPr>
          <w:trHeight w:val="160"/>
        </w:trPr>
        <w:tc>
          <w:tcPr>
            <w:tcW w:w="33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Current liabilities</w:t>
            </w:r>
          </w:p>
        </w:tc>
        <w:tc>
          <w:tcPr>
            <w:tcW w:w="528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360" w:type="dxa"/>
            <w:vAlign w:val="bottom"/>
          </w:tcPr>
          <w:p>
            <w:pPr>
              <w:ind w:left="20"/>
              <w:spacing w:after="0"/>
              <w:rPr>
                <w:sz w:val="20"/>
                <w:szCs w:val="20"/>
                <w:color w:val="auto"/>
              </w:rPr>
            </w:pPr>
            <w:r>
              <w:rPr>
                <w:rFonts w:ascii="Arial" w:cs="Arial" w:eastAsia="Arial" w:hAnsi="Arial"/>
                <w:sz w:val="13"/>
                <w:szCs w:val="13"/>
                <w:color w:val="auto"/>
              </w:rPr>
              <w:t>Accounts payable</w:t>
            </w:r>
          </w:p>
        </w:tc>
        <w:tc>
          <w:tcPr>
            <w:tcW w:w="5280" w:type="dxa"/>
            <w:vAlign w:val="bottom"/>
          </w:tcPr>
          <w:p>
            <w:pPr>
              <w:spacing w:after="0"/>
              <w:rPr>
                <w:sz w:val="14"/>
                <w:szCs w:val="14"/>
                <w:color w:val="auto"/>
              </w:rPr>
            </w:pPr>
          </w:p>
        </w:tc>
        <w:tc>
          <w:tcPr>
            <w:tcW w:w="1500" w:type="dxa"/>
            <w:vAlign w:val="bottom"/>
          </w:tcPr>
          <w:p>
            <w:pPr>
              <w:jc w:val="right"/>
              <w:ind w:right="336"/>
              <w:spacing w:after="0"/>
              <w:rPr>
                <w:sz w:val="20"/>
                <w:szCs w:val="20"/>
                <w:color w:val="auto"/>
              </w:rPr>
            </w:pPr>
            <w:r>
              <w:rPr>
                <w:rFonts w:ascii="Arial" w:cs="Arial" w:eastAsia="Arial" w:hAnsi="Arial"/>
                <w:sz w:val="13"/>
                <w:szCs w:val="13"/>
                <w:b w:val="1"/>
                <w:bCs w:val="1"/>
                <w:color w:val="auto"/>
              </w:rPr>
              <w:t>90,764</w:t>
            </w:r>
          </w:p>
        </w:tc>
        <w:tc>
          <w:tcPr>
            <w:tcW w:w="1140" w:type="dxa"/>
            <w:vAlign w:val="bottom"/>
          </w:tcPr>
          <w:p>
            <w:pPr>
              <w:jc w:val="right"/>
              <w:spacing w:after="0"/>
              <w:rPr>
                <w:sz w:val="20"/>
                <w:szCs w:val="20"/>
                <w:color w:val="auto"/>
              </w:rPr>
            </w:pPr>
            <w:r>
              <w:rPr>
                <w:rFonts w:ascii="Arial" w:cs="Arial" w:eastAsia="Arial" w:hAnsi="Arial"/>
                <w:sz w:val="13"/>
                <w:szCs w:val="13"/>
                <w:color w:val="auto"/>
              </w:rPr>
              <w:t>51,113</w:t>
            </w:r>
          </w:p>
        </w:tc>
        <w:tc>
          <w:tcPr>
            <w:tcW w:w="0" w:type="dxa"/>
            <w:vAlign w:val="bottom"/>
          </w:tcPr>
          <w:p>
            <w:pPr>
              <w:spacing w:after="0"/>
              <w:rPr>
                <w:sz w:val="1"/>
                <w:szCs w:val="1"/>
                <w:color w:val="auto"/>
              </w:rPr>
            </w:pPr>
          </w:p>
        </w:tc>
      </w:tr>
      <w:tr>
        <w:trPr>
          <w:trHeight w:val="170"/>
        </w:trPr>
        <w:tc>
          <w:tcPr>
            <w:tcW w:w="3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Unearned revenue</w:t>
            </w:r>
          </w:p>
        </w:tc>
        <w:tc>
          <w:tcPr>
            <w:tcW w:w="5280" w:type="dxa"/>
            <w:vAlign w:val="bottom"/>
            <w:shd w:val="clear" w:color="auto" w:fill="CCEEFF"/>
          </w:tcPr>
          <w:p>
            <w:pPr>
              <w:jc w:val="right"/>
              <w:ind w:right="336"/>
              <w:spacing w:after="0"/>
              <w:rPr>
                <w:sz w:val="20"/>
                <w:szCs w:val="20"/>
                <w:color w:val="auto"/>
              </w:rPr>
            </w:pPr>
            <w:r>
              <w:rPr>
                <w:rFonts w:ascii="Arial" w:cs="Arial" w:eastAsia="Arial" w:hAnsi="Arial"/>
                <w:sz w:val="13"/>
                <w:szCs w:val="13"/>
                <w:i w:val="1"/>
                <w:iCs w:val="1"/>
                <w:color w:val="auto"/>
              </w:rPr>
              <w:t>16</w:t>
            </w:r>
          </w:p>
        </w:tc>
        <w:tc>
          <w:tcPr>
            <w:tcW w:w="15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1,315,961</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660,883</w:t>
            </w:r>
          </w:p>
        </w:tc>
        <w:tc>
          <w:tcPr>
            <w:tcW w:w="0" w:type="dxa"/>
            <w:vAlign w:val="bottom"/>
          </w:tcPr>
          <w:p>
            <w:pPr>
              <w:spacing w:after="0"/>
              <w:rPr>
                <w:sz w:val="1"/>
                <w:szCs w:val="1"/>
                <w:color w:val="auto"/>
              </w:rPr>
            </w:pPr>
          </w:p>
        </w:tc>
      </w:tr>
      <w:tr>
        <w:trPr>
          <w:trHeight w:val="170"/>
        </w:trPr>
        <w:tc>
          <w:tcPr>
            <w:tcW w:w="3360" w:type="dxa"/>
            <w:vAlign w:val="bottom"/>
          </w:tcPr>
          <w:p>
            <w:pPr>
              <w:ind w:left="20"/>
              <w:spacing w:after="0"/>
              <w:rPr>
                <w:sz w:val="20"/>
                <w:szCs w:val="20"/>
                <w:color w:val="auto"/>
              </w:rPr>
            </w:pPr>
            <w:r>
              <w:rPr>
                <w:rFonts w:ascii="Arial" w:cs="Arial" w:eastAsia="Arial" w:hAnsi="Arial"/>
                <w:sz w:val="13"/>
                <w:szCs w:val="13"/>
                <w:color w:val="auto"/>
              </w:rPr>
              <w:t>Accrued and other liabilities</w:t>
            </w:r>
          </w:p>
        </w:tc>
        <w:tc>
          <w:tcPr>
            <w:tcW w:w="5280" w:type="dxa"/>
            <w:vAlign w:val="bottom"/>
          </w:tcPr>
          <w:p>
            <w:pPr>
              <w:jc w:val="right"/>
              <w:ind w:right="296"/>
              <w:spacing w:after="0"/>
              <w:rPr>
                <w:sz w:val="20"/>
                <w:szCs w:val="20"/>
                <w:color w:val="auto"/>
              </w:rPr>
            </w:pPr>
            <w:r>
              <w:rPr>
                <w:rFonts w:ascii="Arial" w:cs="Arial" w:eastAsia="Arial" w:hAnsi="Arial"/>
                <w:sz w:val="13"/>
                <w:szCs w:val="13"/>
                <w:i w:val="1"/>
                <w:iCs w:val="1"/>
                <w:color w:val="auto"/>
              </w:rPr>
              <w:t>20</w:t>
            </w:r>
          </w:p>
        </w:tc>
        <w:tc>
          <w:tcPr>
            <w:tcW w:w="1500" w:type="dxa"/>
            <w:vAlign w:val="bottom"/>
          </w:tcPr>
          <w:p>
            <w:pPr>
              <w:jc w:val="right"/>
              <w:ind w:right="336"/>
              <w:spacing w:after="0"/>
              <w:rPr>
                <w:sz w:val="20"/>
                <w:szCs w:val="20"/>
                <w:color w:val="auto"/>
              </w:rPr>
            </w:pPr>
            <w:r>
              <w:rPr>
                <w:rFonts w:ascii="Arial" w:cs="Arial" w:eastAsia="Arial" w:hAnsi="Arial"/>
                <w:sz w:val="13"/>
                <w:szCs w:val="13"/>
                <w:b w:val="1"/>
                <w:bCs w:val="1"/>
                <w:color w:val="auto"/>
              </w:rPr>
              <w:t>946,503</w:t>
            </w:r>
          </w:p>
        </w:tc>
        <w:tc>
          <w:tcPr>
            <w:tcW w:w="1140" w:type="dxa"/>
            <w:vAlign w:val="bottom"/>
          </w:tcPr>
          <w:p>
            <w:pPr>
              <w:jc w:val="right"/>
              <w:spacing w:after="0"/>
              <w:rPr>
                <w:sz w:val="20"/>
                <w:szCs w:val="20"/>
                <w:color w:val="auto"/>
              </w:rPr>
            </w:pPr>
            <w:r>
              <w:rPr>
                <w:rFonts w:ascii="Arial" w:cs="Arial" w:eastAsia="Arial" w:hAnsi="Arial"/>
                <w:sz w:val="13"/>
                <w:szCs w:val="13"/>
                <w:color w:val="auto"/>
              </w:rPr>
              <w:t>392,550</w:t>
            </w:r>
          </w:p>
        </w:tc>
        <w:tc>
          <w:tcPr>
            <w:tcW w:w="0" w:type="dxa"/>
            <w:vAlign w:val="bottom"/>
          </w:tcPr>
          <w:p>
            <w:pPr>
              <w:spacing w:after="0"/>
              <w:rPr>
                <w:sz w:val="1"/>
                <w:szCs w:val="1"/>
                <w:color w:val="auto"/>
              </w:rPr>
            </w:pPr>
          </w:p>
        </w:tc>
      </w:tr>
      <w:tr>
        <w:trPr>
          <w:trHeight w:val="170"/>
        </w:trPr>
        <w:tc>
          <w:tcPr>
            <w:tcW w:w="3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Provisions</w:t>
            </w:r>
          </w:p>
        </w:tc>
        <w:tc>
          <w:tcPr>
            <w:tcW w:w="5280" w:type="dxa"/>
            <w:vAlign w:val="bottom"/>
            <w:shd w:val="clear" w:color="auto" w:fill="CCEEFF"/>
          </w:tcPr>
          <w:p>
            <w:pPr>
              <w:jc w:val="right"/>
              <w:ind w:right="296"/>
              <w:spacing w:after="0"/>
              <w:rPr>
                <w:sz w:val="20"/>
                <w:szCs w:val="20"/>
                <w:color w:val="auto"/>
              </w:rPr>
            </w:pPr>
            <w:r>
              <w:rPr>
                <w:rFonts w:ascii="Arial" w:cs="Arial" w:eastAsia="Arial" w:hAnsi="Arial"/>
                <w:sz w:val="13"/>
                <w:szCs w:val="13"/>
                <w:i w:val="1"/>
                <w:iCs w:val="1"/>
                <w:color w:val="auto"/>
              </w:rPr>
              <w:t>8</w:t>
            </w:r>
          </w:p>
        </w:tc>
        <w:tc>
          <w:tcPr>
            <w:tcW w:w="15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2,934</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7,219</w:t>
            </w:r>
          </w:p>
        </w:tc>
        <w:tc>
          <w:tcPr>
            <w:tcW w:w="0" w:type="dxa"/>
            <w:vAlign w:val="bottom"/>
          </w:tcPr>
          <w:p>
            <w:pPr>
              <w:spacing w:after="0"/>
              <w:rPr>
                <w:sz w:val="1"/>
                <w:szCs w:val="1"/>
                <w:color w:val="auto"/>
              </w:rPr>
            </w:pPr>
          </w:p>
        </w:tc>
      </w:tr>
      <w:tr>
        <w:trPr>
          <w:trHeight w:val="170"/>
        </w:trPr>
        <w:tc>
          <w:tcPr>
            <w:tcW w:w="3360" w:type="dxa"/>
            <w:vAlign w:val="bottom"/>
          </w:tcPr>
          <w:p>
            <w:pPr>
              <w:ind w:left="20"/>
              <w:spacing w:after="0"/>
              <w:rPr>
                <w:sz w:val="20"/>
                <w:szCs w:val="20"/>
                <w:color w:val="auto"/>
              </w:rPr>
            </w:pPr>
            <w:r>
              <w:rPr>
                <w:rFonts w:ascii="Arial" w:cs="Arial" w:eastAsia="Arial" w:hAnsi="Arial"/>
                <w:sz w:val="13"/>
                <w:szCs w:val="13"/>
                <w:color w:val="auto"/>
              </w:rPr>
              <w:t>Current tax payable</w:t>
            </w:r>
          </w:p>
        </w:tc>
        <w:tc>
          <w:tcPr>
            <w:tcW w:w="5280" w:type="dxa"/>
            <w:vAlign w:val="bottom"/>
          </w:tcPr>
          <w:p>
            <w:pPr>
              <w:spacing w:after="0"/>
              <w:rPr>
                <w:sz w:val="14"/>
                <w:szCs w:val="14"/>
                <w:color w:val="auto"/>
              </w:rPr>
            </w:pPr>
          </w:p>
        </w:tc>
        <w:tc>
          <w:tcPr>
            <w:tcW w:w="1500" w:type="dxa"/>
            <w:vAlign w:val="bottom"/>
          </w:tcPr>
          <w:p>
            <w:pPr>
              <w:jc w:val="right"/>
              <w:ind w:right="336"/>
              <w:spacing w:after="0"/>
              <w:rPr>
                <w:sz w:val="20"/>
                <w:szCs w:val="20"/>
                <w:color w:val="auto"/>
              </w:rPr>
            </w:pPr>
            <w:r>
              <w:rPr>
                <w:rFonts w:ascii="Arial" w:cs="Arial" w:eastAsia="Arial" w:hAnsi="Arial"/>
                <w:sz w:val="13"/>
                <w:szCs w:val="13"/>
                <w:b w:val="1"/>
                <w:bCs w:val="1"/>
                <w:color w:val="auto"/>
              </w:rPr>
              <w:t>231,542</w:t>
            </w:r>
          </w:p>
        </w:tc>
        <w:tc>
          <w:tcPr>
            <w:tcW w:w="1140" w:type="dxa"/>
            <w:vAlign w:val="bottom"/>
          </w:tcPr>
          <w:p>
            <w:pPr>
              <w:jc w:val="right"/>
              <w:spacing w:after="0"/>
              <w:rPr>
                <w:sz w:val="20"/>
                <w:szCs w:val="20"/>
                <w:color w:val="auto"/>
              </w:rPr>
            </w:pPr>
            <w:r>
              <w:rPr>
                <w:rFonts w:ascii="Arial" w:cs="Arial" w:eastAsia="Arial" w:hAnsi="Arial"/>
                <w:sz w:val="13"/>
                <w:szCs w:val="13"/>
                <w:color w:val="auto"/>
              </w:rPr>
              <w:t>26,717</w:t>
            </w:r>
          </w:p>
        </w:tc>
        <w:tc>
          <w:tcPr>
            <w:tcW w:w="0" w:type="dxa"/>
            <w:vAlign w:val="bottom"/>
          </w:tcPr>
          <w:p>
            <w:pPr>
              <w:spacing w:after="0"/>
              <w:rPr>
                <w:sz w:val="1"/>
                <w:szCs w:val="1"/>
                <w:color w:val="auto"/>
              </w:rPr>
            </w:pPr>
          </w:p>
        </w:tc>
      </w:tr>
      <w:tr>
        <w:trPr>
          <w:trHeight w:val="170"/>
        </w:trPr>
        <w:tc>
          <w:tcPr>
            <w:tcW w:w="3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Bank credit lines and loan facilities</w:t>
            </w:r>
          </w:p>
        </w:tc>
        <w:tc>
          <w:tcPr>
            <w:tcW w:w="528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i w:val="1"/>
                <w:iCs w:val="1"/>
                <w:color w:val="auto"/>
              </w:rPr>
              <w:t>23</w:t>
            </w:r>
          </w:p>
        </w:tc>
        <w:tc>
          <w:tcPr>
            <w:tcW w:w="150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55,150</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current liabilities</w:t>
            </w:r>
          </w:p>
        </w:tc>
        <w:tc>
          <w:tcPr>
            <w:tcW w:w="52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2,642,854</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1,138,482</w:t>
            </w:r>
          </w:p>
        </w:tc>
        <w:tc>
          <w:tcPr>
            <w:tcW w:w="0" w:type="dxa"/>
            <w:vAlign w:val="bottom"/>
          </w:tcPr>
          <w:p>
            <w:pPr>
              <w:spacing w:after="0"/>
              <w:rPr>
                <w:sz w:val="1"/>
                <w:szCs w:val="1"/>
                <w:color w:val="auto"/>
              </w:rPr>
            </w:pPr>
          </w:p>
        </w:tc>
      </w:tr>
      <w:tr>
        <w:trPr>
          <w:trHeight w:val="171"/>
        </w:trPr>
        <w:tc>
          <w:tcPr>
            <w:tcW w:w="3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liabilities</w:t>
            </w:r>
          </w:p>
        </w:tc>
        <w:tc>
          <w:tcPr>
            <w:tcW w:w="528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9,313,452</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1,585,130</w:t>
            </w:r>
          </w:p>
        </w:tc>
        <w:tc>
          <w:tcPr>
            <w:tcW w:w="0" w:type="dxa"/>
            <w:vAlign w:val="bottom"/>
          </w:tcPr>
          <w:p>
            <w:pPr>
              <w:spacing w:after="0"/>
              <w:rPr>
                <w:sz w:val="1"/>
                <w:szCs w:val="1"/>
                <w:color w:val="auto"/>
              </w:rPr>
            </w:pPr>
          </w:p>
        </w:tc>
      </w:tr>
      <w:tr>
        <w:trPr>
          <w:trHeight w:val="171"/>
        </w:trPr>
        <w:tc>
          <w:tcPr>
            <w:tcW w:w="864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Total equity and liabilities attributable to the owners of the company</w:t>
            </w:r>
          </w:p>
        </w:tc>
        <w:tc>
          <w:tcPr>
            <w:tcW w:w="150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17,491,317</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3,465,799</w:t>
            </w:r>
          </w:p>
        </w:tc>
        <w:tc>
          <w:tcPr>
            <w:tcW w:w="0" w:type="dxa"/>
            <w:vAlign w:val="bottom"/>
          </w:tcPr>
          <w:p>
            <w:pPr>
              <w:spacing w:after="0"/>
              <w:rPr>
                <w:sz w:val="1"/>
                <w:szCs w:val="1"/>
                <w:color w:val="auto"/>
              </w:rPr>
            </w:pPr>
          </w:p>
        </w:tc>
      </w:tr>
      <w:tr>
        <w:trPr>
          <w:trHeight w:val="428"/>
        </w:trPr>
        <w:tc>
          <w:tcPr>
            <w:tcW w:w="3360" w:type="dxa"/>
            <w:vAlign w:val="bottom"/>
          </w:tcPr>
          <w:p>
            <w:pPr>
              <w:spacing w:after="0"/>
              <w:rPr>
                <w:sz w:val="20"/>
                <w:szCs w:val="20"/>
                <w:color w:val="auto"/>
              </w:rPr>
            </w:pPr>
            <w:r>
              <w:rPr>
                <w:rFonts w:ascii="Arial" w:cs="Arial" w:eastAsia="Arial" w:hAnsi="Arial"/>
                <w:sz w:val="13"/>
                <w:szCs w:val="13"/>
                <w:b w:val="1"/>
                <w:bCs w:val="1"/>
                <w:color w:val="auto"/>
              </w:rPr>
              <w:t>On behalf of the Board</w:t>
            </w:r>
          </w:p>
        </w:tc>
        <w:tc>
          <w:tcPr>
            <w:tcW w:w="5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3360" w:type="dxa"/>
            <w:vAlign w:val="bottom"/>
          </w:tcPr>
          <w:p>
            <w:pPr>
              <w:ind w:left="20"/>
              <w:spacing w:after="0"/>
              <w:rPr>
                <w:sz w:val="20"/>
                <w:szCs w:val="20"/>
                <w:color w:val="auto"/>
              </w:rPr>
            </w:pPr>
            <w:r>
              <w:rPr>
                <w:rFonts w:ascii="Arial" w:cs="Arial" w:eastAsia="Arial" w:hAnsi="Arial"/>
                <w:sz w:val="13"/>
                <w:szCs w:val="13"/>
                <w:color w:val="auto"/>
              </w:rPr>
              <w:t>Steve Cutler</w:t>
            </w:r>
          </w:p>
        </w:tc>
        <w:tc>
          <w:tcPr>
            <w:tcW w:w="5280" w:type="dxa"/>
            <w:vAlign w:val="bottom"/>
          </w:tcPr>
          <w:p>
            <w:pPr>
              <w:ind w:left="60"/>
              <w:spacing w:after="0"/>
              <w:rPr>
                <w:sz w:val="20"/>
                <w:szCs w:val="20"/>
                <w:color w:val="auto"/>
              </w:rPr>
            </w:pPr>
            <w:r>
              <w:rPr>
                <w:rFonts w:ascii="Arial" w:cs="Arial" w:eastAsia="Arial" w:hAnsi="Arial"/>
                <w:sz w:val="13"/>
                <w:szCs w:val="13"/>
                <w:color w:val="auto"/>
              </w:rPr>
              <w:t>Rónán Murphy</w:t>
            </w:r>
          </w:p>
        </w:tc>
        <w:tc>
          <w:tcPr>
            <w:tcW w:w="15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360" w:type="dxa"/>
            <w:vAlign w:val="bottom"/>
          </w:tcPr>
          <w:p>
            <w:pPr>
              <w:ind w:left="20"/>
              <w:spacing w:after="0"/>
              <w:rPr>
                <w:sz w:val="20"/>
                <w:szCs w:val="20"/>
                <w:color w:val="auto"/>
              </w:rPr>
            </w:pPr>
            <w:r>
              <w:rPr>
                <w:rFonts w:ascii="Arial" w:cs="Arial" w:eastAsia="Arial" w:hAnsi="Arial"/>
                <w:sz w:val="13"/>
                <w:szCs w:val="13"/>
                <w:i w:val="1"/>
                <w:iCs w:val="1"/>
                <w:color w:val="auto"/>
              </w:rPr>
              <w:t>Chief Executive Officer</w:t>
            </w:r>
          </w:p>
        </w:tc>
        <w:tc>
          <w:tcPr>
            <w:tcW w:w="5280" w:type="dxa"/>
            <w:vAlign w:val="bottom"/>
          </w:tcPr>
          <w:p>
            <w:pPr>
              <w:ind w:left="60"/>
              <w:spacing w:after="0"/>
              <w:rPr>
                <w:sz w:val="20"/>
                <w:szCs w:val="20"/>
                <w:color w:val="auto"/>
              </w:rPr>
            </w:pPr>
            <w:r>
              <w:rPr>
                <w:rFonts w:ascii="Arial" w:cs="Arial" w:eastAsia="Arial" w:hAnsi="Arial"/>
                <w:sz w:val="13"/>
                <w:szCs w:val="13"/>
                <w:i w:val="1"/>
                <w:iCs w:val="1"/>
                <w:color w:val="auto"/>
              </w:rPr>
              <w:t>Director</w:t>
            </w:r>
          </w:p>
        </w:tc>
        <w:tc>
          <w:tcPr>
            <w:tcW w:w="1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280"/>
          </w:cols>
          <w:pgMar w:left="300" w:top="698" w:right="31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Consolidated Statement of Changes in Equity</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32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ind w:right="123"/>
              <w:spacing w:after="0"/>
              <w:rPr>
                <w:sz w:val="20"/>
                <w:szCs w:val="20"/>
                <w:color w:val="auto"/>
              </w:rPr>
            </w:pPr>
            <w:r>
              <w:rPr>
                <w:rFonts w:ascii="Arial" w:cs="Arial" w:eastAsia="Arial" w:hAnsi="Arial"/>
                <w:sz w:val="11"/>
                <w:szCs w:val="11"/>
                <w:b w:val="1"/>
                <w:bCs w:val="1"/>
                <w:color w:val="auto"/>
              </w:rPr>
              <w:t>Number</w:t>
            </w:r>
          </w:p>
        </w:tc>
        <w:tc>
          <w:tcPr>
            <w:tcW w:w="700" w:type="dxa"/>
            <w:vAlign w:val="bottom"/>
            <w:vMerge w:val="restart"/>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Share</w:t>
            </w:r>
          </w:p>
        </w:tc>
        <w:tc>
          <w:tcPr>
            <w:tcW w:w="800" w:type="dxa"/>
            <w:vAlign w:val="bottom"/>
            <w:vMerge w:val="restart"/>
            <w:shd w:val="clear" w:color="auto" w:fill="CCEEFF"/>
          </w:tcPr>
          <w:p>
            <w:pPr>
              <w:jc w:val="right"/>
              <w:ind w:right="83"/>
              <w:spacing w:after="0"/>
              <w:rPr>
                <w:sz w:val="20"/>
                <w:szCs w:val="20"/>
                <w:color w:val="auto"/>
              </w:rPr>
            </w:pPr>
            <w:r>
              <w:rPr>
                <w:rFonts w:ascii="Arial" w:cs="Arial" w:eastAsia="Arial" w:hAnsi="Arial"/>
                <w:sz w:val="11"/>
                <w:szCs w:val="11"/>
                <w:b w:val="1"/>
                <w:bCs w:val="1"/>
                <w:color w:val="auto"/>
              </w:rPr>
              <w:t>Merger</w:t>
            </w:r>
          </w:p>
        </w:tc>
        <w:tc>
          <w:tcPr>
            <w:tcW w:w="88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Other</w:t>
            </w:r>
          </w:p>
        </w:tc>
        <w:tc>
          <w:tcPr>
            <w:tcW w:w="880" w:type="dxa"/>
            <w:vAlign w:val="bottom"/>
            <w:shd w:val="clear" w:color="auto" w:fill="CCEEFF"/>
          </w:tcPr>
          <w:p>
            <w:pPr>
              <w:jc w:val="right"/>
              <w:ind w:right="83"/>
              <w:spacing w:after="0"/>
              <w:rPr>
                <w:sz w:val="20"/>
                <w:szCs w:val="20"/>
                <w:color w:val="auto"/>
              </w:rPr>
            </w:pPr>
            <w:r>
              <w:rPr>
                <w:rFonts w:ascii="Arial" w:cs="Arial" w:eastAsia="Arial" w:hAnsi="Arial"/>
                <w:sz w:val="11"/>
                <w:szCs w:val="11"/>
                <w:b w:val="1"/>
                <w:bCs w:val="1"/>
                <w:color w:val="auto"/>
              </w:rPr>
              <w:t>Share-based</w:t>
            </w:r>
          </w:p>
        </w:tc>
        <w:tc>
          <w:tcPr>
            <w:tcW w:w="760" w:type="dxa"/>
            <w:vAlign w:val="bottom"/>
            <w:vMerge w:val="restart"/>
            <w:shd w:val="clear" w:color="auto" w:fill="CCEEFF"/>
          </w:tcPr>
          <w:p>
            <w:pPr>
              <w:jc w:val="right"/>
              <w:ind w:right="83"/>
              <w:spacing w:after="0"/>
              <w:rPr>
                <w:sz w:val="20"/>
                <w:szCs w:val="20"/>
                <w:color w:val="auto"/>
              </w:rPr>
            </w:pPr>
            <w:r>
              <w:rPr>
                <w:rFonts w:ascii="Arial" w:cs="Arial" w:eastAsia="Arial" w:hAnsi="Arial"/>
                <w:sz w:val="11"/>
                <w:szCs w:val="11"/>
                <w:b w:val="1"/>
                <w:bCs w:val="1"/>
                <w:color w:val="auto"/>
              </w:rPr>
              <w:t>Other</w:t>
            </w:r>
          </w:p>
        </w:tc>
        <w:tc>
          <w:tcPr>
            <w:tcW w:w="760" w:type="dxa"/>
            <w:vAlign w:val="bottom"/>
            <w:vMerge w:val="restart"/>
            <w:shd w:val="clear" w:color="auto" w:fill="CCEEFF"/>
          </w:tcPr>
          <w:p>
            <w:pPr>
              <w:jc w:val="right"/>
              <w:ind w:right="83"/>
              <w:spacing w:after="0"/>
              <w:rPr>
                <w:sz w:val="20"/>
                <w:szCs w:val="20"/>
                <w:color w:val="auto"/>
              </w:rPr>
            </w:pPr>
            <w:r>
              <w:rPr>
                <w:rFonts w:ascii="Arial" w:cs="Arial" w:eastAsia="Arial" w:hAnsi="Arial"/>
                <w:sz w:val="11"/>
                <w:szCs w:val="11"/>
                <w:b w:val="1"/>
                <w:bCs w:val="1"/>
                <w:color w:val="auto"/>
              </w:rPr>
              <w:t>Currency</w:t>
            </w:r>
          </w:p>
        </w:tc>
        <w:tc>
          <w:tcPr>
            <w:tcW w:w="780" w:type="dxa"/>
            <w:vAlign w:val="bottom"/>
            <w:vMerge w:val="restart"/>
            <w:shd w:val="clear" w:color="auto" w:fill="CCEEFF"/>
          </w:tcPr>
          <w:p>
            <w:pPr>
              <w:jc w:val="right"/>
              <w:ind w:right="103"/>
              <w:spacing w:after="0"/>
              <w:rPr>
                <w:sz w:val="20"/>
                <w:szCs w:val="20"/>
                <w:color w:val="auto"/>
              </w:rPr>
            </w:pPr>
            <w:r>
              <w:rPr>
                <w:rFonts w:ascii="Arial" w:cs="Arial" w:eastAsia="Arial" w:hAnsi="Arial"/>
                <w:sz w:val="11"/>
                <w:szCs w:val="11"/>
                <w:b w:val="1"/>
                <w:bCs w:val="1"/>
                <w:color w:val="auto"/>
              </w:rPr>
              <w:t>Retained</w:t>
            </w: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3320" w:type="dxa"/>
            <w:vAlign w:val="bottom"/>
            <w:shd w:val="clear" w:color="auto" w:fill="CCEEFF"/>
          </w:tcPr>
          <w:p>
            <w:pPr>
              <w:spacing w:after="0"/>
              <w:rPr>
                <w:sz w:val="9"/>
                <w:szCs w:val="9"/>
                <w:color w:val="auto"/>
              </w:rPr>
            </w:pPr>
          </w:p>
        </w:tc>
        <w:tc>
          <w:tcPr>
            <w:tcW w:w="940" w:type="dxa"/>
            <w:vAlign w:val="bottom"/>
            <w:vMerge w:val="continue"/>
            <w:shd w:val="clear" w:color="auto" w:fill="CCEEFF"/>
          </w:tcPr>
          <w:p>
            <w:pPr>
              <w:spacing w:after="0"/>
              <w:rPr>
                <w:sz w:val="9"/>
                <w:szCs w:val="9"/>
                <w:color w:val="auto"/>
              </w:rPr>
            </w:pPr>
          </w:p>
        </w:tc>
        <w:tc>
          <w:tcPr>
            <w:tcW w:w="700" w:type="dxa"/>
            <w:vAlign w:val="bottom"/>
            <w:vMerge w:val="continue"/>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156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b w:val="1"/>
                <w:bCs w:val="1"/>
                <w:color w:val="auto"/>
              </w:rPr>
              <w:t>Share Undenominated</w:t>
            </w:r>
          </w:p>
        </w:tc>
        <w:tc>
          <w:tcPr>
            <w:tcW w:w="880" w:type="dxa"/>
            <w:vAlign w:val="bottom"/>
            <w:shd w:val="clear" w:color="auto" w:fill="CCEEFF"/>
          </w:tcPr>
          <w:p>
            <w:pPr>
              <w:jc w:val="right"/>
              <w:ind w:right="83"/>
              <w:spacing w:after="0" w:line="113" w:lineRule="exact"/>
              <w:rPr>
                <w:sz w:val="20"/>
                <w:szCs w:val="20"/>
                <w:color w:val="auto"/>
              </w:rPr>
            </w:pPr>
            <w:r>
              <w:rPr>
                <w:rFonts w:ascii="Arial" w:cs="Arial" w:eastAsia="Arial" w:hAnsi="Arial"/>
                <w:sz w:val="11"/>
                <w:szCs w:val="11"/>
                <w:b w:val="1"/>
                <w:bCs w:val="1"/>
                <w:color w:val="auto"/>
              </w:rPr>
              <w:t>Payment</w:t>
            </w:r>
          </w:p>
        </w:tc>
        <w:tc>
          <w:tcPr>
            <w:tcW w:w="760" w:type="dxa"/>
            <w:vAlign w:val="bottom"/>
            <w:vMerge w:val="continue"/>
            <w:shd w:val="clear" w:color="auto" w:fill="CCEEFF"/>
          </w:tcPr>
          <w:p>
            <w:pPr>
              <w:spacing w:after="0"/>
              <w:rPr>
                <w:sz w:val="9"/>
                <w:szCs w:val="9"/>
                <w:color w:val="auto"/>
              </w:rPr>
            </w:pPr>
          </w:p>
        </w:tc>
        <w:tc>
          <w:tcPr>
            <w:tcW w:w="760" w:type="dxa"/>
            <w:vAlign w:val="bottom"/>
            <w:vMerge w:val="continue"/>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9"/>
        </w:trPr>
        <w:tc>
          <w:tcPr>
            <w:tcW w:w="332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23"/>
              <w:spacing w:after="0"/>
              <w:rPr>
                <w:sz w:val="20"/>
                <w:szCs w:val="20"/>
                <w:color w:val="auto"/>
              </w:rPr>
            </w:pPr>
            <w:r>
              <w:rPr>
                <w:rFonts w:ascii="Arial" w:cs="Arial" w:eastAsia="Arial" w:hAnsi="Arial"/>
                <w:sz w:val="11"/>
                <w:szCs w:val="11"/>
                <w:b w:val="1"/>
                <w:bCs w:val="1"/>
                <w:color w:val="auto"/>
              </w:rPr>
              <w:t>of shares</w:t>
            </w:r>
          </w:p>
        </w:tc>
        <w:tc>
          <w:tcPr>
            <w:tcW w:w="700" w:type="dxa"/>
            <w:vAlign w:val="bottom"/>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Capital</w:t>
            </w:r>
          </w:p>
        </w:tc>
        <w:tc>
          <w:tcPr>
            <w:tcW w:w="800" w:type="dxa"/>
            <w:vAlign w:val="bottom"/>
            <w:shd w:val="clear" w:color="auto" w:fill="CCEEFF"/>
          </w:tcPr>
          <w:p>
            <w:pPr>
              <w:jc w:val="right"/>
              <w:ind w:right="83"/>
              <w:spacing w:after="0"/>
              <w:rPr>
                <w:sz w:val="20"/>
                <w:szCs w:val="20"/>
                <w:color w:val="auto"/>
              </w:rPr>
            </w:pPr>
            <w:r>
              <w:rPr>
                <w:rFonts w:ascii="Arial" w:cs="Arial" w:eastAsia="Arial" w:hAnsi="Arial"/>
                <w:sz w:val="11"/>
                <w:szCs w:val="11"/>
                <w:b w:val="1"/>
                <w:bCs w:val="1"/>
                <w:color w:val="auto"/>
              </w:rPr>
              <w:t>Reserve</w:t>
            </w:r>
          </w:p>
        </w:tc>
        <w:tc>
          <w:tcPr>
            <w:tcW w:w="880" w:type="dxa"/>
            <w:vAlign w:val="bottom"/>
            <w:shd w:val="clear" w:color="auto" w:fill="CCEEFF"/>
          </w:tcPr>
          <w:p>
            <w:pPr>
              <w:jc w:val="right"/>
              <w:ind w:right="203"/>
              <w:spacing w:after="0"/>
              <w:rPr>
                <w:sz w:val="20"/>
                <w:szCs w:val="20"/>
                <w:color w:val="auto"/>
              </w:rPr>
            </w:pPr>
            <w:r>
              <w:rPr>
                <w:rFonts w:ascii="Arial" w:cs="Arial" w:eastAsia="Arial" w:hAnsi="Arial"/>
                <w:sz w:val="11"/>
                <w:szCs w:val="11"/>
                <w:b w:val="1"/>
                <w:bCs w:val="1"/>
                <w:color w:val="auto"/>
              </w:rPr>
              <w:t>Premium</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Capital</w:t>
            </w:r>
          </w:p>
        </w:tc>
        <w:tc>
          <w:tcPr>
            <w:tcW w:w="880" w:type="dxa"/>
            <w:vAlign w:val="bottom"/>
            <w:shd w:val="clear" w:color="auto" w:fill="CCEEFF"/>
          </w:tcPr>
          <w:p>
            <w:pPr>
              <w:jc w:val="right"/>
              <w:ind w:right="83"/>
              <w:spacing w:after="0"/>
              <w:rPr>
                <w:sz w:val="20"/>
                <w:szCs w:val="20"/>
                <w:color w:val="auto"/>
              </w:rPr>
            </w:pPr>
            <w:r>
              <w:rPr>
                <w:rFonts w:ascii="Arial" w:cs="Arial" w:eastAsia="Arial" w:hAnsi="Arial"/>
                <w:sz w:val="11"/>
                <w:szCs w:val="11"/>
                <w:b w:val="1"/>
                <w:bCs w:val="1"/>
                <w:color w:val="auto"/>
              </w:rPr>
              <w:t>Reserve</w:t>
            </w:r>
          </w:p>
        </w:tc>
        <w:tc>
          <w:tcPr>
            <w:tcW w:w="760" w:type="dxa"/>
            <w:vAlign w:val="bottom"/>
            <w:shd w:val="clear" w:color="auto" w:fill="CCEEFF"/>
          </w:tcPr>
          <w:p>
            <w:pPr>
              <w:jc w:val="right"/>
              <w:ind w:right="83"/>
              <w:spacing w:after="0"/>
              <w:rPr>
                <w:sz w:val="20"/>
                <w:szCs w:val="20"/>
                <w:color w:val="auto"/>
              </w:rPr>
            </w:pPr>
            <w:r>
              <w:rPr>
                <w:rFonts w:ascii="Arial" w:cs="Arial" w:eastAsia="Arial" w:hAnsi="Arial"/>
                <w:sz w:val="11"/>
                <w:szCs w:val="11"/>
                <w:b w:val="1"/>
                <w:bCs w:val="1"/>
                <w:color w:val="auto"/>
              </w:rPr>
              <w:t>Reserves</w:t>
            </w:r>
          </w:p>
        </w:tc>
        <w:tc>
          <w:tcPr>
            <w:tcW w:w="760" w:type="dxa"/>
            <w:vAlign w:val="bottom"/>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Reserve</w:t>
            </w:r>
          </w:p>
        </w:tc>
        <w:tc>
          <w:tcPr>
            <w:tcW w:w="780" w:type="dxa"/>
            <w:vAlign w:val="bottom"/>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Earnings</w:t>
            </w:r>
          </w:p>
        </w:tc>
        <w:tc>
          <w:tcPr>
            <w:tcW w:w="6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32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$’000</w:t>
            </w:r>
          </w:p>
        </w:tc>
        <w:tc>
          <w:tcPr>
            <w:tcW w:w="8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$’000</w:t>
            </w:r>
          </w:p>
        </w:tc>
        <w:tc>
          <w:tcPr>
            <w:tcW w:w="88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b w:val="1"/>
                <w:bCs w:val="1"/>
                <w:color w:val="auto"/>
              </w:rPr>
              <w:t>$’000</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$’000</w:t>
            </w:r>
          </w:p>
        </w:tc>
        <w:tc>
          <w:tcPr>
            <w:tcW w:w="88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$’000</w:t>
            </w:r>
          </w:p>
        </w:tc>
        <w:tc>
          <w:tcPr>
            <w:tcW w:w="76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$’000</w:t>
            </w:r>
          </w:p>
        </w:tc>
        <w:tc>
          <w:tcPr>
            <w:tcW w:w="76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$’000</w:t>
            </w:r>
          </w:p>
        </w:tc>
        <w:tc>
          <w:tcPr>
            <w:tcW w:w="7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$’000</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$’000</w:t>
            </w:r>
          </w:p>
        </w:tc>
        <w:tc>
          <w:tcPr>
            <w:tcW w:w="0" w:type="dxa"/>
            <w:vAlign w:val="bottom"/>
          </w:tcPr>
          <w:p>
            <w:pPr>
              <w:spacing w:after="0"/>
              <w:rPr>
                <w:sz w:val="1"/>
                <w:szCs w:val="1"/>
                <w:color w:val="auto"/>
              </w:rPr>
            </w:pPr>
          </w:p>
        </w:tc>
      </w:tr>
      <w:tr>
        <w:trPr>
          <w:trHeight w:val="150"/>
        </w:trPr>
        <w:tc>
          <w:tcPr>
            <w:tcW w:w="33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1 January 2021</w:t>
            </w:r>
          </w:p>
        </w:tc>
        <w:tc>
          <w:tcPr>
            <w:tcW w:w="940" w:type="dxa"/>
            <w:vAlign w:val="bottom"/>
            <w:shd w:val="clear" w:color="auto" w:fill="CCEEFF"/>
          </w:tcPr>
          <w:p>
            <w:pPr>
              <w:jc w:val="right"/>
              <w:ind w:right="163"/>
              <w:spacing w:after="0"/>
              <w:rPr>
                <w:sz w:val="20"/>
                <w:szCs w:val="20"/>
                <w:color w:val="auto"/>
              </w:rPr>
            </w:pPr>
            <w:r>
              <w:rPr>
                <w:rFonts w:ascii="Arial" w:cs="Arial" w:eastAsia="Arial" w:hAnsi="Arial"/>
                <w:sz w:val="11"/>
                <w:szCs w:val="11"/>
                <w:b w:val="1"/>
                <w:bCs w:val="1"/>
                <w:color w:val="auto"/>
              </w:rPr>
              <w:t>52,788,093</w:t>
            </w:r>
          </w:p>
        </w:tc>
        <w:tc>
          <w:tcPr>
            <w:tcW w:w="700" w:type="dxa"/>
            <w:vAlign w:val="bottom"/>
            <w:shd w:val="clear" w:color="auto" w:fill="CCEEFF"/>
          </w:tcPr>
          <w:p>
            <w:pPr>
              <w:jc w:val="right"/>
              <w:ind w:right="103"/>
              <w:spacing w:after="0"/>
              <w:rPr>
                <w:sz w:val="20"/>
                <w:szCs w:val="20"/>
                <w:color w:val="auto"/>
              </w:rPr>
            </w:pPr>
            <w:r>
              <w:rPr>
                <w:rFonts w:ascii="Arial" w:cs="Arial" w:eastAsia="Arial" w:hAnsi="Arial"/>
                <w:sz w:val="11"/>
                <w:szCs w:val="11"/>
                <w:b w:val="1"/>
                <w:bCs w:val="1"/>
                <w:color w:val="auto"/>
              </w:rPr>
              <w:t>4,580</w:t>
            </w:r>
          </w:p>
        </w:tc>
        <w:tc>
          <w:tcPr>
            <w:tcW w:w="800" w:type="dxa"/>
            <w:vAlign w:val="bottom"/>
            <w:shd w:val="clear" w:color="auto" w:fill="CCEEFF"/>
          </w:tcPr>
          <w:p>
            <w:pPr>
              <w:jc w:val="right"/>
              <w:ind w:right="123"/>
              <w:spacing w:after="0"/>
              <w:rPr>
                <w:sz w:val="20"/>
                <w:szCs w:val="20"/>
                <w:color w:val="auto"/>
              </w:rPr>
            </w:pPr>
            <w:r>
              <w:rPr>
                <w:rFonts w:ascii="Arial" w:cs="Arial" w:eastAsia="Arial" w:hAnsi="Arial"/>
                <w:sz w:val="11"/>
                <w:szCs w:val="11"/>
                <w:b w:val="1"/>
                <w:bCs w:val="1"/>
                <w:color w:val="auto"/>
              </w:rPr>
              <w:t>—</w:t>
            </w:r>
          </w:p>
        </w:tc>
        <w:tc>
          <w:tcPr>
            <w:tcW w:w="880" w:type="dxa"/>
            <w:vAlign w:val="bottom"/>
            <w:shd w:val="clear" w:color="auto" w:fill="CCEEFF"/>
          </w:tcPr>
          <w:p>
            <w:pPr>
              <w:jc w:val="right"/>
              <w:ind w:right="223"/>
              <w:spacing w:after="0"/>
              <w:rPr>
                <w:sz w:val="20"/>
                <w:szCs w:val="20"/>
                <w:color w:val="auto"/>
              </w:rPr>
            </w:pPr>
            <w:r>
              <w:rPr>
                <w:rFonts w:ascii="Arial" w:cs="Arial" w:eastAsia="Arial" w:hAnsi="Arial"/>
                <w:sz w:val="11"/>
                <w:szCs w:val="11"/>
                <w:b w:val="1"/>
                <w:bCs w:val="1"/>
                <w:color w:val="auto"/>
              </w:rPr>
              <w:t>318,404</w:t>
            </w: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1"/>
                <w:szCs w:val="11"/>
                <w:b w:val="1"/>
                <w:bCs w:val="1"/>
                <w:color w:val="auto"/>
              </w:rPr>
              <w:t>1,134</w:t>
            </w:r>
          </w:p>
        </w:tc>
        <w:tc>
          <w:tcPr>
            <w:tcW w:w="880" w:type="dxa"/>
            <w:vAlign w:val="bottom"/>
            <w:shd w:val="clear" w:color="auto" w:fill="CCEEFF"/>
          </w:tcPr>
          <w:p>
            <w:pPr>
              <w:jc w:val="right"/>
              <w:ind w:right="123"/>
              <w:spacing w:after="0"/>
              <w:rPr>
                <w:sz w:val="20"/>
                <w:szCs w:val="20"/>
                <w:color w:val="auto"/>
              </w:rPr>
            </w:pPr>
            <w:r>
              <w:rPr>
                <w:rFonts w:ascii="Arial" w:cs="Arial" w:eastAsia="Arial" w:hAnsi="Arial"/>
                <w:sz w:val="11"/>
                <w:szCs w:val="11"/>
                <w:b w:val="1"/>
                <w:bCs w:val="1"/>
                <w:color w:val="auto"/>
              </w:rPr>
              <w:t>179,569</w:t>
            </w:r>
          </w:p>
        </w:tc>
        <w:tc>
          <w:tcPr>
            <w:tcW w:w="760" w:type="dxa"/>
            <w:vAlign w:val="bottom"/>
            <w:shd w:val="clear" w:color="auto" w:fill="CCEEFF"/>
          </w:tcPr>
          <w:p>
            <w:pPr>
              <w:jc w:val="right"/>
              <w:ind w:right="103"/>
              <w:spacing w:after="0"/>
              <w:rPr>
                <w:sz w:val="20"/>
                <w:szCs w:val="20"/>
                <w:color w:val="auto"/>
              </w:rPr>
            </w:pPr>
            <w:r>
              <w:rPr>
                <w:rFonts w:ascii="Arial" w:cs="Arial" w:eastAsia="Arial" w:hAnsi="Arial"/>
                <w:sz w:val="11"/>
                <w:szCs w:val="11"/>
                <w:b w:val="1"/>
                <w:bCs w:val="1"/>
                <w:color w:val="auto"/>
              </w:rPr>
              <w:t>11,966</w:t>
            </w:r>
          </w:p>
        </w:tc>
        <w:tc>
          <w:tcPr>
            <w:tcW w:w="760" w:type="dxa"/>
            <w:vAlign w:val="bottom"/>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(24,966)</w:t>
            </w:r>
          </w:p>
        </w:tc>
        <w:tc>
          <w:tcPr>
            <w:tcW w:w="780" w:type="dxa"/>
            <w:vAlign w:val="bottom"/>
            <w:shd w:val="clear" w:color="auto" w:fill="CCEEFF"/>
          </w:tcPr>
          <w:p>
            <w:pPr>
              <w:jc w:val="right"/>
              <w:ind w:right="103"/>
              <w:spacing w:after="0"/>
              <w:rPr>
                <w:sz w:val="20"/>
                <w:szCs w:val="20"/>
                <w:color w:val="auto"/>
              </w:rPr>
            </w:pPr>
            <w:r>
              <w:rPr>
                <w:rFonts w:ascii="Arial" w:cs="Arial" w:eastAsia="Arial" w:hAnsi="Arial"/>
                <w:sz w:val="11"/>
                <w:szCs w:val="11"/>
                <w:b w:val="1"/>
                <w:bCs w:val="1"/>
                <w:color w:val="auto"/>
              </w:rPr>
              <w:t>1,389,982</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1,880,669</w:t>
            </w:r>
          </w:p>
        </w:tc>
        <w:tc>
          <w:tcPr>
            <w:tcW w:w="0" w:type="dxa"/>
            <w:vAlign w:val="bottom"/>
          </w:tcPr>
          <w:p>
            <w:pPr>
              <w:spacing w:after="0"/>
              <w:rPr>
                <w:sz w:val="1"/>
                <w:szCs w:val="1"/>
                <w:color w:val="auto"/>
              </w:rPr>
            </w:pPr>
          </w:p>
        </w:tc>
      </w:tr>
      <w:tr>
        <w:trPr>
          <w:trHeight w:val="156"/>
        </w:trPr>
        <w:tc>
          <w:tcPr>
            <w:tcW w:w="3320" w:type="dxa"/>
            <w:vAlign w:val="bottom"/>
          </w:tcPr>
          <w:p>
            <w:pPr>
              <w:ind w:left="20"/>
              <w:spacing w:after="0"/>
              <w:rPr>
                <w:sz w:val="20"/>
                <w:szCs w:val="20"/>
                <w:color w:val="auto"/>
              </w:rPr>
            </w:pPr>
            <w:r>
              <w:rPr>
                <w:rFonts w:ascii="Arial" w:cs="Arial" w:eastAsia="Arial" w:hAnsi="Arial"/>
                <w:sz w:val="11"/>
                <w:szCs w:val="11"/>
                <w:color w:val="auto"/>
              </w:rPr>
              <w:t>Profit for the year attributable to the Group</w:t>
            </w:r>
          </w:p>
        </w:tc>
        <w:tc>
          <w:tcPr>
            <w:tcW w:w="940" w:type="dxa"/>
            <w:vAlign w:val="bottom"/>
          </w:tcPr>
          <w:p>
            <w:pPr>
              <w:jc w:val="right"/>
              <w:ind w:right="163"/>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223"/>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103"/>
              <w:spacing w:after="0"/>
              <w:rPr>
                <w:sz w:val="20"/>
                <w:szCs w:val="20"/>
                <w:color w:val="auto"/>
              </w:rPr>
            </w:pPr>
            <w:r>
              <w:rPr>
                <w:rFonts w:ascii="Arial" w:cs="Arial" w:eastAsia="Arial" w:hAnsi="Arial"/>
                <w:sz w:val="11"/>
                <w:szCs w:val="11"/>
                <w:color w:val="auto"/>
              </w:rPr>
              <w:t>174,452</w:t>
            </w:r>
          </w:p>
        </w:tc>
        <w:tc>
          <w:tcPr>
            <w:tcW w:w="660" w:type="dxa"/>
            <w:vAlign w:val="bottom"/>
          </w:tcPr>
          <w:p>
            <w:pPr>
              <w:jc w:val="right"/>
              <w:spacing w:after="0"/>
              <w:rPr>
                <w:sz w:val="20"/>
                <w:szCs w:val="20"/>
                <w:color w:val="auto"/>
              </w:rPr>
            </w:pPr>
            <w:r>
              <w:rPr>
                <w:rFonts w:ascii="Arial" w:cs="Arial" w:eastAsia="Arial" w:hAnsi="Arial"/>
                <w:sz w:val="11"/>
                <w:szCs w:val="11"/>
                <w:color w:val="auto"/>
              </w:rPr>
              <w:t>174,452</w:t>
            </w:r>
          </w:p>
        </w:tc>
        <w:tc>
          <w:tcPr>
            <w:tcW w:w="0" w:type="dxa"/>
            <w:vAlign w:val="bottom"/>
          </w:tcPr>
          <w:p>
            <w:pPr>
              <w:spacing w:after="0"/>
              <w:rPr>
                <w:sz w:val="1"/>
                <w:szCs w:val="1"/>
                <w:color w:val="auto"/>
              </w:rPr>
            </w:pPr>
          </w:p>
        </w:tc>
      </w:tr>
      <w:tr>
        <w:trPr>
          <w:trHeight w:val="162"/>
        </w:trPr>
        <w:tc>
          <w:tcPr>
            <w:tcW w:w="33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Other Comprehensive Income:</w:t>
            </w:r>
          </w:p>
        </w:tc>
        <w:tc>
          <w:tcPr>
            <w:tcW w:w="9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320" w:type="dxa"/>
            <w:vAlign w:val="bottom"/>
          </w:tcPr>
          <w:p>
            <w:pPr>
              <w:ind w:left="20"/>
              <w:spacing w:after="0"/>
              <w:rPr>
                <w:sz w:val="20"/>
                <w:szCs w:val="20"/>
                <w:color w:val="auto"/>
              </w:rPr>
            </w:pPr>
            <w:r>
              <w:rPr>
                <w:rFonts w:ascii="Arial" w:cs="Arial" w:eastAsia="Arial" w:hAnsi="Arial"/>
                <w:sz w:val="11"/>
                <w:szCs w:val="11"/>
                <w:color w:val="auto"/>
              </w:rPr>
              <w:t>Foreign currency translation</w:t>
            </w:r>
          </w:p>
        </w:tc>
        <w:tc>
          <w:tcPr>
            <w:tcW w:w="940" w:type="dxa"/>
            <w:vAlign w:val="bottom"/>
          </w:tcPr>
          <w:p>
            <w:pPr>
              <w:jc w:val="right"/>
              <w:ind w:right="163"/>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223"/>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63"/>
              <w:spacing w:after="0"/>
              <w:rPr>
                <w:sz w:val="20"/>
                <w:szCs w:val="20"/>
                <w:color w:val="auto"/>
              </w:rPr>
            </w:pPr>
            <w:r>
              <w:rPr>
                <w:rFonts w:ascii="Arial" w:cs="Arial" w:eastAsia="Arial" w:hAnsi="Arial"/>
                <w:sz w:val="11"/>
                <w:szCs w:val="11"/>
                <w:color w:val="auto"/>
              </w:rPr>
              <w:t>(61,130)</w:t>
            </w:r>
          </w:p>
        </w:tc>
        <w:tc>
          <w:tcPr>
            <w:tcW w:w="78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(61,130)</w:t>
            </w:r>
          </w:p>
        </w:tc>
        <w:tc>
          <w:tcPr>
            <w:tcW w:w="0" w:type="dxa"/>
            <w:vAlign w:val="bottom"/>
          </w:tcPr>
          <w:p>
            <w:pPr>
              <w:spacing w:after="0"/>
              <w:rPr>
                <w:sz w:val="1"/>
                <w:szCs w:val="1"/>
                <w:color w:val="auto"/>
              </w:rPr>
            </w:pPr>
          </w:p>
        </w:tc>
      </w:tr>
      <w:tr>
        <w:trPr>
          <w:trHeight w:val="162"/>
        </w:trPr>
        <w:tc>
          <w:tcPr>
            <w:tcW w:w="3320" w:type="dxa"/>
            <w:vAlign w:val="bottom"/>
            <w:shd w:val="clear" w:color="auto" w:fill="CCEEFF"/>
          </w:tcPr>
          <w:p>
            <w:pPr>
              <w:ind w:left="20"/>
              <w:spacing w:after="0"/>
              <w:rPr>
                <w:sz w:val="20"/>
                <w:szCs w:val="20"/>
                <w:color w:val="auto"/>
              </w:rPr>
            </w:pPr>
            <w:r>
              <w:rPr>
                <w:rFonts w:ascii="Arial" w:cs="Arial" w:eastAsia="Arial" w:hAnsi="Arial"/>
                <w:sz w:val="11"/>
                <w:szCs w:val="11"/>
                <w:color w:val="auto"/>
              </w:rPr>
              <w:t>Currency impact on long-term funding</w:t>
            </w:r>
          </w:p>
        </w:tc>
        <w:tc>
          <w:tcPr>
            <w:tcW w:w="94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223"/>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(525)</w:t>
            </w:r>
          </w:p>
        </w:tc>
        <w:tc>
          <w:tcPr>
            <w:tcW w:w="78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(525)</w:t>
            </w:r>
          </w:p>
        </w:tc>
        <w:tc>
          <w:tcPr>
            <w:tcW w:w="0" w:type="dxa"/>
            <w:vAlign w:val="bottom"/>
          </w:tcPr>
          <w:p>
            <w:pPr>
              <w:spacing w:after="0"/>
              <w:rPr>
                <w:sz w:val="1"/>
                <w:szCs w:val="1"/>
                <w:color w:val="auto"/>
              </w:rPr>
            </w:pPr>
          </w:p>
        </w:tc>
      </w:tr>
      <w:tr>
        <w:trPr>
          <w:trHeight w:val="156"/>
        </w:trPr>
        <w:tc>
          <w:tcPr>
            <w:tcW w:w="3320" w:type="dxa"/>
            <w:vAlign w:val="bottom"/>
          </w:tcPr>
          <w:p>
            <w:pPr>
              <w:ind w:left="20"/>
              <w:spacing w:after="0"/>
              <w:rPr>
                <w:sz w:val="20"/>
                <w:szCs w:val="20"/>
                <w:color w:val="auto"/>
              </w:rPr>
            </w:pPr>
            <w:r>
              <w:rPr>
                <w:rFonts w:ascii="Arial" w:cs="Arial" w:eastAsia="Arial" w:hAnsi="Arial"/>
                <w:sz w:val="11"/>
                <w:szCs w:val="11"/>
                <w:color w:val="auto"/>
              </w:rPr>
              <w:t>Re-measurement of defined benefit liability</w:t>
            </w:r>
          </w:p>
        </w:tc>
        <w:tc>
          <w:tcPr>
            <w:tcW w:w="940" w:type="dxa"/>
            <w:vAlign w:val="bottom"/>
          </w:tcPr>
          <w:p>
            <w:pPr>
              <w:jc w:val="right"/>
              <w:ind w:right="163"/>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223"/>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103"/>
              <w:spacing w:after="0"/>
              <w:rPr>
                <w:sz w:val="20"/>
                <w:szCs w:val="20"/>
                <w:color w:val="auto"/>
              </w:rPr>
            </w:pPr>
            <w:r>
              <w:rPr>
                <w:rFonts w:ascii="Arial" w:cs="Arial" w:eastAsia="Arial" w:hAnsi="Arial"/>
                <w:sz w:val="11"/>
                <w:szCs w:val="11"/>
                <w:color w:val="auto"/>
              </w:rPr>
              <w:t>4,175</w:t>
            </w:r>
          </w:p>
        </w:tc>
        <w:tc>
          <w:tcPr>
            <w:tcW w:w="660" w:type="dxa"/>
            <w:vAlign w:val="bottom"/>
          </w:tcPr>
          <w:p>
            <w:pPr>
              <w:jc w:val="right"/>
              <w:spacing w:after="0"/>
              <w:rPr>
                <w:sz w:val="20"/>
                <w:szCs w:val="20"/>
                <w:color w:val="auto"/>
              </w:rPr>
            </w:pPr>
            <w:r>
              <w:rPr>
                <w:rFonts w:ascii="Arial" w:cs="Arial" w:eastAsia="Arial" w:hAnsi="Arial"/>
                <w:sz w:val="11"/>
                <w:szCs w:val="11"/>
                <w:color w:val="auto"/>
              </w:rPr>
              <w:t>4,175</w:t>
            </w:r>
          </w:p>
        </w:tc>
        <w:tc>
          <w:tcPr>
            <w:tcW w:w="0" w:type="dxa"/>
            <w:vAlign w:val="bottom"/>
          </w:tcPr>
          <w:p>
            <w:pPr>
              <w:spacing w:after="0"/>
              <w:rPr>
                <w:sz w:val="1"/>
                <w:szCs w:val="1"/>
                <w:color w:val="auto"/>
              </w:rPr>
            </w:pPr>
          </w:p>
        </w:tc>
      </w:tr>
      <w:tr>
        <w:trPr>
          <w:trHeight w:val="162"/>
        </w:trPr>
        <w:tc>
          <w:tcPr>
            <w:tcW w:w="3320" w:type="dxa"/>
            <w:vAlign w:val="bottom"/>
            <w:shd w:val="clear" w:color="auto" w:fill="CCEEFF"/>
          </w:tcPr>
          <w:p>
            <w:pPr>
              <w:ind w:left="20"/>
              <w:spacing w:after="0"/>
              <w:rPr>
                <w:sz w:val="20"/>
                <w:szCs w:val="20"/>
                <w:color w:val="auto"/>
              </w:rPr>
            </w:pPr>
            <w:r>
              <w:rPr>
                <w:rFonts w:ascii="Arial" w:cs="Arial" w:eastAsia="Arial" w:hAnsi="Arial"/>
                <w:sz w:val="11"/>
                <w:szCs w:val="11"/>
                <w:color w:val="auto"/>
              </w:rPr>
              <w:t>Tax benefit on defined benefit pension contributions</w:t>
            </w:r>
          </w:p>
        </w:tc>
        <w:tc>
          <w:tcPr>
            <w:tcW w:w="94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223"/>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3320" w:type="dxa"/>
            <w:vAlign w:val="bottom"/>
          </w:tcPr>
          <w:p>
            <w:pPr>
              <w:ind w:left="20"/>
              <w:spacing w:after="0"/>
              <w:rPr>
                <w:sz w:val="20"/>
                <w:szCs w:val="20"/>
                <w:color w:val="auto"/>
              </w:rPr>
            </w:pPr>
            <w:r>
              <w:rPr>
                <w:rFonts w:ascii="Arial" w:cs="Arial" w:eastAsia="Arial" w:hAnsi="Arial"/>
                <w:sz w:val="11"/>
                <w:szCs w:val="11"/>
                <w:color w:val="auto"/>
              </w:rPr>
              <w:t>Amortisation of interest rate hedge</w:t>
            </w:r>
          </w:p>
        </w:tc>
        <w:tc>
          <w:tcPr>
            <w:tcW w:w="940" w:type="dxa"/>
            <w:vAlign w:val="bottom"/>
          </w:tcPr>
          <w:p>
            <w:pPr>
              <w:jc w:val="right"/>
              <w:ind w:right="163"/>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223"/>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103"/>
              <w:spacing w:after="0"/>
              <w:rPr>
                <w:sz w:val="20"/>
                <w:szCs w:val="20"/>
                <w:color w:val="auto"/>
              </w:rPr>
            </w:pPr>
            <w:r>
              <w:rPr>
                <w:rFonts w:ascii="Arial" w:cs="Arial" w:eastAsia="Arial" w:hAnsi="Arial"/>
                <w:sz w:val="11"/>
                <w:szCs w:val="11"/>
                <w:color w:val="auto"/>
              </w:rPr>
              <w:t>113</w:t>
            </w:r>
          </w:p>
        </w:tc>
        <w:tc>
          <w:tcPr>
            <w:tcW w:w="76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113</w:t>
            </w:r>
          </w:p>
        </w:tc>
        <w:tc>
          <w:tcPr>
            <w:tcW w:w="0" w:type="dxa"/>
            <w:vAlign w:val="bottom"/>
          </w:tcPr>
          <w:p>
            <w:pPr>
              <w:spacing w:after="0"/>
              <w:rPr>
                <w:sz w:val="1"/>
                <w:szCs w:val="1"/>
                <w:color w:val="auto"/>
              </w:rPr>
            </w:pPr>
          </w:p>
        </w:tc>
      </w:tr>
      <w:tr>
        <w:trPr>
          <w:trHeight w:val="124"/>
        </w:trPr>
        <w:tc>
          <w:tcPr>
            <w:tcW w:w="3320" w:type="dxa"/>
            <w:vAlign w:val="bottom"/>
            <w:shd w:val="clear" w:color="auto" w:fill="CCEEFF"/>
          </w:tcPr>
          <w:p>
            <w:pPr>
              <w:ind w:left="20"/>
              <w:spacing w:after="0" w:line="124" w:lineRule="exact"/>
              <w:rPr>
                <w:sz w:val="20"/>
                <w:szCs w:val="20"/>
                <w:color w:val="auto"/>
              </w:rPr>
            </w:pPr>
            <w:r>
              <w:rPr>
                <w:rFonts w:ascii="Arial" w:cs="Arial" w:eastAsia="Arial" w:hAnsi="Arial"/>
                <w:sz w:val="11"/>
                <w:szCs w:val="11"/>
                <w:color w:val="auto"/>
              </w:rPr>
              <w:t>Settlement of interest rate hedge (recycled through profit and</w:t>
            </w:r>
          </w:p>
        </w:tc>
        <w:tc>
          <w:tcPr>
            <w:tcW w:w="940" w:type="dxa"/>
            <w:vAlign w:val="bottom"/>
            <w:vMerge w:val="restart"/>
            <w:shd w:val="clear" w:color="auto" w:fill="CCEEFF"/>
          </w:tcPr>
          <w:p>
            <w:pPr>
              <w:jc w:val="right"/>
              <w:ind w:right="163"/>
              <w:spacing w:after="0"/>
              <w:rPr>
                <w:sz w:val="20"/>
                <w:szCs w:val="20"/>
                <w:color w:val="auto"/>
              </w:rPr>
            </w:pPr>
            <w:r>
              <w:rPr>
                <w:rFonts w:ascii="Arial" w:cs="Arial" w:eastAsia="Arial" w:hAnsi="Arial"/>
                <w:sz w:val="11"/>
                <w:szCs w:val="11"/>
                <w:color w:val="auto"/>
              </w:rPr>
              <w:t>—</w:t>
            </w:r>
          </w:p>
        </w:tc>
        <w:tc>
          <w:tcPr>
            <w:tcW w:w="700" w:type="dxa"/>
            <w:vAlign w:val="bottom"/>
            <w:vMerge w:val="restart"/>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800" w:type="dxa"/>
            <w:vAlign w:val="bottom"/>
            <w:vMerge w:val="restart"/>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880" w:type="dxa"/>
            <w:vAlign w:val="bottom"/>
            <w:vMerge w:val="restart"/>
            <w:shd w:val="clear" w:color="auto" w:fill="CCEEFF"/>
          </w:tcPr>
          <w:p>
            <w:pPr>
              <w:jc w:val="right"/>
              <w:ind w:right="223"/>
              <w:spacing w:after="0"/>
              <w:rPr>
                <w:sz w:val="20"/>
                <w:szCs w:val="20"/>
                <w:color w:val="auto"/>
              </w:rPr>
            </w:pPr>
            <w:r>
              <w:rPr>
                <w:rFonts w:ascii="Arial" w:cs="Arial" w:eastAsia="Arial" w:hAnsi="Arial"/>
                <w:sz w:val="11"/>
                <w:szCs w:val="11"/>
                <w:color w:val="auto"/>
              </w:rPr>
              <w:t>—</w:t>
            </w:r>
          </w:p>
        </w:tc>
        <w:tc>
          <w:tcPr>
            <w:tcW w:w="680" w:type="dxa"/>
            <w:vAlign w:val="bottom"/>
            <w:vMerge w:val="restart"/>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880" w:type="dxa"/>
            <w:vAlign w:val="bottom"/>
            <w:vMerge w:val="restart"/>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vMerge w:val="restart"/>
            <w:shd w:val="clear" w:color="auto" w:fill="CCEEFF"/>
          </w:tcPr>
          <w:p>
            <w:pPr>
              <w:jc w:val="right"/>
              <w:ind w:right="103"/>
              <w:spacing w:after="0"/>
              <w:rPr>
                <w:sz w:val="20"/>
                <w:szCs w:val="20"/>
                <w:color w:val="auto"/>
              </w:rPr>
            </w:pPr>
            <w:r>
              <w:rPr>
                <w:rFonts w:ascii="Arial" w:cs="Arial" w:eastAsia="Arial" w:hAnsi="Arial"/>
                <w:sz w:val="11"/>
                <w:szCs w:val="11"/>
                <w:color w:val="auto"/>
              </w:rPr>
              <w:t>778</w:t>
            </w:r>
          </w:p>
        </w:tc>
        <w:tc>
          <w:tcPr>
            <w:tcW w:w="760" w:type="dxa"/>
            <w:vAlign w:val="bottom"/>
            <w:vMerge w:val="restart"/>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vMerge w:val="restart"/>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778</w:t>
            </w:r>
          </w:p>
        </w:tc>
        <w:tc>
          <w:tcPr>
            <w:tcW w:w="0" w:type="dxa"/>
            <w:vAlign w:val="bottom"/>
          </w:tcPr>
          <w:p>
            <w:pPr>
              <w:spacing w:after="0"/>
              <w:rPr>
                <w:sz w:val="1"/>
                <w:szCs w:val="1"/>
                <w:color w:val="auto"/>
              </w:rPr>
            </w:pPr>
          </w:p>
        </w:tc>
      </w:tr>
      <w:tr>
        <w:trPr>
          <w:trHeight w:val="144"/>
        </w:trPr>
        <w:tc>
          <w:tcPr>
            <w:tcW w:w="3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loss)</w:t>
            </w:r>
          </w:p>
        </w:tc>
        <w:tc>
          <w:tcPr>
            <w:tcW w:w="940" w:type="dxa"/>
            <w:vAlign w:val="bottom"/>
            <w:tcBorders>
              <w:bottom w:val="single" w:sz="8" w:color="auto"/>
            </w:tcBorders>
            <w:vMerge w:val="continue"/>
            <w:shd w:val="clear" w:color="auto" w:fill="CCEEFF"/>
          </w:tcPr>
          <w:p>
            <w:pPr>
              <w:spacing w:after="0"/>
              <w:rPr>
                <w:sz w:val="12"/>
                <w:szCs w:val="12"/>
                <w:color w:val="auto"/>
              </w:rPr>
            </w:pPr>
          </w:p>
        </w:tc>
        <w:tc>
          <w:tcPr>
            <w:tcW w:w="700" w:type="dxa"/>
            <w:vAlign w:val="bottom"/>
            <w:tcBorders>
              <w:bottom w:val="single" w:sz="8" w:color="auto"/>
            </w:tcBorders>
            <w:vMerge w:val="continue"/>
            <w:shd w:val="clear" w:color="auto" w:fill="CCEEFF"/>
          </w:tcPr>
          <w:p>
            <w:pPr>
              <w:spacing w:after="0"/>
              <w:rPr>
                <w:sz w:val="12"/>
                <w:szCs w:val="12"/>
                <w:color w:val="auto"/>
              </w:rPr>
            </w:pPr>
          </w:p>
        </w:tc>
        <w:tc>
          <w:tcPr>
            <w:tcW w:w="800" w:type="dxa"/>
            <w:vAlign w:val="bottom"/>
            <w:tcBorders>
              <w:bottom w:val="single" w:sz="8" w:color="auto"/>
            </w:tcBorders>
            <w:vMerge w:val="continue"/>
            <w:shd w:val="clear" w:color="auto" w:fill="CCEEFF"/>
          </w:tcPr>
          <w:p>
            <w:pPr>
              <w:spacing w:after="0"/>
              <w:rPr>
                <w:sz w:val="12"/>
                <w:szCs w:val="12"/>
                <w:color w:val="auto"/>
              </w:rPr>
            </w:pPr>
          </w:p>
        </w:tc>
        <w:tc>
          <w:tcPr>
            <w:tcW w:w="880" w:type="dxa"/>
            <w:vAlign w:val="bottom"/>
            <w:tcBorders>
              <w:bottom w:val="single" w:sz="8" w:color="auto"/>
            </w:tcBorders>
            <w:vMerge w:val="continue"/>
            <w:shd w:val="clear" w:color="auto" w:fill="CCEEFF"/>
          </w:tcPr>
          <w:p>
            <w:pPr>
              <w:spacing w:after="0"/>
              <w:rPr>
                <w:sz w:val="12"/>
                <w:szCs w:val="12"/>
                <w:color w:val="auto"/>
              </w:rPr>
            </w:pPr>
          </w:p>
        </w:tc>
        <w:tc>
          <w:tcPr>
            <w:tcW w:w="680" w:type="dxa"/>
            <w:vAlign w:val="bottom"/>
            <w:tcBorders>
              <w:bottom w:val="single" w:sz="8" w:color="auto"/>
            </w:tcBorders>
            <w:vMerge w:val="continue"/>
            <w:shd w:val="clear" w:color="auto" w:fill="CCEEFF"/>
          </w:tcPr>
          <w:p>
            <w:pPr>
              <w:spacing w:after="0"/>
              <w:rPr>
                <w:sz w:val="12"/>
                <w:szCs w:val="12"/>
                <w:color w:val="auto"/>
              </w:rPr>
            </w:pPr>
          </w:p>
        </w:tc>
        <w:tc>
          <w:tcPr>
            <w:tcW w:w="880" w:type="dxa"/>
            <w:vAlign w:val="bottom"/>
            <w:tcBorders>
              <w:bottom w:val="single" w:sz="8" w:color="auto"/>
            </w:tcBorders>
            <w:vMerge w:val="continue"/>
            <w:shd w:val="clear" w:color="auto" w:fill="CCEEFF"/>
          </w:tcPr>
          <w:p>
            <w:pPr>
              <w:spacing w:after="0"/>
              <w:rPr>
                <w:sz w:val="12"/>
                <w:szCs w:val="12"/>
                <w:color w:val="auto"/>
              </w:rPr>
            </w:pPr>
          </w:p>
        </w:tc>
        <w:tc>
          <w:tcPr>
            <w:tcW w:w="760" w:type="dxa"/>
            <w:vAlign w:val="bottom"/>
            <w:tcBorders>
              <w:bottom w:val="single" w:sz="8" w:color="auto"/>
            </w:tcBorders>
            <w:vMerge w:val="continue"/>
            <w:shd w:val="clear" w:color="auto" w:fill="CCEEFF"/>
          </w:tcPr>
          <w:p>
            <w:pPr>
              <w:spacing w:after="0"/>
              <w:rPr>
                <w:sz w:val="12"/>
                <w:szCs w:val="12"/>
                <w:color w:val="auto"/>
              </w:rPr>
            </w:pPr>
          </w:p>
        </w:tc>
        <w:tc>
          <w:tcPr>
            <w:tcW w:w="760" w:type="dxa"/>
            <w:vAlign w:val="bottom"/>
            <w:tcBorders>
              <w:bottom w:val="single" w:sz="8" w:color="auto"/>
            </w:tcBorders>
            <w:vMerge w:val="continue"/>
            <w:shd w:val="clear" w:color="auto" w:fill="CCEEFF"/>
          </w:tcPr>
          <w:p>
            <w:pPr>
              <w:spacing w:after="0"/>
              <w:rPr>
                <w:sz w:val="12"/>
                <w:szCs w:val="12"/>
                <w:color w:val="auto"/>
              </w:rPr>
            </w:pPr>
          </w:p>
        </w:tc>
        <w:tc>
          <w:tcPr>
            <w:tcW w:w="780" w:type="dxa"/>
            <w:vAlign w:val="bottom"/>
            <w:tcBorders>
              <w:bottom w:val="single" w:sz="8" w:color="auto"/>
            </w:tcBorders>
            <w:vMerge w:val="continue"/>
            <w:shd w:val="clear" w:color="auto" w:fill="CCEEFF"/>
          </w:tcPr>
          <w:p>
            <w:pPr>
              <w:spacing w:after="0"/>
              <w:rPr>
                <w:sz w:val="12"/>
                <w:szCs w:val="12"/>
                <w:color w:val="auto"/>
              </w:rPr>
            </w:pPr>
          </w:p>
        </w:tc>
        <w:tc>
          <w:tcPr>
            <w:tcW w:w="660" w:type="dxa"/>
            <w:vAlign w:val="bottom"/>
            <w:tcBorders>
              <w:bottom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Total other comprehensive income</w:t>
            </w:r>
          </w:p>
        </w:tc>
        <w:tc>
          <w:tcPr>
            <w:tcW w:w="94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891</w:t>
            </w:r>
          </w:p>
        </w:tc>
        <w:tc>
          <w:tcPr>
            <w:tcW w:w="76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(61,655)</w:t>
            </w:r>
          </w:p>
        </w:tc>
        <w:tc>
          <w:tcPr>
            <w:tcW w:w="78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4,175</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(56,589)</w:t>
            </w:r>
          </w:p>
        </w:tc>
        <w:tc>
          <w:tcPr>
            <w:tcW w:w="0" w:type="dxa"/>
            <w:vAlign w:val="bottom"/>
          </w:tcPr>
          <w:p>
            <w:pPr>
              <w:spacing w:after="0"/>
              <w:rPr>
                <w:sz w:val="1"/>
                <w:szCs w:val="1"/>
                <w:color w:val="auto"/>
              </w:rPr>
            </w:pPr>
          </w:p>
        </w:tc>
      </w:tr>
      <w:tr>
        <w:trPr>
          <w:trHeight w:val="150"/>
        </w:trPr>
        <w:tc>
          <w:tcPr>
            <w:tcW w:w="3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Total comprehensive income for the year</w:t>
            </w:r>
          </w:p>
        </w:tc>
        <w:tc>
          <w:tcPr>
            <w:tcW w:w="94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auto"/>
            </w:tcBorders>
            <w:shd w:val="clear" w:color="auto" w:fill="CCEEFF"/>
          </w:tcPr>
          <w:p>
            <w:pPr>
              <w:jc w:val="right"/>
              <w:ind w:right="223"/>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891</w:t>
            </w:r>
          </w:p>
        </w:tc>
        <w:tc>
          <w:tcPr>
            <w:tcW w:w="7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(61,655)</w:t>
            </w:r>
          </w:p>
        </w:tc>
        <w:tc>
          <w:tcPr>
            <w:tcW w:w="7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178,627</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117,863</w:t>
            </w: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rPr>
                <w:sz w:val="20"/>
                <w:szCs w:val="20"/>
                <w:color w:val="auto"/>
              </w:rPr>
            </w:pPr>
            <w:r>
              <w:rPr>
                <w:rFonts w:ascii="Arial" w:cs="Arial" w:eastAsia="Arial" w:hAnsi="Arial"/>
                <w:sz w:val="11"/>
                <w:szCs w:val="11"/>
                <w:b w:val="1"/>
                <w:bCs w:val="1"/>
                <w:color w:val="auto"/>
              </w:rPr>
              <w:t>Transactions with owners, recorded directly in equity</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320" w:type="dxa"/>
            <w:vAlign w:val="bottom"/>
            <w:shd w:val="clear" w:color="auto" w:fill="CCEEFF"/>
          </w:tcPr>
          <w:p>
            <w:pPr>
              <w:ind w:left="20"/>
              <w:spacing w:after="0"/>
              <w:rPr>
                <w:sz w:val="20"/>
                <w:szCs w:val="20"/>
                <w:color w:val="auto"/>
              </w:rPr>
            </w:pPr>
            <w:r>
              <w:rPr>
                <w:rFonts w:ascii="Arial" w:cs="Arial" w:eastAsia="Arial" w:hAnsi="Arial"/>
                <w:sz w:val="11"/>
                <w:szCs w:val="11"/>
                <w:color w:val="auto"/>
              </w:rPr>
              <w:t>Issue of shares associated with a business combination</w:t>
            </w:r>
          </w:p>
        </w:tc>
        <w:tc>
          <w:tcPr>
            <w:tcW w:w="94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rPr>
              <w:t>27,372,427</w:t>
            </w:r>
          </w:p>
        </w:tc>
        <w:tc>
          <w:tcPr>
            <w:tcW w:w="70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1,960</w:t>
            </w:r>
          </w:p>
        </w:tc>
        <w:tc>
          <w:tcPr>
            <w:tcW w:w="80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5,656,195</w:t>
            </w:r>
          </w:p>
        </w:tc>
        <w:tc>
          <w:tcPr>
            <w:tcW w:w="880" w:type="dxa"/>
            <w:vAlign w:val="bottom"/>
            <w:shd w:val="clear" w:color="auto" w:fill="CCEEFF"/>
          </w:tcPr>
          <w:p>
            <w:pPr>
              <w:jc w:val="right"/>
              <w:ind w:right="223"/>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5,658,155</w:t>
            </w:r>
          </w:p>
        </w:tc>
        <w:tc>
          <w:tcPr>
            <w:tcW w:w="0" w:type="dxa"/>
            <w:vAlign w:val="bottom"/>
          </w:tcPr>
          <w:p>
            <w:pPr>
              <w:spacing w:after="0"/>
              <w:rPr>
                <w:sz w:val="1"/>
                <w:szCs w:val="1"/>
                <w:color w:val="auto"/>
              </w:rPr>
            </w:pPr>
          </w:p>
        </w:tc>
      </w:tr>
      <w:tr>
        <w:trPr>
          <w:trHeight w:val="121"/>
        </w:trPr>
        <w:tc>
          <w:tcPr>
            <w:tcW w:w="3320" w:type="dxa"/>
            <w:vAlign w:val="bottom"/>
          </w:tcPr>
          <w:p>
            <w:pPr>
              <w:ind w:left="20"/>
              <w:spacing w:after="0" w:line="121" w:lineRule="exact"/>
              <w:rPr>
                <w:sz w:val="20"/>
                <w:szCs w:val="20"/>
                <w:color w:val="auto"/>
              </w:rPr>
            </w:pPr>
            <w:r>
              <w:rPr>
                <w:rFonts w:ascii="Arial" w:cs="Arial" w:eastAsia="Arial" w:hAnsi="Arial"/>
                <w:sz w:val="11"/>
                <w:szCs w:val="11"/>
                <w:color w:val="auto"/>
              </w:rPr>
              <w:t>Replacement share-based awards issued to acquiree</w:t>
            </w:r>
          </w:p>
        </w:tc>
        <w:tc>
          <w:tcPr>
            <w:tcW w:w="940" w:type="dxa"/>
            <w:vAlign w:val="bottom"/>
            <w:vMerge w:val="restart"/>
          </w:tcPr>
          <w:p>
            <w:pPr>
              <w:jc w:val="right"/>
              <w:ind w:right="163"/>
              <w:spacing w:after="0"/>
              <w:rPr>
                <w:sz w:val="20"/>
                <w:szCs w:val="20"/>
                <w:color w:val="auto"/>
              </w:rPr>
            </w:pPr>
            <w:r>
              <w:rPr>
                <w:rFonts w:ascii="Arial" w:cs="Arial" w:eastAsia="Arial" w:hAnsi="Arial"/>
                <w:sz w:val="11"/>
                <w:szCs w:val="11"/>
                <w:color w:val="auto"/>
              </w:rPr>
              <w:t>—</w:t>
            </w:r>
          </w:p>
        </w:tc>
        <w:tc>
          <w:tcPr>
            <w:tcW w:w="700" w:type="dxa"/>
            <w:vAlign w:val="bottom"/>
            <w:vMerge w:val="restart"/>
          </w:tcPr>
          <w:p>
            <w:pPr>
              <w:jc w:val="right"/>
              <w:ind w:right="103"/>
              <w:spacing w:after="0"/>
              <w:rPr>
                <w:sz w:val="20"/>
                <w:szCs w:val="20"/>
                <w:color w:val="auto"/>
              </w:rPr>
            </w:pPr>
            <w:r>
              <w:rPr>
                <w:rFonts w:ascii="Arial" w:cs="Arial" w:eastAsia="Arial" w:hAnsi="Arial"/>
                <w:sz w:val="11"/>
                <w:szCs w:val="11"/>
                <w:color w:val="auto"/>
              </w:rPr>
              <w:t>—</w:t>
            </w:r>
          </w:p>
        </w:tc>
        <w:tc>
          <w:tcPr>
            <w:tcW w:w="800" w:type="dxa"/>
            <w:vAlign w:val="bottom"/>
            <w:vMerge w:val="restart"/>
          </w:tcPr>
          <w:p>
            <w:pPr>
              <w:jc w:val="right"/>
              <w:ind w:right="123"/>
              <w:spacing w:after="0"/>
              <w:rPr>
                <w:sz w:val="20"/>
                <w:szCs w:val="20"/>
                <w:color w:val="auto"/>
              </w:rPr>
            </w:pPr>
            <w:r>
              <w:rPr>
                <w:rFonts w:ascii="Arial" w:cs="Arial" w:eastAsia="Arial" w:hAnsi="Arial"/>
                <w:sz w:val="11"/>
                <w:szCs w:val="11"/>
                <w:color w:val="auto"/>
              </w:rPr>
              <w:t>—</w:t>
            </w:r>
          </w:p>
        </w:tc>
        <w:tc>
          <w:tcPr>
            <w:tcW w:w="880" w:type="dxa"/>
            <w:vAlign w:val="bottom"/>
            <w:vMerge w:val="restart"/>
          </w:tcPr>
          <w:p>
            <w:pPr>
              <w:jc w:val="right"/>
              <w:ind w:right="223"/>
              <w:spacing w:after="0"/>
              <w:rPr>
                <w:sz w:val="20"/>
                <w:szCs w:val="20"/>
                <w:color w:val="auto"/>
              </w:rPr>
            </w:pPr>
            <w:r>
              <w:rPr>
                <w:rFonts w:ascii="Arial" w:cs="Arial" w:eastAsia="Arial" w:hAnsi="Arial"/>
                <w:sz w:val="11"/>
                <w:szCs w:val="11"/>
                <w:color w:val="auto"/>
              </w:rPr>
              <w:t>—</w:t>
            </w:r>
          </w:p>
        </w:tc>
        <w:tc>
          <w:tcPr>
            <w:tcW w:w="680" w:type="dxa"/>
            <w:vAlign w:val="bottom"/>
            <w:vMerge w:val="restart"/>
          </w:tcPr>
          <w:p>
            <w:pPr>
              <w:jc w:val="right"/>
              <w:ind w:right="23"/>
              <w:spacing w:after="0"/>
              <w:rPr>
                <w:sz w:val="20"/>
                <w:szCs w:val="20"/>
                <w:color w:val="auto"/>
              </w:rPr>
            </w:pPr>
            <w:r>
              <w:rPr>
                <w:rFonts w:ascii="Arial" w:cs="Arial" w:eastAsia="Arial" w:hAnsi="Arial"/>
                <w:sz w:val="11"/>
                <w:szCs w:val="11"/>
                <w:color w:val="auto"/>
              </w:rPr>
              <w:t>—</w:t>
            </w:r>
          </w:p>
        </w:tc>
        <w:tc>
          <w:tcPr>
            <w:tcW w:w="880" w:type="dxa"/>
            <w:vAlign w:val="bottom"/>
            <w:vMerge w:val="restart"/>
          </w:tcPr>
          <w:p>
            <w:pPr>
              <w:jc w:val="right"/>
              <w:ind w:right="123"/>
              <w:spacing w:after="0"/>
              <w:rPr>
                <w:sz w:val="20"/>
                <w:szCs w:val="20"/>
                <w:color w:val="auto"/>
              </w:rPr>
            </w:pPr>
            <w:r>
              <w:rPr>
                <w:rFonts w:ascii="Arial" w:cs="Arial" w:eastAsia="Arial" w:hAnsi="Arial"/>
                <w:sz w:val="11"/>
                <w:szCs w:val="11"/>
                <w:color w:val="auto"/>
              </w:rPr>
              <w:t>267,607</w:t>
            </w:r>
          </w:p>
        </w:tc>
        <w:tc>
          <w:tcPr>
            <w:tcW w:w="760" w:type="dxa"/>
            <w:vAlign w:val="bottom"/>
            <w:vMerge w:val="restart"/>
          </w:tcPr>
          <w:p>
            <w:pPr>
              <w:jc w:val="right"/>
              <w:ind w:right="103"/>
              <w:spacing w:after="0"/>
              <w:rPr>
                <w:sz w:val="20"/>
                <w:szCs w:val="20"/>
                <w:color w:val="auto"/>
              </w:rPr>
            </w:pPr>
            <w:r>
              <w:rPr>
                <w:rFonts w:ascii="Arial" w:cs="Arial" w:eastAsia="Arial" w:hAnsi="Arial"/>
                <w:sz w:val="11"/>
                <w:szCs w:val="11"/>
                <w:color w:val="auto"/>
              </w:rPr>
              <w:t>—</w:t>
            </w:r>
          </w:p>
        </w:tc>
        <w:tc>
          <w:tcPr>
            <w:tcW w:w="760" w:type="dxa"/>
            <w:vAlign w:val="bottom"/>
            <w:vMerge w:val="restart"/>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vMerge w:val="restart"/>
          </w:tcPr>
          <w:p>
            <w:pPr>
              <w:jc w:val="right"/>
              <w:ind w:right="103"/>
              <w:spacing w:after="0"/>
              <w:rPr>
                <w:sz w:val="20"/>
                <w:szCs w:val="20"/>
                <w:color w:val="auto"/>
              </w:rPr>
            </w:pPr>
            <w:r>
              <w:rPr>
                <w:rFonts w:ascii="Arial" w:cs="Arial" w:eastAsia="Arial" w:hAnsi="Arial"/>
                <w:sz w:val="11"/>
                <w:szCs w:val="11"/>
                <w:color w:val="auto"/>
              </w:rPr>
              <w:t>—</w:t>
            </w: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267,607</w:t>
            </w:r>
          </w:p>
        </w:tc>
        <w:tc>
          <w:tcPr>
            <w:tcW w:w="0" w:type="dxa"/>
            <w:vAlign w:val="bottom"/>
          </w:tcPr>
          <w:p>
            <w:pPr>
              <w:spacing w:after="0"/>
              <w:rPr>
                <w:sz w:val="1"/>
                <w:szCs w:val="1"/>
                <w:color w:val="auto"/>
              </w:rPr>
            </w:pPr>
          </w:p>
        </w:tc>
      </w:tr>
      <w:tr>
        <w:trPr>
          <w:trHeight w:val="144"/>
        </w:trPr>
        <w:tc>
          <w:tcPr>
            <w:tcW w:w="3320" w:type="dxa"/>
            <w:vAlign w:val="bottom"/>
          </w:tcPr>
          <w:p>
            <w:pPr>
              <w:ind w:left="20"/>
              <w:spacing w:after="0"/>
              <w:rPr>
                <w:sz w:val="20"/>
                <w:szCs w:val="20"/>
                <w:color w:val="auto"/>
              </w:rPr>
            </w:pPr>
            <w:r>
              <w:rPr>
                <w:rFonts w:ascii="Arial" w:cs="Arial" w:eastAsia="Arial" w:hAnsi="Arial"/>
                <w:sz w:val="11"/>
                <w:szCs w:val="11"/>
                <w:color w:val="auto"/>
              </w:rPr>
              <w:t>employees</w:t>
            </w:r>
          </w:p>
        </w:tc>
        <w:tc>
          <w:tcPr>
            <w:tcW w:w="94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320" w:type="dxa"/>
            <w:vAlign w:val="bottom"/>
            <w:shd w:val="clear" w:color="auto" w:fill="CCEEFF"/>
          </w:tcPr>
          <w:p>
            <w:pPr>
              <w:ind w:left="20"/>
              <w:spacing w:after="0"/>
              <w:rPr>
                <w:sz w:val="20"/>
                <w:szCs w:val="20"/>
                <w:color w:val="auto"/>
              </w:rPr>
            </w:pPr>
            <w:r>
              <w:rPr>
                <w:rFonts w:ascii="Arial" w:cs="Arial" w:eastAsia="Arial" w:hAnsi="Arial"/>
                <w:sz w:val="11"/>
                <w:szCs w:val="11"/>
                <w:color w:val="auto"/>
              </w:rPr>
              <w:t>Share-based payment</w:t>
            </w:r>
          </w:p>
        </w:tc>
        <w:tc>
          <w:tcPr>
            <w:tcW w:w="94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223"/>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105,488</w:t>
            </w:r>
          </w:p>
        </w:tc>
        <w:tc>
          <w:tcPr>
            <w:tcW w:w="7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105,488</w:t>
            </w:r>
          </w:p>
        </w:tc>
        <w:tc>
          <w:tcPr>
            <w:tcW w:w="0" w:type="dxa"/>
            <w:vAlign w:val="bottom"/>
          </w:tcPr>
          <w:p>
            <w:pPr>
              <w:spacing w:after="0"/>
              <w:rPr>
                <w:sz w:val="1"/>
                <w:szCs w:val="1"/>
                <w:color w:val="auto"/>
              </w:rPr>
            </w:pPr>
          </w:p>
        </w:tc>
      </w:tr>
      <w:tr>
        <w:trPr>
          <w:trHeight w:val="156"/>
        </w:trPr>
        <w:tc>
          <w:tcPr>
            <w:tcW w:w="3320" w:type="dxa"/>
            <w:vAlign w:val="bottom"/>
          </w:tcPr>
          <w:p>
            <w:pPr>
              <w:ind w:left="20"/>
              <w:spacing w:after="0"/>
              <w:rPr>
                <w:sz w:val="20"/>
                <w:szCs w:val="20"/>
                <w:color w:val="auto"/>
              </w:rPr>
            </w:pPr>
            <w:r>
              <w:rPr>
                <w:rFonts w:ascii="Arial" w:cs="Arial" w:eastAsia="Arial" w:hAnsi="Arial"/>
                <w:sz w:val="11"/>
                <w:szCs w:val="11"/>
                <w:color w:val="auto"/>
              </w:rPr>
              <w:t>Exercise of share options</w:t>
            </w:r>
          </w:p>
        </w:tc>
        <w:tc>
          <w:tcPr>
            <w:tcW w:w="940" w:type="dxa"/>
            <w:vAlign w:val="bottom"/>
          </w:tcPr>
          <w:p>
            <w:pPr>
              <w:jc w:val="right"/>
              <w:ind w:right="163"/>
              <w:spacing w:after="0"/>
              <w:rPr>
                <w:sz w:val="20"/>
                <w:szCs w:val="20"/>
                <w:color w:val="auto"/>
              </w:rPr>
            </w:pPr>
            <w:r>
              <w:rPr>
                <w:rFonts w:ascii="Arial" w:cs="Arial" w:eastAsia="Arial" w:hAnsi="Arial"/>
                <w:sz w:val="11"/>
                <w:szCs w:val="11"/>
                <w:color w:val="auto"/>
              </w:rPr>
              <w:t>1,065,529</w:t>
            </w:r>
          </w:p>
        </w:tc>
        <w:tc>
          <w:tcPr>
            <w:tcW w:w="700" w:type="dxa"/>
            <w:vAlign w:val="bottom"/>
          </w:tcPr>
          <w:p>
            <w:pPr>
              <w:jc w:val="right"/>
              <w:ind w:right="103"/>
              <w:spacing w:after="0"/>
              <w:rPr>
                <w:sz w:val="20"/>
                <w:szCs w:val="20"/>
                <w:color w:val="auto"/>
              </w:rPr>
            </w:pPr>
            <w:r>
              <w:rPr>
                <w:rFonts w:ascii="Arial" w:cs="Arial" w:eastAsia="Arial" w:hAnsi="Arial"/>
                <w:sz w:val="11"/>
                <w:szCs w:val="11"/>
                <w:color w:val="auto"/>
              </w:rPr>
              <w:t>77</w:t>
            </w:r>
          </w:p>
        </w:tc>
        <w:tc>
          <w:tcPr>
            <w:tcW w:w="80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223"/>
              <w:spacing w:after="0"/>
              <w:rPr>
                <w:sz w:val="20"/>
                <w:szCs w:val="20"/>
                <w:color w:val="auto"/>
              </w:rPr>
            </w:pPr>
            <w:r>
              <w:rPr>
                <w:rFonts w:ascii="Arial" w:cs="Arial" w:eastAsia="Arial" w:hAnsi="Arial"/>
                <w:sz w:val="11"/>
                <w:szCs w:val="11"/>
                <w:color w:val="auto"/>
              </w:rPr>
              <w:t>118,512</w:t>
            </w:r>
          </w:p>
        </w:tc>
        <w:tc>
          <w:tcPr>
            <w:tcW w:w="68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118,589</w:t>
            </w:r>
          </w:p>
        </w:tc>
        <w:tc>
          <w:tcPr>
            <w:tcW w:w="0" w:type="dxa"/>
            <w:vAlign w:val="bottom"/>
          </w:tcPr>
          <w:p>
            <w:pPr>
              <w:spacing w:after="0"/>
              <w:rPr>
                <w:sz w:val="1"/>
                <w:szCs w:val="1"/>
                <w:color w:val="auto"/>
              </w:rPr>
            </w:pPr>
          </w:p>
        </w:tc>
      </w:tr>
      <w:tr>
        <w:trPr>
          <w:trHeight w:val="162"/>
        </w:trPr>
        <w:tc>
          <w:tcPr>
            <w:tcW w:w="3320" w:type="dxa"/>
            <w:vAlign w:val="bottom"/>
            <w:shd w:val="clear" w:color="auto" w:fill="CCEEFF"/>
          </w:tcPr>
          <w:p>
            <w:pPr>
              <w:ind w:left="20"/>
              <w:spacing w:after="0"/>
              <w:rPr>
                <w:sz w:val="20"/>
                <w:szCs w:val="20"/>
                <w:color w:val="auto"/>
              </w:rPr>
            </w:pPr>
            <w:r>
              <w:rPr>
                <w:rFonts w:ascii="Arial" w:cs="Arial" w:eastAsia="Arial" w:hAnsi="Arial"/>
                <w:sz w:val="11"/>
                <w:szCs w:val="11"/>
                <w:color w:val="auto"/>
              </w:rPr>
              <w:t>Transfer of exercised and expired share–based awards</w:t>
            </w:r>
          </w:p>
        </w:tc>
        <w:tc>
          <w:tcPr>
            <w:tcW w:w="94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223"/>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(162,015)</w:t>
            </w:r>
          </w:p>
        </w:tc>
        <w:tc>
          <w:tcPr>
            <w:tcW w:w="7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162,015</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3320" w:type="dxa"/>
            <w:vAlign w:val="bottom"/>
          </w:tcPr>
          <w:p>
            <w:pPr>
              <w:ind w:left="20"/>
              <w:spacing w:after="0"/>
              <w:rPr>
                <w:sz w:val="20"/>
                <w:szCs w:val="20"/>
                <w:color w:val="auto"/>
              </w:rPr>
            </w:pPr>
            <w:r>
              <w:rPr>
                <w:rFonts w:ascii="Arial" w:cs="Arial" w:eastAsia="Arial" w:hAnsi="Arial"/>
                <w:sz w:val="11"/>
                <w:szCs w:val="11"/>
                <w:color w:val="auto"/>
              </w:rPr>
              <w:t>Issue of restricted share units/ performance share units</w:t>
            </w:r>
          </w:p>
        </w:tc>
        <w:tc>
          <w:tcPr>
            <w:tcW w:w="940" w:type="dxa"/>
            <w:vAlign w:val="bottom"/>
          </w:tcPr>
          <w:p>
            <w:pPr>
              <w:jc w:val="right"/>
              <w:ind w:right="163"/>
              <w:spacing w:after="0"/>
              <w:rPr>
                <w:sz w:val="20"/>
                <w:szCs w:val="20"/>
                <w:color w:val="auto"/>
              </w:rPr>
            </w:pPr>
            <w:r>
              <w:rPr>
                <w:rFonts w:ascii="Arial" w:cs="Arial" w:eastAsia="Arial" w:hAnsi="Arial"/>
                <w:sz w:val="11"/>
                <w:szCs w:val="11"/>
                <w:color w:val="auto"/>
              </w:rPr>
              <w:t>328,634</w:t>
            </w:r>
          </w:p>
        </w:tc>
        <w:tc>
          <w:tcPr>
            <w:tcW w:w="700" w:type="dxa"/>
            <w:vAlign w:val="bottom"/>
          </w:tcPr>
          <w:p>
            <w:pPr>
              <w:jc w:val="right"/>
              <w:ind w:right="103"/>
              <w:spacing w:after="0"/>
              <w:rPr>
                <w:sz w:val="20"/>
                <w:szCs w:val="20"/>
                <w:color w:val="auto"/>
              </w:rPr>
            </w:pPr>
            <w:r>
              <w:rPr>
                <w:rFonts w:ascii="Arial" w:cs="Arial" w:eastAsia="Arial" w:hAnsi="Arial"/>
                <w:sz w:val="11"/>
                <w:szCs w:val="11"/>
                <w:color w:val="auto"/>
              </w:rPr>
              <w:t>23</w:t>
            </w:r>
          </w:p>
        </w:tc>
        <w:tc>
          <w:tcPr>
            <w:tcW w:w="80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223"/>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23</w:t>
            </w:r>
          </w:p>
        </w:tc>
        <w:tc>
          <w:tcPr>
            <w:tcW w:w="0" w:type="dxa"/>
            <w:vAlign w:val="bottom"/>
          </w:tcPr>
          <w:p>
            <w:pPr>
              <w:spacing w:after="0"/>
              <w:rPr>
                <w:sz w:val="1"/>
                <w:szCs w:val="1"/>
                <w:color w:val="auto"/>
              </w:rPr>
            </w:pPr>
          </w:p>
        </w:tc>
      </w:tr>
      <w:tr>
        <w:trPr>
          <w:trHeight w:val="162"/>
        </w:trPr>
        <w:tc>
          <w:tcPr>
            <w:tcW w:w="3320" w:type="dxa"/>
            <w:vAlign w:val="bottom"/>
            <w:shd w:val="clear" w:color="auto" w:fill="CCEEFF"/>
          </w:tcPr>
          <w:p>
            <w:pPr>
              <w:ind w:left="20"/>
              <w:spacing w:after="0"/>
              <w:rPr>
                <w:sz w:val="20"/>
                <w:szCs w:val="20"/>
                <w:color w:val="auto"/>
              </w:rPr>
            </w:pPr>
            <w:r>
              <w:rPr>
                <w:rFonts w:ascii="Arial" w:cs="Arial" w:eastAsia="Arial" w:hAnsi="Arial"/>
                <w:sz w:val="11"/>
                <w:szCs w:val="11"/>
                <w:color w:val="auto"/>
              </w:rPr>
              <w:t>Share issue costs</w:t>
            </w:r>
          </w:p>
        </w:tc>
        <w:tc>
          <w:tcPr>
            <w:tcW w:w="94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223"/>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(853)</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(853)</w:t>
            </w:r>
          </w:p>
        </w:tc>
        <w:tc>
          <w:tcPr>
            <w:tcW w:w="0" w:type="dxa"/>
            <w:vAlign w:val="bottom"/>
          </w:tcPr>
          <w:p>
            <w:pPr>
              <w:spacing w:after="0"/>
              <w:rPr>
                <w:sz w:val="1"/>
                <w:szCs w:val="1"/>
                <w:color w:val="auto"/>
              </w:rPr>
            </w:pPr>
          </w:p>
        </w:tc>
      </w:tr>
      <w:tr>
        <w:trPr>
          <w:trHeight w:val="156"/>
        </w:trPr>
        <w:tc>
          <w:tcPr>
            <w:tcW w:w="3320" w:type="dxa"/>
            <w:vAlign w:val="bottom"/>
          </w:tcPr>
          <w:p>
            <w:pPr>
              <w:ind w:left="20"/>
              <w:spacing w:after="0"/>
              <w:rPr>
                <w:sz w:val="20"/>
                <w:szCs w:val="20"/>
                <w:color w:val="auto"/>
              </w:rPr>
            </w:pPr>
            <w:r>
              <w:rPr>
                <w:rFonts w:ascii="Arial" w:cs="Arial" w:eastAsia="Arial" w:hAnsi="Arial"/>
                <w:sz w:val="11"/>
                <w:szCs w:val="11"/>
                <w:color w:val="auto"/>
              </w:rPr>
              <w:t>Tax benefit excess on exercise of options</w:t>
            </w:r>
          </w:p>
        </w:tc>
        <w:tc>
          <w:tcPr>
            <w:tcW w:w="940" w:type="dxa"/>
            <w:vAlign w:val="bottom"/>
          </w:tcPr>
          <w:p>
            <w:pPr>
              <w:jc w:val="right"/>
              <w:ind w:right="163"/>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223"/>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123"/>
              <w:spacing w:after="0"/>
              <w:rPr>
                <w:sz w:val="20"/>
                <w:szCs w:val="20"/>
                <w:color w:val="auto"/>
              </w:rPr>
            </w:pPr>
            <w:r>
              <w:rPr>
                <w:rFonts w:ascii="Arial" w:cs="Arial" w:eastAsia="Arial" w:hAnsi="Arial"/>
                <w:sz w:val="11"/>
                <w:szCs w:val="11"/>
                <w:color w:val="auto"/>
              </w:rPr>
              <w:t>22,515</w:t>
            </w:r>
          </w:p>
        </w:tc>
        <w:tc>
          <w:tcPr>
            <w:tcW w:w="76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22,515</w:t>
            </w:r>
          </w:p>
        </w:tc>
        <w:tc>
          <w:tcPr>
            <w:tcW w:w="0" w:type="dxa"/>
            <w:vAlign w:val="bottom"/>
          </w:tcPr>
          <w:p>
            <w:pPr>
              <w:spacing w:after="0"/>
              <w:rPr>
                <w:sz w:val="1"/>
                <w:szCs w:val="1"/>
                <w:color w:val="auto"/>
              </w:rPr>
            </w:pPr>
          </w:p>
        </w:tc>
      </w:tr>
      <w:tr>
        <w:trPr>
          <w:trHeight w:val="162"/>
        </w:trPr>
        <w:tc>
          <w:tcPr>
            <w:tcW w:w="3320" w:type="dxa"/>
            <w:vAlign w:val="bottom"/>
            <w:shd w:val="clear" w:color="auto" w:fill="CCEEFF"/>
          </w:tcPr>
          <w:p>
            <w:pPr>
              <w:ind w:left="20"/>
              <w:spacing w:after="0"/>
              <w:rPr>
                <w:sz w:val="20"/>
                <w:szCs w:val="20"/>
                <w:color w:val="auto"/>
              </w:rPr>
            </w:pPr>
            <w:r>
              <w:rPr>
                <w:rFonts w:ascii="Arial" w:cs="Arial" w:eastAsia="Arial" w:hAnsi="Arial"/>
                <w:sz w:val="11"/>
                <w:szCs w:val="11"/>
                <w:color w:val="auto"/>
              </w:rPr>
              <w:t>Deferred tax movement on unexercised options</w:t>
            </w:r>
          </w:p>
        </w:tc>
        <w:tc>
          <w:tcPr>
            <w:tcW w:w="94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223"/>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7,809</w:t>
            </w:r>
          </w:p>
        </w:tc>
        <w:tc>
          <w:tcPr>
            <w:tcW w:w="7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7,809</w:t>
            </w:r>
          </w:p>
        </w:tc>
        <w:tc>
          <w:tcPr>
            <w:tcW w:w="0" w:type="dxa"/>
            <w:vAlign w:val="bottom"/>
          </w:tcPr>
          <w:p>
            <w:pPr>
              <w:spacing w:after="0"/>
              <w:rPr>
                <w:sz w:val="1"/>
                <w:szCs w:val="1"/>
                <w:color w:val="auto"/>
              </w:rPr>
            </w:pPr>
          </w:p>
        </w:tc>
      </w:tr>
      <w:tr>
        <w:trPr>
          <w:trHeight w:val="156"/>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Non-distributable reserves</w:t>
            </w:r>
          </w:p>
        </w:tc>
        <w:tc>
          <w:tcPr>
            <w:tcW w:w="94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(419)</w:t>
            </w:r>
          </w:p>
        </w:tc>
        <w:tc>
          <w:tcPr>
            <w:tcW w:w="76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419</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0"/>
        </w:trPr>
        <w:tc>
          <w:tcPr>
            <w:tcW w:w="3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Total contributions by and distributions to owners</w:t>
            </w:r>
          </w:p>
        </w:tc>
        <w:tc>
          <w:tcPr>
            <w:tcW w:w="94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1"/>
                <w:szCs w:val="11"/>
                <w:color w:val="auto"/>
              </w:rPr>
              <w:t>28,766,590</w:t>
            </w:r>
          </w:p>
        </w:tc>
        <w:tc>
          <w:tcPr>
            <w:tcW w:w="70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2,060</w:t>
            </w:r>
          </w:p>
        </w:tc>
        <w:tc>
          <w:tcPr>
            <w:tcW w:w="8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color w:val="auto"/>
              </w:rPr>
              <w:t>5,656,195</w:t>
            </w:r>
          </w:p>
        </w:tc>
        <w:tc>
          <w:tcPr>
            <w:tcW w:w="880" w:type="dxa"/>
            <w:vAlign w:val="bottom"/>
            <w:tcBorders>
              <w:bottom w:val="single" w:sz="8" w:color="auto"/>
            </w:tcBorders>
            <w:shd w:val="clear" w:color="auto" w:fill="CCEEFF"/>
          </w:tcPr>
          <w:p>
            <w:pPr>
              <w:jc w:val="right"/>
              <w:ind w:right="223"/>
              <w:spacing w:after="0"/>
              <w:rPr>
                <w:sz w:val="20"/>
                <w:szCs w:val="20"/>
                <w:color w:val="auto"/>
              </w:rPr>
            </w:pPr>
            <w:r>
              <w:rPr>
                <w:rFonts w:ascii="Arial" w:cs="Arial" w:eastAsia="Arial" w:hAnsi="Arial"/>
                <w:sz w:val="11"/>
                <w:szCs w:val="11"/>
                <w:color w:val="auto"/>
              </w:rPr>
              <w:t>118,512</w:t>
            </w:r>
          </w:p>
        </w:tc>
        <w:tc>
          <w:tcPr>
            <w:tcW w:w="6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color w:val="auto"/>
              </w:rPr>
              <w:t>241,404</w:t>
            </w:r>
          </w:p>
        </w:tc>
        <w:tc>
          <w:tcPr>
            <w:tcW w:w="7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(419)</w:t>
            </w:r>
          </w:p>
        </w:tc>
        <w:tc>
          <w:tcPr>
            <w:tcW w:w="7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161,581</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6,179,333</w:t>
            </w:r>
          </w:p>
        </w:tc>
        <w:tc>
          <w:tcPr>
            <w:tcW w:w="0" w:type="dxa"/>
            <w:vAlign w:val="bottom"/>
          </w:tcPr>
          <w:p>
            <w:pPr>
              <w:spacing w:after="0"/>
              <w:rPr>
                <w:sz w:val="1"/>
                <w:szCs w:val="1"/>
                <w:color w:val="auto"/>
              </w:rPr>
            </w:pPr>
          </w:p>
        </w:tc>
      </w:tr>
      <w:tr>
        <w:trPr>
          <w:trHeight w:val="154"/>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Balance at 31 December 2021</w:t>
            </w:r>
          </w:p>
        </w:tc>
        <w:tc>
          <w:tcPr>
            <w:tcW w:w="94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rPr>
              <w:t>81,554,683</w:t>
            </w:r>
          </w:p>
        </w:tc>
        <w:tc>
          <w:tcPr>
            <w:tcW w:w="70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6,640</w:t>
            </w:r>
          </w:p>
        </w:tc>
        <w:tc>
          <w:tcPr>
            <w:tcW w:w="80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5,656,195</w:t>
            </w:r>
          </w:p>
        </w:tc>
        <w:tc>
          <w:tcPr>
            <w:tcW w:w="88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b w:val="1"/>
                <w:bCs w:val="1"/>
                <w:color w:val="auto"/>
              </w:rPr>
              <w:t>436,916</w:t>
            </w:r>
          </w:p>
        </w:tc>
        <w:tc>
          <w:tcPr>
            <w:tcW w:w="68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b w:val="1"/>
                <w:bCs w:val="1"/>
                <w:color w:val="auto"/>
              </w:rPr>
              <w:t>1,134</w:t>
            </w:r>
          </w:p>
        </w:tc>
        <w:tc>
          <w:tcPr>
            <w:tcW w:w="88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420,973</w:t>
            </w:r>
          </w:p>
        </w:tc>
        <w:tc>
          <w:tcPr>
            <w:tcW w:w="76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12,438</w:t>
            </w:r>
          </w:p>
        </w:tc>
        <w:tc>
          <w:tcPr>
            <w:tcW w:w="76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(86,621)</w:t>
            </w:r>
          </w:p>
        </w:tc>
        <w:tc>
          <w:tcPr>
            <w:tcW w:w="78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1,730,190</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8,177,865</w:t>
            </w:r>
          </w:p>
        </w:tc>
        <w:tc>
          <w:tcPr>
            <w:tcW w:w="0" w:type="dxa"/>
            <w:vAlign w:val="bottom"/>
          </w:tcPr>
          <w:p>
            <w:pPr>
              <w:spacing w:after="0"/>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Further details of the reserves above are detailed in note 25</w:t>
      </w:r>
    </w:p>
    <w:p>
      <w:pPr>
        <w:spacing w:after="0" w:line="35"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160"/>
          </w:cols>
          <w:pgMar w:left="300" w:top="698" w:right="43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t>Consolidated Statement of Changes in Equity</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2020</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2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Financial assets</w:t>
            </w:r>
          </w:p>
        </w:tc>
        <w:tc>
          <w:tcPr>
            <w:tcW w:w="8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2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300" w:type="dxa"/>
            <w:vAlign w:val="bottom"/>
            <w:gridSpan w:val="2"/>
            <w:vMerge w:val="restart"/>
            <w:shd w:val="clear" w:color="auto" w:fill="CCEEFF"/>
          </w:tcPr>
          <w:p>
            <w:pPr>
              <w:jc w:val="right"/>
              <w:ind w:right="51"/>
              <w:spacing w:after="0"/>
              <w:rPr>
                <w:sz w:val="20"/>
                <w:szCs w:val="20"/>
                <w:color w:val="auto"/>
              </w:rPr>
            </w:pPr>
            <w:r>
              <w:rPr>
                <w:rFonts w:ascii="Arial" w:cs="Arial" w:eastAsia="Arial" w:hAnsi="Arial"/>
                <w:sz w:val="10"/>
                <w:szCs w:val="10"/>
                <w:b w:val="1"/>
                <w:bCs w:val="1"/>
                <w:color w:val="auto"/>
              </w:rPr>
              <w:t>Other Share-based</w:t>
            </w:r>
          </w:p>
        </w:tc>
        <w:tc>
          <w:tcPr>
            <w:tcW w:w="6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80" w:type="dxa"/>
            <w:vAlign w:val="bottom"/>
            <w:shd w:val="clear" w:color="auto" w:fill="CCEEFF"/>
          </w:tcPr>
          <w:p>
            <w:pPr>
              <w:jc w:val="right"/>
              <w:spacing w:after="0" w:line="102" w:lineRule="exact"/>
              <w:rPr>
                <w:sz w:val="20"/>
                <w:szCs w:val="20"/>
                <w:color w:val="auto"/>
              </w:rPr>
            </w:pPr>
            <w:r>
              <w:rPr>
                <w:rFonts w:ascii="Arial" w:cs="Arial" w:eastAsia="Arial" w:hAnsi="Arial"/>
                <w:sz w:val="10"/>
                <w:szCs w:val="10"/>
                <w:b w:val="1"/>
                <w:bCs w:val="1"/>
                <w:color w:val="auto"/>
              </w:rPr>
              <w:t>at fair value</w:t>
            </w:r>
          </w:p>
        </w:tc>
        <w:tc>
          <w:tcPr>
            <w:tcW w:w="820" w:type="dxa"/>
            <w:vAlign w:val="bottom"/>
            <w:vMerge w:val="restart"/>
            <w:shd w:val="clear" w:color="auto" w:fill="CCEEFF"/>
          </w:tcPr>
          <w:p>
            <w:pPr>
              <w:jc w:val="right"/>
              <w:ind w:right="31"/>
              <w:spacing w:after="0"/>
              <w:rPr>
                <w:sz w:val="20"/>
                <w:szCs w:val="20"/>
                <w:color w:val="auto"/>
              </w:rPr>
            </w:pPr>
            <w:r>
              <w:rPr>
                <w:rFonts w:ascii="Arial" w:cs="Arial" w:eastAsia="Arial" w:hAnsi="Arial"/>
                <w:sz w:val="10"/>
                <w:szCs w:val="10"/>
                <w:b w:val="1"/>
                <w:bCs w:val="1"/>
                <w:color w:val="auto"/>
              </w:rPr>
              <w:t>Put option in</w:t>
            </w:r>
          </w:p>
        </w:tc>
        <w:tc>
          <w:tcPr>
            <w:tcW w:w="6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280" w:type="dxa"/>
            <w:vAlign w:val="bottom"/>
            <w:shd w:val="clear" w:color="auto" w:fill="CCEEFF"/>
          </w:tcPr>
          <w:p>
            <w:pPr>
              <w:spacing w:after="0"/>
              <w:rPr>
                <w:sz w:val="8"/>
                <w:szCs w:val="8"/>
                <w:color w:val="auto"/>
              </w:rPr>
            </w:pPr>
          </w:p>
        </w:tc>
        <w:tc>
          <w:tcPr>
            <w:tcW w:w="780" w:type="dxa"/>
            <w:vAlign w:val="bottom"/>
            <w:vMerge w:val="restart"/>
            <w:shd w:val="clear" w:color="auto" w:fill="CCEEFF"/>
          </w:tcPr>
          <w:p>
            <w:pPr>
              <w:jc w:val="right"/>
              <w:ind w:right="51"/>
              <w:spacing w:after="0"/>
              <w:rPr>
                <w:sz w:val="20"/>
                <w:szCs w:val="20"/>
                <w:color w:val="auto"/>
              </w:rPr>
            </w:pPr>
            <w:r>
              <w:rPr>
                <w:rFonts w:ascii="Arial" w:cs="Arial" w:eastAsia="Arial" w:hAnsi="Arial"/>
                <w:sz w:val="10"/>
                <w:szCs w:val="10"/>
                <w:b w:val="1"/>
                <w:bCs w:val="1"/>
                <w:color w:val="auto"/>
              </w:rPr>
              <w:t>Number</w:t>
            </w:r>
          </w:p>
        </w:tc>
        <w:tc>
          <w:tcPr>
            <w:tcW w:w="500" w:type="dxa"/>
            <w:vAlign w:val="bottom"/>
            <w:vMerge w:val="restart"/>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Share</w:t>
            </w:r>
          </w:p>
        </w:tc>
        <w:tc>
          <w:tcPr>
            <w:tcW w:w="740" w:type="dxa"/>
            <w:vAlign w:val="bottom"/>
            <w:shd w:val="clear" w:color="auto" w:fill="CCEEFF"/>
          </w:tcPr>
          <w:p>
            <w:pPr>
              <w:spacing w:after="0"/>
              <w:rPr>
                <w:sz w:val="8"/>
                <w:szCs w:val="8"/>
                <w:color w:val="auto"/>
              </w:rPr>
            </w:pPr>
          </w:p>
        </w:tc>
        <w:tc>
          <w:tcPr>
            <w:tcW w:w="1300" w:type="dxa"/>
            <w:vAlign w:val="bottom"/>
            <w:gridSpan w:val="2"/>
            <w:vMerge w:val="continue"/>
            <w:shd w:val="clear" w:color="auto" w:fill="CCEEFF"/>
          </w:tcPr>
          <w:p>
            <w:pPr>
              <w:spacing w:after="0"/>
              <w:rPr>
                <w:sz w:val="8"/>
                <w:szCs w:val="8"/>
                <w:color w:val="auto"/>
              </w:rPr>
            </w:pPr>
          </w:p>
        </w:tc>
        <w:tc>
          <w:tcPr>
            <w:tcW w:w="620" w:type="dxa"/>
            <w:vAlign w:val="bottom"/>
            <w:vMerge w:val="restart"/>
            <w:shd w:val="clear" w:color="auto" w:fill="CCEEFF"/>
          </w:tcPr>
          <w:p>
            <w:pPr>
              <w:jc w:val="right"/>
              <w:ind w:right="31"/>
              <w:spacing w:after="0"/>
              <w:rPr>
                <w:sz w:val="20"/>
                <w:szCs w:val="20"/>
                <w:color w:val="auto"/>
              </w:rPr>
            </w:pPr>
            <w:r>
              <w:rPr>
                <w:rFonts w:ascii="Arial" w:cs="Arial" w:eastAsia="Arial" w:hAnsi="Arial"/>
                <w:sz w:val="10"/>
                <w:szCs w:val="10"/>
                <w:b w:val="1"/>
                <w:bCs w:val="1"/>
                <w:color w:val="auto"/>
              </w:rPr>
              <w:t>Other</w:t>
            </w:r>
          </w:p>
        </w:tc>
        <w:tc>
          <w:tcPr>
            <w:tcW w:w="620" w:type="dxa"/>
            <w:vAlign w:val="bottom"/>
            <w:vMerge w:val="restart"/>
            <w:shd w:val="clear" w:color="auto" w:fill="CCEEFF"/>
          </w:tcPr>
          <w:p>
            <w:pPr>
              <w:jc w:val="right"/>
              <w:ind w:right="51"/>
              <w:spacing w:after="0"/>
              <w:rPr>
                <w:sz w:val="20"/>
                <w:szCs w:val="20"/>
                <w:color w:val="auto"/>
              </w:rPr>
            </w:pPr>
            <w:r>
              <w:rPr>
                <w:rFonts w:ascii="Arial" w:cs="Arial" w:eastAsia="Arial" w:hAnsi="Arial"/>
                <w:sz w:val="10"/>
                <w:szCs w:val="10"/>
                <w:b w:val="1"/>
                <w:bCs w:val="1"/>
                <w:color w:val="auto"/>
              </w:rPr>
              <w:t>Currency</w:t>
            </w:r>
          </w:p>
        </w:tc>
        <w:tc>
          <w:tcPr>
            <w:tcW w:w="880" w:type="dxa"/>
            <w:vAlign w:val="bottom"/>
            <w:shd w:val="clear" w:color="auto" w:fill="CCEEFF"/>
          </w:tcPr>
          <w:p>
            <w:pPr>
              <w:jc w:val="right"/>
              <w:spacing w:after="0" w:line="100" w:lineRule="exact"/>
              <w:rPr>
                <w:sz w:val="20"/>
                <w:szCs w:val="20"/>
                <w:color w:val="auto"/>
              </w:rPr>
            </w:pPr>
            <w:r>
              <w:rPr>
                <w:rFonts w:ascii="Arial" w:cs="Arial" w:eastAsia="Arial" w:hAnsi="Arial"/>
                <w:sz w:val="10"/>
                <w:szCs w:val="10"/>
                <w:b w:val="1"/>
                <w:bCs w:val="1"/>
                <w:color w:val="auto"/>
              </w:rPr>
              <w:t>through other</w:t>
            </w:r>
          </w:p>
        </w:tc>
        <w:tc>
          <w:tcPr>
            <w:tcW w:w="820" w:type="dxa"/>
            <w:vAlign w:val="bottom"/>
            <w:vMerge w:val="continue"/>
            <w:shd w:val="clear" w:color="auto" w:fill="CCEEFF"/>
          </w:tcPr>
          <w:p>
            <w:pPr>
              <w:spacing w:after="0"/>
              <w:rPr>
                <w:sz w:val="8"/>
                <w:szCs w:val="8"/>
                <w:color w:val="auto"/>
              </w:rPr>
            </w:pPr>
          </w:p>
        </w:tc>
        <w:tc>
          <w:tcPr>
            <w:tcW w:w="640" w:type="dxa"/>
            <w:vAlign w:val="bottom"/>
            <w:vMerge w:val="restart"/>
            <w:shd w:val="clear" w:color="auto" w:fill="CCEEFF"/>
          </w:tcPr>
          <w:p>
            <w:pPr>
              <w:jc w:val="right"/>
              <w:ind w:right="91"/>
              <w:spacing w:after="0"/>
              <w:rPr>
                <w:sz w:val="20"/>
                <w:szCs w:val="20"/>
                <w:color w:val="auto"/>
              </w:rPr>
            </w:pPr>
            <w:r>
              <w:rPr>
                <w:rFonts w:ascii="Arial" w:cs="Arial" w:eastAsia="Arial" w:hAnsi="Arial"/>
                <w:sz w:val="10"/>
                <w:szCs w:val="10"/>
                <w:b w:val="1"/>
                <w:bCs w:val="1"/>
                <w:color w:val="auto"/>
              </w:rPr>
              <w:t>Retained</w:t>
            </w:r>
          </w:p>
        </w:tc>
        <w:tc>
          <w:tcPr>
            <w:tcW w:w="620" w:type="dxa"/>
            <w:vAlign w:val="bottom"/>
            <w:shd w:val="clear" w:color="auto" w:fill="CCEEFF"/>
          </w:tcPr>
          <w:p>
            <w:pPr>
              <w:spacing w:after="0"/>
              <w:rPr>
                <w:sz w:val="8"/>
                <w:szCs w:val="8"/>
                <w:color w:val="auto"/>
              </w:rPr>
            </w:pPr>
          </w:p>
        </w:tc>
        <w:tc>
          <w:tcPr>
            <w:tcW w:w="880" w:type="dxa"/>
            <w:vAlign w:val="bottom"/>
            <w:vMerge w:val="restart"/>
            <w:shd w:val="clear" w:color="auto" w:fill="CCEEFF"/>
          </w:tcPr>
          <w:p>
            <w:pPr>
              <w:jc w:val="right"/>
              <w:ind w:right="71"/>
              <w:spacing w:after="0"/>
              <w:rPr>
                <w:sz w:val="20"/>
                <w:szCs w:val="20"/>
                <w:color w:val="auto"/>
              </w:rPr>
            </w:pPr>
            <w:r>
              <w:rPr>
                <w:rFonts w:ascii="Arial" w:cs="Arial" w:eastAsia="Arial" w:hAnsi="Arial"/>
                <w:sz w:val="10"/>
                <w:szCs w:val="10"/>
                <w:b w:val="1"/>
                <w:bCs w:val="1"/>
                <w:color w:val="auto"/>
              </w:rPr>
              <w:t>Noncontrolling</w:t>
            </w:r>
          </w:p>
        </w:tc>
        <w:tc>
          <w:tcPr>
            <w:tcW w:w="6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28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500" w:type="dxa"/>
            <w:vAlign w:val="bottom"/>
            <w:vMerge w:val="continue"/>
            <w:shd w:val="clear" w:color="auto" w:fill="CCEEFF"/>
          </w:tcPr>
          <w:p>
            <w:pPr>
              <w:spacing w:after="0"/>
              <w:rPr>
                <w:sz w:val="8"/>
                <w:szCs w:val="8"/>
                <w:color w:val="auto"/>
              </w:rPr>
            </w:pPr>
          </w:p>
        </w:tc>
        <w:tc>
          <w:tcPr>
            <w:tcW w:w="1420" w:type="dxa"/>
            <w:vAlign w:val="bottom"/>
            <w:gridSpan w:val="2"/>
            <w:shd w:val="clear" w:color="auto" w:fill="CCEEFF"/>
          </w:tcPr>
          <w:p>
            <w:pPr>
              <w:jc w:val="right"/>
              <w:ind w:right="71"/>
              <w:spacing w:after="0" w:line="96" w:lineRule="exact"/>
              <w:rPr>
                <w:sz w:val="20"/>
                <w:szCs w:val="20"/>
                <w:color w:val="auto"/>
              </w:rPr>
            </w:pPr>
            <w:r>
              <w:rPr>
                <w:rFonts w:ascii="Arial" w:cs="Arial" w:eastAsia="Arial" w:hAnsi="Arial"/>
                <w:sz w:val="10"/>
                <w:szCs w:val="10"/>
                <w:b w:val="1"/>
                <w:bCs w:val="1"/>
                <w:color w:val="auto"/>
              </w:rPr>
              <w:t>Share Undenominated</w:t>
            </w:r>
          </w:p>
        </w:tc>
        <w:tc>
          <w:tcPr>
            <w:tcW w:w="620" w:type="dxa"/>
            <w:vAlign w:val="bottom"/>
            <w:shd w:val="clear" w:color="auto" w:fill="CCEEFF"/>
          </w:tcPr>
          <w:p>
            <w:pPr>
              <w:jc w:val="right"/>
              <w:ind w:right="51"/>
              <w:spacing w:after="0" w:line="96" w:lineRule="exact"/>
              <w:rPr>
                <w:sz w:val="20"/>
                <w:szCs w:val="20"/>
                <w:color w:val="auto"/>
              </w:rPr>
            </w:pPr>
            <w:r>
              <w:rPr>
                <w:rFonts w:ascii="Arial" w:cs="Arial" w:eastAsia="Arial" w:hAnsi="Arial"/>
                <w:sz w:val="10"/>
                <w:szCs w:val="10"/>
                <w:b w:val="1"/>
                <w:bCs w:val="1"/>
                <w:color w:val="auto"/>
              </w:rPr>
              <w:t>Payment</w:t>
            </w:r>
          </w:p>
        </w:tc>
        <w:tc>
          <w:tcPr>
            <w:tcW w:w="620" w:type="dxa"/>
            <w:vAlign w:val="bottom"/>
            <w:vMerge w:val="continue"/>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880" w:type="dxa"/>
            <w:vAlign w:val="bottom"/>
            <w:shd w:val="clear" w:color="auto" w:fill="CCEEFF"/>
          </w:tcPr>
          <w:p>
            <w:pPr>
              <w:jc w:val="right"/>
              <w:spacing w:after="0" w:line="96" w:lineRule="exact"/>
              <w:rPr>
                <w:sz w:val="20"/>
                <w:szCs w:val="20"/>
                <w:color w:val="auto"/>
              </w:rPr>
            </w:pPr>
            <w:r>
              <w:rPr>
                <w:rFonts w:ascii="Arial" w:cs="Arial" w:eastAsia="Arial" w:hAnsi="Arial"/>
                <w:sz w:val="10"/>
                <w:szCs w:val="10"/>
                <w:b w:val="1"/>
                <w:bCs w:val="1"/>
                <w:color w:val="auto"/>
              </w:rPr>
              <w:t>comprehensive</w:t>
            </w:r>
          </w:p>
        </w:tc>
        <w:tc>
          <w:tcPr>
            <w:tcW w:w="820" w:type="dxa"/>
            <w:vAlign w:val="bottom"/>
            <w:shd w:val="clear" w:color="auto" w:fill="CCEEFF"/>
          </w:tcPr>
          <w:p>
            <w:pPr>
              <w:jc w:val="right"/>
              <w:ind w:right="31"/>
              <w:spacing w:after="0" w:line="96" w:lineRule="exact"/>
              <w:rPr>
                <w:sz w:val="20"/>
                <w:szCs w:val="20"/>
                <w:color w:val="auto"/>
              </w:rPr>
            </w:pPr>
            <w:r>
              <w:rPr>
                <w:rFonts w:ascii="Arial" w:cs="Arial" w:eastAsia="Arial" w:hAnsi="Arial"/>
                <w:sz w:val="10"/>
                <w:szCs w:val="10"/>
                <w:b w:val="1"/>
                <w:bCs w:val="1"/>
                <w:color w:val="auto"/>
              </w:rPr>
              <w:t>noncontrolling</w:t>
            </w:r>
          </w:p>
        </w:tc>
        <w:tc>
          <w:tcPr>
            <w:tcW w:w="640" w:type="dxa"/>
            <w:vAlign w:val="bottom"/>
            <w:vMerge w:val="continue"/>
            <w:shd w:val="clear" w:color="auto" w:fill="CCEEFF"/>
          </w:tcPr>
          <w:p>
            <w:pPr>
              <w:spacing w:after="0"/>
              <w:rPr>
                <w:sz w:val="8"/>
                <w:szCs w:val="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rPr>
              <w:t>Sub total</w:t>
            </w:r>
          </w:p>
        </w:tc>
        <w:tc>
          <w:tcPr>
            <w:tcW w:w="880" w:type="dxa"/>
            <w:vAlign w:val="bottom"/>
            <w:vMerge w:val="continue"/>
            <w:shd w:val="clear" w:color="auto" w:fill="CCEEFF"/>
          </w:tcPr>
          <w:p>
            <w:pPr>
              <w:spacing w:after="0"/>
              <w:rPr>
                <w:sz w:val="8"/>
                <w:szCs w:val="8"/>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49"/>
        </w:trPr>
        <w:tc>
          <w:tcPr>
            <w:tcW w:w="22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0"/>
                <w:szCs w:val="10"/>
                <w:b w:val="1"/>
                <w:bCs w:val="1"/>
                <w:color w:val="auto"/>
              </w:rPr>
              <w:t>of shares</w:t>
            </w:r>
          </w:p>
        </w:tc>
        <w:tc>
          <w:tcPr>
            <w:tcW w:w="500" w:type="dxa"/>
            <w:vAlign w:val="bottom"/>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Capital</w:t>
            </w:r>
          </w:p>
        </w:tc>
        <w:tc>
          <w:tcPr>
            <w:tcW w:w="740" w:type="dxa"/>
            <w:vAlign w:val="bottom"/>
            <w:shd w:val="clear" w:color="auto" w:fill="CCEEFF"/>
          </w:tcPr>
          <w:p>
            <w:pPr>
              <w:jc w:val="right"/>
              <w:ind w:right="191"/>
              <w:spacing w:after="0"/>
              <w:rPr>
                <w:sz w:val="20"/>
                <w:szCs w:val="20"/>
                <w:color w:val="auto"/>
              </w:rPr>
            </w:pPr>
            <w:r>
              <w:rPr>
                <w:rFonts w:ascii="Arial" w:cs="Arial" w:eastAsia="Arial" w:hAnsi="Arial"/>
                <w:sz w:val="10"/>
                <w:szCs w:val="10"/>
                <w:b w:val="1"/>
                <w:bCs w:val="1"/>
                <w:color w:val="auto"/>
              </w:rPr>
              <w:t>Premium</w:t>
            </w: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0"/>
                <w:szCs w:val="10"/>
                <w:b w:val="1"/>
                <w:bCs w:val="1"/>
                <w:color w:val="auto"/>
              </w:rPr>
              <w:t>Capital</w:t>
            </w: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0"/>
                <w:szCs w:val="10"/>
                <w:b w:val="1"/>
                <w:bCs w:val="1"/>
                <w:color w:val="auto"/>
              </w:rPr>
              <w:t>Reserve</w:t>
            </w:r>
          </w:p>
        </w:tc>
        <w:tc>
          <w:tcPr>
            <w:tcW w:w="620" w:type="dxa"/>
            <w:vAlign w:val="bottom"/>
            <w:shd w:val="clear" w:color="auto" w:fill="CCEEFF"/>
          </w:tcPr>
          <w:p>
            <w:pPr>
              <w:jc w:val="right"/>
              <w:ind w:right="31"/>
              <w:spacing w:after="0"/>
              <w:rPr>
                <w:sz w:val="20"/>
                <w:szCs w:val="20"/>
                <w:color w:val="auto"/>
              </w:rPr>
            </w:pPr>
            <w:r>
              <w:rPr>
                <w:rFonts w:ascii="Arial" w:cs="Arial" w:eastAsia="Arial" w:hAnsi="Arial"/>
                <w:sz w:val="10"/>
                <w:szCs w:val="10"/>
                <w:b w:val="1"/>
                <w:bCs w:val="1"/>
                <w:color w:val="auto"/>
              </w:rPr>
              <w:t>Reserves</w:t>
            </w: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Reserve</w:t>
            </w: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income reserve</w:t>
            </w: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0"/>
                <w:szCs w:val="10"/>
                <w:b w:val="1"/>
                <w:bCs w:val="1"/>
                <w:color w:val="auto"/>
              </w:rPr>
              <w:t>interest shares</w:t>
            </w: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0"/>
                <w:szCs w:val="10"/>
                <w:b w:val="1"/>
                <w:bCs w:val="1"/>
                <w:color w:val="auto"/>
              </w:rPr>
              <w:t>Earnings</w:t>
            </w:r>
          </w:p>
        </w:tc>
        <w:tc>
          <w:tcPr>
            <w:tcW w:w="620" w:type="dxa"/>
            <w:vAlign w:val="bottom"/>
            <w:vMerge w:val="continue"/>
            <w:shd w:val="clear" w:color="auto" w:fill="CCEEFF"/>
          </w:tcPr>
          <w:p>
            <w:pPr>
              <w:spacing w:after="0"/>
              <w:rPr>
                <w:sz w:val="12"/>
                <w:szCs w:val="12"/>
                <w:color w:val="auto"/>
              </w:rPr>
            </w:pP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0"/>
                <w:szCs w:val="10"/>
                <w:b w:val="1"/>
                <w:bCs w:val="1"/>
                <w:color w:val="auto"/>
              </w:rPr>
              <w:t>interest</w:t>
            </w:r>
          </w:p>
        </w:tc>
        <w:tc>
          <w:tcPr>
            <w:tcW w:w="6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28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rPr>
              <w:t>$’000</w:t>
            </w: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0"/>
                <w:szCs w:val="10"/>
                <w:b w:val="1"/>
                <w:bCs w:val="1"/>
                <w:color w:val="auto"/>
              </w:rPr>
              <w:t>$’000</w:t>
            </w:r>
          </w:p>
        </w:tc>
        <w:tc>
          <w:tcPr>
            <w:tcW w:w="68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b w:val="1"/>
                <w:bCs w:val="1"/>
                <w:color w:val="auto"/>
              </w:rPr>
              <w:t>$’000</w:t>
            </w:r>
          </w:p>
        </w:tc>
        <w:tc>
          <w:tcPr>
            <w:tcW w:w="62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b w:val="1"/>
                <w:bCs w:val="1"/>
                <w:color w:val="auto"/>
              </w:rPr>
              <w:t>$’000</w:t>
            </w:r>
          </w:p>
        </w:tc>
        <w:tc>
          <w:tcPr>
            <w:tcW w:w="62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b w:val="1"/>
                <w:bCs w:val="1"/>
                <w:color w:val="auto"/>
              </w:rPr>
              <w:t>$’000</w:t>
            </w:r>
          </w:p>
        </w:tc>
        <w:tc>
          <w:tcPr>
            <w:tcW w:w="6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rPr>
              <w:t>$’000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$’000</w:t>
            </w: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b w:val="1"/>
                <w:bCs w:val="1"/>
                <w:color w:val="auto"/>
              </w:rPr>
              <w:t>$’000</w:t>
            </w:r>
          </w:p>
        </w:tc>
        <w:tc>
          <w:tcPr>
            <w:tcW w:w="64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b w:val="1"/>
                <w:bCs w:val="1"/>
                <w:color w:val="auto"/>
              </w:rPr>
              <w:t>$’000</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$’000</w:t>
            </w:r>
          </w:p>
        </w:tc>
        <w:tc>
          <w:tcPr>
            <w:tcW w:w="88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b w:val="1"/>
                <w:bCs w:val="1"/>
                <w:color w:val="auto"/>
              </w:rPr>
              <w:t>$’000</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$’000</w:t>
            </w:r>
          </w:p>
        </w:tc>
        <w:tc>
          <w:tcPr>
            <w:tcW w:w="0" w:type="dxa"/>
            <w:vAlign w:val="bottom"/>
          </w:tcPr>
          <w:p>
            <w:pPr>
              <w:spacing w:after="0"/>
              <w:rPr>
                <w:sz w:val="1"/>
                <w:szCs w:val="1"/>
                <w:color w:val="auto"/>
              </w:rPr>
            </w:pPr>
          </w:p>
        </w:tc>
      </w:tr>
      <w:tr>
        <w:trPr>
          <w:trHeight w:val="130"/>
        </w:trPr>
        <w:tc>
          <w:tcPr>
            <w:tcW w:w="228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Balance at 1 January 2020</w:t>
            </w:r>
          </w:p>
        </w:tc>
        <w:tc>
          <w:tcPr>
            <w:tcW w:w="780" w:type="dxa"/>
            <w:vAlign w:val="bottom"/>
            <w:shd w:val="clear" w:color="auto" w:fill="CCEEFF"/>
          </w:tcPr>
          <w:p>
            <w:pPr>
              <w:jc w:val="right"/>
              <w:ind w:right="91"/>
              <w:spacing w:after="0"/>
              <w:rPr>
                <w:sz w:val="20"/>
                <w:szCs w:val="20"/>
                <w:color w:val="auto"/>
              </w:rPr>
            </w:pPr>
            <w:r>
              <w:rPr>
                <w:rFonts w:ascii="Arial" w:cs="Arial" w:eastAsia="Arial" w:hAnsi="Arial"/>
                <w:sz w:val="10"/>
                <w:szCs w:val="10"/>
                <w:b w:val="1"/>
                <w:bCs w:val="1"/>
                <w:color w:val="auto"/>
              </w:rPr>
              <w:t>53,622,206</w:t>
            </w:r>
          </w:p>
        </w:tc>
        <w:tc>
          <w:tcPr>
            <w:tcW w:w="500" w:type="dxa"/>
            <w:vAlign w:val="bottom"/>
            <w:shd w:val="clear" w:color="auto" w:fill="CCEEFF"/>
          </w:tcPr>
          <w:p>
            <w:pPr>
              <w:jc w:val="right"/>
              <w:ind w:right="51"/>
              <w:spacing w:after="0"/>
              <w:rPr>
                <w:sz w:val="20"/>
                <w:szCs w:val="20"/>
                <w:color w:val="auto"/>
              </w:rPr>
            </w:pPr>
            <w:r>
              <w:rPr>
                <w:rFonts w:ascii="Arial" w:cs="Arial" w:eastAsia="Arial" w:hAnsi="Arial"/>
                <w:sz w:val="10"/>
                <w:szCs w:val="10"/>
                <w:b w:val="1"/>
                <w:bCs w:val="1"/>
                <w:color w:val="auto"/>
              </w:rPr>
              <w:t>4,635</w:t>
            </w:r>
          </w:p>
        </w:tc>
        <w:tc>
          <w:tcPr>
            <w:tcW w:w="740" w:type="dxa"/>
            <w:vAlign w:val="bottom"/>
            <w:shd w:val="clear" w:color="auto" w:fill="CCEEFF"/>
          </w:tcPr>
          <w:p>
            <w:pPr>
              <w:jc w:val="right"/>
              <w:ind w:right="211"/>
              <w:spacing w:after="0"/>
              <w:rPr>
                <w:sz w:val="20"/>
                <w:szCs w:val="20"/>
                <w:color w:val="auto"/>
              </w:rPr>
            </w:pPr>
            <w:r>
              <w:rPr>
                <w:rFonts w:ascii="Arial" w:cs="Arial" w:eastAsia="Arial" w:hAnsi="Arial"/>
                <w:sz w:val="10"/>
                <w:szCs w:val="10"/>
                <w:b w:val="1"/>
                <w:bCs w:val="1"/>
                <w:color w:val="auto"/>
              </w:rPr>
              <w:t>305,228</w:t>
            </w:r>
          </w:p>
        </w:tc>
        <w:tc>
          <w:tcPr>
            <w:tcW w:w="680" w:type="dxa"/>
            <w:vAlign w:val="bottom"/>
            <w:shd w:val="clear" w:color="auto" w:fill="CCEEFF"/>
          </w:tcPr>
          <w:p>
            <w:pPr>
              <w:jc w:val="right"/>
              <w:ind w:right="111"/>
              <w:spacing w:after="0"/>
              <w:rPr>
                <w:sz w:val="20"/>
                <w:szCs w:val="20"/>
                <w:color w:val="auto"/>
              </w:rPr>
            </w:pPr>
            <w:r>
              <w:rPr>
                <w:rFonts w:ascii="Arial" w:cs="Arial" w:eastAsia="Arial" w:hAnsi="Arial"/>
                <w:sz w:val="10"/>
                <w:szCs w:val="10"/>
                <w:b w:val="1"/>
                <w:bCs w:val="1"/>
                <w:color w:val="auto"/>
              </w:rPr>
              <w:t>1,052</w:t>
            </w:r>
          </w:p>
        </w:tc>
        <w:tc>
          <w:tcPr>
            <w:tcW w:w="620" w:type="dxa"/>
            <w:vAlign w:val="bottom"/>
            <w:shd w:val="clear" w:color="auto" w:fill="CCEEFF"/>
          </w:tcPr>
          <w:p>
            <w:pPr>
              <w:jc w:val="right"/>
              <w:ind w:right="91"/>
              <w:spacing w:after="0"/>
              <w:rPr>
                <w:sz w:val="20"/>
                <w:szCs w:val="20"/>
                <w:color w:val="auto"/>
              </w:rPr>
            </w:pPr>
            <w:r>
              <w:rPr>
                <w:rFonts w:ascii="Arial" w:cs="Arial" w:eastAsia="Arial" w:hAnsi="Arial"/>
                <w:sz w:val="10"/>
                <w:szCs w:val="10"/>
                <w:b w:val="1"/>
                <w:bCs w:val="1"/>
                <w:color w:val="auto"/>
              </w:rPr>
              <w:t>174,230</w:t>
            </w: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0"/>
                <w:szCs w:val="10"/>
                <w:b w:val="1"/>
                <w:bCs w:val="1"/>
                <w:color w:val="auto"/>
              </w:rPr>
              <w:t>10,874</w:t>
            </w:r>
          </w:p>
        </w:tc>
        <w:tc>
          <w:tcPr>
            <w:tcW w:w="620" w:type="dxa"/>
            <w:vAlign w:val="bottom"/>
            <w:shd w:val="clear" w:color="auto" w:fill="CCEEFF"/>
          </w:tcPr>
          <w:p>
            <w:pPr>
              <w:jc w:val="right"/>
              <w:ind w:right="31"/>
              <w:spacing w:after="0"/>
              <w:rPr>
                <w:sz w:val="20"/>
                <w:szCs w:val="20"/>
                <w:color w:val="auto"/>
              </w:rPr>
            </w:pPr>
            <w:r>
              <w:rPr>
                <w:rFonts w:ascii="Arial" w:cs="Arial" w:eastAsia="Arial" w:hAnsi="Arial"/>
                <w:sz w:val="10"/>
                <w:szCs w:val="10"/>
                <w:b w:val="1"/>
                <w:bCs w:val="1"/>
                <w:color w:val="auto"/>
              </w:rPr>
              <w:t>(71,492)</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0"/>
                <w:szCs w:val="10"/>
                <w:b w:val="1"/>
                <w:bCs w:val="1"/>
                <w:color w:val="auto"/>
              </w:rPr>
              <w:t>231</w:t>
            </w: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0"/>
                <w:szCs w:val="10"/>
                <w:b w:val="1"/>
                <w:bCs w:val="1"/>
                <w:color w:val="auto"/>
              </w:rPr>
              <w:t>(38,482)</w:t>
            </w:r>
          </w:p>
        </w:tc>
        <w:tc>
          <w:tcPr>
            <w:tcW w:w="640" w:type="dxa"/>
            <w:vAlign w:val="bottom"/>
            <w:shd w:val="clear" w:color="auto" w:fill="CCEEFF"/>
          </w:tcPr>
          <w:p>
            <w:pPr>
              <w:jc w:val="right"/>
              <w:ind w:right="91"/>
              <w:spacing w:after="0"/>
              <w:rPr>
                <w:sz w:val="20"/>
                <w:szCs w:val="20"/>
                <w:color w:val="auto"/>
              </w:rPr>
            </w:pPr>
            <w:r>
              <w:rPr>
                <w:rFonts w:ascii="Arial" w:cs="Arial" w:eastAsia="Arial" w:hAnsi="Arial"/>
                <w:sz w:val="10"/>
                <w:szCs w:val="10"/>
                <w:b w:val="1"/>
                <w:bCs w:val="1"/>
                <w:color w:val="auto"/>
              </w:rPr>
              <w:t>1,220,871</w:t>
            </w:r>
          </w:p>
        </w:tc>
        <w:tc>
          <w:tcPr>
            <w:tcW w:w="620" w:type="dxa"/>
            <w:vAlign w:val="bottom"/>
            <w:shd w:val="clear" w:color="auto" w:fill="CCEEFF"/>
          </w:tcPr>
          <w:p>
            <w:pPr>
              <w:jc w:val="right"/>
              <w:ind w:right="31"/>
              <w:spacing w:after="0"/>
              <w:rPr>
                <w:sz w:val="20"/>
                <w:szCs w:val="20"/>
                <w:color w:val="auto"/>
              </w:rPr>
            </w:pPr>
            <w:r>
              <w:rPr>
                <w:rFonts w:ascii="Arial" w:cs="Arial" w:eastAsia="Arial" w:hAnsi="Arial"/>
                <w:sz w:val="10"/>
                <w:szCs w:val="10"/>
                <w:b w:val="1"/>
                <w:bCs w:val="1"/>
                <w:color w:val="auto"/>
              </w:rPr>
              <w:t>1,607,147</w:t>
            </w:r>
          </w:p>
        </w:tc>
        <w:tc>
          <w:tcPr>
            <w:tcW w:w="880" w:type="dxa"/>
            <w:vAlign w:val="bottom"/>
            <w:shd w:val="clear" w:color="auto" w:fill="CCEEFF"/>
          </w:tcPr>
          <w:p>
            <w:pPr>
              <w:jc w:val="right"/>
              <w:ind w:right="111"/>
              <w:spacing w:after="0"/>
              <w:rPr>
                <w:sz w:val="20"/>
                <w:szCs w:val="20"/>
                <w:color w:val="auto"/>
              </w:rPr>
            </w:pPr>
            <w:r>
              <w:rPr>
                <w:rFonts w:ascii="Arial" w:cs="Arial" w:eastAsia="Arial" w:hAnsi="Arial"/>
                <w:sz w:val="10"/>
                <w:szCs w:val="10"/>
                <w:b w:val="1"/>
                <w:bCs w:val="1"/>
                <w:color w:val="auto"/>
              </w:rPr>
              <w:t>34,462</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1,641,609</w:t>
            </w:r>
          </w:p>
        </w:tc>
        <w:tc>
          <w:tcPr>
            <w:tcW w:w="0" w:type="dxa"/>
            <w:vAlign w:val="bottom"/>
          </w:tcPr>
          <w:p>
            <w:pPr>
              <w:spacing w:after="0"/>
              <w:rPr>
                <w:sz w:val="1"/>
                <w:szCs w:val="1"/>
                <w:color w:val="auto"/>
              </w:rPr>
            </w:pPr>
          </w:p>
        </w:tc>
      </w:tr>
      <w:tr>
        <w:trPr>
          <w:trHeight w:val="134"/>
        </w:trPr>
        <w:tc>
          <w:tcPr>
            <w:tcW w:w="2280" w:type="dxa"/>
            <w:vAlign w:val="bottom"/>
          </w:tcPr>
          <w:p>
            <w:pPr>
              <w:ind w:left="20"/>
              <w:spacing w:after="0"/>
              <w:rPr>
                <w:sz w:val="20"/>
                <w:szCs w:val="20"/>
                <w:color w:val="auto"/>
              </w:rPr>
            </w:pPr>
            <w:r>
              <w:rPr>
                <w:rFonts w:ascii="Arial" w:cs="Arial" w:eastAsia="Arial" w:hAnsi="Arial"/>
                <w:sz w:val="10"/>
                <w:szCs w:val="10"/>
                <w:color w:val="auto"/>
              </w:rPr>
              <w:t>Profit for the year attributable to the Group</w:t>
            </w:r>
          </w:p>
        </w:tc>
        <w:tc>
          <w:tcPr>
            <w:tcW w:w="78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50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740" w:type="dxa"/>
            <w:vAlign w:val="bottom"/>
          </w:tcPr>
          <w:p>
            <w:pPr>
              <w:jc w:val="right"/>
              <w:ind w:right="211"/>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82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91"/>
              <w:spacing w:after="0"/>
              <w:rPr>
                <w:sz w:val="20"/>
                <w:szCs w:val="20"/>
                <w:color w:val="auto"/>
              </w:rPr>
            </w:pPr>
            <w:r>
              <w:rPr>
                <w:rFonts w:ascii="Arial" w:cs="Arial" w:eastAsia="Arial" w:hAnsi="Arial"/>
                <w:sz w:val="10"/>
                <w:szCs w:val="10"/>
                <w:color w:val="auto"/>
              </w:rPr>
              <w:t>330,792</w:t>
            </w:r>
          </w:p>
        </w:tc>
        <w:tc>
          <w:tcPr>
            <w:tcW w:w="620" w:type="dxa"/>
            <w:vAlign w:val="bottom"/>
          </w:tcPr>
          <w:p>
            <w:pPr>
              <w:jc w:val="right"/>
              <w:ind w:right="31"/>
              <w:spacing w:after="0"/>
              <w:rPr>
                <w:sz w:val="20"/>
                <w:szCs w:val="20"/>
                <w:color w:val="auto"/>
              </w:rPr>
            </w:pPr>
            <w:r>
              <w:rPr>
                <w:rFonts w:ascii="Arial" w:cs="Arial" w:eastAsia="Arial" w:hAnsi="Arial"/>
                <w:sz w:val="10"/>
                <w:szCs w:val="10"/>
                <w:color w:val="auto"/>
              </w:rPr>
              <w:t>330,792</w:t>
            </w:r>
          </w:p>
        </w:tc>
        <w:tc>
          <w:tcPr>
            <w:tcW w:w="8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600" w:type="dxa"/>
            <w:vAlign w:val="bottom"/>
          </w:tcPr>
          <w:p>
            <w:pPr>
              <w:jc w:val="right"/>
              <w:spacing w:after="0"/>
              <w:rPr>
                <w:sz w:val="20"/>
                <w:szCs w:val="20"/>
                <w:color w:val="auto"/>
              </w:rPr>
            </w:pPr>
            <w:r>
              <w:rPr>
                <w:rFonts w:ascii="Arial" w:cs="Arial" w:eastAsia="Arial" w:hAnsi="Arial"/>
                <w:sz w:val="10"/>
                <w:szCs w:val="10"/>
                <w:color w:val="auto"/>
              </w:rPr>
              <w:t>330,792</w:t>
            </w:r>
          </w:p>
        </w:tc>
        <w:tc>
          <w:tcPr>
            <w:tcW w:w="0" w:type="dxa"/>
            <w:vAlign w:val="bottom"/>
          </w:tcPr>
          <w:p>
            <w:pPr>
              <w:spacing w:after="0"/>
              <w:rPr>
                <w:sz w:val="1"/>
                <w:szCs w:val="1"/>
                <w:color w:val="auto"/>
              </w:rPr>
            </w:pPr>
          </w:p>
        </w:tc>
      </w:tr>
      <w:tr>
        <w:trPr>
          <w:trHeight w:val="100"/>
        </w:trPr>
        <w:tc>
          <w:tcPr>
            <w:tcW w:w="2280" w:type="dxa"/>
            <w:vAlign w:val="bottom"/>
            <w:shd w:val="clear" w:color="auto" w:fill="CCEEFF"/>
          </w:tcPr>
          <w:p>
            <w:pPr>
              <w:ind w:left="20"/>
              <w:spacing w:after="0" w:line="100" w:lineRule="exact"/>
              <w:rPr>
                <w:sz w:val="20"/>
                <w:szCs w:val="20"/>
                <w:color w:val="auto"/>
              </w:rPr>
            </w:pPr>
            <w:r>
              <w:rPr>
                <w:rFonts w:ascii="Arial" w:cs="Arial" w:eastAsia="Arial" w:hAnsi="Arial"/>
                <w:sz w:val="10"/>
                <w:szCs w:val="10"/>
                <w:color w:val="auto"/>
              </w:rPr>
              <w:t>Profit for the year attributable to redeemable</w:t>
            </w:r>
          </w:p>
        </w:tc>
        <w:tc>
          <w:tcPr>
            <w:tcW w:w="7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280" w:type="dxa"/>
            <w:vAlign w:val="bottom"/>
            <w:shd w:val="clear" w:color="auto" w:fill="CCEEFF"/>
          </w:tcPr>
          <w:p>
            <w:pPr>
              <w:ind w:left="20"/>
              <w:spacing w:after="0"/>
              <w:rPr>
                <w:sz w:val="20"/>
                <w:szCs w:val="20"/>
                <w:color w:val="auto"/>
              </w:rPr>
            </w:pPr>
            <w:r>
              <w:rPr>
                <w:rFonts w:ascii="Arial" w:cs="Arial" w:eastAsia="Arial" w:hAnsi="Arial"/>
                <w:sz w:val="10"/>
                <w:szCs w:val="10"/>
                <w:color w:val="auto"/>
              </w:rPr>
              <w:t>noncontrolling interest</w:t>
            </w:r>
          </w:p>
        </w:tc>
        <w:tc>
          <w:tcPr>
            <w:tcW w:w="78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740" w:type="dxa"/>
            <w:vAlign w:val="bottom"/>
            <w:shd w:val="clear" w:color="auto" w:fill="CCEEFF"/>
          </w:tcPr>
          <w:p>
            <w:pPr>
              <w:jc w:val="right"/>
              <w:ind w:right="211"/>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633</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633</w:t>
            </w:r>
          </w:p>
        </w:tc>
        <w:tc>
          <w:tcPr>
            <w:tcW w:w="0" w:type="dxa"/>
            <w:vAlign w:val="bottom"/>
          </w:tcPr>
          <w:p>
            <w:pPr>
              <w:spacing w:after="0"/>
              <w:rPr>
                <w:sz w:val="1"/>
                <w:szCs w:val="1"/>
                <w:color w:val="auto"/>
              </w:rPr>
            </w:pPr>
          </w:p>
        </w:tc>
      </w:tr>
      <w:tr>
        <w:trPr>
          <w:trHeight w:val="137"/>
        </w:trPr>
        <w:tc>
          <w:tcPr>
            <w:tcW w:w="2280" w:type="dxa"/>
            <w:vAlign w:val="bottom"/>
          </w:tcPr>
          <w:p>
            <w:pPr>
              <w:ind w:left="20"/>
              <w:spacing w:after="0"/>
              <w:rPr>
                <w:sz w:val="20"/>
                <w:szCs w:val="20"/>
                <w:color w:val="auto"/>
              </w:rPr>
            </w:pPr>
            <w:r>
              <w:rPr>
                <w:rFonts w:ascii="Arial" w:cs="Arial" w:eastAsia="Arial" w:hAnsi="Arial"/>
                <w:sz w:val="10"/>
                <w:szCs w:val="10"/>
                <w:b w:val="1"/>
                <w:bCs w:val="1"/>
                <w:color w:val="auto"/>
              </w:rPr>
              <w:t>Other Comprehensive Income:</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8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280" w:type="dxa"/>
            <w:vAlign w:val="bottom"/>
            <w:shd w:val="clear" w:color="auto" w:fill="CCEEFF"/>
          </w:tcPr>
          <w:p>
            <w:pPr>
              <w:ind w:left="20"/>
              <w:spacing w:after="0"/>
              <w:rPr>
                <w:sz w:val="20"/>
                <w:szCs w:val="20"/>
                <w:color w:val="auto"/>
              </w:rPr>
            </w:pPr>
            <w:r>
              <w:rPr>
                <w:rFonts w:ascii="Arial" w:cs="Arial" w:eastAsia="Arial" w:hAnsi="Arial"/>
                <w:sz w:val="10"/>
                <w:szCs w:val="10"/>
                <w:color w:val="auto"/>
              </w:rPr>
              <w:t>Foreign currency translation</w:t>
            </w:r>
          </w:p>
        </w:tc>
        <w:tc>
          <w:tcPr>
            <w:tcW w:w="78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740" w:type="dxa"/>
            <w:vAlign w:val="bottom"/>
            <w:shd w:val="clear" w:color="auto" w:fill="CCEEFF"/>
          </w:tcPr>
          <w:p>
            <w:pPr>
              <w:jc w:val="right"/>
              <w:ind w:right="211"/>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48,129</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48,129</w:t>
            </w:r>
          </w:p>
        </w:tc>
        <w:tc>
          <w:tcPr>
            <w:tcW w:w="8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48,129</w:t>
            </w:r>
          </w:p>
        </w:tc>
        <w:tc>
          <w:tcPr>
            <w:tcW w:w="0" w:type="dxa"/>
            <w:vAlign w:val="bottom"/>
          </w:tcPr>
          <w:p>
            <w:pPr>
              <w:spacing w:after="0"/>
              <w:rPr>
                <w:sz w:val="1"/>
                <w:szCs w:val="1"/>
                <w:color w:val="auto"/>
              </w:rPr>
            </w:pPr>
          </w:p>
        </w:tc>
      </w:tr>
      <w:tr>
        <w:trPr>
          <w:trHeight w:val="134"/>
        </w:trPr>
        <w:tc>
          <w:tcPr>
            <w:tcW w:w="2280" w:type="dxa"/>
            <w:vAlign w:val="bottom"/>
          </w:tcPr>
          <w:p>
            <w:pPr>
              <w:ind w:left="20"/>
              <w:spacing w:after="0"/>
              <w:rPr>
                <w:sz w:val="20"/>
                <w:szCs w:val="20"/>
                <w:color w:val="auto"/>
              </w:rPr>
            </w:pPr>
            <w:r>
              <w:rPr>
                <w:rFonts w:ascii="Arial" w:cs="Arial" w:eastAsia="Arial" w:hAnsi="Arial"/>
                <w:sz w:val="10"/>
                <w:szCs w:val="10"/>
                <w:color w:val="auto"/>
              </w:rPr>
              <w:t>Currency impact on long-term funding</w:t>
            </w:r>
          </w:p>
        </w:tc>
        <w:tc>
          <w:tcPr>
            <w:tcW w:w="78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50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740" w:type="dxa"/>
            <w:vAlign w:val="bottom"/>
          </w:tcPr>
          <w:p>
            <w:pPr>
              <w:jc w:val="right"/>
              <w:ind w:right="211"/>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31"/>
              <w:spacing w:after="0"/>
              <w:rPr>
                <w:sz w:val="20"/>
                <w:szCs w:val="20"/>
                <w:color w:val="auto"/>
              </w:rPr>
            </w:pPr>
            <w:r>
              <w:rPr>
                <w:rFonts w:ascii="Arial" w:cs="Arial" w:eastAsia="Arial" w:hAnsi="Arial"/>
                <w:sz w:val="10"/>
                <w:szCs w:val="10"/>
                <w:color w:val="auto"/>
              </w:rPr>
              <w:t>(1,603)</w:t>
            </w:r>
          </w:p>
        </w:tc>
        <w:tc>
          <w:tcPr>
            <w:tcW w:w="88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82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620" w:type="dxa"/>
            <w:vAlign w:val="bottom"/>
          </w:tcPr>
          <w:p>
            <w:pPr>
              <w:jc w:val="right"/>
              <w:spacing w:after="0"/>
              <w:rPr>
                <w:sz w:val="20"/>
                <w:szCs w:val="20"/>
                <w:color w:val="auto"/>
              </w:rPr>
            </w:pPr>
            <w:r>
              <w:rPr>
                <w:rFonts w:ascii="Arial" w:cs="Arial" w:eastAsia="Arial" w:hAnsi="Arial"/>
                <w:sz w:val="10"/>
                <w:szCs w:val="10"/>
                <w:color w:val="auto"/>
              </w:rPr>
              <w:t>(1,603)</w:t>
            </w:r>
          </w:p>
        </w:tc>
        <w:tc>
          <w:tcPr>
            <w:tcW w:w="8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600" w:type="dxa"/>
            <w:vAlign w:val="bottom"/>
          </w:tcPr>
          <w:p>
            <w:pPr>
              <w:jc w:val="right"/>
              <w:spacing w:after="0"/>
              <w:rPr>
                <w:sz w:val="20"/>
                <w:szCs w:val="20"/>
                <w:color w:val="auto"/>
              </w:rPr>
            </w:pPr>
            <w:r>
              <w:rPr>
                <w:rFonts w:ascii="Arial" w:cs="Arial" w:eastAsia="Arial" w:hAnsi="Arial"/>
                <w:sz w:val="10"/>
                <w:szCs w:val="10"/>
                <w:color w:val="auto"/>
              </w:rPr>
              <w:t>(1,603)</w:t>
            </w:r>
          </w:p>
        </w:tc>
        <w:tc>
          <w:tcPr>
            <w:tcW w:w="0" w:type="dxa"/>
            <w:vAlign w:val="bottom"/>
          </w:tcPr>
          <w:p>
            <w:pPr>
              <w:spacing w:after="0"/>
              <w:rPr>
                <w:sz w:val="1"/>
                <w:szCs w:val="1"/>
                <w:color w:val="auto"/>
              </w:rPr>
            </w:pPr>
          </w:p>
        </w:tc>
      </w:tr>
      <w:tr>
        <w:trPr>
          <w:trHeight w:val="142"/>
        </w:trPr>
        <w:tc>
          <w:tcPr>
            <w:tcW w:w="2280" w:type="dxa"/>
            <w:vAlign w:val="bottom"/>
            <w:shd w:val="clear" w:color="auto" w:fill="CCEEFF"/>
          </w:tcPr>
          <w:p>
            <w:pPr>
              <w:ind w:left="20"/>
              <w:spacing w:after="0"/>
              <w:rPr>
                <w:sz w:val="20"/>
                <w:szCs w:val="20"/>
                <w:color w:val="auto"/>
              </w:rPr>
            </w:pPr>
            <w:r>
              <w:rPr>
                <w:rFonts w:ascii="Arial" w:cs="Arial" w:eastAsia="Arial" w:hAnsi="Arial"/>
                <w:sz w:val="10"/>
                <w:szCs w:val="10"/>
                <w:color w:val="auto"/>
              </w:rPr>
              <w:t>Cash flow hedge</w:t>
            </w:r>
          </w:p>
        </w:tc>
        <w:tc>
          <w:tcPr>
            <w:tcW w:w="78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740" w:type="dxa"/>
            <w:vAlign w:val="bottom"/>
            <w:shd w:val="clear" w:color="auto" w:fill="CCEEFF"/>
          </w:tcPr>
          <w:p>
            <w:pPr>
              <w:jc w:val="right"/>
              <w:ind w:right="211"/>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4"/>
        </w:trPr>
        <w:tc>
          <w:tcPr>
            <w:tcW w:w="2280" w:type="dxa"/>
            <w:vAlign w:val="bottom"/>
          </w:tcPr>
          <w:p>
            <w:pPr>
              <w:ind w:left="20"/>
              <w:spacing w:after="0"/>
              <w:rPr>
                <w:sz w:val="20"/>
                <w:szCs w:val="20"/>
                <w:color w:val="auto"/>
              </w:rPr>
            </w:pPr>
            <w:r>
              <w:rPr>
                <w:rFonts w:ascii="Arial" w:cs="Arial" w:eastAsia="Arial" w:hAnsi="Arial"/>
                <w:sz w:val="10"/>
                <w:szCs w:val="10"/>
                <w:color w:val="auto"/>
              </w:rPr>
              <w:t>Unrealised fair value movements on investments</w:t>
            </w:r>
          </w:p>
        </w:tc>
        <w:tc>
          <w:tcPr>
            <w:tcW w:w="78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50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740" w:type="dxa"/>
            <w:vAlign w:val="bottom"/>
          </w:tcPr>
          <w:p>
            <w:pPr>
              <w:jc w:val="right"/>
              <w:ind w:right="211"/>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11"/>
              <w:spacing w:after="0"/>
              <w:rPr>
                <w:sz w:val="20"/>
                <w:szCs w:val="20"/>
                <w:color w:val="auto"/>
              </w:rPr>
            </w:pPr>
            <w:r>
              <w:rPr>
                <w:rFonts w:ascii="Arial" w:cs="Arial" w:eastAsia="Arial" w:hAnsi="Arial"/>
                <w:sz w:val="10"/>
                <w:szCs w:val="10"/>
                <w:color w:val="auto"/>
              </w:rPr>
              <w:t>(231)</w:t>
            </w:r>
          </w:p>
        </w:tc>
        <w:tc>
          <w:tcPr>
            <w:tcW w:w="82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620" w:type="dxa"/>
            <w:vAlign w:val="bottom"/>
          </w:tcPr>
          <w:p>
            <w:pPr>
              <w:jc w:val="right"/>
              <w:spacing w:after="0"/>
              <w:rPr>
                <w:sz w:val="20"/>
                <w:szCs w:val="20"/>
                <w:color w:val="auto"/>
              </w:rPr>
            </w:pPr>
            <w:r>
              <w:rPr>
                <w:rFonts w:ascii="Arial" w:cs="Arial" w:eastAsia="Arial" w:hAnsi="Arial"/>
                <w:sz w:val="10"/>
                <w:szCs w:val="10"/>
                <w:color w:val="auto"/>
              </w:rPr>
              <w:t>(231)</w:t>
            </w:r>
          </w:p>
        </w:tc>
        <w:tc>
          <w:tcPr>
            <w:tcW w:w="8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600" w:type="dxa"/>
            <w:vAlign w:val="bottom"/>
          </w:tcPr>
          <w:p>
            <w:pPr>
              <w:jc w:val="right"/>
              <w:spacing w:after="0"/>
              <w:rPr>
                <w:sz w:val="20"/>
                <w:szCs w:val="20"/>
                <w:color w:val="auto"/>
              </w:rPr>
            </w:pPr>
            <w:r>
              <w:rPr>
                <w:rFonts w:ascii="Arial" w:cs="Arial" w:eastAsia="Arial" w:hAnsi="Arial"/>
                <w:sz w:val="10"/>
                <w:szCs w:val="10"/>
                <w:color w:val="auto"/>
              </w:rPr>
              <w:t>(231)</w:t>
            </w:r>
          </w:p>
        </w:tc>
        <w:tc>
          <w:tcPr>
            <w:tcW w:w="0" w:type="dxa"/>
            <w:vAlign w:val="bottom"/>
          </w:tcPr>
          <w:p>
            <w:pPr>
              <w:spacing w:after="0"/>
              <w:rPr>
                <w:sz w:val="1"/>
                <w:szCs w:val="1"/>
                <w:color w:val="auto"/>
              </w:rPr>
            </w:pPr>
          </w:p>
        </w:tc>
      </w:tr>
      <w:tr>
        <w:trPr>
          <w:trHeight w:val="142"/>
        </w:trPr>
        <w:tc>
          <w:tcPr>
            <w:tcW w:w="2280" w:type="dxa"/>
            <w:vAlign w:val="bottom"/>
            <w:shd w:val="clear" w:color="auto" w:fill="CCEEFF"/>
          </w:tcPr>
          <w:p>
            <w:pPr>
              <w:ind w:left="20"/>
              <w:spacing w:after="0"/>
              <w:rPr>
                <w:sz w:val="20"/>
                <w:szCs w:val="20"/>
                <w:color w:val="auto"/>
              </w:rPr>
            </w:pPr>
            <w:r>
              <w:rPr>
                <w:rFonts w:ascii="Arial" w:cs="Arial" w:eastAsia="Arial" w:hAnsi="Arial"/>
                <w:sz w:val="10"/>
                <w:szCs w:val="10"/>
                <w:color w:val="auto"/>
              </w:rPr>
              <w:t>Re-measurement of defined benefit liability</w:t>
            </w:r>
          </w:p>
        </w:tc>
        <w:tc>
          <w:tcPr>
            <w:tcW w:w="78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740" w:type="dxa"/>
            <w:vAlign w:val="bottom"/>
            <w:shd w:val="clear" w:color="auto" w:fill="CCEEFF"/>
          </w:tcPr>
          <w:p>
            <w:pPr>
              <w:jc w:val="right"/>
              <w:ind w:right="211"/>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(3,730)</w:t>
            </w: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(3,730)</w:t>
            </w:r>
          </w:p>
        </w:tc>
        <w:tc>
          <w:tcPr>
            <w:tcW w:w="8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(3,730)</w:t>
            </w:r>
          </w:p>
        </w:tc>
        <w:tc>
          <w:tcPr>
            <w:tcW w:w="0" w:type="dxa"/>
            <w:vAlign w:val="bottom"/>
          </w:tcPr>
          <w:p>
            <w:pPr>
              <w:spacing w:after="0"/>
              <w:rPr>
                <w:sz w:val="1"/>
                <w:szCs w:val="1"/>
                <w:color w:val="auto"/>
              </w:rPr>
            </w:pPr>
          </w:p>
        </w:tc>
      </w:tr>
      <w:tr>
        <w:trPr>
          <w:trHeight w:val="95"/>
        </w:trPr>
        <w:tc>
          <w:tcPr>
            <w:tcW w:w="2280" w:type="dxa"/>
            <w:vAlign w:val="bottom"/>
          </w:tcPr>
          <w:p>
            <w:pPr>
              <w:ind w:left="20"/>
              <w:spacing w:after="0" w:line="96" w:lineRule="exact"/>
              <w:rPr>
                <w:sz w:val="20"/>
                <w:szCs w:val="20"/>
                <w:color w:val="auto"/>
              </w:rPr>
            </w:pPr>
            <w:r>
              <w:rPr>
                <w:rFonts w:ascii="Arial" w:cs="Arial" w:eastAsia="Arial" w:hAnsi="Arial"/>
                <w:sz w:val="10"/>
                <w:szCs w:val="10"/>
                <w:color w:val="auto"/>
              </w:rPr>
              <w:t>Tax benefit on defined benefit pension</w:t>
            </w: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280" w:type="dxa"/>
            <w:vAlign w:val="bottom"/>
          </w:tcPr>
          <w:p>
            <w:pPr>
              <w:ind w:left="20"/>
              <w:spacing w:after="0"/>
              <w:rPr>
                <w:sz w:val="20"/>
                <w:szCs w:val="20"/>
                <w:color w:val="auto"/>
              </w:rPr>
            </w:pPr>
            <w:r>
              <w:rPr>
                <w:rFonts w:ascii="Arial" w:cs="Arial" w:eastAsia="Arial" w:hAnsi="Arial"/>
                <w:sz w:val="10"/>
                <w:szCs w:val="10"/>
                <w:color w:val="auto"/>
              </w:rPr>
              <w:t>contributions</w:t>
            </w:r>
          </w:p>
        </w:tc>
        <w:tc>
          <w:tcPr>
            <w:tcW w:w="78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50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740" w:type="dxa"/>
            <w:vAlign w:val="bottom"/>
          </w:tcPr>
          <w:p>
            <w:pPr>
              <w:jc w:val="right"/>
              <w:ind w:right="211"/>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82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60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3"/>
        </w:trPr>
        <w:tc>
          <w:tcPr>
            <w:tcW w:w="2280" w:type="dxa"/>
            <w:vAlign w:val="bottom"/>
            <w:shd w:val="clear" w:color="auto" w:fill="CCEEFF"/>
          </w:tcPr>
          <w:p>
            <w:pPr>
              <w:ind w:left="20"/>
              <w:spacing w:after="0"/>
              <w:rPr>
                <w:sz w:val="20"/>
                <w:szCs w:val="20"/>
                <w:color w:val="auto"/>
              </w:rPr>
            </w:pPr>
            <w:r>
              <w:rPr>
                <w:rFonts w:ascii="Arial" w:cs="Arial" w:eastAsia="Arial" w:hAnsi="Arial"/>
                <w:sz w:val="10"/>
                <w:szCs w:val="10"/>
                <w:color w:val="auto"/>
              </w:rPr>
              <w:t>Amortisation of interest rate hedge</w:t>
            </w:r>
          </w:p>
        </w:tc>
        <w:tc>
          <w:tcPr>
            <w:tcW w:w="78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740" w:type="dxa"/>
            <w:vAlign w:val="bottom"/>
            <w:shd w:val="clear" w:color="auto" w:fill="CCEEFF"/>
          </w:tcPr>
          <w:p>
            <w:pPr>
              <w:jc w:val="right"/>
              <w:ind w:right="211"/>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(910)</w:t>
            </w: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(910)</w:t>
            </w:r>
          </w:p>
        </w:tc>
        <w:tc>
          <w:tcPr>
            <w:tcW w:w="8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(910)</w:t>
            </w:r>
          </w:p>
        </w:tc>
        <w:tc>
          <w:tcPr>
            <w:tcW w:w="0" w:type="dxa"/>
            <w:vAlign w:val="bottom"/>
          </w:tcPr>
          <w:p>
            <w:pPr>
              <w:spacing w:after="0"/>
              <w:rPr>
                <w:sz w:val="1"/>
                <w:szCs w:val="1"/>
                <w:color w:val="auto"/>
              </w:rPr>
            </w:pPr>
          </w:p>
        </w:tc>
      </w:tr>
      <w:tr>
        <w:trPr>
          <w:trHeight w:val="134"/>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Loss on interest rate hedge</w:t>
            </w:r>
          </w:p>
        </w:tc>
        <w:tc>
          <w:tcPr>
            <w:tcW w:w="78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auto"/>
            </w:tcBorders>
          </w:tcPr>
          <w:p>
            <w:pPr>
              <w:jc w:val="right"/>
              <w:ind w:right="211"/>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(905)</w:t>
            </w:r>
          </w:p>
        </w:tc>
        <w:tc>
          <w:tcPr>
            <w:tcW w:w="62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(905)</w:t>
            </w:r>
          </w:p>
        </w:tc>
        <w:tc>
          <w:tcPr>
            <w:tcW w:w="88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(905)</w:t>
            </w:r>
          </w:p>
        </w:tc>
        <w:tc>
          <w:tcPr>
            <w:tcW w:w="0" w:type="dxa"/>
            <w:vAlign w:val="bottom"/>
          </w:tcPr>
          <w:p>
            <w:pPr>
              <w:spacing w:after="0"/>
              <w:rPr>
                <w:sz w:val="1"/>
                <w:szCs w:val="1"/>
                <w:color w:val="auto"/>
              </w:rPr>
            </w:pPr>
          </w:p>
        </w:tc>
      </w:tr>
      <w:tr>
        <w:trPr>
          <w:trHeight w:val="129"/>
        </w:trPr>
        <w:tc>
          <w:tcPr>
            <w:tcW w:w="2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rPr>
              <w:t>Total other comprehensive income</w:t>
            </w:r>
          </w:p>
        </w:tc>
        <w:tc>
          <w:tcPr>
            <w:tcW w:w="7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rPr>
              <w:t>(1,815)</w:t>
            </w:r>
          </w:p>
        </w:tc>
        <w:tc>
          <w:tcPr>
            <w:tcW w:w="6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rPr>
              <w:t>46,526</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(231)</w:t>
            </w:r>
          </w:p>
        </w:tc>
        <w:tc>
          <w:tcPr>
            <w:tcW w:w="8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rPr>
              <w:t>(3,730)</w:t>
            </w:r>
          </w:p>
        </w:tc>
        <w:tc>
          <w:tcPr>
            <w:tcW w:w="6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rPr>
              <w:t>40,750</w:t>
            </w:r>
          </w:p>
        </w:tc>
        <w:tc>
          <w:tcPr>
            <w:tcW w:w="8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40,750</w:t>
            </w:r>
          </w:p>
        </w:tc>
        <w:tc>
          <w:tcPr>
            <w:tcW w:w="0" w:type="dxa"/>
            <w:vAlign w:val="bottom"/>
          </w:tcPr>
          <w:p>
            <w:pPr>
              <w:spacing w:after="0"/>
              <w:rPr>
                <w:sz w:val="1"/>
                <w:szCs w:val="1"/>
                <w:color w:val="auto"/>
              </w:rPr>
            </w:pPr>
          </w:p>
        </w:tc>
      </w:tr>
      <w:tr>
        <w:trPr>
          <w:trHeight w:val="129"/>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Total comprehensive income for the year</w:t>
            </w:r>
          </w:p>
        </w:tc>
        <w:tc>
          <w:tcPr>
            <w:tcW w:w="78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auto"/>
            </w:tcBorders>
          </w:tcPr>
          <w:p>
            <w:pPr>
              <w:jc w:val="right"/>
              <w:ind w:right="211"/>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(1,815)</w:t>
            </w:r>
          </w:p>
        </w:tc>
        <w:tc>
          <w:tcPr>
            <w:tcW w:w="62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46,526</w:t>
            </w: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(231)</w:t>
            </w:r>
          </w:p>
        </w:tc>
        <w:tc>
          <w:tcPr>
            <w:tcW w:w="82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rPr>
              <w:t>327,062</w:t>
            </w:r>
          </w:p>
        </w:tc>
        <w:tc>
          <w:tcPr>
            <w:tcW w:w="62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rPr>
              <w:t>371,542</w:t>
            </w:r>
          </w:p>
        </w:tc>
        <w:tc>
          <w:tcPr>
            <w:tcW w:w="88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rPr>
              <w:t>633</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372,175</w:t>
            </w:r>
          </w:p>
        </w:tc>
        <w:tc>
          <w:tcPr>
            <w:tcW w:w="0" w:type="dxa"/>
            <w:vAlign w:val="bottom"/>
          </w:tcPr>
          <w:p>
            <w:pPr>
              <w:spacing w:after="0"/>
              <w:rPr>
                <w:sz w:val="1"/>
                <w:szCs w:val="1"/>
                <w:color w:val="auto"/>
              </w:rPr>
            </w:pPr>
          </w:p>
        </w:tc>
      </w:tr>
      <w:tr>
        <w:trPr>
          <w:trHeight w:val="90"/>
        </w:trPr>
        <w:tc>
          <w:tcPr>
            <w:tcW w:w="2280" w:type="dxa"/>
            <w:vAlign w:val="bottom"/>
            <w:shd w:val="clear" w:color="auto" w:fill="CCEEFF"/>
          </w:tcPr>
          <w:p>
            <w:pPr>
              <w:ind w:left="20"/>
              <w:spacing w:after="0" w:line="91" w:lineRule="exact"/>
              <w:rPr>
                <w:sz w:val="20"/>
                <w:szCs w:val="20"/>
                <w:color w:val="auto"/>
              </w:rPr>
            </w:pPr>
            <w:r>
              <w:rPr>
                <w:rFonts w:ascii="Arial" w:cs="Arial" w:eastAsia="Arial" w:hAnsi="Arial"/>
                <w:sz w:val="10"/>
                <w:szCs w:val="10"/>
                <w:b w:val="1"/>
                <w:bCs w:val="1"/>
                <w:color w:val="auto"/>
              </w:rPr>
              <w:t>Transactions with owners, recorded directly in</w:t>
            </w:r>
          </w:p>
        </w:tc>
        <w:tc>
          <w:tcPr>
            <w:tcW w:w="7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28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equity</w:t>
            </w:r>
          </w:p>
        </w:tc>
        <w:tc>
          <w:tcPr>
            <w:tcW w:w="7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280" w:type="dxa"/>
            <w:vAlign w:val="bottom"/>
          </w:tcPr>
          <w:p>
            <w:pPr>
              <w:ind w:left="20"/>
              <w:spacing w:after="0"/>
              <w:rPr>
                <w:sz w:val="20"/>
                <w:szCs w:val="20"/>
                <w:color w:val="auto"/>
              </w:rPr>
            </w:pPr>
            <w:r>
              <w:rPr>
                <w:rFonts w:ascii="Arial" w:cs="Arial" w:eastAsia="Arial" w:hAnsi="Arial"/>
                <w:sz w:val="10"/>
                <w:szCs w:val="10"/>
                <w:color w:val="auto"/>
              </w:rPr>
              <w:t>Share-based payment</w:t>
            </w:r>
          </w:p>
        </w:tc>
        <w:tc>
          <w:tcPr>
            <w:tcW w:w="78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50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740" w:type="dxa"/>
            <w:vAlign w:val="bottom"/>
          </w:tcPr>
          <w:p>
            <w:pPr>
              <w:jc w:val="right"/>
              <w:ind w:right="211"/>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91"/>
              <w:spacing w:after="0"/>
              <w:rPr>
                <w:sz w:val="20"/>
                <w:szCs w:val="20"/>
                <w:color w:val="auto"/>
              </w:rPr>
            </w:pPr>
            <w:r>
              <w:rPr>
                <w:rFonts w:ascii="Arial" w:cs="Arial" w:eastAsia="Arial" w:hAnsi="Arial"/>
                <w:sz w:val="10"/>
                <w:szCs w:val="10"/>
                <w:color w:val="auto"/>
              </w:rPr>
              <w:t>26,307</w:t>
            </w:r>
          </w:p>
        </w:tc>
        <w:tc>
          <w:tcPr>
            <w:tcW w:w="62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82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31"/>
              <w:spacing w:after="0"/>
              <w:rPr>
                <w:sz w:val="20"/>
                <w:szCs w:val="20"/>
                <w:color w:val="auto"/>
              </w:rPr>
            </w:pPr>
            <w:r>
              <w:rPr>
                <w:rFonts w:ascii="Arial" w:cs="Arial" w:eastAsia="Arial" w:hAnsi="Arial"/>
                <w:sz w:val="10"/>
                <w:szCs w:val="10"/>
                <w:color w:val="auto"/>
              </w:rPr>
              <w:t>26,307</w:t>
            </w:r>
          </w:p>
        </w:tc>
        <w:tc>
          <w:tcPr>
            <w:tcW w:w="8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600" w:type="dxa"/>
            <w:vAlign w:val="bottom"/>
          </w:tcPr>
          <w:p>
            <w:pPr>
              <w:jc w:val="right"/>
              <w:spacing w:after="0"/>
              <w:rPr>
                <w:sz w:val="20"/>
                <w:szCs w:val="20"/>
                <w:color w:val="auto"/>
              </w:rPr>
            </w:pPr>
            <w:r>
              <w:rPr>
                <w:rFonts w:ascii="Arial" w:cs="Arial" w:eastAsia="Arial" w:hAnsi="Arial"/>
                <w:sz w:val="10"/>
                <w:szCs w:val="10"/>
                <w:color w:val="auto"/>
              </w:rPr>
              <w:t>26,307</w:t>
            </w:r>
          </w:p>
        </w:tc>
        <w:tc>
          <w:tcPr>
            <w:tcW w:w="0" w:type="dxa"/>
            <w:vAlign w:val="bottom"/>
          </w:tcPr>
          <w:p>
            <w:pPr>
              <w:spacing w:after="0"/>
              <w:rPr>
                <w:sz w:val="1"/>
                <w:szCs w:val="1"/>
                <w:color w:val="auto"/>
              </w:rPr>
            </w:pPr>
          </w:p>
        </w:tc>
      </w:tr>
      <w:tr>
        <w:trPr>
          <w:trHeight w:val="142"/>
        </w:trPr>
        <w:tc>
          <w:tcPr>
            <w:tcW w:w="2280" w:type="dxa"/>
            <w:vAlign w:val="bottom"/>
            <w:shd w:val="clear" w:color="auto" w:fill="CCEEFF"/>
          </w:tcPr>
          <w:p>
            <w:pPr>
              <w:ind w:left="20"/>
              <w:spacing w:after="0"/>
              <w:rPr>
                <w:sz w:val="20"/>
                <w:szCs w:val="20"/>
                <w:color w:val="auto"/>
              </w:rPr>
            </w:pPr>
            <w:r>
              <w:rPr>
                <w:rFonts w:ascii="Arial" w:cs="Arial" w:eastAsia="Arial" w:hAnsi="Arial"/>
                <w:sz w:val="10"/>
                <w:szCs w:val="10"/>
                <w:color w:val="auto"/>
              </w:rPr>
              <w:t>Exercise of share options</w:t>
            </w:r>
          </w:p>
        </w:tc>
        <w:tc>
          <w:tcPr>
            <w:tcW w:w="78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193,417</w:t>
            </w:r>
          </w:p>
        </w:tc>
        <w:tc>
          <w:tcPr>
            <w:tcW w:w="5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13</w:t>
            </w:r>
          </w:p>
        </w:tc>
        <w:tc>
          <w:tcPr>
            <w:tcW w:w="740" w:type="dxa"/>
            <w:vAlign w:val="bottom"/>
            <w:shd w:val="clear" w:color="auto" w:fill="CCEEFF"/>
          </w:tcPr>
          <w:p>
            <w:pPr>
              <w:jc w:val="right"/>
              <w:ind w:right="211"/>
              <w:spacing w:after="0"/>
              <w:rPr>
                <w:sz w:val="20"/>
                <w:szCs w:val="20"/>
                <w:color w:val="auto"/>
              </w:rPr>
            </w:pPr>
            <w:r>
              <w:rPr>
                <w:rFonts w:ascii="Arial" w:cs="Arial" w:eastAsia="Arial" w:hAnsi="Arial"/>
                <w:sz w:val="10"/>
                <w:szCs w:val="10"/>
                <w:color w:val="auto"/>
              </w:rPr>
              <w:t>13,176</w:t>
            </w:r>
          </w:p>
        </w:tc>
        <w:tc>
          <w:tcPr>
            <w:tcW w:w="6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13,189</w:t>
            </w:r>
          </w:p>
        </w:tc>
        <w:tc>
          <w:tcPr>
            <w:tcW w:w="8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13,189</w:t>
            </w:r>
          </w:p>
        </w:tc>
        <w:tc>
          <w:tcPr>
            <w:tcW w:w="0" w:type="dxa"/>
            <w:vAlign w:val="bottom"/>
          </w:tcPr>
          <w:p>
            <w:pPr>
              <w:spacing w:after="0"/>
              <w:rPr>
                <w:sz w:val="1"/>
                <w:szCs w:val="1"/>
                <w:color w:val="auto"/>
              </w:rPr>
            </w:pPr>
          </w:p>
        </w:tc>
      </w:tr>
      <w:tr>
        <w:trPr>
          <w:trHeight w:val="95"/>
        </w:trPr>
        <w:tc>
          <w:tcPr>
            <w:tcW w:w="2280" w:type="dxa"/>
            <w:vAlign w:val="bottom"/>
          </w:tcPr>
          <w:p>
            <w:pPr>
              <w:ind w:left="20"/>
              <w:spacing w:after="0" w:line="96" w:lineRule="exact"/>
              <w:rPr>
                <w:sz w:val="20"/>
                <w:szCs w:val="20"/>
                <w:color w:val="auto"/>
              </w:rPr>
            </w:pPr>
            <w:r>
              <w:rPr>
                <w:rFonts w:ascii="Arial" w:cs="Arial" w:eastAsia="Arial" w:hAnsi="Arial"/>
                <w:sz w:val="10"/>
                <w:szCs w:val="10"/>
                <w:color w:val="auto"/>
              </w:rPr>
              <w:t>Transfer of exercised and expired share–based</w:t>
            </w: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280" w:type="dxa"/>
            <w:vAlign w:val="bottom"/>
          </w:tcPr>
          <w:p>
            <w:pPr>
              <w:ind w:left="20"/>
              <w:spacing w:after="0"/>
              <w:rPr>
                <w:sz w:val="20"/>
                <w:szCs w:val="20"/>
                <w:color w:val="auto"/>
              </w:rPr>
            </w:pPr>
            <w:r>
              <w:rPr>
                <w:rFonts w:ascii="Arial" w:cs="Arial" w:eastAsia="Arial" w:hAnsi="Arial"/>
                <w:sz w:val="10"/>
                <w:szCs w:val="10"/>
                <w:color w:val="auto"/>
              </w:rPr>
              <w:t>awards</w:t>
            </w:r>
          </w:p>
        </w:tc>
        <w:tc>
          <w:tcPr>
            <w:tcW w:w="78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50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740" w:type="dxa"/>
            <w:vAlign w:val="bottom"/>
          </w:tcPr>
          <w:p>
            <w:pPr>
              <w:jc w:val="right"/>
              <w:ind w:right="211"/>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51"/>
              <w:spacing w:after="0"/>
              <w:rPr>
                <w:sz w:val="20"/>
                <w:szCs w:val="20"/>
                <w:color w:val="auto"/>
              </w:rPr>
            </w:pPr>
            <w:r>
              <w:rPr>
                <w:rFonts w:ascii="Arial" w:cs="Arial" w:eastAsia="Arial" w:hAnsi="Arial"/>
                <w:sz w:val="10"/>
                <w:szCs w:val="10"/>
                <w:color w:val="auto"/>
              </w:rPr>
              <w:t>(23,497)</w:t>
            </w:r>
          </w:p>
        </w:tc>
        <w:tc>
          <w:tcPr>
            <w:tcW w:w="62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82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91"/>
              <w:spacing w:after="0"/>
              <w:rPr>
                <w:sz w:val="20"/>
                <w:szCs w:val="20"/>
                <w:color w:val="auto"/>
              </w:rPr>
            </w:pPr>
            <w:r>
              <w:rPr>
                <w:rFonts w:ascii="Arial" w:cs="Arial" w:eastAsia="Arial" w:hAnsi="Arial"/>
                <w:sz w:val="10"/>
                <w:szCs w:val="10"/>
                <w:color w:val="auto"/>
              </w:rPr>
              <w:t>23,497</w:t>
            </w:r>
          </w:p>
        </w:tc>
        <w:tc>
          <w:tcPr>
            <w:tcW w:w="62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60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1"/>
        </w:trPr>
        <w:tc>
          <w:tcPr>
            <w:tcW w:w="2280" w:type="dxa"/>
            <w:vAlign w:val="bottom"/>
            <w:shd w:val="clear" w:color="auto" w:fill="CCEEFF"/>
          </w:tcPr>
          <w:p>
            <w:pPr>
              <w:ind w:left="20"/>
              <w:spacing w:after="0" w:line="101" w:lineRule="exact"/>
              <w:rPr>
                <w:sz w:val="20"/>
                <w:szCs w:val="20"/>
                <w:color w:val="auto"/>
              </w:rPr>
            </w:pPr>
            <w:r>
              <w:rPr>
                <w:rFonts w:ascii="Arial" w:cs="Arial" w:eastAsia="Arial" w:hAnsi="Arial"/>
                <w:sz w:val="10"/>
                <w:szCs w:val="10"/>
                <w:color w:val="auto"/>
              </w:rPr>
              <w:t>Issue of restricted share units/ performance share</w:t>
            </w:r>
          </w:p>
        </w:tc>
        <w:tc>
          <w:tcPr>
            <w:tcW w:w="7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280" w:type="dxa"/>
            <w:vAlign w:val="bottom"/>
            <w:shd w:val="clear" w:color="auto" w:fill="CCEEFF"/>
          </w:tcPr>
          <w:p>
            <w:pPr>
              <w:ind w:left="20"/>
              <w:spacing w:after="0"/>
              <w:rPr>
                <w:sz w:val="20"/>
                <w:szCs w:val="20"/>
                <w:color w:val="auto"/>
              </w:rPr>
            </w:pPr>
            <w:r>
              <w:rPr>
                <w:rFonts w:ascii="Arial" w:cs="Arial" w:eastAsia="Arial" w:hAnsi="Arial"/>
                <w:sz w:val="10"/>
                <w:szCs w:val="10"/>
                <w:color w:val="auto"/>
              </w:rPr>
              <w:t>units</w:t>
            </w:r>
          </w:p>
        </w:tc>
        <w:tc>
          <w:tcPr>
            <w:tcW w:w="78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207,688</w:t>
            </w:r>
          </w:p>
        </w:tc>
        <w:tc>
          <w:tcPr>
            <w:tcW w:w="5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14</w:t>
            </w:r>
          </w:p>
        </w:tc>
        <w:tc>
          <w:tcPr>
            <w:tcW w:w="740" w:type="dxa"/>
            <w:vAlign w:val="bottom"/>
            <w:shd w:val="clear" w:color="auto" w:fill="CCEEFF"/>
          </w:tcPr>
          <w:p>
            <w:pPr>
              <w:jc w:val="right"/>
              <w:ind w:right="211"/>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14</w:t>
            </w:r>
          </w:p>
        </w:tc>
        <w:tc>
          <w:tcPr>
            <w:tcW w:w="8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w:t>
            </w:r>
          </w:p>
        </w:tc>
        <w:tc>
          <w:tcPr>
            <w:tcW w:w="0" w:type="dxa"/>
            <w:vAlign w:val="bottom"/>
          </w:tcPr>
          <w:p>
            <w:pPr>
              <w:spacing w:after="0"/>
              <w:rPr>
                <w:sz w:val="1"/>
                <w:szCs w:val="1"/>
                <w:color w:val="auto"/>
              </w:rPr>
            </w:pPr>
          </w:p>
        </w:tc>
      </w:tr>
      <w:tr>
        <w:trPr>
          <w:trHeight w:val="134"/>
        </w:trPr>
        <w:tc>
          <w:tcPr>
            <w:tcW w:w="2280" w:type="dxa"/>
            <w:vAlign w:val="bottom"/>
          </w:tcPr>
          <w:p>
            <w:pPr>
              <w:ind w:left="20"/>
              <w:spacing w:after="0"/>
              <w:rPr>
                <w:sz w:val="20"/>
                <w:szCs w:val="20"/>
                <w:color w:val="auto"/>
              </w:rPr>
            </w:pPr>
            <w:r>
              <w:rPr>
                <w:rFonts w:ascii="Arial" w:cs="Arial" w:eastAsia="Arial" w:hAnsi="Arial"/>
                <w:sz w:val="10"/>
                <w:szCs w:val="10"/>
                <w:color w:val="auto"/>
              </w:rPr>
              <w:t>Share issue costs</w:t>
            </w:r>
          </w:p>
        </w:tc>
        <w:tc>
          <w:tcPr>
            <w:tcW w:w="78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50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740" w:type="dxa"/>
            <w:vAlign w:val="bottom"/>
          </w:tcPr>
          <w:p>
            <w:pPr>
              <w:jc w:val="right"/>
              <w:ind w:right="211"/>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82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71"/>
              <w:spacing w:after="0"/>
              <w:rPr>
                <w:sz w:val="20"/>
                <w:szCs w:val="20"/>
                <w:color w:val="auto"/>
              </w:rPr>
            </w:pPr>
            <w:r>
              <w:rPr>
                <w:rFonts w:ascii="Arial" w:cs="Arial" w:eastAsia="Arial" w:hAnsi="Arial"/>
                <w:sz w:val="10"/>
                <w:szCs w:val="10"/>
                <w:color w:val="auto"/>
              </w:rPr>
              <w:t>(14)</w:t>
            </w:r>
          </w:p>
        </w:tc>
        <w:tc>
          <w:tcPr>
            <w:tcW w:w="620" w:type="dxa"/>
            <w:vAlign w:val="bottom"/>
          </w:tcPr>
          <w:p>
            <w:pPr>
              <w:jc w:val="right"/>
              <w:spacing w:after="0"/>
              <w:rPr>
                <w:sz w:val="20"/>
                <w:szCs w:val="20"/>
                <w:color w:val="auto"/>
              </w:rPr>
            </w:pPr>
            <w:r>
              <w:rPr>
                <w:rFonts w:ascii="Arial" w:cs="Arial" w:eastAsia="Arial" w:hAnsi="Arial"/>
                <w:sz w:val="10"/>
                <w:szCs w:val="10"/>
                <w:color w:val="auto"/>
              </w:rPr>
              <w:t>(14)</w:t>
            </w:r>
          </w:p>
        </w:tc>
        <w:tc>
          <w:tcPr>
            <w:tcW w:w="8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600" w:type="dxa"/>
            <w:vAlign w:val="bottom"/>
          </w:tcPr>
          <w:p>
            <w:pPr>
              <w:jc w:val="right"/>
              <w:spacing w:after="0"/>
              <w:rPr>
                <w:sz w:val="20"/>
                <w:szCs w:val="20"/>
                <w:color w:val="auto"/>
              </w:rPr>
            </w:pPr>
            <w:r>
              <w:rPr>
                <w:rFonts w:ascii="Arial" w:cs="Arial" w:eastAsia="Arial" w:hAnsi="Arial"/>
                <w:sz w:val="10"/>
                <w:szCs w:val="10"/>
                <w:color w:val="auto"/>
              </w:rPr>
              <w:t>(14)</w:t>
            </w:r>
          </w:p>
        </w:tc>
        <w:tc>
          <w:tcPr>
            <w:tcW w:w="0" w:type="dxa"/>
            <w:vAlign w:val="bottom"/>
          </w:tcPr>
          <w:p>
            <w:pPr>
              <w:spacing w:after="0"/>
              <w:rPr>
                <w:sz w:val="1"/>
                <w:szCs w:val="1"/>
                <w:color w:val="auto"/>
              </w:rPr>
            </w:pPr>
          </w:p>
        </w:tc>
      </w:tr>
      <w:tr>
        <w:trPr>
          <w:trHeight w:val="142"/>
        </w:trPr>
        <w:tc>
          <w:tcPr>
            <w:tcW w:w="2280" w:type="dxa"/>
            <w:vAlign w:val="bottom"/>
            <w:shd w:val="clear" w:color="auto" w:fill="CCEEFF"/>
          </w:tcPr>
          <w:p>
            <w:pPr>
              <w:ind w:left="20"/>
              <w:spacing w:after="0"/>
              <w:rPr>
                <w:sz w:val="20"/>
                <w:szCs w:val="20"/>
                <w:color w:val="auto"/>
              </w:rPr>
            </w:pPr>
            <w:r>
              <w:rPr>
                <w:rFonts w:ascii="Arial" w:cs="Arial" w:eastAsia="Arial" w:hAnsi="Arial"/>
                <w:sz w:val="10"/>
                <w:szCs w:val="10"/>
                <w:color w:val="auto"/>
              </w:rPr>
              <w:t>Repurchase of ordinary shares</w:t>
            </w:r>
          </w:p>
        </w:tc>
        <w:tc>
          <w:tcPr>
            <w:tcW w:w="7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(1,235,218)</w:t>
            </w:r>
          </w:p>
        </w:tc>
        <w:tc>
          <w:tcPr>
            <w:tcW w:w="50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(82)</w:t>
            </w:r>
          </w:p>
        </w:tc>
        <w:tc>
          <w:tcPr>
            <w:tcW w:w="740" w:type="dxa"/>
            <w:vAlign w:val="bottom"/>
            <w:shd w:val="clear" w:color="auto" w:fill="CCEEFF"/>
          </w:tcPr>
          <w:p>
            <w:pPr>
              <w:jc w:val="right"/>
              <w:ind w:right="211"/>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82</w:t>
            </w:r>
          </w:p>
        </w:tc>
        <w:tc>
          <w:tcPr>
            <w:tcW w:w="62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(175,000)</w:t>
            </w: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(175,000)</w:t>
            </w:r>
          </w:p>
        </w:tc>
        <w:tc>
          <w:tcPr>
            <w:tcW w:w="8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(175,000)</w:t>
            </w:r>
          </w:p>
        </w:tc>
        <w:tc>
          <w:tcPr>
            <w:tcW w:w="0" w:type="dxa"/>
            <w:vAlign w:val="bottom"/>
          </w:tcPr>
          <w:p>
            <w:pPr>
              <w:spacing w:after="0"/>
              <w:rPr>
                <w:sz w:val="1"/>
                <w:szCs w:val="1"/>
                <w:color w:val="auto"/>
              </w:rPr>
            </w:pPr>
          </w:p>
        </w:tc>
      </w:tr>
      <w:tr>
        <w:trPr>
          <w:trHeight w:val="134"/>
        </w:trPr>
        <w:tc>
          <w:tcPr>
            <w:tcW w:w="2280" w:type="dxa"/>
            <w:vAlign w:val="bottom"/>
          </w:tcPr>
          <w:p>
            <w:pPr>
              <w:ind w:left="20"/>
              <w:spacing w:after="0"/>
              <w:rPr>
                <w:sz w:val="20"/>
                <w:szCs w:val="20"/>
                <w:color w:val="auto"/>
              </w:rPr>
            </w:pPr>
            <w:r>
              <w:rPr>
                <w:rFonts w:ascii="Arial" w:cs="Arial" w:eastAsia="Arial" w:hAnsi="Arial"/>
                <w:sz w:val="10"/>
                <w:szCs w:val="10"/>
                <w:color w:val="auto"/>
              </w:rPr>
              <w:t>Share repurchase costs</w:t>
            </w:r>
          </w:p>
        </w:tc>
        <w:tc>
          <w:tcPr>
            <w:tcW w:w="78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50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740" w:type="dxa"/>
            <w:vAlign w:val="bottom"/>
          </w:tcPr>
          <w:p>
            <w:pPr>
              <w:jc w:val="right"/>
              <w:ind w:right="211"/>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82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71"/>
              <w:spacing w:after="0"/>
              <w:rPr>
                <w:sz w:val="20"/>
                <w:szCs w:val="20"/>
                <w:color w:val="auto"/>
              </w:rPr>
            </w:pPr>
            <w:r>
              <w:rPr>
                <w:rFonts w:ascii="Arial" w:cs="Arial" w:eastAsia="Arial" w:hAnsi="Arial"/>
                <w:sz w:val="10"/>
                <w:szCs w:val="10"/>
                <w:color w:val="auto"/>
              </w:rPr>
              <w:t>(140)</w:t>
            </w:r>
          </w:p>
        </w:tc>
        <w:tc>
          <w:tcPr>
            <w:tcW w:w="620" w:type="dxa"/>
            <w:vAlign w:val="bottom"/>
          </w:tcPr>
          <w:p>
            <w:pPr>
              <w:jc w:val="right"/>
              <w:spacing w:after="0"/>
              <w:rPr>
                <w:sz w:val="20"/>
                <w:szCs w:val="20"/>
                <w:color w:val="auto"/>
              </w:rPr>
            </w:pPr>
            <w:r>
              <w:rPr>
                <w:rFonts w:ascii="Arial" w:cs="Arial" w:eastAsia="Arial" w:hAnsi="Arial"/>
                <w:sz w:val="10"/>
                <w:szCs w:val="10"/>
                <w:color w:val="auto"/>
              </w:rPr>
              <w:t>(140)</w:t>
            </w:r>
          </w:p>
        </w:tc>
        <w:tc>
          <w:tcPr>
            <w:tcW w:w="8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600" w:type="dxa"/>
            <w:vAlign w:val="bottom"/>
          </w:tcPr>
          <w:p>
            <w:pPr>
              <w:jc w:val="right"/>
              <w:spacing w:after="0"/>
              <w:rPr>
                <w:sz w:val="20"/>
                <w:szCs w:val="20"/>
                <w:color w:val="auto"/>
              </w:rPr>
            </w:pPr>
            <w:r>
              <w:rPr>
                <w:rFonts w:ascii="Arial" w:cs="Arial" w:eastAsia="Arial" w:hAnsi="Arial"/>
                <w:sz w:val="10"/>
                <w:szCs w:val="10"/>
                <w:color w:val="auto"/>
              </w:rPr>
              <w:t>(140)</w:t>
            </w:r>
          </w:p>
        </w:tc>
        <w:tc>
          <w:tcPr>
            <w:tcW w:w="0" w:type="dxa"/>
            <w:vAlign w:val="bottom"/>
          </w:tcPr>
          <w:p>
            <w:pPr>
              <w:spacing w:after="0"/>
              <w:rPr>
                <w:sz w:val="1"/>
                <w:szCs w:val="1"/>
                <w:color w:val="auto"/>
              </w:rPr>
            </w:pPr>
          </w:p>
        </w:tc>
      </w:tr>
      <w:tr>
        <w:trPr>
          <w:trHeight w:val="142"/>
        </w:trPr>
        <w:tc>
          <w:tcPr>
            <w:tcW w:w="2280" w:type="dxa"/>
            <w:vAlign w:val="bottom"/>
            <w:shd w:val="clear" w:color="auto" w:fill="CCEEFF"/>
          </w:tcPr>
          <w:p>
            <w:pPr>
              <w:ind w:left="20"/>
              <w:spacing w:after="0"/>
              <w:rPr>
                <w:sz w:val="20"/>
                <w:szCs w:val="20"/>
                <w:color w:val="auto"/>
              </w:rPr>
            </w:pPr>
            <w:r>
              <w:rPr>
                <w:rFonts w:ascii="Arial" w:cs="Arial" w:eastAsia="Arial" w:hAnsi="Arial"/>
                <w:sz w:val="10"/>
                <w:szCs w:val="10"/>
                <w:color w:val="auto"/>
              </w:rPr>
              <w:t>Tax benefit excess on exercise of options</w:t>
            </w:r>
          </w:p>
        </w:tc>
        <w:tc>
          <w:tcPr>
            <w:tcW w:w="78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740" w:type="dxa"/>
            <w:vAlign w:val="bottom"/>
            <w:shd w:val="clear" w:color="auto" w:fill="CCEEFF"/>
          </w:tcPr>
          <w:p>
            <w:pPr>
              <w:jc w:val="right"/>
              <w:ind w:right="211"/>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3,815</w:t>
            </w: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3,815</w:t>
            </w:r>
          </w:p>
        </w:tc>
        <w:tc>
          <w:tcPr>
            <w:tcW w:w="8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3,815</w:t>
            </w:r>
          </w:p>
        </w:tc>
        <w:tc>
          <w:tcPr>
            <w:tcW w:w="0" w:type="dxa"/>
            <w:vAlign w:val="bottom"/>
          </w:tcPr>
          <w:p>
            <w:pPr>
              <w:spacing w:after="0"/>
              <w:rPr>
                <w:sz w:val="1"/>
                <w:szCs w:val="1"/>
                <w:color w:val="auto"/>
              </w:rPr>
            </w:pPr>
          </w:p>
        </w:tc>
      </w:tr>
      <w:tr>
        <w:trPr>
          <w:trHeight w:val="134"/>
        </w:trPr>
        <w:tc>
          <w:tcPr>
            <w:tcW w:w="2280" w:type="dxa"/>
            <w:vAlign w:val="bottom"/>
          </w:tcPr>
          <w:p>
            <w:pPr>
              <w:ind w:left="20"/>
              <w:spacing w:after="0"/>
              <w:rPr>
                <w:sz w:val="20"/>
                <w:szCs w:val="20"/>
                <w:color w:val="auto"/>
              </w:rPr>
            </w:pPr>
            <w:r>
              <w:rPr>
                <w:rFonts w:ascii="Arial" w:cs="Arial" w:eastAsia="Arial" w:hAnsi="Arial"/>
                <w:sz w:val="10"/>
                <w:szCs w:val="10"/>
                <w:color w:val="auto"/>
              </w:rPr>
              <w:t>Deferred tax movement on unexercised options</w:t>
            </w:r>
          </w:p>
        </w:tc>
        <w:tc>
          <w:tcPr>
            <w:tcW w:w="78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50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740" w:type="dxa"/>
            <w:vAlign w:val="bottom"/>
          </w:tcPr>
          <w:p>
            <w:pPr>
              <w:jc w:val="right"/>
              <w:ind w:right="211"/>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51"/>
              <w:spacing w:after="0"/>
              <w:rPr>
                <w:sz w:val="20"/>
                <w:szCs w:val="20"/>
                <w:color w:val="auto"/>
              </w:rPr>
            </w:pPr>
            <w:r>
              <w:rPr>
                <w:rFonts w:ascii="Arial" w:cs="Arial" w:eastAsia="Arial" w:hAnsi="Arial"/>
                <w:sz w:val="10"/>
                <w:szCs w:val="10"/>
                <w:color w:val="auto"/>
              </w:rPr>
              <w:t>(1,286)</w:t>
            </w:r>
          </w:p>
        </w:tc>
        <w:tc>
          <w:tcPr>
            <w:tcW w:w="62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82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620" w:type="dxa"/>
            <w:vAlign w:val="bottom"/>
          </w:tcPr>
          <w:p>
            <w:pPr>
              <w:jc w:val="right"/>
              <w:spacing w:after="0"/>
              <w:rPr>
                <w:sz w:val="20"/>
                <w:szCs w:val="20"/>
                <w:color w:val="auto"/>
              </w:rPr>
            </w:pPr>
            <w:r>
              <w:rPr>
                <w:rFonts w:ascii="Arial" w:cs="Arial" w:eastAsia="Arial" w:hAnsi="Arial"/>
                <w:sz w:val="10"/>
                <w:szCs w:val="10"/>
                <w:color w:val="auto"/>
              </w:rPr>
              <w:t>(1,286)</w:t>
            </w:r>
          </w:p>
        </w:tc>
        <w:tc>
          <w:tcPr>
            <w:tcW w:w="8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600" w:type="dxa"/>
            <w:vAlign w:val="bottom"/>
          </w:tcPr>
          <w:p>
            <w:pPr>
              <w:jc w:val="right"/>
              <w:spacing w:after="0"/>
              <w:rPr>
                <w:sz w:val="20"/>
                <w:szCs w:val="20"/>
                <w:color w:val="auto"/>
              </w:rPr>
            </w:pPr>
            <w:r>
              <w:rPr>
                <w:rFonts w:ascii="Arial" w:cs="Arial" w:eastAsia="Arial" w:hAnsi="Arial"/>
                <w:sz w:val="10"/>
                <w:szCs w:val="10"/>
                <w:color w:val="auto"/>
              </w:rPr>
              <w:t>(1,286)</w:t>
            </w:r>
          </w:p>
        </w:tc>
        <w:tc>
          <w:tcPr>
            <w:tcW w:w="0" w:type="dxa"/>
            <w:vAlign w:val="bottom"/>
          </w:tcPr>
          <w:p>
            <w:pPr>
              <w:spacing w:after="0"/>
              <w:rPr>
                <w:sz w:val="1"/>
                <w:szCs w:val="1"/>
                <w:color w:val="auto"/>
              </w:rPr>
            </w:pPr>
          </w:p>
        </w:tc>
      </w:tr>
      <w:tr>
        <w:trPr>
          <w:trHeight w:val="142"/>
        </w:trPr>
        <w:tc>
          <w:tcPr>
            <w:tcW w:w="2280" w:type="dxa"/>
            <w:vAlign w:val="bottom"/>
            <w:shd w:val="clear" w:color="auto" w:fill="CCEEFF"/>
          </w:tcPr>
          <w:p>
            <w:pPr>
              <w:ind w:left="20"/>
              <w:spacing w:after="0"/>
              <w:rPr>
                <w:sz w:val="20"/>
                <w:szCs w:val="20"/>
                <w:color w:val="auto"/>
              </w:rPr>
            </w:pPr>
            <w:r>
              <w:rPr>
                <w:rFonts w:ascii="Arial" w:cs="Arial" w:eastAsia="Arial" w:hAnsi="Arial"/>
                <w:sz w:val="10"/>
                <w:szCs w:val="10"/>
                <w:color w:val="auto"/>
              </w:rPr>
              <w:t>Settlement of acquisition of noncontrolling interest</w:t>
            </w:r>
          </w:p>
        </w:tc>
        <w:tc>
          <w:tcPr>
            <w:tcW w:w="78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740" w:type="dxa"/>
            <w:vAlign w:val="bottom"/>
            <w:shd w:val="clear" w:color="auto" w:fill="CCEEFF"/>
          </w:tcPr>
          <w:p>
            <w:pPr>
              <w:jc w:val="right"/>
              <w:ind w:right="211"/>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35,095</w:t>
            </w:r>
          </w:p>
        </w:tc>
        <w:tc>
          <w:tcPr>
            <w:tcW w:w="62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35,095</w:t>
            </w: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(35,095)</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5"/>
        </w:trPr>
        <w:tc>
          <w:tcPr>
            <w:tcW w:w="2280" w:type="dxa"/>
            <w:vAlign w:val="bottom"/>
          </w:tcPr>
          <w:p>
            <w:pPr>
              <w:ind w:left="20"/>
              <w:spacing w:after="0" w:line="96" w:lineRule="exact"/>
              <w:rPr>
                <w:sz w:val="20"/>
                <w:szCs w:val="20"/>
                <w:color w:val="auto"/>
              </w:rPr>
            </w:pPr>
            <w:r>
              <w:rPr>
                <w:rFonts w:ascii="Arial" w:cs="Arial" w:eastAsia="Arial" w:hAnsi="Arial"/>
                <w:sz w:val="10"/>
                <w:szCs w:val="10"/>
                <w:color w:val="auto"/>
              </w:rPr>
              <w:t>Settlement of put option on noncontrolling interest</w:t>
            </w: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280" w:type="dxa"/>
            <w:vAlign w:val="bottom"/>
          </w:tcPr>
          <w:p>
            <w:pPr>
              <w:ind w:left="20"/>
              <w:spacing w:after="0"/>
              <w:rPr>
                <w:sz w:val="20"/>
                <w:szCs w:val="20"/>
                <w:color w:val="auto"/>
              </w:rPr>
            </w:pPr>
            <w:r>
              <w:rPr>
                <w:rFonts w:ascii="Arial" w:cs="Arial" w:eastAsia="Arial" w:hAnsi="Arial"/>
                <w:sz w:val="10"/>
                <w:szCs w:val="10"/>
                <w:color w:val="auto"/>
              </w:rPr>
              <w:t>shares</w:t>
            </w:r>
          </w:p>
        </w:tc>
        <w:tc>
          <w:tcPr>
            <w:tcW w:w="78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50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740" w:type="dxa"/>
            <w:vAlign w:val="bottom"/>
          </w:tcPr>
          <w:p>
            <w:pPr>
              <w:jc w:val="right"/>
              <w:ind w:right="211"/>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820" w:type="dxa"/>
            <w:vAlign w:val="bottom"/>
          </w:tcPr>
          <w:p>
            <w:pPr>
              <w:jc w:val="right"/>
              <w:ind w:right="51"/>
              <w:spacing w:after="0"/>
              <w:rPr>
                <w:sz w:val="20"/>
                <w:szCs w:val="20"/>
                <w:color w:val="auto"/>
              </w:rPr>
            </w:pPr>
            <w:r>
              <w:rPr>
                <w:rFonts w:ascii="Arial" w:cs="Arial" w:eastAsia="Arial" w:hAnsi="Arial"/>
                <w:sz w:val="10"/>
                <w:szCs w:val="10"/>
                <w:color w:val="auto"/>
              </w:rPr>
              <w:t>38,482</w:t>
            </w:r>
          </w:p>
        </w:tc>
        <w:tc>
          <w:tcPr>
            <w:tcW w:w="640" w:type="dxa"/>
            <w:vAlign w:val="bottom"/>
          </w:tcPr>
          <w:p>
            <w:pPr>
              <w:jc w:val="right"/>
              <w:ind w:right="71"/>
              <w:spacing w:after="0"/>
              <w:rPr>
                <w:sz w:val="20"/>
                <w:szCs w:val="20"/>
                <w:color w:val="auto"/>
              </w:rPr>
            </w:pPr>
            <w:r>
              <w:rPr>
                <w:rFonts w:ascii="Arial" w:cs="Arial" w:eastAsia="Arial" w:hAnsi="Arial"/>
                <w:sz w:val="10"/>
                <w:szCs w:val="10"/>
                <w:color w:val="auto"/>
              </w:rPr>
              <w:t>(38,482)</w:t>
            </w:r>
          </w:p>
        </w:tc>
        <w:tc>
          <w:tcPr>
            <w:tcW w:w="62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60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9"/>
        </w:trPr>
        <w:tc>
          <w:tcPr>
            <w:tcW w:w="2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rPr>
              <w:t>Non-distributable reserves</w:t>
            </w:r>
          </w:p>
        </w:tc>
        <w:tc>
          <w:tcPr>
            <w:tcW w:w="7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rPr>
              <w:t>2,907</w:t>
            </w:r>
          </w:p>
        </w:tc>
        <w:tc>
          <w:tcPr>
            <w:tcW w:w="6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rPr>
              <w:t>(2,907)</w:t>
            </w:r>
          </w:p>
        </w:tc>
        <w:tc>
          <w:tcPr>
            <w:tcW w:w="6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9"/>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Total contributions by and distributions to owners</w:t>
            </w:r>
          </w:p>
        </w:tc>
        <w:tc>
          <w:tcPr>
            <w:tcW w:w="78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(834,113)</w:t>
            </w:r>
          </w:p>
        </w:tc>
        <w:tc>
          <w:tcPr>
            <w:tcW w:w="50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rPr>
              <w:t>(55)</w:t>
            </w:r>
          </w:p>
        </w:tc>
        <w:tc>
          <w:tcPr>
            <w:tcW w:w="740" w:type="dxa"/>
            <w:vAlign w:val="bottom"/>
            <w:tcBorders>
              <w:bottom w:val="single" w:sz="8" w:color="auto"/>
            </w:tcBorders>
          </w:tcPr>
          <w:p>
            <w:pPr>
              <w:jc w:val="right"/>
              <w:ind w:right="211"/>
              <w:spacing w:after="0"/>
              <w:rPr>
                <w:sz w:val="20"/>
                <w:szCs w:val="20"/>
                <w:color w:val="auto"/>
              </w:rPr>
            </w:pPr>
            <w:r>
              <w:rPr>
                <w:rFonts w:ascii="Arial" w:cs="Arial" w:eastAsia="Arial" w:hAnsi="Arial"/>
                <w:sz w:val="10"/>
                <w:szCs w:val="10"/>
                <w:color w:val="auto"/>
              </w:rPr>
              <w:t>13,176</w:t>
            </w:r>
          </w:p>
        </w:tc>
        <w:tc>
          <w:tcPr>
            <w:tcW w:w="68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rPr>
              <w:t>82</w:t>
            </w:r>
          </w:p>
        </w:tc>
        <w:tc>
          <w:tcPr>
            <w:tcW w:w="62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rPr>
              <w:t>5,339</w:t>
            </w:r>
          </w:p>
        </w:tc>
        <w:tc>
          <w:tcPr>
            <w:tcW w:w="62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2,907</w:t>
            </w:r>
          </w:p>
        </w:tc>
        <w:tc>
          <w:tcPr>
            <w:tcW w:w="62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38,482</w:t>
            </w:r>
          </w:p>
        </w:tc>
        <w:tc>
          <w:tcPr>
            <w:tcW w:w="64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(157,951)</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(98,020)</w:t>
            </w:r>
          </w:p>
        </w:tc>
        <w:tc>
          <w:tcPr>
            <w:tcW w:w="88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(35,095)</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(133,115)</w:t>
            </w:r>
          </w:p>
        </w:tc>
        <w:tc>
          <w:tcPr>
            <w:tcW w:w="0" w:type="dxa"/>
            <w:vAlign w:val="bottom"/>
          </w:tcPr>
          <w:p>
            <w:pPr>
              <w:spacing w:after="0"/>
              <w:rPr>
                <w:sz w:val="1"/>
                <w:szCs w:val="1"/>
                <w:color w:val="auto"/>
              </w:rPr>
            </w:pPr>
          </w:p>
        </w:tc>
      </w:tr>
      <w:tr>
        <w:trPr>
          <w:trHeight w:val="134"/>
        </w:trPr>
        <w:tc>
          <w:tcPr>
            <w:tcW w:w="2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0"/>
                <w:szCs w:val="10"/>
                <w:b w:val="1"/>
                <w:bCs w:val="1"/>
                <w:color w:val="auto"/>
              </w:rPr>
              <w:t>Balance at 31 December 2020</w:t>
            </w:r>
          </w:p>
        </w:tc>
        <w:tc>
          <w:tcPr>
            <w:tcW w:w="7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b w:val="1"/>
                <w:bCs w:val="1"/>
                <w:color w:val="auto"/>
              </w:rPr>
              <w:t>52,788,093</w:t>
            </w:r>
          </w:p>
        </w:tc>
        <w:tc>
          <w:tcPr>
            <w:tcW w:w="5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b w:val="1"/>
                <w:bCs w:val="1"/>
                <w:color w:val="auto"/>
              </w:rPr>
              <w:t>4,580</w:t>
            </w:r>
          </w:p>
        </w:tc>
        <w:tc>
          <w:tcPr>
            <w:tcW w:w="74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0"/>
                <w:szCs w:val="10"/>
                <w:b w:val="1"/>
                <w:bCs w:val="1"/>
                <w:color w:val="auto"/>
              </w:rPr>
              <w:t>318,404</w:t>
            </w:r>
          </w:p>
        </w:tc>
        <w:tc>
          <w:tcPr>
            <w:tcW w:w="6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b w:val="1"/>
                <w:bCs w:val="1"/>
                <w:color w:val="auto"/>
              </w:rPr>
              <w:t>1,134</w:t>
            </w:r>
          </w:p>
        </w:tc>
        <w:tc>
          <w:tcPr>
            <w:tcW w:w="6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b w:val="1"/>
                <w:bCs w:val="1"/>
                <w:color w:val="auto"/>
              </w:rPr>
              <w:t>179,569</w:t>
            </w:r>
          </w:p>
        </w:tc>
        <w:tc>
          <w:tcPr>
            <w:tcW w:w="6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b w:val="1"/>
                <w:bCs w:val="1"/>
                <w:color w:val="auto"/>
              </w:rPr>
              <w:t>11,966</w:t>
            </w:r>
          </w:p>
        </w:tc>
        <w:tc>
          <w:tcPr>
            <w:tcW w:w="6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b w:val="1"/>
                <w:bCs w:val="1"/>
                <w:color w:val="auto"/>
              </w:rPr>
              <w:t>(24,966)</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b w:val="1"/>
                <w:bCs w:val="1"/>
                <w:color w:val="auto"/>
              </w:rPr>
              <w:t>—</w:t>
            </w:r>
          </w:p>
        </w:tc>
        <w:tc>
          <w:tcPr>
            <w:tcW w:w="8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b w:val="1"/>
                <w:bCs w:val="1"/>
                <w:color w:val="auto"/>
              </w:rPr>
              <w:t>—</w:t>
            </w:r>
          </w:p>
        </w:tc>
        <w:tc>
          <w:tcPr>
            <w:tcW w:w="6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b w:val="1"/>
                <w:bCs w:val="1"/>
                <w:color w:val="auto"/>
              </w:rPr>
              <w:t>1,389,982</w:t>
            </w:r>
          </w:p>
        </w:tc>
        <w:tc>
          <w:tcPr>
            <w:tcW w:w="6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b w:val="1"/>
                <w:bCs w:val="1"/>
                <w:color w:val="auto"/>
              </w:rPr>
              <w:t>1,880,669</w:t>
            </w:r>
          </w:p>
        </w:tc>
        <w:tc>
          <w:tcPr>
            <w:tcW w:w="8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1,880,669</w:t>
            </w: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Further details of the reserves above are detailed in note 25</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280"/>
          </w:cols>
          <w:pgMar w:left="300" w:top="889" w:right="31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Consolidated Statement of Cash Flows</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6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ind w:right="258"/>
              <w:spacing w:after="0"/>
              <w:rPr>
                <w:sz w:val="20"/>
                <w:szCs w:val="20"/>
                <w:color w:val="auto"/>
              </w:rPr>
            </w:pPr>
            <w:r>
              <w:rPr>
                <w:rFonts w:ascii="Arial" w:cs="Arial" w:eastAsia="Arial" w:hAnsi="Arial"/>
                <w:sz w:val="12"/>
                <w:szCs w:val="12"/>
                <w:b w:val="1"/>
                <w:bCs w:val="1"/>
                <w:i w:val="1"/>
                <w:iCs w:val="1"/>
                <w:color w:val="auto"/>
              </w:rPr>
              <w:t>Note</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Year Ended 31</w:t>
            </w: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Year ended 31 December</w:t>
            </w:r>
          </w:p>
        </w:tc>
        <w:tc>
          <w:tcPr>
            <w:tcW w:w="0" w:type="dxa"/>
            <w:vAlign w:val="bottom"/>
          </w:tcPr>
          <w:p>
            <w:pPr>
              <w:spacing w:after="0"/>
              <w:rPr>
                <w:sz w:val="1"/>
                <w:szCs w:val="1"/>
                <w:color w:val="auto"/>
              </w:rPr>
            </w:pPr>
          </w:p>
        </w:tc>
      </w:tr>
      <w:tr>
        <w:trPr>
          <w:trHeight w:val="125"/>
        </w:trPr>
        <w:tc>
          <w:tcPr>
            <w:tcW w:w="7600" w:type="dxa"/>
            <w:vAlign w:val="bottom"/>
            <w:shd w:val="clear" w:color="auto" w:fill="CCEEFF"/>
          </w:tcPr>
          <w:p>
            <w:pPr>
              <w:spacing w:after="0"/>
              <w:rPr>
                <w:sz w:val="10"/>
                <w:szCs w:val="10"/>
                <w:color w:val="auto"/>
              </w:rPr>
            </w:pPr>
          </w:p>
        </w:tc>
        <w:tc>
          <w:tcPr>
            <w:tcW w:w="980" w:type="dxa"/>
            <w:vAlign w:val="bottom"/>
            <w:vMerge w:val="continue"/>
            <w:shd w:val="clear" w:color="auto" w:fill="CCEEFF"/>
          </w:tcPr>
          <w:p>
            <w:pPr>
              <w:spacing w:after="0"/>
              <w:rPr>
                <w:sz w:val="10"/>
                <w:szCs w:val="10"/>
                <w:color w:val="auto"/>
              </w:rPr>
            </w:pPr>
          </w:p>
        </w:tc>
        <w:tc>
          <w:tcPr>
            <w:tcW w:w="122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b w:val="1"/>
                <w:bCs w:val="1"/>
                <w:color w:val="auto"/>
              </w:rPr>
              <w:t>December</w:t>
            </w:r>
          </w:p>
        </w:tc>
        <w:tc>
          <w:tcPr>
            <w:tcW w:w="14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760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2021</w:t>
            </w:r>
          </w:p>
        </w:tc>
        <w:tc>
          <w:tcPr>
            <w:tcW w:w="1460" w:type="dxa"/>
            <w:vAlign w:val="bottom"/>
            <w:tcBorders>
              <w:bottom w:val="single" w:sz="8" w:color="CCEEFF"/>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2020</w:t>
            </w:r>
          </w:p>
        </w:tc>
        <w:tc>
          <w:tcPr>
            <w:tcW w:w="0" w:type="dxa"/>
            <w:vAlign w:val="bottom"/>
          </w:tcPr>
          <w:p>
            <w:pPr>
              <w:spacing w:after="0"/>
              <w:rPr>
                <w:sz w:val="1"/>
                <w:szCs w:val="1"/>
                <w:color w:val="auto"/>
              </w:rPr>
            </w:pPr>
          </w:p>
        </w:tc>
      </w:tr>
      <w:tr>
        <w:trPr>
          <w:trHeight w:val="160"/>
        </w:trPr>
        <w:tc>
          <w:tcPr>
            <w:tcW w:w="7600" w:type="dxa"/>
            <w:vAlign w:val="bottom"/>
            <w:tcBorders>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$’000</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$’000</w:t>
            </w:r>
          </w:p>
        </w:tc>
        <w:tc>
          <w:tcPr>
            <w:tcW w:w="0" w:type="dxa"/>
            <w:vAlign w:val="bottom"/>
          </w:tcPr>
          <w:p>
            <w:pPr>
              <w:spacing w:after="0"/>
              <w:rPr>
                <w:sz w:val="1"/>
                <w:szCs w:val="1"/>
                <w:color w:val="auto"/>
              </w:rPr>
            </w:pPr>
          </w:p>
        </w:tc>
      </w:tr>
      <w:tr>
        <w:trPr>
          <w:trHeight w:val="160"/>
        </w:trPr>
        <w:tc>
          <w:tcPr>
            <w:tcW w:w="76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Profit for the financial year</w:t>
            </w:r>
          </w:p>
        </w:tc>
        <w:tc>
          <w:tcPr>
            <w:tcW w:w="98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18"/>
              <w:spacing w:after="0"/>
              <w:rPr>
                <w:sz w:val="20"/>
                <w:szCs w:val="20"/>
                <w:color w:val="auto"/>
              </w:rPr>
            </w:pPr>
            <w:r>
              <w:rPr>
                <w:rFonts w:ascii="Arial" w:cs="Arial" w:eastAsia="Arial" w:hAnsi="Arial"/>
                <w:sz w:val="12"/>
                <w:szCs w:val="12"/>
                <w:b w:val="1"/>
                <w:bCs w:val="1"/>
                <w:color w:val="auto"/>
              </w:rPr>
              <w:t>174,452</w:t>
            </w: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331,425</w:t>
            </w:r>
          </w:p>
        </w:tc>
        <w:tc>
          <w:tcPr>
            <w:tcW w:w="0" w:type="dxa"/>
            <w:vAlign w:val="bottom"/>
          </w:tcPr>
          <w:p>
            <w:pPr>
              <w:spacing w:after="0"/>
              <w:rPr>
                <w:sz w:val="1"/>
                <w:szCs w:val="1"/>
                <w:color w:val="auto"/>
              </w:rPr>
            </w:pPr>
          </w:p>
        </w:tc>
      </w:tr>
      <w:tr>
        <w:trPr>
          <w:trHeight w:val="170"/>
        </w:trPr>
        <w:tc>
          <w:tcPr>
            <w:tcW w:w="7600" w:type="dxa"/>
            <w:vAlign w:val="bottom"/>
          </w:tcPr>
          <w:p>
            <w:pPr>
              <w:ind w:left="20"/>
              <w:spacing w:after="0"/>
              <w:rPr>
                <w:sz w:val="20"/>
                <w:szCs w:val="20"/>
                <w:color w:val="auto"/>
              </w:rPr>
            </w:pPr>
            <w:r>
              <w:rPr>
                <w:rFonts w:ascii="Arial" w:cs="Arial" w:eastAsia="Arial" w:hAnsi="Arial"/>
                <w:sz w:val="12"/>
                <w:szCs w:val="12"/>
                <w:b w:val="1"/>
                <w:bCs w:val="1"/>
                <w:color w:val="auto"/>
              </w:rPr>
              <w:t>Adjustments to reconcile net income to net cash generated from operating activities</w:t>
            </w:r>
          </w:p>
        </w:tc>
        <w:tc>
          <w:tcPr>
            <w:tcW w:w="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600" w:type="dxa"/>
            <w:vAlign w:val="bottom"/>
            <w:shd w:val="clear" w:color="auto" w:fill="CCEEFF"/>
          </w:tcPr>
          <w:p>
            <w:pPr>
              <w:ind w:left="20"/>
              <w:spacing w:after="0"/>
              <w:rPr>
                <w:sz w:val="20"/>
                <w:szCs w:val="20"/>
                <w:color w:val="auto"/>
              </w:rPr>
            </w:pPr>
            <w:r>
              <w:rPr>
                <w:rFonts w:ascii="Arial" w:cs="Arial" w:eastAsia="Arial" w:hAnsi="Arial"/>
                <w:sz w:val="12"/>
                <w:szCs w:val="12"/>
                <w:color w:val="auto"/>
              </w:rPr>
              <w:t>Depreciation of property, plant and equipment</w:t>
            </w:r>
          </w:p>
        </w:tc>
        <w:tc>
          <w:tcPr>
            <w:tcW w:w="980" w:type="dxa"/>
            <w:vAlign w:val="bottom"/>
            <w:shd w:val="clear" w:color="auto" w:fill="CCEEFF"/>
          </w:tcPr>
          <w:p>
            <w:pPr>
              <w:jc w:val="right"/>
              <w:ind w:right="258"/>
              <w:spacing w:after="0"/>
              <w:rPr>
                <w:sz w:val="20"/>
                <w:szCs w:val="20"/>
                <w:color w:val="auto"/>
              </w:rPr>
            </w:pPr>
            <w:r>
              <w:rPr>
                <w:rFonts w:ascii="Arial" w:cs="Arial" w:eastAsia="Arial" w:hAnsi="Arial"/>
                <w:sz w:val="12"/>
                <w:szCs w:val="12"/>
                <w:i w:val="1"/>
                <w:iCs w:val="1"/>
                <w:color w:val="auto"/>
              </w:rPr>
              <w:t>12</w:t>
            </w:r>
          </w:p>
        </w:tc>
        <w:tc>
          <w:tcPr>
            <w:tcW w:w="1220" w:type="dxa"/>
            <w:vAlign w:val="bottom"/>
            <w:shd w:val="clear" w:color="auto" w:fill="CCEEFF"/>
          </w:tcPr>
          <w:p>
            <w:pPr>
              <w:jc w:val="right"/>
              <w:ind w:right="18"/>
              <w:spacing w:after="0"/>
              <w:rPr>
                <w:sz w:val="20"/>
                <w:szCs w:val="20"/>
                <w:color w:val="auto"/>
              </w:rPr>
            </w:pPr>
            <w:r>
              <w:rPr>
                <w:rFonts w:ascii="Arial" w:cs="Arial" w:eastAsia="Arial" w:hAnsi="Arial"/>
                <w:sz w:val="12"/>
                <w:szCs w:val="12"/>
                <w:b w:val="1"/>
                <w:bCs w:val="1"/>
                <w:color w:val="auto"/>
              </w:rPr>
              <w:t>33,654</w:t>
            </w: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18,360</w:t>
            </w:r>
          </w:p>
        </w:tc>
        <w:tc>
          <w:tcPr>
            <w:tcW w:w="0" w:type="dxa"/>
            <w:vAlign w:val="bottom"/>
          </w:tcPr>
          <w:p>
            <w:pPr>
              <w:spacing w:after="0"/>
              <w:rPr>
                <w:sz w:val="1"/>
                <w:szCs w:val="1"/>
                <w:color w:val="auto"/>
              </w:rPr>
            </w:pPr>
          </w:p>
        </w:tc>
      </w:tr>
      <w:tr>
        <w:trPr>
          <w:trHeight w:val="170"/>
        </w:trPr>
        <w:tc>
          <w:tcPr>
            <w:tcW w:w="7600" w:type="dxa"/>
            <w:vAlign w:val="bottom"/>
          </w:tcPr>
          <w:p>
            <w:pPr>
              <w:ind w:left="20"/>
              <w:spacing w:after="0"/>
              <w:rPr>
                <w:sz w:val="20"/>
                <w:szCs w:val="20"/>
                <w:color w:val="auto"/>
              </w:rPr>
            </w:pPr>
            <w:r>
              <w:rPr>
                <w:rFonts w:ascii="Arial" w:cs="Arial" w:eastAsia="Arial" w:hAnsi="Arial"/>
                <w:sz w:val="12"/>
                <w:szCs w:val="12"/>
                <w:color w:val="auto"/>
              </w:rPr>
              <w:t>Depreciation of right-of-use assets</w:t>
            </w:r>
          </w:p>
        </w:tc>
        <w:tc>
          <w:tcPr>
            <w:tcW w:w="980" w:type="dxa"/>
            <w:vAlign w:val="bottom"/>
          </w:tcPr>
          <w:p>
            <w:pPr>
              <w:jc w:val="right"/>
              <w:ind w:right="258"/>
              <w:spacing w:after="0"/>
              <w:rPr>
                <w:sz w:val="20"/>
                <w:szCs w:val="20"/>
                <w:color w:val="auto"/>
              </w:rPr>
            </w:pPr>
            <w:r>
              <w:rPr>
                <w:rFonts w:ascii="Arial" w:cs="Arial" w:eastAsia="Arial" w:hAnsi="Arial"/>
                <w:sz w:val="12"/>
                <w:szCs w:val="12"/>
                <w:i w:val="1"/>
                <w:iCs w:val="1"/>
                <w:color w:val="auto"/>
              </w:rPr>
              <w:t>27</w:t>
            </w:r>
          </w:p>
        </w:tc>
        <w:tc>
          <w:tcPr>
            <w:tcW w:w="1220" w:type="dxa"/>
            <w:vAlign w:val="bottom"/>
          </w:tcPr>
          <w:p>
            <w:pPr>
              <w:jc w:val="right"/>
              <w:ind w:right="18"/>
              <w:spacing w:after="0"/>
              <w:rPr>
                <w:sz w:val="20"/>
                <w:szCs w:val="20"/>
                <w:color w:val="auto"/>
              </w:rPr>
            </w:pPr>
            <w:r>
              <w:rPr>
                <w:rFonts w:ascii="Arial" w:cs="Arial" w:eastAsia="Arial" w:hAnsi="Arial"/>
                <w:sz w:val="12"/>
                <w:szCs w:val="12"/>
                <w:b w:val="1"/>
                <w:bCs w:val="1"/>
                <w:color w:val="auto"/>
              </w:rPr>
              <w:t>45,247</w:t>
            </w:r>
          </w:p>
        </w:tc>
        <w:tc>
          <w:tcPr>
            <w:tcW w:w="1460" w:type="dxa"/>
            <w:vAlign w:val="bottom"/>
          </w:tcPr>
          <w:p>
            <w:pPr>
              <w:jc w:val="right"/>
              <w:spacing w:after="0"/>
              <w:rPr>
                <w:sz w:val="20"/>
                <w:szCs w:val="20"/>
                <w:color w:val="auto"/>
              </w:rPr>
            </w:pPr>
            <w:r>
              <w:rPr>
                <w:rFonts w:ascii="Arial" w:cs="Arial" w:eastAsia="Arial" w:hAnsi="Arial"/>
                <w:sz w:val="12"/>
                <w:szCs w:val="12"/>
                <w:color w:val="auto"/>
              </w:rPr>
              <w:t>28,947</w:t>
            </w:r>
          </w:p>
        </w:tc>
        <w:tc>
          <w:tcPr>
            <w:tcW w:w="0" w:type="dxa"/>
            <w:vAlign w:val="bottom"/>
          </w:tcPr>
          <w:p>
            <w:pPr>
              <w:spacing w:after="0"/>
              <w:rPr>
                <w:sz w:val="1"/>
                <w:szCs w:val="1"/>
                <w:color w:val="auto"/>
              </w:rPr>
            </w:pPr>
          </w:p>
        </w:tc>
      </w:tr>
      <w:tr>
        <w:trPr>
          <w:trHeight w:val="170"/>
        </w:trPr>
        <w:tc>
          <w:tcPr>
            <w:tcW w:w="7600" w:type="dxa"/>
            <w:vAlign w:val="bottom"/>
            <w:shd w:val="clear" w:color="auto" w:fill="CCEEFF"/>
          </w:tcPr>
          <w:p>
            <w:pPr>
              <w:ind w:left="20"/>
              <w:spacing w:after="0"/>
              <w:rPr>
                <w:sz w:val="20"/>
                <w:szCs w:val="20"/>
                <w:color w:val="auto"/>
              </w:rPr>
            </w:pPr>
            <w:r>
              <w:rPr>
                <w:rFonts w:ascii="Arial" w:cs="Arial" w:eastAsia="Arial" w:hAnsi="Arial"/>
                <w:sz w:val="12"/>
                <w:szCs w:val="12"/>
                <w:color w:val="auto"/>
              </w:rPr>
              <w:t>Impairment of long lived assets</w:t>
            </w:r>
          </w:p>
        </w:tc>
        <w:tc>
          <w:tcPr>
            <w:tcW w:w="980" w:type="dxa"/>
            <w:vAlign w:val="bottom"/>
            <w:shd w:val="clear" w:color="auto" w:fill="CCEEFF"/>
          </w:tcPr>
          <w:p>
            <w:pPr>
              <w:jc w:val="right"/>
              <w:ind w:right="258"/>
              <w:spacing w:after="0"/>
              <w:rPr>
                <w:sz w:val="20"/>
                <w:szCs w:val="20"/>
                <w:color w:val="auto"/>
              </w:rPr>
            </w:pPr>
            <w:r>
              <w:rPr>
                <w:rFonts w:ascii="Arial" w:cs="Arial" w:eastAsia="Arial" w:hAnsi="Arial"/>
                <w:sz w:val="12"/>
                <w:szCs w:val="12"/>
                <w:i w:val="1"/>
                <w:iCs w:val="1"/>
                <w:color w:val="auto"/>
              </w:rPr>
              <w:t>8</w:t>
            </w:r>
          </w:p>
        </w:tc>
        <w:tc>
          <w:tcPr>
            <w:tcW w:w="1220" w:type="dxa"/>
            <w:vAlign w:val="bottom"/>
            <w:shd w:val="clear" w:color="auto" w:fill="CCEEFF"/>
          </w:tcPr>
          <w:p>
            <w:pPr>
              <w:jc w:val="right"/>
              <w:ind w:right="18"/>
              <w:spacing w:after="0"/>
              <w:rPr>
                <w:sz w:val="20"/>
                <w:szCs w:val="20"/>
                <w:color w:val="auto"/>
              </w:rPr>
            </w:pPr>
            <w:r>
              <w:rPr>
                <w:rFonts w:ascii="Arial" w:cs="Arial" w:eastAsia="Arial" w:hAnsi="Arial"/>
                <w:sz w:val="12"/>
                <w:szCs w:val="12"/>
                <w:b w:val="1"/>
                <w:bCs w:val="1"/>
                <w:color w:val="auto"/>
              </w:rPr>
              <w:t>20,037</w:t>
            </w: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5,411</w:t>
            </w:r>
          </w:p>
        </w:tc>
        <w:tc>
          <w:tcPr>
            <w:tcW w:w="0" w:type="dxa"/>
            <w:vAlign w:val="bottom"/>
          </w:tcPr>
          <w:p>
            <w:pPr>
              <w:spacing w:after="0"/>
              <w:rPr>
                <w:sz w:val="1"/>
                <w:szCs w:val="1"/>
                <w:color w:val="auto"/>
              </w:rPr>
            </w:pPr>
          </w:p>
        </w:tc>
      </w:tr>
      <w:tr>
        <w:trPr>
          <w:trHeight w:val="170"/>
        </w:trPr>
        <w:tc>
          <w:tcPr>
            <w:tcW w:w="7600" w:type="dxa"/>
            <w:vAlign w:val="bottom"/>
          </w:tcPr>
          <w:p>
            <w:pPr>
              <w:ind w:left="20"/>
              <w:spacing w:after="0"/>
              <w:rPr>
                <w:sz w:val="20"/>
                <w:szCs w:val="20"/>
                <w:color w:val="auto"/>
              </w:rPr>
            </w:pPr>
            <w:r>
              <w:rPr>
                <w:rFonts w:ascii="Arial" w:cs="Arial" w:eastAsia="Arial" w:hAnsi="Arial"/>
                <w:sz w:val="12"/>
                <w:szCs w:val="12"/>
                <w:color w:val="auto"/>
              </w:rPr>
              <w:t>Amortisation of intangible assets</w:t>
            </w:r>
          </w:p>
        </w:tc>
        <w:tc>
          <w:tcPr>
            <w:tcW w:w="980" w:type="dxa"/>
            <w:vAlign w:val="bottom"/>
          </w:tcPr>
          <w:p>
            <w:pPr>
              <w:jc w:val="right"/>
              <w:ind w:right="258"/>
              <w:spacing w:after="0"/>
              <w:rPr>
                <w:sz w:val="20"/>
                <w:szCs w:val="20"/>
                <w:color w:val="auto"/>
              </w:rPr>
            </w:pPr>
            <w:r>
              <w:rPr>
                <w:rFonts w:ascii="Arial" w:cs="Arial" w:eastAsia="Arial" w:hAnsi="Arial"/>
                <w:sz w:val="12"/>
                <w:szCs w:val="12"/>
                <w:i w:val="1"/>
                <w:iCs w:val="1"/>
                <w:color w:val="auto"/>
              </w:rPr>
              <w:t>13</w:t>
            </w:r>
          </w:p>
        </w:tc>
        <w:tc>
          <w:tcPr>
            <w:tcW w:w="1220" w:type="dxa"/>
            <w:vAlign w:val="bottom"/>
          </w:tcPr>
          <w:p>
            <w:pPr>
              <w:jc w:val="right"/>
              <w:ind w:right="18"/>
              <w:spacing w:after="0"/>
              <w:rPr>
                <w:sz w:val="20"/>
                <w:szCs w:val="20"/>
                <w:color w:val="auto"/>
              </w:rPr>
            </w:pPr>
            <w:r>
              <w:rPr>
                <w:rFonts w:ascii="Arial" w:cs="Arial" w:eastAsia="Arial" w:hAnsi="Arial"/>
                <w:sz w:val="12"/>
                <w:szCs w:val="12"/>
                <w:b w:val="1"/>
                <w:bCs w:val="1"/>
                <w:color w:val="auto"/>
              </w:rPr>
              <w:t>281,333</w:t>
            </w:r>
          </w:p>
        </w:tc>
        <w:tc>
          <w:tcPr>
            <w:tcW w:w="1460" w:type="dxa"/>
            <w:vAlign w:val="bottom"/>
          </w:tcPr>
          <w:p>
            <w:pPr>
              <w:jc w:val="right"/>
              <w:spacing w:after="0"/>
              <w:rPr>
                <w:sz w:val="20"/>
                <w:szCs w:val="20"/>
                <w:color w:val="auto"/>
              </w:rPr>
            </w:pPr>
            <w:r>
              <w:rPr>
                <w:rFonts w:ascii="Arial" w:cs="Arial" w:eastAsia="Arial" w:hAnsi="Arial"/>
                <w:sz w:val="12"/>
                <w:szCs w:val="12"/>
                <w:color w:val="auto"/>
              </w:rPr>
              <w:t>47,766</w:t>
            </w:r>
          </w:p>
        </w:tc>
        <w:tc>
          <w:tcPr>
            <w:tcW w:w="0" w:type="dxa"/>
            <w:vAlign w:val="bottom"/>
          </w:tcPr>
          <w:p>
            <w:pPr>
              <w:spacing w:after="0"/>
              <w:rPr>
                <w:sz w:val="1"/>
                <w:szCs w:val="1"/>
                <w:color w:val="auto"/>
              </w:rPr>
            </w:pPr>
          </w:p>
        </w:tc>
      </w:tr>
      <w:tr>
        <w:trPr>
          <w:trHeight w:val="170"/>
        </w:trPr>
        <w:tc>
          <w:tcPr>
            <w:tcW w:w="7600" w:type="dxa"/>
            <w:vAlign w:val="bottom"/>
            <w:shd w:val="clear" w:color="auto" w:fill="CCEEFF"/>
          </w:tcPr>
          <w:p>
            <w:pPr>
              <w:ind w:left="20"/>
              <w:spacing w:after="0"/>
              <w:rPr>
                <w:sz w:val="20"/>
                <w:szCs w:val="20"/>
                <w:color w:val="auto"/>
              </w:rPr>
            </w:pPr>
            <w:r>
              <w:rPr>
                <w:rFonts w:ascii="Arial" w:cs="Arial" w:eastAsia="Arial" w:hAnsi="Arial"/>
                <w:sz w:val="12"/>
                <w:szCs w:val="12"/>
                <w:color w:val="auto"/>
              </w:rPr>
              <w:t>Loss on equity method investments</w:t>
            </w:r>
          </w:p>
        </w:tc>
        <w:tc>
          <w:tcPr>
            <w:tcW w:w="98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18"/>
              <w:spacing w:after="0"/>
              <w:rPr>
                <w:sz w:val="20"/>
                <w:szCs w:val="20"/>
                <w:color w:val="auto"/>
              </w:rPr>
            </w:pPr>
            <w:r>
              <w:rPr>
                <w:rFonts w:ascii="Arial" w:cs="Arial" w:eastAsia="Arial" w:hAnsi="Arial"/>
                <w:sz w:val="12"/>
                <w:szCs w:val="12"/>
                <w:b w:val="1"/>
                <w:bCs w:val="1"/>
                <w:color w:val="auto"/>
              </w:rPr>
              <w:t>2,161</w:t>
            </w: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366</w:t>
            </w:r>
          </w:p>
        </w:tc>
        <w:tc>
          <w:tcPr>
            <w:tcW w:w="0" w:type="dxa"/>
            <w:vAlign w:val="bottom"/>
          </w:tcPr>
          <w:p>
            <w:pPr>
              <w:spacing w:after="0"/>
              <w:rPr>
                <w:sz w:val="1"/>
                <w:szCs w:val="1"/>
                <w:color w:val="auto"/>
              </w:rPr>
            </w:pPr>
          </w:p>
        </w:tc>
      </w:tr>
      <w:tr>
        <w:trPr>
          <w:trHeight w:val="170"/>
        </w:trPr>
        <w:tc>
          <w:tcPr>
            <w:tcW w:w="7600" w:type="dxa"/>
            <w:vAlign w:val="bottom"/>
          </w:tcPr>
          <w:p>
            <w:pPr>
              <w:ind w:left="20"/>
              <w:spacing w:after="0"/>
              <w:rPr>
                <w:sz w:val="20"/>
                <w:szCs w:val="20"/>
                <w:color w:val="auto"/>
              </w:rPr>
            </w:pPr>
            <w:r>
              <w:rPr>
                <w:rFonts w:ascii="Arial" w:cs="Arial" w:eastAsia="Arial" w:hAnsi="Arial"/>
                <w:sz w:val="12"/>
                <w:szCs w:val="12"/>
                <w:color w:val="auto"/>
              </w:rPr>
              <w:t>Settlement and amortisation of interest rate hedge</w:t>
            </w:r>
          </w:p>
        </w:tc>
        <w:tc>
          <w:tcPr>
            <w:tcW w:w="980" w:type="dxa"/>
            <w:vAlign w:val="bottom"/>
          </w:tcPr>
          <w:p>
            <w:pPr>
              <w:jc w:val="right"/>
              <w:ind w:right="258"/>
              <w:spacing w:after="0"/>
              <w:rPr>
                <w:sz w:val="20"/>
                <w:szCs w:val="20"/>
                <w:color w:val="auto"/>
              </w:rPr>
            </w:pPr>
            <w:r>
              <w:rPr>
                <w:rFonts w:ascii="Arial" w:cs="Arial" w:eastAsia="Arial" w:hAnsi="Arial"/>
                <w:sz w:val="12"/>
                <w:szCs w:val="12"/>
                <w:i w:val="1"/>
                <w:iCs w:val="1"/>
                <w:color w:val="auto"/>
              </w:rPr>
              <w:t>5</w:t>
            </w:r>
          </w:p>
        </w:tc>
        <w:tc>
          <w:tcPr>
            <w:tcW w:w="1220" w:type="dxa"/>
            <w:vAlign w:val="bottom"/>
          </w:tcPr>
          <w:p>
            <w:pPr>
              <w:jc w:val="right"/>
              <w:ind w:right="18"/>
              <w:spacing w:after="0"/>
              <w:rPr>
                <w:sz w:val="20"/>
                <w:szCs w:val="20"/>
                <w:color w:val="auto"/>
              </w:rPr>
            </w:pPr>
            <w:r>
              <w:rPr>
                <w:rFonts w:ascii="Arial" w:cs="Arial" w:eastAsia="Arial" w:hAnsi="Arial"/>
                <w:sz w:val="12"/>
                <w:szCs w:val="12"/>
                <w:b w:val="1"/>
                <w:bCs w:val="1"/>
                <w:color w:val="auto"/>
              </w:rPr>
              <w:t>891</w:t>
            </w:r>
          </w:p>
        </w:tc>
        <w:tc>
          <w:tcPr>
            <w:tcW w:w="1460" w:type="dxa"/>
            <w:vAlign w:val="bottom"/>
          </w:tcPr>
          <w:p>
            <w:pPr>
              <w:jc w:val="right"/>
              <w:spacing w:after="0"/>
              <w:rPr>
                <w:sz w:val="20"/>
                <w:szCs w:val="20"/>
                <w:color w:val="auto"/>
              </w:rPr>
            </w:pPr>
            <w:r>
              <w:rPr>
                <w:rFonts w:ascii="Arial" w:cs="Arial" w:eastAsia="Arial" w:hAnsi="Arial"/>
                <w:sz w:val="12"/>
                <w:szCs w:val="12"/>
                <w:color w:val="auto"/>
              </w:rPr>
              <w:t>(910)</w:t>
            </w:r>
          </w:p>
        </w:tc>
        <w:tc>
          <w:tcPr>
            <w:tcW w:w="0" w:type="dxa"/>
            <w:vAlign w:val="bottom"/>
          </w:tcPr>
          <w:p>
            <w:pPr>
              <w:spacing w:after="0"/>
              <w:rPr>
                <w:sz w:val="1"/>
                <w:szCs w:val="1"/>
                <w:color w:val="auto"/>
              </w:rPr>
            </w:pPr>
          </w:p>
        </w:tc>
      </w:tr>
      <w:tr>
        <w:trPr>
          <w:trHeight w:val="170"/>
        </w:trPr>
        <w:tc>
          <w:tcPr>
            <w:tcW w:w="7600" w:type="dxa"/>
            <w:vAlign w:val="bottom"/>
            <w:shd w:val="clear" w:color="auto" w:fill="CCEEFF"/>
          </w:tcPr>
          <w:p>
            <w:pPr>
              <w:ind w:left="20"/>
              <w:spacing w:after="0"/>
              <w:rPr>
                <w:sz w:val="20"/>
                <w:szCs w:val="20"/>
                <w:color w:val="auto"/>
              </w:rPr>
            </w:pPr>
            <w:r>
              <w:rPr>
                <w:rFonts w:ascii="Arial" w:cs="Arial" w:eastAsia="Arial" w:hAnsi="Arial"/>
                <w:sz w:val="12"/>
                <w:szCs w:val="12"/>
                <w:color w:val="auto"/>
              </w:rPr>
              <w:t>Amortisation of deferred financing costs</w:t>
            </w:r>
          </w:p>
        </w:tc>
        <w:tc>
          <w:tcPr>
            <w:tcW w:w="980" w:type="dxa"/>
            <w:vAlign w:val="bottom"/>
            <w:shd w:val="clear" w:color="auto" w:fill="CCEEFF"/>
          </w:tcPr>
          <w:p>
            <w:pPr>
              <w:jc w:val="right"/>
              <w:ind w:right="258"/>
              <w:spacing w:after="0"/>
              <w:rPr>
                <w:sz w:val="20"/>
                <w:szCs w:val="20"/>
                <w:color w:val="auto"/>
              </w:rPr>
            </w:pPr>
            <w:r>
              <w:rPr>
                <w:rFonts w:ascii="Arial" w:cs="Arial" w:eastAsia="Arial" w:hAnsi="Arial"/>
                <w:sz w:val="12"/>
                <w:szCs w:val="12"/>
                <w:i w:val="1"/>
                <w:iCs w:val="1"/>
                <w:color w:val="auto"/>
              </w:rPr>
              <w:t>5</w:t>
            </w:r>
          </w:p>
        </w:tc>
        <w:tc>
          <w:tcPr>
            <w:tcW w:w="1220" w:type="dxa"/>
            <w:vAlign w:val="bottom"/>
            <w:shd w:val="clear" w:color="auto" w:fill="CCEEFF"/>
          </w:tcPr>
          <w:p>
            <w:pPr>
              <w:jc w:val="right"/>
              <w:ind w:right="18"/>
              <w:spacing w:after="0"/>
              <w:rPr>
                <w:sz w:val="20"/>
                <w:szCs w:val="20"/>
                <w:color w:val="auto"/>
              </w:rPr>
            </w:pPr>
            <w:r>
              <w:rPr>
                <w:rFonts w:ascii="Arial" w:cs="Arial" w:eastAsia="Arial" w:hAnsi="Arial"/>
                <w:sz w:val="12"/>
                <w:szCs w:val="12"/>
                <w:b w:val="1"/>
                <w:bCs w:val="1"/>
                <w:color w:val="auto"/>
              </w:rPr>
              <w:t>12,890</w:t>
            </w: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523</w:t>
            </w:r>
          </w:p>
        </w:tc>
        <w:tc>
          <w:tcPr>
            <w:tcW w:w="0" w:type="dxa"/>
            <w:vAlign w:val="bottom"/>
          </w:tcPr>
          <w:p>
            <w:pPr>
              <w:spacing w:after="0"/>
              <w:rPr>
                <w:sz w:val="1"/>
                <w:szCs w:val="1"/>
                <w:color w:val="auto"/>
              </w:rPr>
            </w:pPr>
          </w:p>
        </w:tc>
      </w:tr>
      <w:tr>
        <w:trPr>
          <w:trHeight w:val="170"/>
        </w:trPr>
        <w:tc>
          <w:tcPr>
            <w:tcW w:w="7600" w:type="dxa"/>
            <w:vAlign w:val="bottom"/>
          </w:tcPr>
          <w:p>
            <w:pPr>
              <w:ind w:left="20"/>
              <w:spacing w:after="0"/>
              <w:rPr>
                <w:sz w:val="20"/>
                <w:szCs w:val="20"/>
                <w:color w:val="auto"/>
              </w:rPr>
            </w:pPr>
            <w:r>
              <w:rPr>
                <w:rFonts w:ascii="Arial" w:cs="Arial" w:eastAsia="Arial" w:hAnsi="Arial"/>
                <w:sz w:val="12"/>
                <w:szCs w:val="12"/>
                <w:color w:val="auto"/>
              </w:rPr>
              <w:t>Share-based payment</w:t>
            </w:r>
          </w:p>
        </w:tc>
        <w:tc>
          <w:tcPr>
            <w:tcW w:w="980" w:type="dxa"/>
            <w:vAlign w:val="bottom"/>
          </w:tcPr>
          <w:p>
            <w:pPr>
              <w:jc w:val="right"/>
              <w:ind w:right="258"/>
              <w:spacing w:after="0"/>
              <w:rPr>
                <w:sz w:val="20"/>
                <w:szCs w:val="20"/>
                <w:color w:val="auto"/>
              </w:rPr>
            </w:pPr>
            <w:r>
              <w:rPr>
                <w:rFonts w:ascii="Arial" w:cs="Arial" w:eastAsia="Arial" w:hAnsi="Arial"/>
                <w:sz w:val="12"/>
                <w:szCs w:val="12"/>
                <w:i w:val="1"/>
                <w:iCs w:val="1"/>
                <w:color w:val="auto"/>
              </w:rPr>
              <w:t>11</w:t>
            </w:r>
          </w:p>
        </w:tc>
        <w:tc>
          <w:tcPr>
            <w:tcW w:w="1220" w:type="dxa"/>
            <w:vAlign w:val="bottom"/>
          </w:tcPr>
          <w:p>
            <w:pPr>
              <w:jc w:val="right"/>
              <w:ind w:right="18"/>
              <w:spacing w:after="0"/>
              <w:rPr>
                <w:sz w:val="20"/>
                <w:szCs w:val="20"/>
                <w:color w:val="auto"/>
              </w:rPr>
            </w:pPr>
            <w:r>
              <w:rPr>
                <w:rFonts w:ascii="Arial" w:cs="Arial" w:eastAsia="Arial" w:hAnsi="Arial"/>
                <w:sz w:val="12"/>
                <w:szCs w:val="12"/>
                <w:b w:val="1"/>
                <w:bCs w:val="1"/>
                <w:color w:val="auto"/>
              </w:rPr>
              <w:t>105,859</w:t>
            </w:r>
          </w:p>
        </w:tc>
        <w:tc>
          <w:tcPr>
            <w:tcW w:w="1460" w:type="dxa"/>
            <w:vAlign w:val="bottom"/>
          </w:tcPr>
          <w:p>
            <w:pPr>
              <w:jc w:val="right"/>
              <w:spacing w:after="0"/>
              <w:rPr>
                <w:sz w:val="20"/>
                <w:szCs w:val="20"/>
                <w:color w:val="auto"/>
              </w:rPr>
            </w:pPr>
            <w:r>
              <w:rPr>
                <w:rFonts w:ascii="Arial" w:cs="Arial" w:eastAsia="Arial" w:hAnsi="Arial"/>
                <w:sz w:val="12"/>
                <w:szCs w:val="12"/>
                <w:color w:val="auto"/>
              </w:rPr>
              <w:t>26,597</w:t>
            </w:r>
          </w:p>
        </w:tc>
        <w:tc>
          <w:tcPr>
            <w:tcW w:w="0" w:type="dxa"/>
            <w:vAlign w:val="bottom"/>
          </w:tcPr>
          <w:p>
            <w:pPr>
              <w:spacing w:after="0"/>
              <w:rPr>
                <w:sz w:val="1"/>
                <w:szCs w:val="1"/>
                <w:color w:val="auto"/>
              </w:rPr>
            </w:pPr>
          </w:p>
        </w:tc>
      </w:tr>
      <w:tr>
        <w:trPr>
          <w:trHeight w:val="170"/>
        </w:trPr>
        <w:tc>
          <w:tcPr>
            <w:tcW w:w="7600" w:type="dxa"/>
            <w:vAlign w:val="bottom"/>
            <w:shd w:val="clear" w:color="auto" w:fill="CCEEFF"/>
          </w:tcPr>
          <w:p>
            <w:pPr>
              <w:ind w:left="20"/>
              <w:spacing w:after="0"/>
              <w:rPr>
                <w:sz w:val="20"/>
                <w:szCs w:val="20"/>
                <w:color w:val="auto"/>
              </w:rPr>
            </w:pPr>
            <w:r>
              <w:rPr>
                <w:rFonts w:ascii="Arial" w:cs="Arial" w:eastAsia="Arial" w:hAnsi="Arial"/>
                <w:sz w:val="12"/>
                <w:szCs w:val="12"/>
                <w:color w:val="auto"/>
              </w:rPr>
              <w:t>Loss on extinguishment of debt</w:t>
            </w:r>
          </w:p>
        </w:tc>
        <w:tc>
          <w:tcPr>
            <w:tcW w:w="980" w:type="dxa"/>
            <w:vAlign w:val="bottom"/>
            <w:shd w:val="clear" w:color="auto" w:fill="CCEEFF"/>
          </w:tcPr>
          <w:p>
            <w:pPr>
              <w:jc w:val="right"/>
              <w:ind w:right="258"/>
              <w:spacing w:after="0"/>
              <w:rPr>
                <w:sz w:val="20"/>
                <w:szCs w:val="20"/>
                <w:color w:val="auto"/>
              </w:rPr>
            </w:pPr>
            <w:r>
              <w:rPr>
                <w:rFonts w:ascii="Arial" w:cs="Arial" w:eastAsia="Arial" w:hAnsi="Arial"/>
                <w:sz w:val="12"/>
                <w:szCs w:val="12"/>
                <w:i w:val="1"/>
                <w:iCs w:val="1"/>
                <w:color w:val="auto"/>
              </w:rPr>
              <w:t>5</w:t>
            </w:r>
          </w:p>
        </w:tc>
        <w:tc>
          <w:tcPr>
            <w:tcW w:w="1220" w:type="dxa"/>
            <w:vAlign w:val="bottom"/>
            <w:shd w:val="clear" w:color="auto" w:fill="CCEEFF"/>
          </w:tcPr>
          <w:p>
            <w:pPr>
              <w:jc w:val="right"/>
              <w:ind w:right="18"/>
              <w:spacing w:after="0"/>
              <w:rPr>
                <w:sz w:val="20"/>
                <w:szCs w:val="20"/>
                <w:color w:val="auto"/>
              </w:rPr>
            </w:pPr>
            <w:r>
              <w:rPr>
                <w:rFonts w:ascii="Arial" w:cs="Arial" w:eastAsia="Arial" w:hAnsi="Arial"/>
                <w:sz w:val="12"/>
                <w:szCs w:val="12"/>
                <w:b w:val="1"/>
                <w:bCs w:val="1"/>
                <w:color w:val="auto"/>
              </w:rPr>
              <w:t>74,613</w:t>
            </w: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0"/>
        </w:trPr>
        <w:tc>
          <w:tcPr>
            <w:tcW w:w="7600" w:type="dxa"/>
            <w:vAlign w:val="bottom"/>
          </w:tcPr>
          <w:p>
            <w:pPr>
              <w:ind w:left="20"/>
              <w:spacing w:after="0"/>
              <w:rPr>
                <w:sz w:val="20"/>
                <w:szCs w:val="20"/>
                <w:color w:val="auto"/>
              </w:rPr>
            </w:pPr>
            <w:r>
              <w:rPr>
                <w:rFonts w:ascii="Arial" w:cs="Arial" w:eastAsia="Arial" w:hAnsi="Arial"/>
                <w:sz w:val="12"/>
                <w:szCs w:val="12"/>
                <w:color w:val="auto"/>
              </w:rPr>
              <w:t>Financing income</w:t>
            </w:r>
          </w:p>
        </w:tc>
        <w:tc>
          <w:tcPr>
            <w:tcW w:w="980" w:type="dxa"/>
            <w:vAlign w:val="bottom"/>
          </w:tcPr>
          <w:p>
            <w:pPr>
              <w:jc w:val="right"/>
              <w:ind w:right="258"/>
              <w:spacing w:after="0"/>
              <w:rPr>
                <w:sz w:val="20"/>
                <w:szCs w:val="20"/>
                <w:color w:val="auto"/>
              </w:rPr>
            </w:pPr>
            <w:r>
              <w:rPr>
                <w:rFonts w:ascii="Arial" w:cs="Arial" w:eastAsia="Arial" w:hAnsi="Arial"/>
                <w:sz w:val="12"/>
                <w:szCs w:val="12"/>
                <w:i w:val="1"/>
                <w:iCs w:val="1"/>
                <w:color w:val="auto"/>
              </w:rPr>
              <w:t>4</w:t>
            </w:r>
          </w:p>
        </w:tc>
        <w:tc>
          <w:tcPr>
            <w:tcW w:w="1220" w:type="dxa"/>
            <w:vAlign w:val="bottom"/>
          </w:tcPr>
          <w:p>
            <w:pPr>
              <w:jc w:val="right"/>
              <w:spacing w:after="0"/>
              <w:rPr>
                <w:sz w:val="20"/>
                <w:szCs w:val="20"/>
                <w:color w:val="auto"/>
              </w:rPr>
            </w:pPr>
            <w:r>
              <w:rPr>
                <w:rFonts w:ascii="Arial" w:cs="Arial" w:eastAsia="Arial" w:hAnsi="Arial"/>
                <w:sz w:val="12"/>
                <w:szCs w:val="12"/>
                <w:b w:val="1"/>
                <w:bCs w:val="1"/>
                <w:color w:val="auto"/>
              </w:rPr>
              <w:t>(574)</w:t>
            </w:r>
          </w:p>
        </w:tc>
        <w:tc>
          <w:tcPr>
            <w:tcW w:w="1460" w:type="dxa"/>
            <w:vAlign w:val="bottom"/>
          </w:tcPr>
          <w:p>
            <w:pPr>
              <w:jc w:val="right"/>
              <w:spacing w:after="0"/>
              <w:rPr>
                <w:sz w:val="20"/>
                <w:szCs w:val="20"/>
                <w:color w:val="auto"/>
              </w:rPr>
            </w:pPr>
            <w:r>
              <w:rPr>
                <w:rFonts w:ascii="Arial" w:cs="Arial" w:eastAsia="Arial" w:hAnsi="Arial"/>
                <w:sz w:val="12"/>
                <w:szCs w:val="12"/>
                <w:color w:val="auto"/>
              </w:rPr>
              <w:t>(2,724)</w:t>
            </w:r>
          </w:p>
        </w:tc>
        <w:tc>
          <w:tcPr>
            <w:tcW w:w="0" w:type="dxa"/>
            <w:vAlign w:val="bottom"/>
          </w:tcPr>
          <w:p>
            <w:pPr>
              <w:spacing w:after="0"/>
              <w:rPr>
                <w:sz w:val="1"/>
                <w:szCs w:val="1"/>
                <w:color w:val="auto"/>
              </w:rPr>
            </w:pPr>
          </w:p>
        </w:tc>
      </w:tr>
      <w:tr>
        <w:trPr>
          <w:trHeight w:val="170"/>
        </w:trPr>
        <w:tc>
          <w:tcPr>
            <w:tcW w:w="7600" w:type="dxa"/>
            <w:vAlign w:val="bottom"/>
            <w:shd w:val="clear" w:color="auto" w:fill="CCEEFF"/>
          </w:tcPr>
          <w:p>
            <w:pPr>
              <w:ind w:left="20"/>
              <w:spacing w:after="0"/>
              <w:rPr>
                <w:sz w:val="20"/>
                <w:szCs w:val="20"/>
                <w:color w:val="auto"/>
              </w:rPr>
            </w:pPr>
            <w:r>
              <w:rPr>
                <w:rFonts w:ascii="Arial" w:cs="Arial" w:eastAsia="Arial" w:hAnsi="Arial"/>
                <w:sz w:val="12"/>
                <w:szCs w:val="12"/>
                <w:color w:val="auto"/>
              </w:rPr>
              <w:t>Financing expense</w:t>
            </w:r>
          </w:p>
        </w:tc>
        <w:tc>
          <w:tcPr>
            <w:tcW w:w="980" w:type="dxa"/>
            <w:vAlign w:val="bottom"/>
            <w:shd w:val="clear" w:color="auto" w:fill="CCEEFF"/>
          </w:tcPr>
          <w:p>
            <w:pPr>
              <w:jc w:val="right"/>
              <w:ind w:right="258"/>
              <w:spacing w:after="0"/>
              <w:rPr>
                <w:sz w:val="20"/>
                <w:szCs w:val="20"/>
                <w:color w:val="auto"/>
              </w:rPr>
            </w:pPr>
            <w:r>
              <w:rPr>
                <w:rFonts w:ascii="Arial" w:cs="Arial" w:eastAsia="Arial" w:hAnsi="Arial"/>
                <w:sz w:val="12"/>
                <w:szCs w:val="12"/>
                <w:i w:val="1"/>
                <w:iCs w:val="1"/>
                <w:color w:val="auto"/>
              </w:rPr>
              <w:t>5</w:t>
            </w:r>
          </w:p>
        </w:tc>
        <w:tc>
          <w:tcPr>
            <w:tcW w:w="1220" w:type="dxa"/>
            <w:vAlign w:val="bottom"/>
            <w:shd w:val="clear" w:color="auto" w:fill="CCEEFF"/>
          </w:tcPr>
          <w:p>
            <w:pPr>
              <w:jc w:val="right"/>
              <w:ind w:right="18"/>
              <w:spacing w:after="0"/>
              <w:rPr>
                <w:sz w:val="20"/>
                <w:szCs w:val="20"/>
                <w:color w:val="auto"/>
              </w:rPr>
            </w:pPr>
            <w:r>
              <w:rPr>
                <w:rFonts w:ascii="Arial" w:cs="Arial" w:eastAsia="Arial" w:hAnsi="Arial"/>
                <w:sz w:val="12"/>
                <w:szCs w:val="12"/>
                <w:b w:val="1"/>
                <w:bCs w:val="1"/>
                <w:color w:val="auto"/>
              </w:rPr>
              <w:t>94,029</w:t>
            </w: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13,406</w:t>
            </w:r>
          </w:p>
        </w:tc>
        <w:tc>
          <w:tcPr>
            <w:tcW w:w="0" w:type="dxa"/>
            <w:vAlign w:val="bottom"/>
          </w:tcPr>
          <w:p>
            <w:pPr>
              <w:spacing w:after="0"/>
              <w:rPr>
                <w:sz w:val="1"/>
                <w:szCs w:val="1"/>
                <w:color w:val="auto"/>
              </w:rPr>
            </w:pPr>
          </w:p>
        </w:tc>
      </w:tr>
      <w:tr>
        <w:trPr>
          <w:trHeight w:val="170"/>
        </w:trPr>
        <w:tc>
          <w:tcPr>
            <w:tcW w:w="7600" w:type="dxa"/>
            <w:vAlign w:val="bottom"/>
          </w:tcPr>
          <w:p>
            <w:pPr>
              <w:ind w:left="20"/>
              <w:spacing w:after="0"/>
              <w:rPr>
                <w:sz w:val="20"/>
                <w:szCs w:val="20"/>
                <w:color w:val="auto"/>
              </w:rPr>
            </w:pPr>
            <w:r>
              <w:rPr>
                <w:rFonts w:ascii="Arial" w:cs="Arial" w:eastAsia="Arial" w:hAnsi="Arial"/>
                <w:sz w:val="12"/>
                <w:szCs w:val="12"/>
                <w:color w:val="auto"/>
              </w:rPr>
              <w:t>Defined benefit costs</w:t>
            </w:r>
          </w:p>
        </w:tc>
        <w:tc>
          <w:tcPr>
            <w:tcW w:w="980" w:type="dxa"/>
            <w:vAlign w:val="bottom"/>
          </w:tcPr>
          <w:p>
            <w:pPr>
              <w:jc w:val="right"/>
              <w:ind w:right="258"/>
              <w:spacing w:after="0"/>
              <w:rPr>
                <w:sz w:val="20"/>
                <w:szCs w:val="20"/>
                <w:color w:val="auto"/>
              </w:rPr>
            </w:pPr>
            <w:r>
              <w:rPr>
                <w:rFonts w:ascii="Arial" w:cs="Arial" w:eastAsia="Arial" w:hAnsi="Arial"/>
                <w:sz w:val="12"/>
                <w:szCs w:val="12"/>
                <w:i w:val="1"/>
                <w:iCs w:val="1"/>
                <w:color w:val="auto"/>
              </w:rPr>
              <w:t>10</w:t>
            </w:r>
          </w:p>
        </w:tc>
        <w:tc>
          <w:tcPr>
            <w:tcW w:w="1220" w:type="dxa"/>
            <w:vAlign w:val="bottom"/>
          </w:tcPr>
          <w:p>
            <w:pPr>
              <w:jc w:val="right"/>
              <w:ind w:right="18"/>
              <w:spacing w:after="0"/>
              <w:rPr>
                <w:sz w:val="20"/>
                <w:szCs w:val="20"/>
                <w:color w:val="auto"/>
              </w:rPr>
            </w:pPr>
            <w:r>
              <w:rPr>
                <w:rFonts w:ascii="Arial" w:cs="Arial" w:eastAsia="Arial" w:hAnsi="Arial"/>
                <w:sz w:val="12"/>
                <w:szCs w:val="12"/>
                <w:b w:val="1"/>
                <w:bCs w:val="1"/>
                <w:color w:val="auto"/>
              </w:rPr>
              <w:t>561</w:t>
            </w:r>
          </w:p>
        </w:tc>
        <w:tc>
          <w:tcPr>
            <w:tcW w:w="1460" w:type="dxa"/>
            <w:vAlign w:val="bottom"/>
          </w:tcPr>
          <w:p>
            <w:pPr>
              <w:jc w:val="right"/>
              <w:spacing w:after="0"/>
              <w:rPr>
                <w:sz w:val="20"/>
                <w:szCs w:val="20"/>
                <w:color w:val="auto"/>
              </w:rPr>
            </w:pPr>
            <w:r>
              <w:rPr>
                <w:rFonts w:ascii="Arial" w:cs="Arial" w:eastAsia="Arial" w:hAnsi="Arial"/>
                <w:sz w:val="12"/>
                <w:szCs w:val="12"/>
                <w:color w:val="auto"/>
              </w:rPr>
              <w:t>321</w:t>
            </w:r>
          </w:p>
        </w:tc>
        <w:tc>
          <w:tcPr>
            <w:tcW w:w="0" w:type="dxa"/>
            <w:vAlign w:val="bottom"/>
          </w:tcPr>
          <w:p>
            <w:pPr>
              <w:spacing w:after="0"/>
              <w:rPr>
                <w:sz w:val="1"/>
                <w:szCs w:val="1"/>
                <w:color w:val="auto"/>
              </w:rPr>
            </w:pPr>
          </w:p>
        </w:tc>
      </w:tr>
      <w:tr>
        <w:trPr>
          <w:trHeight w:val="170"/>
        </w:trPr>
        <w:tc>
          <w:tcPr>
            <w:tcW w:w="760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Income tax expense</w:t>
            </w:r>
          </w:p>
        </w:tc>
        <w:tc>
          <w:tcPr>
            <w:tcW w:w="980" w:type="dxa"/>
            <w:vAlign w:val="bottom"/>
            <w:shd w:val="clear" w:color="auto" w:fill="CCEEFF"/>
          </w:tcPr>
          <w:p>
            <w:pPr>
              <w:jc w:val="right"/>
              <w:ind w:right="258"/>
              <w:spacing w:after="0"/>
              <w:rPr>
                <w:sz w:val="20"/>
                <w:szCs w:val="20"/>
                <w:color w:val="auto"/>
              </w:rPr>
            </w:pPr>
            <w:r>
              <w:rPr>
                <w:rFonts w:ascii="Arial" w:cs="Arial" w:eastAsia="Arial" w:hAnsi="Arial"/>
                <w:sz w:val="12"/>
                <w:szCs w:val="12"/>
                <w:i w:val="1"/>
                <w:iCs w:val="1"/>
                <w:color w:val="auto"/>
              </w:rPr>
              <w:t>6</w:t>
            </w:r>
          </w:p>
        </w:tc>
        <w:tc>
          <w:tcPr>
            <w:tcW w:w="1220" w:type="dxa"/>
            <w:vAlign w:val="bottom"/>
            <w:shd w:val="clear" w:color="auto" w:fill="CCEEFF"/>
          </w:tcPr>
          <w:p>
            <w:pPr>
              <w:jc w:val="right"/>
              <w:ind w:right="18"/>
              <w:spacing w:after="0"/>
              <w:rPr>
                <w:sz w:val="20"/>
                <w:szCs w:val="20"/>
                <w:color w:val="auto"/>
              </w:rPr>
            </w:pPr>
            <w:r>
              <w:rPr>
                <w:rFonts w:ascii="Arial" w:cs="Arial" w:eastAsia="Arial" w:hAnsi="Arial"/>
                <w:sz w:val="12"/>
                <w:szCs w:val="12"/>
                <w:b w:val="1"/>
                <w:bCs w:val="1"/>
                <w:color w:val="auto"/>
              </w:rPr>
              <w:t>40,219</w:t>
            </w: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50,753</w:t>
            </w:r>
          </w:p>
        </w:tc>
        <w:tc>
          <w:tcPr>
            <w:tcW w:w="0" w:type="dxa"/>
            <w:vAlign w:val="bottom"/>
          </w:tcPr>
          <w:p>
            <w:pPr>
              <w:spacing w:after="0"/>
              <w:rPr>
                <w:sz w:val="1"/>
                <w:szCs w:val="1"/>
                <w:color w:val="auto"/>
              </w:rPr>
            </w:pPr>
          </w:p>
        </w:tc>
      </w:tr>
      <w:tr>
        <w:trPr>
          <w:trHeight w:val="170"/>
        </w:trPr>
        <w:tc>
          <w:tcPr>
            <w:tcW w:w="7600" w:type="dxa"/>
            <w:vAlign w:val="bottom"/>
          </w:tcPr>
          <w:p>
            <w:pPr>
              <w:ind w:left="20"/>
              <w:spacing w:after="0"/>
              <w:rPr>
                <w:sz w:val="20"/>
                <w:szCs w:val="20"/>
                <w:color w:val="auto"/>
              </w:rPr>
            </w:pPr>
            <w:r>
              <w:rPr>
                <w:rFonts w:ascii="Arial" w:cs="Arial" w:eastAsia="Arial" w:hAnsi="Arial"/>
                <w:sz w:val="12"/>
                <w:szCs w:val="12"/>
                <w:color w:val="auto"/>
              </w:rPr>
              <w:t>Unrealised foreign exchange</w:t>
            </w:r>
          </w:p>
        </w:tc>
        <w:tc>
          <w:tcPr>
            <w:tcW w:w="9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2"/>
                <w:szCs w:val="12"/>
                <w:b w:val="1"/>
                <w:bCs w:val="1"/>
                <w:color w:val="auto"/>
              </w:rPr>
              <w:t>(6,054)</w:t>
            </w:r>
          </w:p>
        </w:tc>
        <w:tc>
          <w:tcPr>
            <w:tcW w:w="1460" w:type="dxa"/>
            <w:vAlign w:val="bottom"/>
          </w:tcPr>
          <w:p>
            <w:pPr>
              <w:jc w:val="right"/>
              <w:spacing w:after="0"/>
              <w:rPr>
                <w:sz w:val="20"/>
                <w:szCs w:val="20"/>
                <w:color w:val="auto"/>
              </w:rPr>
            </w:pPr>
            <w:r>
              <w:rPr>
                <w:rFonts w:ascii="Arial" w:cs="Arial" w:eastAsia="Arial" w:hAnsi="Arial"/>
                <w:sz w:val="12"/>
                <w:szCs w:val="12"/>
                <w:color w:val="auto"/>
              </w:rPr>
              <w:t>5,980</w:t>
            </w:r>
          </w:p>
        </w:tc>
        <w:tc>
          <w:tcPr>
            <w:tcW w:w="0" w:type="dxa"/>
            <w:vAlign w:val="bottom"/>
          </w:tcPr>
          <w:p>
            <w:pPr>
              <w:spacing w:after="0"/>
              <w:rPr>
                <w:sz w:val="1"/>
                <w:szCs w:val="1"/>
                <w:color w:val="auto"/>
              </w:rPr>
            </w:pPr>
          </w:p>
        </w:tc>
      </w:tr>
      <w:tr>
        <w:trPr>
          <w:trHeight w:val="170"/>
        </w:trPr>
        <w:tc>
          <w:tcPr>
            <w:tcW w:w="7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Other non cash items</w:t>
            </w:r>
          </w:p>
        </w:tc>
        <w:tc>
          <w:tcPr>
            <w:tcW w:w="98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b w:val="1"/>
                <w:bCs w:val="1"/>
                <w:color w:val="auto"/>
              </w:rPr>
              <w:t>3,589</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(3,511)</w:t>
            </w:r>
          </w:p>
        </w:tc>
        <w:tc>
          <w:tcPr>
            <w:tcW w:w="0" w:type="dxa"/>
            <w:vAlign w:val="bottom"/>
          </w:tcPr>
          <w:p>
            <w:pPr>
              <w:spacing w:after="0"/>
              <w:rPr>
                <w:sz w:val="1"/>
                <w:szCs w:val="1"/>
                <w:color w:val="auto"/>
              </w:rPr>
            </w:pPr>
          </w:p>
        </w:tc>
      </w:tr>
      <w:tr>
        <w:trPr>
          <w:trHeight w:val="160"/>
        </w:trPr>
        <w:tc>
          <w:tcPr>
            <w:tcW w:w="7600" w:type="dxa"/>
            <w:vAlign w:val="bottom"/>
          </w:tcPr>
          <w:p>
            <w:pPr>
              <w:ind w:left="20"/>
              <w:spacing w:after="0"/>
              <w:rPr>
                <w:sz w:val="20"/>
                <w:szCs w:val="20"/>
                <w:color w:val="auto"/>
              </w:rPr>
            </w:pPr>
            <w:r>
              <w:rPr>
                <w:rFonts w:ascii="Arial" w:cs="Arial" w:eastAsia="Arial" w:hAnsi="Arial"/>
                <w:sz w:val="12"/>
                <w:szCs w:val="12"/>
                <w:b w:val="1"/>
                <w:bCs w:val="1"/>
                <w:color w:val="auto"/>
              </w:rPr>
              <w:t>Operating cash inflow before changes in working capital</w:t>
            </w:r>
          </w:p>
        </w:tc>
        <w:tc>
          <w:tcPr>
            <w:tcW w:w="980" w:type="dxa"/>
            <w:vAlign w:val="bottom"/>
          </w:tcPr>
          <w:p>
            <w:pPr>
              <w:spacing w:after="0"/>
              <w:rPr>
                <w:sz w:val="13"/>
                <w:szCs w:val="13"/>
                <w:color w:val="auto"/>
              </w:rPr>
            </w:pPr>
          </w:p>
        </w:tc>
        <w:tc>
          <w:tcPr>
            <w:tcW w:w="1220" w:type="dxa"/>
            <w:vAlign w:val="bottom"/>
          </w:tcPr>
          <w:p>
            <w:pPr>
              <w:jc w:val="right"/>
              <w:ind w:right="18"/>
              <w:spacing w:after="0"/>
              <w:rPr>
                <w:sz w:val="20"/>
                <w:szCs w:val="20"/>
                <w:color w:val="auto"/>
              </w:rPr>
            </w:pPr>
            <w:r>
              <w:rPr>
                <w:rFonts w:ascii="Arial" w:cs="Arial" w:eastAsia="Arial" w:hAnsi="Arial"/>
                <w:sz w:val="12"/>
                <w:szCs w:val="12"/>
                <w:b w:val="1"/>
                <w:bCs w:val="1"/>
                <w:color w:val="auto"/>
              </w:rPr>
              <w:t>882,907</w:t>
            </w:r>
          </w:p>
        </w:tc>
        <w:tc>
          <w:tcPr>
            <w:tcW w:w="1460" w:type="dxa"/>
            <w:vAlign w:val="bottom"/>
          </w:tcPr>
          <w:p>
            <w:pPr>
              <w:jc w:val="right"/>
              <w:spacing w:after="0"/>
              <w:rPr>
                <w:sz w:val="20"/>
                <w:szCs w:val="20"/>
                <w:color w:val="auto"/>
              </w:rPr>
            </w:pPr>
            <w:r>
              <w:rPr>
                <w:rFonts w:ascii="Arial" w:cs="Arial" w:eastAsia="Arial" w:hAnsi="Arial"/>
                <w:sz w:val="12"/>
                <w:szCs w:val="12"/>
                <w:color w:val="auto"/>
              </w:rPr>
              <w:t>522,710</w:t>
            </w:r>
          </w:p>
        </w:tc>
        <w:tc>
          <w:tcPr>
            <w:tcW w:w="0" w:type="dxa"/>
            <w:vAlign w:val="bottom"/>
          </w:tcPr>
          <w:p>
            <w:pPr>
              <w:spacing w:after="0"/>
              <w:rPr>
                <w:sz w:val="1"/>
                <w:szCs w:val="1"/>
                <w:color w:val="auto"/>
              </w:rPr>
            </w:pPr>
          </w:p>
        </w:tc>
      </w:tr>
      <w:tr>
        <w:trPr>
          <w:trHeight w:val="170"/>
        </w:trPr>
        <w:tc>
          <w:tcPr>
            <w:tcW w:w="7600" w:type="dxa"/>
            <w:vAlign w:val="bottom"/>
            <w:shd w:val="clear" w:color="auto" w:fill="CCEEFF"/>
          </w:tcPr>
          <w:p>
            <w:pPr>
              <w:ind w:left="20"/>
              <w:spacing w:after="0"/>
              <w:rPr>
                <w:sz w:val="20"/>
                <w:szCs w:val="20"/>
                <w:color w:val="auto"/>
              </w:rPr>
            </w:pPr>
            <w:r>
              <w:rPr>
                <w:rFonts w:ascii="Arial" w:cs="Arial" w:eastAsia="Arial" w:hAnsi="Arial"/>
                <w:sz w:val="12"/>
                <w:szCs w:val="12"/>
                <w:color w:val="auto"/>
              </w:rPr>
              <w:t>Accounts receivable</w:t>
            </w:r>
          </w:p>
        </w:tc>
        <w:tc>
          <w:tcPr>
            <w:tcW w:w="98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18"/>
              <w:spacing w:after="0"/>
              <w:rPr>
                <w:sz w:val="20"/>
                <w:szCs w:val="20"/>
                <w:color w:val="auto"/>
              </w:rPr>
            </w:pPr>
            <w:r>
              <w:rPr>
                <w:rFonts w:ascii="Arial" w:cs="Arial" w:eastAsia="Arial" w:hAnsi="Arial"/>
                <w:sz w:val="12"/>
                <w:szCs w:val="12"/>
                <w:b w:val="1"/>
                <w:bCs w:val="1"/>
                <w:color w:val="auto"/>
              </w:rPr>
              <w:t>113,513</w:t>
            </w: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(175,040)</w:t>
            </w:r>
          </w:p>
        </w:tc>
        <w:tc>
          <w:tcPr>
            <w:tcW w:w="0" w:type="dxa"/>
            <w:vAlign w:val="bottom"/>
          </w:tcPr>
          <w:p>
            <w:pPr>
              <w:spacing w:after="0"/>
              <w:rPr>
                <w:sz w:val="1"/>
                <w:szCs w:val="1"/>
                <w:color w:val="auto"/>
              </w:rPr>
            </w:pPr>
          </w:p>
        </w:tc>
      </w:tr>
      <w:tr>
        <w:trPr>
          <w:trHeight w:val="170"/>
        </w:trPr>
        <w:tc>
          <w:tcPr>
            <w:tcW w:w="7600" w:type="dxa"/>
            <w:vAlign w:val="bottom"/>
          </w:tcPr>
          <w:p>
            <w:pPr>
              <w:ind w:left="20"/>
              <w:spacing w:after="0"/>
              <w:rPr>
                <w:sz w:val="20"/>
                <w:szCs w:val="20"/>
                <w:color w:val="auto"/>
              </w:rPr>
            </w:pPr>
            <w:r>
              <w:rPr>
                <w:rFonts w:ascii="Arial" w:cs="Arial" w:eastAsia="Arial" w:hAnsi="Arial"/>
                <w:sz w:val="12"/>
                <w:szCs w:val="12"/>
                <w:color w:val="auto"/>
              </w:rPr>
              <w:t>Unbilled revenue</w:t>
            </w:r>
          </w:p>
        </w:tc>
        <w:tc>
          <w:tcPr>
            <w:tcW w:w="9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2"/>
                <w:szCs w:val="12"/>
                <w:b w:val="1"/>
                <w:bCs w:val="1"/>
                <w:color w:val="auto"/>
              </w:rPr>
              <w:t>(17,656)</w:t>
            </w:r>
          </w:p>
        </w:tc>
        <w:tc>
          <w:tcPr>
            <w:tcW w:w="1460" w:type="dxa"/>
            <w:vAlign w:val="bottom"/>
          </w:tcPr>
          <w:p>
            <w:pPr>
              <w:jc w:val="right"/>
              <w:spacing w:after="0"/>
              <w:rPr>
                <w:sz w:val="20"/>
                <w:szCs w:val="20"/>
                <w:color w:val="auto"/>
              </w:rPr>
            </w:pPr>
            <w:r>
              <w:rPr>
                <w:rFonts w:ascii="Arial" w:cs="Arial" w:eastAsia="Arial" w:hAnsi="Arial"/>
                <w:sz w:val="12"/>
                <w:szCs w:val="12"/>
                <w:color w:val="auto"/>
              </w:rPr>
              <w:t>(5,748)</w:t>
            </w:r>
          </w:p>
        </w:tc>
        <w:tc>
          <w:tcPr>
            <w:tcW w:w="0" w:type="dxa"/>
            <w:vAlign w:val="bottom"/>
          </w:tcPr>
          <w:p>
            <w:pPr>
              <w:spacing w:after="0"/>
              <w:rPr>
                <w:sz w:val="1"/>
                <w:szCs w:val="1"/>
                <w:color w:val="auto"/>
              </w:rPr>
            </w:pPr>
          </w:p>
        </w:tc>
      </w:tr>
      <w:tr>
        <w:trPr>
          <w:trHeight w:val="170"/>
        </w:trPr>
        <w:tc>
          <w:tcPr>
            <w:tcW w:w="7600" w:type="dxa"/>
            <w:vAlign w:val="bottom"/>
            <w:shd w:val="clear" w:color="auto" w:fill="CCEEFF"/>
          </w:tcPr>
          <w:p>
            <w:pPr>
              <w:ind w:left="20"/>
              <w:spacing w:after="0"/>
              <w:rPr>
                <w:sz w:val="20"/>
                <w:szCs w:val="20"/>
                <w:color w:val="auto"/>
              </w:rPr>
            </w:pPr>
            <w:r>
              <w:rPr>
                <w:rFonts w:ascii="Arial" w:cs="Arial" w:eastAsia="Arial" w:hAnsi="Arial"/>
                <w:sz w:val="12"/>
                <w:szCs w:val="12"/>
                <w:color w:val="auto"/>
              </w:rPr>
              <w:t>Unearned revenue</w:t>
            </w:r>
          </w:p>
        </w:tc>
        <w:tc>
          <w:tcPr>
            <w:tcW w:w="9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(61,121)</w:t>
            </w: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291,844</w:t>
            </w:r>
          </w:p>
        </w:tc>
        <w:tc>
          <w:tcPr>
            <w:tcW w:w="0" w:type="dxa"/>
            <w:vAlign w:val="bottom"/>
          </w:tcPr>
          <w:p>
            <w:pPr>
              <w:spacing w:after="0"/>
              <w:rPr>
                <w:sz w:val="1"/>
                <w:szCs w:val="1"/>
                <w:color w:val="auto"/>
              </w:rPr>
            </w:pPr>
          </w:p>
        </w:tc>
      </w:tr>
      <w:tr>
        <w:trPr>
          <w:trHeight w:val="170"/>
        </w:trPr>
        <w:tc>
          <w:tcPr>
            <w:tcW w:w="760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Other net assets</w:t>
            </w:r>
          </w:p>
        </w:tc>
        <w:tc>
          <w:tcPr>
            <w:tcW w:w="9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b w:val="1"/>
                <w:bCs w:val="1"/>
                <w:color w:val="auto"/>
              </w:rPr>
              <w:t>105,389</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(2,325)</w:t>
            </w:r>
          </w:p>
        </w:tc>
        <w:tc>
          <w:tcPr>
            <w:tcW w:w="0" w:type="dxa"/>
            <w:vAlign w:val="bottom"/>
          </w:tcPr>
          <w:p>
            <w:pPr>
              <w:spacing w:after="0"/>
              <w:rPr>
                <w:sz w:val="1"/>
                <w:szCs w:val="1"/>
                <w:color w:val="auto"/>
              </w:rPr>
            </w:pPr>
          </w:p>
        </w:tc>
      </w:tr>
      <w:tr>
        <w:trPr>
          <w:trHeight w:val="160"/>
        </w:trPr>
        <w:tc>
          <w:tcPr>
            <w:tcW w:w="76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Cash provided by operations</w:t>
            </w:r>
          </w:p>
        </w:tc>
        <w:tc>
          <w:tcPr>
            <w:tcW w:w="98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18"/>
              <w:spacing w:after="0"/>
              <w:rPr>
                <w:sz w:val="20"/>
                <w:szCs w:val="20"/>
                <w:color w:val="auto"/>
              </w:rPr>
            </w:pPr>
            <w:r>
              <w:rPr>
                <w:rFonts w:ascii="Arial" w:cs="Arial" w:eastAsia="Arial" w:hAnsi="Arial"/>
                <w:sz w:val="12"/>
                <w:szCs w:val="12"/>
                <w:b w:val="1"/>
                <w:bCs w:val="1"/>
                <w:color w:val="auto"/>
              </w:rPr>
              <w:t>1,023,032</w:t>
            </w: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631,441</w:t>
            </w:r>
          </w:p>
        </w:tc>
        <w:tc>
          <w:tcPr>
            <w:tcW w:w="0" w:type="dxa"/>
            <w:vAlign w:val="bottom"/>
          </w:tcPr>
          <w:p>
            <w:pPr>
              <w:spacing w:after="0"/>
              <w:rPr>
                <w:sz w:val="1"/>
                <w:szCs w:val="1"/>
                <w:color w:val="auto"/>
              </w:rPr>
            </w:pPr>
          </w:p>
        </w:tc>
      </w:tr>
      <w:tr>
        <w:trPr>
          <w:trHeight w:val="170"/>
        </w:trPr>
        <w:tc>
          <w:tcPr>
            <w:tcW w:w="7600" w:type="dxa"/>
            <w:vAlign w:val="bottom"/>
          </w:tcPr>
          <w:p>
            <w:pPr>
              <w:ind w:left="20"/>
              <w:spacing w:after="0"/>
              <w:rPr>
                <w:sz w:val="20"/>
                <w:szCs w:val="20"/>
                <w:color w:val="auto"/>
              </w:rPr>
            </w:pPr>
            <w:r>
              <w:rPr>
                <w:rFonts w:ascii="Arial" w:cs="Arial" w:eastAsia="Arial" w:hAnsi="Arial"/>
                <w:sz w:val="12"/>
                <w:szCs w:val="12"/>
                <w:color w:val="auto"/>
              </w:rPr>
              <w:t>Income taxes paid</w:t>
            </w:r>
          </w:p>
        </w:tc>
        <w:tc>
          <w:tcPr>
            <w:tcW w:w="9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2"/>
                <w:szCs w:val="12"/>
                <w:b w:val="1"/>
                <w:bCs w:val="1"/>
                <w:color w:val="auto"/>
              </w:rPr>
              <w:t>(55,105)</w:t>
            </w:r>
          </w:p>
        </w:tc>
        <w:tc>
          <w:tcPr>
            <w:tcW w:w="1460" w:type="dxa"/>
            <w:vAlign w:val="bottom"/>
          </w:tcPr>
          <w:p>
            <w:pPr>
              <w:jc w:val="right"/>
              <w:spacing w:after="0"/>
              <w:rPr>
                <w:sz w:val="20"/>
                <w:szCs w:val="20"/>
                <w:color w:val="auto"/>
              </w:rPr>
            </w:pPr>
            <w:r>
              <w:rPr>
                <w:rFonts w:ascii="Arial" w:cs="Arial" w:eastAsia="Arial" w:hAnsi="Arial"/>
                <w:sz w:val="12"/>
                <w:szCs w:val="12"/>
                <w:color w:val="auto"/>
              </w:rPr>
              <w:t>(27,604)</w:t>
            </w:r>
          </w:p>
        </w:tc>
        <w:tc>
          <w:tcPr>
            <w:tcW w:w="0" w:type="dxa"/>
            <w:vAlign w:val="bottom"/>
          </w:tcPr>
          <w:p>
            <w:pPr>
              <w:spacing w:after="0"/>
              <w:rPr>
                <w:sz w:val="1"/>
                <w:szCs w:val="1"/>
                <w:color w:val="auto"/>
              </w:rPr>
            </w:pPr>
          </w:p>
        </w:tc>
      </w:tr>
      <w:tr>
        <w:trPr>
          <w:trHeight w:val="170"/>
        </w:trPr>
        <w:tc>
          <w:tcPr>
            <w:tcW w:w="7600" w:type="dxa"/>
            <w:vAlign w:val="bottom"/>
            <w:shd w:val="clear" w:color="auto" w:fill="CCEEFF"/>
          </w:tcPr>
          <w:p>
            <w:pPr>
              <w:ind w:left="20"/>
              <w:spacing w:after="0"/>
              <w:rPr>
                <w:sz w:val="20"/>
                <w:szCs w:val="20"/>
                <w:color w:val="auto"/>
              </w:rPr>
            </w:pPr>
            <w:r>
              <w:rPr>
                <w:rFonts w:ascii="Arial" w:cs="Arial" w:eastAsia="Arial" w:hAnsi="Arial"/>
                <w:sz w:val="12"/>
                <w:szCs w:val="12"/>
                <w:color w:val="auto"/>
              </w:rPr>
              <w:t>Employer contribution defined benefit pension scheme</w:t>
            </w:r>
          </w:p>
        </w:tc>
        <w:tc>
          <w:tcPr>
            <w:tcW w:w="980" w:type="dxa"/>
            <w:vAlign w:val="bottom"/>
            <w:shd w:val="clear" w:color="auto" w:fill="CCEEFF"/>
          </w:tcPr>
          <w:p>
            <w:pPr>
              <w:jc w:val="right"/>
              <w:ind w:right="258"/>
              <w:spacing w:after="0"/>
              <w:rPr>
                <w:sz w:val="20"/>
                <w:szCs w:val="20"/>
                <w:color w:val="auto"/>
              </w:rPr>
            </w:pPr>
            <w:r>
              <w:rPr>
                <w:rFonts w:ascii="Arial" w:cs="Arial" w:eastAsia="Arial" w:hAnsi="Arial"/>
                <w:sz w:val="12"/>
                <w:szCs w:val="12"/>
                <w:i w:val="1"/>
                <w:iCs w:val="1"/>
                <w:color w:val="auto"/>
              </w:rPr>
              <w:t>10</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(354)</w:t>
            </w: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(214)</w:t>
            </w:r>
          </w:p>
        </w:tc>
        <w:tc>
          <w:tcPr>
            <w:tcW w:w="0" w:type="dxa"/>
            <w:vAlign w:val="bottom"/>
          </w:tcPr>
          <w:p>
            <w:pPr>
              <w:spacing w:after="0"/>
              <w:rPr>
                <w:sz w:val="1"/>
                <w:szCs w:val="1"/>
                <w:color w:val="auto"/>
              </w:rPr>
            </w:pPr>
          </w:p>
        </w:tc>
      </w:tr>
      <w:tr>
        <w:trPr>
          <w:trHeight w:val="170"/>
        </w:trPr>
        <w:tc>
          <w:tcPr>
            <w:tcW w:w="7600" w:type="dxa"/>
            <w:vAlign w:val="bottom"/>
          </w:tcPr>
          <w:p>
            <w:pPr>
              <w:ind w:left="20"/>
              <w:spacing w:after="0"/>
              <w:rPr>
                <w:sz w:val="20"/>
                <w:szCs w:val="20"/>
                <w:color w:val="auto"/>
              </w:rPr>
            </w:pPr>
            <w:r>
              <w:rPr>
                <w:rFonts w:ascii="Arial" w:cs="Arial" w:eastAsia="Arial" w:hAnsi="Arial"/>
                <w:sz w:val="12"/>
                <w:szCs w:val="12"/>
                <w:color w:val="auto"/>
              </w:rPr>
              <w:t>Interest received</w:t>
            </w:r>
          </w:p>
        </w:tc>
        <w:tc>
          <w:tcPr>
            <w:tcW w:w="980" w:type="dxa"/>
            <w:vAlign w:val="bottom"/>
          </w:tcPr>
          <w:p>
            <w:pPr>
              <w:spacing w:after="0"/>
              <w:rPr>
                <w:sz w:val="14"/>
                <w:szCs w:val="14"/>
                <w:color w:val="auto"/>
              </w:rPr>
            </w:pPr>
          </w:p>
        </w:tc>
        <w:tc>
          <w:tcPr>
            <w:tcW w:w="1220" w:type="dxa"/>
            <w:vAlign w:val="bottom"/>
          </w:tcPr>
          <w:p>
            <w:pPr>
              <w:jc w:val="right"/>
              <w:ind w:right="18"/>
              <w:spacing w:after="0"/>
              <w:rPr>
                <w:sz w:val="20"/>
                <w:szCs w:val="20"/>
                <w:color w:val="auto"/>
              </w:rPr>
            </w:pPr>
            <w:r>
              <w:rPr>
                <w:rFonts w:ascii="Arial" w:cs="Arial" w:eastAsia="Arial" w:hAnsi="Arial"/>
                <w:sz w:val="12"/>
                <w:szCs w:val="12"/>
                <w:b w:val="1"/>
                <w:bCs w:val="1"/>
                <w:color w:val="auto"/>
              </w:rPr>
              <w:t>574</w:t>
            </w:r>
          </w:p>
        </w:tc>
        <w:tc>
          <w:tcPr>
            <w:tcW w:w="1460" w:type="dxa"/>
            <w:vAlign w:val="bottom"/>
          </w:tcPr>
          <w:p>
            <w:pPr>
              <w:jc w:val="right"/>
              <w:spacing w:after="0"/>
              <w:rPr>
                <w:sz w:val="20"/>
                <w:szCs w:val="20"/>
                <w:color w:val="auto"/>
              </w:rPr>
            </w:pPr>
            <w:r>
              <w:rPr>
                <w:rFonts w:ascii="Arial" w:cs="Arial" w:eastAsia="Arial" w:hAnsi="Arial"/>
                <w:sz w:val="12"/>
                <w:szCs w:val="12"/>
                <w:color w:val="auto"/>
              </w:rPr>
              <w:t>2,495</w:t>
            </w:r>
          </w:p>
        </w:tc>
        <w:tc>
          <w:tcPr>
            <w:tcW w:w="0" w:type="dxa"/>
            <w:vAlign w:val="bottom"/>
          </w:tcPr>
          <w:p>
            <w:pPr>
              <w:spacing w:after="0"/>
              <w:rPr>
                <w:sz w:val="1"/>
                <w:szCs w:val="1"/>
                <w:color w:val="auto"/>
              </w:rPr>
            </w:pPr>
          </w:p>
        </w:tc>
      </w:tr>
      <w:tr>
        <w:trPr>
          <w:trHeight w:val="170"/>
        </w:trPr>
        <w:tc>
          <w:tcPr>
            <w:tcW w:w="7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Interest paid</w:t>
            </w:r>
          </w:p>
        </w:tc>
        <w:tc>
          <w:tcPr>
            <w:tcW w:w="98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(91,202)</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(11,394)</w:t>
            </w:r>
          </w:p>
        </w:tc>
        <w:tc>
          <w:tcPr>
            <w:tcW w:w="0" w:type="dxa"/>
            <w:vAlign w:val="bottom"/>
          </w:tcPr>
          <w:p>
            <w:pPr>
              <w:spacing w:after="0"/>
              <w:rPr>
                <w:sz w:val="1"/>
                <w:szCs w:val="1"/>
                <w:color w:val="auto"/>
              </w:rPr>
            </w:pPr>
          </w:p>
        </w:tc>
      </w:tr>
      <w:tr>
        <w:trPr>
          <w:trHeight w:val="160"/>
        </w:trPr>
        <w:tc>
          <w:tcPr>
            <w:tcW w:w="760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Net cash inflow from operating activities</w:t>
            </w:r>
          </w:p>
        </w:tc>
        <w:tc>
          <w:tcPr>
            <w:tcW w:w="9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b w:val="1"/>
                <w:bCs w:val="1"/>
                <w:color w:val="auto"/>
              </w:rPr>
              <w:t>876,945</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594,724</w:t>
            </w:r>
          </w:p>
        </w:tc>
        <w:tc>
          <w:tcPr>
            <w:tcW w:w="0" w:type="dxa"/>
            <w:vAlign w:val="bottom"/>
          </w:tcPr>
          <w:p>
            <w:pPr>
              <w:spacing w:after="0"/>
              <w:rPr>
                <w:sz w:val="1"/>
                <w:szCs w:val="1"/>
                <w:color w:val="auto"/>
              </w:rPr>
            </w:pPr>
          </w:p>
        </w:tc>
      </w:tr>
      <w:tr>
        <w:trPr>
          <w:trHeight w:val="160"/>
        </w:trPr>
        <w:tc>
          <w:tcPr>
            <w:tcW w:w="76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Investing activities</w:t>
            </w:r>
          </w:p>
        </w:tc>
        <w:tc>
          <w:tcPr>
            <w:tcW w:w="9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7600" w:type="dxa"/>
            <w:vAlign w:val="bottom"/>
          </w:tcPr>
          <w:p>
            <w:pPr>
              <w:ind w:left="20"/>
              <w:spacing w:after="0"/>
              <w:rPr>
                <w:sz w:val="20"/>
                <w:szCs w:val="20"/>
                <w:color w:val="auto"/>
              </w:rPr>
            </w:pPr>
            <w:r>
              <w:rPr>
                <w:rFonts w:ascii="Arial" w:cs="Arial" w:eastAsia="Arial" w:hAnsi="Arial"/>
                <w:sz w:val="12"/>
                <w:szCs w:val="12"/>
                <w:color w:val="auto"/>
              </w:rPr>
              <w:t>Purchase of property, plant and equipment</w:t>
            </w:r>
          </w:p>
        </w:tc>
        <w:tc>
          <w:tcPr>
            <w:tcW w:w="9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2"/>
                <w:szCs w:val="12"/>
                <w:b w:val="1"/>
                <w:bCs w:val="1"/>
                <w:color w:val="auto"/>
              </w:rPr>
              <w:t>(29,126)</w:t>
            </w:r>
          </w:p>
        </w:tc>
        <w:tc>
          <w:tcPr>
            <w:tcW w:w="1460" w:type="dxa"/>
            <w:vAlign w:val="bottom"/>
          </w:tcPr>
          <w:p>
            <w:pPr>
              <w:jc w:val="right"/>
              <w:spacing w:after="0"/>
              <w:rPr>
                <w:sz w:val="20"/>
                <w:szCs w:val="20"/>
                <w:color w:val="auto"/>
              </w:rPr>
            </w:pPr>
            <w:r>
              <w:rPr>
                <w:rFonts w:ascii="Arial" w:cs="Arial" w:eastAsia="Arial" w:hAnsi="Arial"/>
                <w:sz w:val="12"/>
                <w:szCs w:val="12"/>
                <w:color w:val="auto"/>
              </w:rPr>
              <w:t>(19,308)</w:t>
            </w:r>
          </w:p>
        </w:tc>
        <w:tc>
          <w:tcPr>
            <w:tcW w:w="0" w:type="dxa"/>
            <w:vAlign w:val="bottom"/>
          </w:tcPr>
          <w:p>
            <w:pPr>
              <w:spacing w:after="0"/>
              <w:rPr>
                <w:sz w:val="1"/>
                <w:szCs w:val="1"/>
                <w:color w:val="auto"/>
              </w:rPr>
            </w:pPr>
          </w:p>
        </w:tc>
      </w:tr>
      <w:tr>
        <w:trPr>
          <w:trHeight w:val="170"/>
        </w:trPr>
        <w:tc>
          <w:tcPr>
            <w:tcW w:w="7600" w:type="dxa"/>
            <w:vAlign w:val="bottom"/>
            <w:shd w:val="clear" w:color="auto" w:fill="CCEEFF"/>
          </w:tcPr>
          <w:p>
            <w:pPr>
              <w:ind w:left="20"/>
              <w:spacing w:after="0"/>
              <w:rPr>
                <w:sz w:val="20"/>
                <w:szCs w:val="20"/>
                <w:color w:val="auto"/>
              </w:rPr>
            </w:pPr>
            <w:r>
              <w:rPr>
                <w:rFonts w:ascii="Arial" w:cs="Arial" w:eastAsia="Arial" w:hAnsi="Arial"/>
                <w:sz w:val="12"/>
                <w:szCs w:val="12"/>
                <w:color w:val="auto"/>
              </w:rPr>
              <w:t>Purchase of intangible assets</w:t>
            </w:r>
          </w:p>
        </w:tc>
        <w:tc>
          <w:tcPr>
            <w:tcW w:w="9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(64,624)</w:t>
            </w: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(31,747)</w:t>
            </w:r>
          </w:p>
        </w:tc>
        <w:tc>
          <w:tcPr>
            <w:tcW w:w="0" w:type="dxa"/>
            <w:vAlign w:val="bottom"/>
          </w:tcPr>
          <w:p>
            <w:pPr>
              <w:spacing w:after="0"/>
              <w:rPr>
                <w:sz w:val="1"/>
                <w:szCs w:val="1"/>
                <w:color w:val="auto"/>
              </w:rPr>
            </w:pPr>
          </w:p>
        </w:tc>
      </w:tr>
      <w:tr>
        <w:trPr>
          <w:trHeight w:val="170"/>
        </w:trPr>
        <w:tc>
          <w:tcPr>
            <w:tcW w:w="7600" w:type="dxa"/>
            <w:vAlign w:val="bottom"/>
          </w:tcPr>
          <w:p>
            <w:pPr>
              <w:ind w:left="20"/>
              <w:spacing w:after="0"/>
              <w:rPr>
                <w:sz w:val="20"/>
                <w:szCs w:val="20"/>
                <w:color w:val="auto"/>
              </w:rPr>
            </w:pPr>
            <w:r>
              <w:rPr>
                <w:rFonts w:ascii="Arial" w:cs="Arial" w:eastAsia="Arial" w:hAnsi="Arial"/>
                <w:sz w:val="12"/>
                <w:szCs w:val="12"/>
                <w:color w:val="auto"/>
              </w:rPr>
              <w:t>Purchase of subsidiary undertakings</w:t>
            </w:r>
          </w:p>
        </w:tc>
        <w:tc>
          <w:tcPr>
            <w:tcW w:w="9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2"/>
                <w:szCs w:val="12"/>
                <w:b w:val="1"/>
                <w:bCs w:val="1"/>
                <w:color w:val="auto"/>
              </w:rPr>
              <w:t>(5,914,475)</w:t>
            </w:r>
          </w:p>
        </w:tc>
        <w:tc>
          <w:tcPr>
            <w:tcW w:w="1460" w:type="dxa"/>
            <w:vAlign w:val="bottom"/>
          </w:tcPr>
          <w:p>
            <w:pPr>
              <w:jc w:val="right"/>
              <w:spacing w:after="0"/>
              <w:rPr>
                <w:sz w:val="20"/>
                <w:szCs w:val="20"/>
                <w:color w:val="auto"/>
              </w:rPr>
            </w:pPr>
            <w:r>
              <w:rPr>
                <w:rFonts w:ascii="Arial" w:cs="Arial" w:eastAsia="Arial" w:hAnsi="Arial"/>
                <w:sz w:val="12"/>
                <w:szCs w:val="12"/>
                <w:color w:val="auto"/>
              </w:rPr>
              <w:t>(37,761)</w:t>
            </w:r>
          </w:p>
        </w:tc>
        <w:tc>
          <w:tcPr>
            <w:tcW w:w="0" w:type="dxa"/>
            <w:vAlign w:val="bottom"/>
          </w:tcPr>
          <w:p>
            <w:pPr>
              <w:spacing w:after="0"/>
              <w:rPr>
                <w:sz w:val="1"/>
                <w:szCs w:val="1"/>
                <w:color w:val="auto"/>
              </w:rPr>
            </w:pPr>
          </w:p>
        </w:tc>
      </w:tr>
      <w:tr>
        <w:trPr>
          <w:trHeight w:val="170"/>
        </w:trPr>
        <w:tc>
          <w:tcPr>
            <w:tcW w:w="7600" w:type="dxa"/>
            <w:vAlign w:val="bottom"/>
            <w:shd w:val="clear" w:color="auto" w:fill="CCEEFF"/>
          </w:tcPr>
          <w:p>
            <w:pPr>
              <w:ind w:left="20"/>
              <w:spacing w:after="0"/>
              <w:rPr>
                <w:sz w:val="20"/>
                <w:szCs w:val="20"/>
                <w:color w:val="auto"/>
              </w:rPr>
            </w:pPr>
            <w:r>
              <w:rPr>
                <w:rFonts w:ascii="Arial" w:cs="Arial" w:eastAsia="Arial" w:hAnsi="Arial"/>
                <w:sz w:val="12"/>
                <w:szCs w:val="12"/>
                <w:color w:val="auto"/>
              </w:rPr>
              <w:t>Loan to equity method investment</w:t>
            </w:r>
          </w:p>
        </w:tc>
        <w:tc>
          <w:tcPr>
            <w:tcW w:w="9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(10,000)</w:t>
            </w: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0"/>
        </w:trPr>
        <w:tc>
          <w:tcPr>
            <w:tcW w:w="7600" w:type="dxa"/>
            <w:vAlign w:val="bottom"/>
          </w:tcPr>
          <w:p>
            <w:pPr>
              <w:ind w:left="20"/>
              <w:spacing w:after="0"/>
              <w:rPr>
                <w:sz w:val="20"/>
                <w:szCs w:val="20"/>
                <w:color w:val="auto"/>
              </w:rPr>
            </w:pPr>
            <w:r>
              <w:rPr>
                <w:rFonts w:ascii="Arial" w:cs="Arial" w:eastAsia="Arial" w:hAnsi="Arial"/>
                <w:sz w:val="12"/>
                <w:szCs w:val="12"/>
                <w:color w:val="auto"/>
              </w:rPr>
              <w:t>Investment in equity method investments</w:t>
            </w:r>
          </w:p>
        </w:tc>
        <w:tc>
          <w:tcPr>
            <w:tcW w:w="9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2"/>
                <w:szCs w:val="12"/>
                <w:b w:val="1"/>
                <w:bCs w:val="1"/>
                <w:color w:val="auto"/>
              </w:rPr>
              <w:t>(2,450)</w:t>
            </w:r>
          </w:p>
        </w:tc>
        <w:tc>
          <w:tcPr>
            <w:tcW w:w="1460" w:type="dxa"/>
            <w:vAlign w:val="bottom"/>
          </w:tcPr>
          <w:p>
            <w:pPr>
              <w:jc w:val="right"/>
              <w:spacing w:after="0"/>
              <w:rPr>
                <w:sz w:val="20"/>
                <w:szCs w:val="20"/>
                <w:color w:val="auto"/>
              </w:rPr>
            </w:pPr>
            <w:r>
              <w:rPr>
                <w:rFonts w:ascii="Arial" w:cs="Arial" w:eastAsia="Arial" w:hAnsi="Arial"/>
                <w:sz w:val="12"/>
                <w:szCs w:val="12"/>
                <w:color w:val="auto"/>
              </w:rPr>
              <w:t>(2,450)</w:t>
            </w:r>
          </w:p>
        </w:tc>
        <w:tc>
          <w:tcPr>
            <w:tcW w:w="0" w:type="dxa"/>
            <w:vAlign w:val="bottom"/>
          </w:tcPr>
          <w:p>
            <w:pPr>
              <w:spacing w:after="0"/>
              <w:rPr>
                <w:sz w:val="1"/>
                <w:szCs w:val="1"/>
                <w:color w:val="auto"/>
              </w:rPr>
            </w:pPr>
          </w:p>
        </w:tc>
      </w:tr>
      <w:tr>
        <w:trPr>
          <w:trHeight w:val="170"/>
        </w:trPr>
        <w:tc>
          <w:tcPr>
            <w:tcW w:w="7600" w:type="dxa"/>
            <w:vAlign w:val="bottom"/>
            <w:shd w:val="clear" w:color="auto" w:fill="CCEEFF"/>
          </w:tcPr>
          <w:p>
            <w:pPr>
              <w:ind w:left="20"/>
              <w:spacing w:after="0"/>
              <w:rPr>
                <w:sz w:val="20"/>
                <w:szCs w:val="20"/>
                <w:color w:val="auto"/>
              </w:rPr>
            </w:pPr>
            <w:r>
              <w:rPr>
                <w:rFonts w:ascii="Arial" w:cs="Arial" w:eastAsia="Arial" w:hAnsi="Arial"/>
                <w:sz w:val="12"/>
                <w:szCs w:val="12"/>
                <w:color w:val="auto"/>
              </w:rPr>
              <w:t>Sale/maturity of current asset investments</w:t>
            </w:r>
          </w:p>
        </w:tc>
        <w:tc>
          <w:tcPr>
            <w:tcW w:w="98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18"/>
              <w:spacing w:after="0"/>
              <w:rPr>
                <w:sz w:val="20"/>
                <w:szCs w:val="20"/>
                <w:color w:val="auto"/>
              </w:rPr>
            </w:pPr>
            <w:r>
              <w:rPr>
                <w:rFonts w:ascii="Arial" w:cs="Arial" w:eastAsia="Arial" w:hAnsi="Arial"/>
                <w:sz w:val="12"/>
                <w:szCs w:val="12"/>
                <w:b w:val="1"/>
                <w:bCs w:val="1"/>
                <w:color w:val="auto"/>
              </w:rPr>
              <w:t>497</w:t>
            </w: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47,902</w:t>
            </w:r>
          </w:p>
        </w:tc>
        <w:tc>
          <w:tcPr>
            <w:tcW w:w="0" w:type="dxa"/>
            <w:vAlign w:val="bottom"/>
          </w:tcPr>
          <w:p>
            <w:pPr>
              <w:spacing w:after="0"/>
              <w:rPr>
                <w:sz w:val="1"/>
                <w:szCs w:val="1"/>
                <w:color w:val="auto"/>
              </w:rPr>
            </w:pPr>
          </w:p>
        </w:tc>
      </w:tr>
      <w:tr>
        <w:trPr>
          <w:trHeight w:val="170"/>
        </w:trPr>
        <w:tc>
          <w:tcPr>
            <w:tcW w:w="7600" w:type="dxa"/>
            <w:vAlign w:val="bottom"/>
          </w:tcPr>
          <w:p>
            <w:pPr>
              <w:ind w:left="20"/>
              <w:spacing w:after="0"/>
              <w:rPr>
                <w:sz w:val="20"/>
                <w:szCs w:val="20"/>
                <w:color w:val="auto"/>
              </w:rPr>
            </w:pPr>
            <w:r>
              <w:rPr>
                <w:rFonts w:ascii="Arial" w:cs="Arial" w:eastAsia="Arial" w:hAnsi="Arial"/>
                <w:sz w:val="12"/>
                <w:szCs w:val="12"/>
                <w:color w:val="auto"/>
              </w:rPr>
              <w:t>Purchase of current asset investments</w:t>
            </w:r>
          </w:p>
        </w:tc>
        <w:tc>
          <w:tcPr>
            <w:tcW w:w="9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2"/>
                <w:szCs w:val="12"/>
                <w:b w:val="1"/>
                <w:bCs w:val="1"/>
                <w:color w:val="auto"/>
              </w:rPr>
              <w:t>(480)</w:t>
            </w:r>
          </w:p>
        </w:tc>
        <w:tc>
          <w:tcPr>
            <w:tcW w:w="14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0"/>
        </w:trPr>
        <w:tc>
          <w:tcPr>
            <w:tcW w:w="7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Purchase of financial assets</w:t>
            </w:r>
          </w:p>
        </w:tc>
        <w:tc>
          <w:tcPr>
            <w:tcW w:w="98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(3,577)</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(3,212)</w:t>
            </w:r>
          </w:p>
        </w:tc>
        <w:tc>
          <w:tcPr>
            <w:tcW w:w="0" w:type="dxa"/>
            <w:vAlign w:val="bottom"/>
          </w:tcPr>
          <w:p>
            <w:pPr>
              <w:spacing w:after="0"/>
              <w:rPr>
                <w:sz w:val="1"/>
                <w:szCs w:val="1"/>
                <w:color w:val="auto"/>
              </w:rPr>
            </w:pPr>
          </w:p>
        </w:tc>
      </w:tr>
      <w:tr>
        <w:trPr>
          <w:trHeight w:val="160"/>
        </w:trPr>
        <w:tc>
          <w:tcPr>
            <w:tcW w:w="760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Net cash used in investing activities</w:t>
            </w:r>
          </w:p>
        </w:tc>
        <w:tc>
          <w:tcPr>
            <w:tcW w:w="9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(6,024,235)</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(46,576)</w:t>
            </w:r>
          </w:p>
        </w:tc>
        <w:tc>
          <w:tcPr>
            <w:tcW w:w="0" w:type="dxa"/>
            <w:vAlign w:val="bottom"/>
          </w:tcPr>
          <w:p>
            <w:pPr>
              <w:spacing w:after="0"/>
              <w:rPr>
                <w:sz w:val="1"/>
                <w:szCs w:val="1"/>
                <w:color w:val="auto"/>
              </w:rPr>
            </w:pPr>
          </w:p>
        </w:tc>
      </w:tr>
      <w:tr>
        <w:trPr>
          <w:trHeight w:val="160"/>
        </w:trPr>
        <w:tc>
          <w:tcPr>
            <w:tcW w:w="76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Financing activities</w:t>
            </w:r>
          </w:p>
        </w:tc>
        <w:tc>
          <w:tcPr>
            <w:tcW w:w="9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7600" w:type="dxa"/>
            <w:vAlign w:val="bottom"/>
          </w:tcPr>
          <w:p>
            <w:pPr>
              <w:ind w:left="20"/>
              <w:spacing w:after="0"/>
              <w:rPr>
                <w:sz w:val="20"/>
                <w:szCs w:val="20"/>
                <w:color w:val="auto"/>
              </w:rPr>
            </w:pPr>
            <w:r>
              <w:rPr>
                <w:rFonts w:ascii="Arial" w:cs="Arial" w:eastAsia="Arial" w:hAnsi="Arial"/>
                <w:sz w:val="12"/>
                <w:szCs w:val="12"/>
                <w:color w:val="auto"/>
              </w:rPr>
              <w:t>Financing costs</w:t>
            </w:r>
          </w:p>
        </w:tc>
        <w:tc>
          <w:tcPr>
            <w:tcW w:w="9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2"/>
                <w:szCs w:val="12"/>
                <w:b w:val="1"/>
                <w:bCs w:val="1"/>
                <w:color w:val="auto"/>
              </w:rPr>
              <w:t>(31,056)</w:t>
            </w:r>
          </w:p>
        </w:tc>
        <w:tc>
          <w:tcPr>
            <w:tcW w:w="1460" w:type="dxa"/>
            <w:vAlign w:val="bottom"/>
          </w:tcPr>
          <w:p>
            <w:pPr>
              <w:jc w:val="right"/>
              <w:spacing w:after="0"/>
              <w:rPr>
                <w:sz w:val="20"/>
                <w:szCs w:val="20"/>
                <w:color w:val="auto"/>
              </w:rPr>
            </w:pPr>
            <w:r>
              <w:rPr>
                <w:rFonts w:ascii="Arial" w:cs="Arial" w:eastAsia="Arial" w:hAnsi="Arial"/>
                <w:sz w:val="12"/>
                <w:szCs w:val="12"/>
                <w:color w:val="auto"/>
              </w:rPr>
              <w:t>(1,554)</w:t>
            </w:r>
          </w:p>
        </w:tc>
        <w:tc>
          <w:tcPr>
            <w:tcW w:w="0" w:type="dxa"/>
            <w:vAlign w:val="bottom"/>
          </w:tcPr>
          <w:p>
            <w:pPr>
              <w:spacing w:after="0"/>
              <w:rPr>
                <w:sz w:val="1"/>
                <w:szCs w:val="1"/>
                <w:color w:val="auto"/>
              </w:rPr>
            </w:pPr>
          </w:p>
        </w:tc>
      </w:tr>
      <w:tr>
        <w:trPr>
          <w:trHeight w:val="170"/>
        </w:trPr>
        <w:tc>
          <w:tcPr>
            <w:tcW w:w="7600" w:type="dxa"/>
            <w:vAlign w:val="bottom"/>
            <w:shd w:val="clear" w:color="auto" w:fill="CCEEFF"/>
          </w:tcPr>
          <w:p>
            <w:pPr>
              <w:ind w:left="20"/>
              <w:spacing w:after="0"/>
              <w:rPr>
                <w:sz w:val="20"/>
                <w:szCs w:val="20"/>
                <w:color w:val="auto"/>
              </w:rPr>
            </w:pPr>
            <w:r>
              <w:rPr>
                <w:rFonts w:ascii="Arial" w:cs="Arial" w:eastAsia="Arial" w:hAnsi="Arial"/>
                <w:sz w:val="12"/>
                <w:szCs w:val="12"/>
                <w:color w:val="auto"/>
              </w:rPr>
              <w:t>Drawdown of bank credit lines and loan facilities</w:t>
            </w:r>
          </w:p>
        </w:tc>
        <w:tc>
          <w:tcPr>
            <w:tcW w:w="98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18"/>
              <w:spacing w:after="0"/>
              <w:rPr>
                <w:sz w:val="20"/>
                <w:szCs w:val="20"/>
                <w:color w:val="auto"/>
              </w:rPr>
            </w:pPr>
            <w:r>
              <w:rPr>
                <w:rFonts w:ascii="Arial" w:cs="Arial" w:eastAsia="Arial" w:hAnsi="Arial"/>
                <w:sz w:val="12"/>
                <w:szCs w:val="12"/>
                <w:b w:val="1"/>
                <w:bCs w:val="1"/>
                <w:color w:val="auto"/>
              </w:rPr>
              <w:t>5,905,100</w:t>
            </w: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350,000</w:t>
            </w:r>
          </w:p>
        </w:tc>
        <w:tc>
          <w:tcPr>
            <w:tcW w:w="0" w:type="dxa"/>
            <w:vAlign w:val="bottom"/>
          </w:tcPr>
          <w:p>
            <w:pPr>
              <w:spacing w:after="0"/>
              <w:rPr>
                <w:sz w:val="1"/>
                <w:szCs w:val="1"/>
                <w:color w:val="auto"/>
              </w:rPr>
            </w:pPr>
          </w:p>
        </w:tc>
      </w:tr>
      <w:tr>
        <w:trPr>
          <w:trHeight w:val="170"/>
        </w:trPr>
        <w:tc>
          <w:tcPr>
            <w:tcW w:w="7600" w:type="dxa"/>
            <w:vAlign w:val="bottom"/>
          </w:tcPr>
          <w:p>
            <w:pPr>
              <w:ind w:left="20"/>
              <w:spacing w:after="0"/>
              <w:rPr>
                <w:sz w:val="20"/>
                <w:szCs w:val="20"/>
                <w:color w:val="auto"/>
              </w:rPr>
            </w:pPr>
            <w:r>
              <w:rPr>
                <w:rFonts w:ascii="Arial" w:cs="Arial" w:eastAsia="Arial" w:hAnsi="Arial"/>
                <w:sz w:val="12"/>
                <w:szCs w:val="12"/>
                <w:color w:val="auto"/>
              </w:rPr>
              <w:t>Repayment of bank credit lines and loan facilities</w:t>
            </w:r>
          </w:p>
        </w:tc>
        <w:tc>
          <w:tcPr>
            <w:tcW w:w="9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2"/>
                <w:szCs w:val="12"/>
                <w:b w:val="1"/>
                <w:bCs w:val="1"/>
                <w:color w:val="auto"/>
              </w:rPr>
              <w:t>(877,780)</w:t>
            </w:r>
          </w:p>
        </w:tc>
        <w:tc>
          <w:tcPr>
            <w:tcW w:w="1460" w:type="dxa"/>
            <w:vAlign w:val="bottom"/>
          </w:tcPr>
          <w:p>
            <w:pPr>
              <w:jc w:val="right"/>
              <w:spacing w:after="0"/>
              <w:rPr>
                <w:sz w:val="20"/>
                <w:szCs w:val="20"/>
                <w:color w:val="auto"/>
              </w:rPr>
            </w:pPr>
            <w:r>
              <w:rPr>
                <w:rFonts w:ascii="Arial" w:cs="Arial" w:eastAsia="Arial" w:hAnsi="Arial"/>
                <w:sz w:val="12"/>
                <w:szCs w:val="12"/>
                <w:color w:val="auto"/>
              </w:rPr>
              <w:t>(350,000)</w:t>
            </w:r>
          </w:p>
        </w:tc>
        <w:tc>
          <w:tcPr>
            <w:tcW w:w="0" w:type="dxa"/>
            <w:vAlign w:val="bottom"/>
          </w:tcPr>
          <w:p>
            <w:pPr>
              <w:spacing w:after="0"/>
              <w:rPr>
                <w:sz w:val="1"/>
                <w:szCs w:val="1"/>
                <w:color w:val="auto"/>
              </w:rPr>
            </w:pPr>
          </w:p>
        </w:tc>
      </w:tr>
      <w:tr>
        <w:trPr>
          <w:trHeight w:val="170"/>
        </w:trPr>
        <w:tc>
          <w:tcPr>
            <w:tcW w:w="7600" w:type="dxa"/>
            <w:vAlign w:val="bottom"/>
            <w:shd w:val="clear" w:color="auto" w:fill="CCEEFF"/>
          </w:tcPr>
          <w:p>
            <w:pPr>
              <w:ind w:left="20"/>
              <w:spacing w:after="0"/>
              <w:rPr>
                <w:sz w:val="20"/>
                <w:szCs w:val="20"/>
                <w:color w:val="auto"/>
              </w:rPr>
            </w:pPr>
            <w:r>
              <w:rPr>
                <w:rFonts w:ascii="Arial" w:cs="Arial" w:eastAsia="Arial" w:hAnsi="Arial"/>
                <w:sz w:val="12"/>
                <w:szCs w:val="12"/>
                <w:color w:val="auto"/>
              </w:rPr>
              <w:t>Purchase of noncontrolling interest</w:t>
            </w:r>
          </w:p>
        </w:tc>
        <w:tc>
          <w:tcPr>
            <w:tcW w:w="98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18"/>
              <w:spacing w:after="0"/>
              <w:rPr>
                <w:sz w:val="20"/>
                <w:szCs w:val="20"/>
                <w:color w:val="auto"/>
              </w:rPr>
            </w:pPr>
            <w:r>
              <w:rPr>
                <w:rFonts w:ascii="Arial" w:cs="Arial" w:eastAsia="Arial" w:hAnsi="Arial"/>
                <w:sz w:val="12"/>
                <w:szCs w:val="12"/>
                <w:b w:val="1"/>
                <w:bCs w:val="1"/>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(43,923)</w:t>
            </w:r>
          </w:p>
        </w:tc>
        <w:tc>
          <w:tcPr>
            <w:tcW w:w="0" w:type="dxa"/>
            <w:vAlign w:val="bottom"/>
          </w:tcPr>
          <w:p>
            <w:pPr>
              <w:spacing w:after="0"/>
              <w:rPr>
                <w:sz w:val="1"/>
                <w:szCs w:val="1"/>
                <w:color w:val="auto"/>
              </w:rPr>
            </w:pPr>
          </w:p>
        </w:tc>
      </w:tr>
      <w:tr>
        <w:trPr>
          <w:trHeight w:val="170"/>
        </w:trPr>
        <w:tc>
          <w:tcPr>
            <w:tcW w:w="7600" w:type="dxa"/>
            <w:vAlign w:val="bottom"/>
          </w:tcPr>
          <w:p>
            <w:pPr>
              <w:ind w:left="20"/>
              <w:spacing w:after="0"/>
              <w:rPr>
                <w:sz w:val="20"/>
                <w:szCs w:val="20"/>
                <w:color w:val="auto"/>
              </w:rPr>
            </w:pPr>
            <w:r>
              <w:rPr>
                <w:rFonts w:ascii="Arial" w:cs="Arial" w:eastAsia="Arial" w:hAnsi="Arial"/>
                <w:sz w:val="12"/>
                <w:szCs w:val="12"/>
                <w:color w:val="auto"/>
              </w:rPr>
              <w:t>Repayments of obligations under lease liabilities</w:t>
            </w:r>
          </w:p>
        </w:tc>
        <w:tc>
          <w:tcPr>
            <w:tcW w:w="9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2"/>
                <w:szCs w:val="12"/>
                <w:b w:val="1"/>
                <w:bCs w:val="1"/>
                <w:color w:val="auto"/>
              </w:rPr>
              <w:t>(54,884)</w:t>
            </w:r>
          </w:p>
        </w:tc>
        <w:tc>
          <w:tcPr>
            <w:tcW w:w="1460" w:type="dxa"/>
            <w:vAlign w:val="bottom"/>
          </w:tcPr>
          <w:p>
            <w:pPr>
              <w:jc w:val="right"/>
              <w:spacing w:after="0"/>
              <w:rPr>
                <w:sz w:val="20"/>
                <w:szCs w:val="20"/>
                <w:color w:val="auto"/>
              </w:rPr>
            </w:pPr>
            <w:r>
              <w:rPr>
                <w:rFonts w:ascii="Arial" w:cs="Arial" w:eastAsia="Arial" w:hAnsi="Arial"/>
                <w:sz w:val="12"/>
                <w:szCs w:val="12"/>
                <w:color w:val="auto"/>
              </w:rPr>
              <w:t>(30,504)</w:t>
            </w:r>
          </w:p>
        </w:tc>
        <w:tc>
          <w:tcPr>
            <w:tcW w:w="0" w:type="dxa"/>
            <w:vAlign w:val="bottom"/>
          </w:tcPr>
          <w:p>
            <w:pPr>
              <w:spacing w:after="0"/>
              <w:rPr>
                <w:sz w:val="1"/>
                <w:szCs w:val="1"/>
                <w:color w:val="auto"/>
              </w:rPr>
            </w:pPr>
          </w:p>
        </w:tc>
      </w:tr>
      <w:tr>
        <w:trPr>
          <w:trHeight w:val="170"/>
        </w:trPr>
        <w:tc>
          <w:tcPr>
            <w:tcW w:w="7600" w:type="dxa"/>
            <w:vAlign w:val="bottom"/>
            <w:shd w:val="clear" w:color="auto" w:fill="CCEEFF"/>
          </w:tcPr>
          <w:p>
            <w:pPr>
              <w:ind w:left="20"/>
              <w:spacing w:after="0"/>
              <w:rPr>
                <w:sz w:val="20"/>
                <w:szCs w:val="20"/>
                <w:color w:val="auto"/>
              </w:rPr>
            </w:pPr>
            <w:r>
              <w:rPr>
                <w:rFonts w:ascii="Arial" w:cs="Arial" w:eastAsia="Arial" w:hAnsi="Arial"/>
                <w:sz w:val="12"/>
                <w:szCs w:val="12"/>
                <w:color w:val="auto"/>
              </w:rPr>
              <w:t>Tax benefit from the exercise of share options</w:t>
            </w:r>
          </w:p>
        </w:tc>
        <w:tc>
          <w:tcPr>
            <w:tcW w:w="98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18"/>
              <w:spacing w:after="0"/>
              <w:rPr>
                <w:sz w:val="20"/>
                <w:szCs w:val="20"/>
                <w:color w:val="auto"/>
              </w:rPr>
            </w:pPr>
            <w:r>
              <w:rPr>
                <w:rFonts w:ascii="Arial" w:cs="Arial" w:eastAsia="Arial" w:hAnsi="Arial"/>
                <w:sz w:val="12"/>
                <w:szCs w:val="12"/>
                <w:b w:val="1"/>
                <w:bCs w:val="1"/>
                <w:color w:val="auto"/>
              </w:rPr>
              <w:t>7,809</w:t>
            </w: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3,815</w:t>
            </w:r>
          </w:p>
        </w:tc>
        <w:tc>
          <w:tcPr>
            <w:tcW w:w="0" w:type="dxa"/>
            <w:vAlign w:val="bottom"/>
          </w:tcPr>
          <w:p>
            <w:pPr>
              <w:spacing w:after="0"/>
              <w:rPr>
                <w:sz w:val="1"/>
                <w:szCs w:val="1"/>
                <w:color w:val="auto"/>
              </w:rPr>
            </w:pPr>
          </w:p>
        </w:tc>
      </w:tr>
      <w:tr>
        <w:trPr>
          <w:trHeight w:val="170"/>
        </w:trPr>
        <w:tc>
          <w:tcPr>
            <w:tcW w:w="7600" w:type="dxa"/>
            <w:vAlign w:val="bottom"/>
          </w:tcPr>
          <w:p>
            <w:pPr>
              <w:ind w:left="20"/>
              <w:spacing w:after="0"/>
              <w:rPr>
                <w:sz w:val="20"/>
                <w:szCs w:val="20"/>
                <w:color w:val="auto"/>
              </w:rPr>
            </w:pPr>
            <w:r>
              <w:rPr>
                <w:rFonts w:ascii="Arial" w:cs="Arial" w:eastAsia="Arial" w:hAnsi="Arial"/>
                <w:sz w:val="12"/>
                <w:szCs w:val="12"/>
                <w:color w:val="auto"/>
              </w:rPr>
              <w:t>Proceeds from exercise of share options, RSUs and PSUs</w:t>
            </w:r>
          </w:p>
        </w:tc>
        <w:tc>
          <w:tcPr>
            <w:tcW w:w="980" w:type="dxa"/>
            <w:vAlign w:val="bottom"/>
          </w:tcPr>
          <w:p>
            <w:pPr>
              <w:spacing w:after="0"/>
              <w:rPr>
                <w:sz w:val="14"/>
                <w:szCs w:val="14"/>
                <w:color w:val="auto"/>
              </w:rPr>
            </w:pPr>
          </w:p>
        </w:tc>
        <w:tc>
          <w:tcPr>
            <w:tcW w:w="1220" w:type="dxa"/>
            <w:vAlign w:val="bottom"/>
          </w:tcPr>
          <w:p>
            <w:pPr>
              <w:jc w:val="right"/>
              <w:ind w:right="18"/>
              <w:spacing w:after="0"/>
              <w:rPr>
                <w:sz w:val="20"/>
                <w:szCs w:val="20"/>
                <w:color w:val="auto"/>
              </w:rPr>
            </w:pPr>
            <w:r>
              <w:rPr>
                <w:rFonts w:ascii="Arial" w:cs="Arial" w:eastAsia="Arial" w:hAnsi="Arial"/>
                <w:sz w:val="12"/>
                <w:szCs w:val="12"/>
                <w:b w:val="1"/>
                <w:bCs w:val="1"/>
                <w:color w:val="auto"/>
              </w:rPr>
              <w:t>118,589</w:t>
            </w:r>
          </w:p>
        </w:tc>
        <w:tc>
          <w:tcPr>
            <w:tcW w:w="1460" w:type="dxa"/>
            <w:vAlign w:val="bottom"/>
          </w:tcPr>
          <w:p>
            <w:pPr>
              <w:jc w:val="right"/>
              <w:spacing w:after="0"/>
              <w:rPr>
                <w:sz w:val="20"/>
                <w:szCs w:val="20"/>
                <w:color w:val="auto"/>
              </w:rPr>
            </w:pPr>
            <w:r>
              <w:rPr>
                <w:rFonts w:ascii="Arial" w:cs="Arial" w:eastAsia="Arial" w:hAnsi="Arial"/>
                <w:sz w:val="12"/>
                <w:szCs w:val="12"/>
                <w:color w:val="auto"/>
              </w:rPr>
              <w:t>13,203</w:t>
            </w:r>
          </w:p>
        </w:tc>
        <w:tc>
          <w:tcPr>
            <w:tcW w:w="0" w:type="dxa"/>
            <w:vAlign w:val="bottom"/>
          </w:tcPr>
          <w:p>
            <w:pPr>
              <w:spacing w:after="0"/>
              <w:rPr>
                <w:sz w:val="1"/>
                <w:szCs w:val="1"/>
                <w:color w:val="auto"/>
              </w:rPr>
            </w:pPr>
          </w:p>
        </w:tc>
      </w:tr>
      <w:tr>
        <w:trPr>
          <w:trHeight w:val="170"/>
        </w:trPr>
        <w:tc>
          <w:tcPr>
            <w:tcW w:w="7600" w:type="dxa"/>
            <w:vAlign w:val="bottom"/>
            <w:shd w:val="clear" w:color="auto" w:fill="CCEEFF"/>
          </w:tcPr>
          <w:p>
            <w:pPr>
              <w:ind w:left="20"/>
              <w:spacing w:after="0"/>
              <w:rPr>
                <w:sz w:val="20"/>
                <w:szCs w:val="20"/>
                <w:color w:val="auto"/>
              </w:rPr>
            </w:pPr>
            <w:r>
              <w:rPr>
                <w:rFonts w:ascii="Arial" w:cs="Arial" w:eastAsia="Arial" w:hAnsi="Arial"/>
                <w:sz w:val="12"/>
                <w:szCs w:val="12"/>
                <w:color w:val="auto"/>
              </w:rPr>
              <w:t>Share issuance costs</w:t>
            </w:r>
          </w:p>
        </w:tc>
        <w:tc>
          <w:tcPr>
            <w:tcW w:w="9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(853)</w:t>
            </w: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0" w:type="dxa"/>
            <w:vAlign w:val="bottom"/>
          </w:tcPr>
          <w:p>
            <w:pPr>
              <w:spacing w:after="0"/>
              <w:rPr>
                <w:sz w:val="1"/>
                <w:szCs w:val="1"/>
                <w:color w:val="auto"/>
              </w:rPr>
            </w:pPr>
          </w:p>
        </w:tc>
      </w:tr>
      <w:tr>
        <w:trPr>
          <w:trHeight w:val="170"/>
        </w:trPr>
        <w:tc>
          <w:tcPr>
            <w:tcW w:w="7600" w:type="dxa"/>
            <w:vAlign w:val="bottom"/>
          </w:tcPr>
          <w:p>
            <w:pPr>
              <w:ind w:left="20"/>
              <w:spacing w:after="0"/>
              <w:rPr>
                <w:sz w:val="20"/>
                <w:szCs w:val="20"/>
                <w:color w:val="auto"/>
              </w:rPr>
            </w:pPr>
            <w:r>
              <w:rPr>
                <w:rFonts w:ascii="Arial" w:cs="Arial" w:eastAsia="Arial" w:hAnsi="Arial"/>
                <w:sz w:val="12"/>
                <w:szCs w:val="12"/>
                <w:color w:val="auto"/>
              </w:rPr>
              <w:t>Repurchase of ordinary shares</w:t>
            </w:r>
          </w:p>
        </w:tc>
        <w:tc>
          <w:tcPr>
            <w:tcW w:w="980" w:type="dxa"/>
            <w:vAlign w:val="bottom"/>
          </w:tcPr>
          <w:p>
            <w:pPr>
              <w:spacing w:after="0"/>
              <w:rPr>
                <w:sz w:val="14"/>
                <w:szCs w:val="14"/>
                <w:color w:val="auto"/>
              </w:rPr>
            </w:pPr>
          </w:p>
        </w:tc>
        <w:tc>
          <w:tcPr>
            <w:tcW w:w="1220" w:type="dxa"/>
            <w:vAlign w:val="bottom"/>
          </w:tcPr>
          <w:p>
            <w:pPr>
              <w:jc w:val="right"/>
              <w:ind w:right="18"/>
              <w:spacing w:after="0"/>
              <w:rPr>
                <w:sz w:val="20"/>
                <w:szCs w:val="20"/>
                <w:color w:val="auto"/>
              </w:rPr>
            </w:pPr>
            <w:r>
              <w:rPr>
                <w:rFonts w:ascii="Arial" w:cs="Arial" w:eastAsia="Arial" w:hAnsi="Arial"/>
                <w:sz w:val="12"/>
                <w:szCs w:val="12"/>
                <w:b w:val="1"/>
                <w:bCs w:val="1"/>
                <w:color w:val="auto"/>
              </w:rPr>
              <w:t>—</w:t>
            </w:r>
          </w:p>
        </w:tc>
        <w:tc>
          <w:tcPr>
            <w:tcW w:w="1460" w:type="dxa"/>
            <w:vAlign w:val="bottom"/>
          </w:tcPr>
          <w:p>
            <w:pPr>
              <w:jc w:val="right"/>
              <w:spacing w:after="0"/>
              <w:rPr>
                <w:sz w:val="20"/>
                <w:szCs w:val="20"/>
                <w:color w:val="auto"/>
              </w:rPr>
            </w:pPr>
            <w:r>
              <w:rPr>
                <w:rFonts w:ascii="Arial" w:cs="Arial" w:eastAsia="Arial" w:hAnsi="Arial"/>
                <w:sz w:val="12"/>
                <w:szCs w:val="12"/>
                <w:color w:val="auto"/>
              </w:rPr>
              <w:t>(175,000)</w:t>
            </w:r>
          </w:p>
        </w:tc>
        <w:tc>
          <w:tcPr>
            <w:tcW w:w="0" w:type="dxa"/>
            <w:vAlign w:val="bottom"/>
          </w:tcPr>
          <w:p>
            <w:pPr>
              <w:spacing w:after="0"/>
              <w:rPr>
                <w:sz w:val="1"/>
                <w:szCs w:val="1"/>
                <w:color w:val="auto"/>
              </w:rPr>
            </w:pPr>
          </w:p>
        </w:tc>
      </w:tr>
      <w:tr>
        <w:trPr>
          <w:trHeight w:val="170"/>
        </w:trPr>
        <w:tc>
          <w:tcPr>
            <w:tcW w:w="7600" w:type="dxa"/>
            <w:vAlign w:val="bottom"/>
            <w:shd w:val="clear" w:color="auto" w:fill="CCEEFF"/>
          </w:tcPr>
          <w:p>
            <w:pPr>
              <w:ind w:left="20"/>
              <w:spacing w:after="0"/>
              <w:rPr>
                <w:sz w:val="20"/>
                <w:szCs w:val="20"/>
                <w:color w:val="auto"/>
              </w:rPr>
            </w:pPr>
            <w:r>
              <w:rPr>
                <w:rFonts w:ascii="Arial" w:cs="Arial" w:eastAsia="Arial" w:hAnsi="Arial"/>
                <w:sz w:val="12"/>
                <w:szCs w:val="12"/>
                <w:color w:val="auto"/>
              </w:rPr>
              <w:t>Share repurchase costs</w:t>
            </w:r>
          </w:p>
        </w:tc>
        <w:tc>
          <w:tcPr>
            <w:tcW w:w="98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18"/>
              <w:spacing w:after="0"/>
              <w:rPr>
                <w:sz w:val="20"/>
                <w:szCs w:val="20"/>
                <w:color w:val="auto"/>
              </w:rPr>
            </w:pPr>
            <w:r>
              <w:rPr>
                <w:rFonts w:ascii="Arial" w:cs="Arial" w:eastAsia="Arial" w:hAnsi="Arial"/>
                <w:sz w:val="12"/>
                <w:szCs w:val="12"/>
                <w:b w:val="1"/>
                <w:bCs w:val="1"/>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(140)</w:t>
            </w:r>
          </w:p>
        </w:tc>
        <w:tc>
          <w:tcPr>
            <w:tcW w:w="0" w:type="dxa"/>
            <w:vAlign w:val="bottom"/>
          </w:tcPr>
          <w:p>
            <w:pPr>
              <w:spacing w:after="0"/>
              <w:rPr>
                <w:sz w:val="1"/>
                <w:szCs w:val="1"/>
                <w:color w:val="auto"/>
              </w:rPr>
            </w:pPr>
          </w:p>
        </w:tc>
      </w:tr>
      <w:tr>
        <w:trPr>
          <w:trHeight w:val="170"/>
        </w:trPr>
        <w:tc>
          <w:tcPr>
            <w:tcW w:w="760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Loss on settlement of interest rate hedge</w:t>
            </w:r>
          </w:p>
        </w:tc>
        <w:tc>
          <w:tcPr>
            <w:tcW w:w="9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b w:val="1"/>
                <w:bCs w:val="1"/>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(905)</w:t>
            </w:r>
          </w:p>
        </w:tc>
        <w:tc>
          <w:tcPr>
            <w:tcW w:w="0" w:type="dxa"/>
            <w:vAlign w:val="bottom"/>
          </w:tcPr>
          <w:p>
            <w:pPr>
              <w:spacing w:after="0"/>
              <w:rPr>
                <w:sz w:val="1"/>
                <w:szCs w:val="1"/>
                <w:color w:val="auto"/>
              </w:rPr>
            </w:pPr>
          </w:p>
        </w:tc>
      </w:tr>
      <w:tr>
        <w:trPr>
          <w:trHeight w:val="160"/>
        </w:trPr>
        <w:tc>
          <w:tcPr>
            <w:tcW w:w="76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Net cash used in financing activities</w:t>
            </w:r>
          </w:p>
        </w:tc>
        <w:tc>
          <w:tcPr>
            <w:tcW w:w="98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18"/>
              <w:spacing w:after="0"/>
              <w:rPr>
                <w:sz w:val="20"/>
                <w:szCs w:val="20"/>
                <w:color w:val="auto"/>
              </w:rPr>
            </w:pPr>
            <w:r>
              <w:rPr>
                <w:rFonts w:ascii="Arial" w:cs="Arial" w:eastAsia="Arial" w:hAnsi="Arial"/>
                <w:sz w:val="12"/>
                <w:szCs w:val="12"/>
                <w:b w:val="1"/>
                <w:bCs w:val="1"/>
                <w:color w:val="auto"/>
              </w:rPr>
              <w:t>5,066,925</w:t>
            </w: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(235,022)</w:t>
            </w:r>
          </w:p>
        </w:tc>
        <w:tc>
          <w:tcPr>
            <w:tcW w:w="0" w:type="dxa"/>
            <w:vAlign w:val="bottom"/>
          </w:tcPr>
          <w:p>
            <w:pPr>
              <w:spacing w:after="0"/>
              <w:rPr>
                <w:sz w:val="1"/>
                <w:szCs w:val="1"/>
                <w:color w:val="auto"/>
              </w:rPr>
            </w:pPr>
          </w:p>
        </w:tc>
      </w:tr>
      <w:tr>
        <w:trPr>
          <w:trHeight w:val="170"/>
        </w:trPr>
        <w:tc>
          <w:tcPr>
            <w:tcW w:w="760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Net increase in cash and cash equivalents</w:t>
            </w:r>
          </w:p>
        </w:tc>
        <w:tc>
          <w:tcPr>
            <w:tcW w:w="9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(80,365)</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313,126</w:t>
            </w:r>
          </w:p>
        </w:tc>
        <w:tc>
          <w:tcPr>
            <w:tcW w:w="0" w:type="dxa"/>
            <w:vAlign w:val="bottom"/>
          </w:tcPr>
          <w:p>
            <w:pPr>
              <w:spacing w:after="0"/>
              <w:rPr>
                <w:sz w:val="1"/>
                <w:szCs w:val="1"/>
                <w:color w:val="auto"/>
              </w:rPr>
            </w:pPr>
          </w:p>
        </w:tc>
      </w:tr>
      <w:tr>
        <w:trPr>
          <w:trHeight w:val="160"/>
        </w:trPr>
        <w:tc>
          <w:tcPr>
            <w:tcW w:w="7600" w:type="dxa"/>
            <w:vAlign w:val="bottom"/>
            <w:shd w:val="clear" w:color="auto" w:fill="CCEEFF"/>
          </w:tcPr>
          <w:p>
            <w:pPr>
              <w:ind w:left="20"/>
              <w:spacing w:after="0"/>
              <w:rPr>
                <w:sz w:val="20"/>
                <w:szCs w:val="20"/>
                <w:color w:val="auto"/>
              </w:rPr>
            </w:pPr>
            <w:r>
              <w:rPr>
                <w:rFonts w:ascii="Arial" w:cs="Arial" w:eastAsia="Arial" w:hAnsi="Arial"/>
                <w:sz w:val="12"/>
                <w:szCs w:val="12"/>
                <w:color w:val="auto"/>
              </w:rPr>
              <w:t>Effect of exchange rate changes</w:t>
            </w:r>
          </w:p>
        </w:tc>
        <w:tc>
          <w:tcPr>
            <w:tcW w:w="98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(7,727)</w:t>
            </w: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6,870</w:t>
            </w:r>
          </w:p>
        </w:tc>
        <w:tc>
          <w:tcPr>
            <w:tcW w:w="0" w:type="dxa"/>
            <w:vAlign w:val="bottom"/>
          </w:tcPr>
          <w:p>
            <w:pPr>
              <w:spacing w:after="0"/>
              <w:rPr>
                <w:sz w:val="1"/>
                <w:szCs w:val="1"/>
                <w:color w:val="auto"/>
              </w:rPr>
            </w:pPr>
          </w:p>
        </w:tc>
      </w:tr>
      <w:tr>
        <w:trPr>
          <w:trHeight w:val="170"/>
        </w:trPr>
        <w:tc>
          <w:tcPr>
            <w:tcW w:w="76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Cash and cash equivalents at start of year</w:t>
            </w:r>
          </w:p>
        </w:tc>
        <w:tc>
          <w:tcPr>
            <w:tcW w:w="9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b w:val="1"/>
                <w:bCs w:val="1"/>
                <w:color w:val="auto"/>
              </w:rPr>
              <w:t>840,305</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520,309</w:t>
            </w:r>
          </w:p>
        </w:tc>
        <w:tc>
          <w:tcPr>
            <w:tcW w:w="0" w:type="dxa"/>
            <w:vAlign w:val="bottom"/>
          </w:tcPr>
          <w:p>
            <w:pPr>
              <w:spacing w:after="0"/>
              <w:rPr>
                <w:sz w:val="1"/>
                <w:szCs w:val="1"/>
                <w:color w:val="auto"/>
              </w:rPr>
            </w:pPr>
          </w:p>
        </w:tc>
      </w:tr>
      <w:tr>
        <w:trPr>
          <w:trHeight w:val="162"/>
        </w:trPr>
        <w:tc>
          <w:tcPr>
            <w:tcW w:w="7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Cash and cash equivalents at end of year</w:t>
            </w:r>
          </w:p>
        </w:tc>
        <w:tc>
          <w:tcPr>
            <w:tcW w:w="98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b w:val="1"/>
                <w:bCs w:val="1"/>
                <w:color w:val="auto"/>
              </w:rPr>
              <w:t>752,213</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840,305</w:t>
            </w:r>
          </w:p>
        </w:tc>
        <w:tc>
          <w:tcPr>
            <w:tcW w:w="0" w:type="dxa"/>
            <w:vAlign w:val="bottom"/>
          </w:tcPr>
          <w:p>
            <w:pPr>
              <w:spacing w:after="0"/>
              <w:rPr>
                <w:sz w:val="1"/>
                <w:szCs w:val="1"/>
                <w:color w:val="auto"/>
              </w:rPr>
            </w:pPr>
          </w:p>
        </w:tc>
      </w:tr>
    </w:tbl>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1260"/>
          </w:cols>
          <w:pgMar w:left="300" w:top="698"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Notes to Consolidated Financial Statements</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190" w:lineRule="exact"/>
        <w:rPr>
          <w:sz w:val="20"/>
          <w:szCs w:val="20"/>
          <w:color w:val="auto"/>
        </w:rPr>
      </w:pPr>
    </w:p>
    <w:p>
      <w:pPr>
        <w:ind w:left="260" w:hanging="255"/>
        <w:spacing w:after="0"/>
        <w:tabs>
          <w:tab w:leader="none" w:pos="260" w:val="left"/>
        </w:tabs>
        <w:numPr>
          <w:ilvl w:val="0"/>
          <w:numId w:val="34"/>
        </w:numPr>
        <w:rPr>
          <w:rFonts w:ascii="Arial" w:cs="Arial" w:eastAsia="Arial" w:hAnsi="Arial"/>
          <w:sz w:val="13"/>
          <w:szCs w:val="13"/>
          <w:b w:val="1"/>
          <w:bCs w:val="1"/>
          <w:color w:val="auto"/>
        </w:rPr>
      </w:pPr>
      <w:r>
        <w:rPr>
          <w:rFonts w:ascii="Arial" w:cs="Arial" w:eastAsia="Arial" w:hAnsi="Arial"/>
          <w:sz w:val="13"/>
          <w:szCs w:val="13"/>
          <w:b w:val="1"/>
          <w:bCs w:val="1"/>
          <w:color w:val="auto"/>
        </w:rPr>
        <w:t>Basis of preparation and statement of accounting policies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Statement of compliance</w:t>
      </w:r>
    </w:p>
    <w:p>
      <w:pPr>
        <w:spacing w:after="0" w:line="201"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The Group Financial Statements have been prepared in accordance with International Financial Reporting Standards ("IFRS") issued by the International Accounting Standards Board (“IASB”) as adopted by the European Union ("EU") that are effective for financial year ending 31 December 2021, and with those parts of the Companies Act applicable to companies reporting under IFRS. The Company Financial Statements have been prepared in accordance with IFRS as adopted by the EU, as applied in accordance with the Companies Act applicable to companies reporting under IFRS. IFRS adopted by the EU differs in certain respects from IFRS issued by the IASB. Reference to the IFRS hereafter refers to IFRS adopted by the EU. A Company that publishes its Group and Company Financial Statements together, can take advantage of the exemption in Section 304 of the Companies Act from presenting to its members a Company Statement of Profit and Loss and Company Statement of Comprehensive Income and related notes.</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Basis of preparation</w:t>
      </w:r>
    </w:p>
    <w:p>
      <w:pPr>
        <w:spacing w:after="0" w:line="182"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Group and Company Financial Statements are presented in United States dollars ("U.S. dollars") and all values are rounded to the nearest thousand ($‘000), except where otherwise indicated. They are prepared on the historical cost basis, except for the measurement at fair value on date of grant of share options, the pension plan assets, the put/call options over noncontrolling interest, other investments and financial assets. Other than the new and amended standards adopted by the group, accounting policies are applied consistently with the prior year.</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New standards and interpretations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The following standards and interpretations became effective for the Group during the financial year but do not have a material effect on the results or financial position of the Group:</w:t>
      </w:r>
    </w:p>
    <w:p>
      <w:pPr>
        <w:spacing w:after="0" w:line="190" w:lineRule="exact"/>
        <w:rPr>
          <w:sz w:val="20"/>
          <w:szCs w:val="20"/>
          <w:color w:val="auto"/>
        </w:rPr>
      </w:pPr>
    </w:p>
    <w:p>
      <w:pPr>
        <w:ind w:left="520" w:hanging="260"/>
        <w:spacing w:after="0"/>
        <w:tabs>
          <w:tab w:leader="none" w:pos="520" w:val="left"/>
        </w:tabs>
        <w:numPr>
          <w:ilvl w:val="0"/>
          <w:numId w:val="35"/>
        </w:numPr>
        <w:rPr>
          <w:rFonts w:ascii="Arial" w:cs="Arial" w:eastAsia="Arial" w:hAnsi="Arial"/>
          <w:sz w:val="13"/>
          <w:szCs w:val="13"/>
          <w:color w:val="auto"/>
        </w:rPr>
      </w:pPr>
      <w:r>
        <w:rPr>
          <w:rFonts w:ascii="Arial" w:cs="Arial" w:eastAsia="Arial" w:hAnsi="Arial"/>
          <w:sz w:val="13"/>
          <w:szCs w:val="13"/>
          <w:color w:val="auto"/>
        </w:rPr>
        <w:t xml:space="preserve">Amendments to IFRS 16 </w:t>
      </w:r>
      <w:r>
        <w:rPr>
          <w:rFonts w:ascii="Arial" w:cs="Arial" w:eastAsia="Arial" w:hAnsi="Arial"/>
          <w:sz w:val="13"/>
          <w:szCs w:val="13"/>
          <w:i w:val="1"/>
          <w:iCs w:val="1"/>
          <w:color w:val="auto"/>
        </w:rPr>
        <w:t>Leases: COVID 19 Related Rent Concessions</w:t>
      </w:r>
    </w:p>
    <w:p>
      <w:pPr>
        <w:ind w:left="520" w:hanging="260"/>
        <w:spacing w:after="0"/>
        <w:tabs>
          <w:tab w:leader="none" w:pos="520" w:val="left"/>
        </w:tabs>
        <w:numPr>
          <w:ilvl w:val="0"/>
          <w:numId w:val="35"/>
        </w:numPr>
        <w:rPr>
          <w:rFonts w:ascii="Arial" w:cs="Arial" w:eastAsia="Arial" w:hAnsi="Arial"/>
          <w:sz w:val="13"/>
          <w:szCs w:val="13"/>
          <w:i w:val="1"/>
          <w:iCs w:val="1"/>
          <w:color w:val="auto"/>
        </w:rPr>
      </w:pPr>
      <w:r>
        <w:rPr>
          <w:rFonts w:ascii="Arial" w:cs="Arial" w:eastAsia="Arial" w:hAnsi="Arial"/>
          <w:sz w:val="13"/>
          <w:szCs w:val="13"/>
          <w:color w:val="auto"/>
        </w:rPr>
        <w:t xml:space="preserve">Amendments to IFRS 9, IAS 39 and IFRS 7 </w:t>
      </w:r>
      <w:r>
        <w:rPr>
          <w:rFonts w:ascii="Arial" w:cs="Arial" w:eastAsia="Arial" w:hAnsi="Arial"/>
          <w:sz w:val="13"/>
          <w:szCs w:val="13"/>
          <w:i w:val="1"/>
          <w:iCs w:val="1"/>
          <w:color w:val="auto"/>
        </w:rPr>
        <w:t>IBOR Reform Phase II</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color w:val="auto"/>
        </w:rPr>
        <w:t>The following standards and interpretations are not yet effective for the Group and are not expected to have a material effect on the results or financial position of the Group:</w:t>
      </w:r>
    </w:p>
    <w:p>
      <w:pPr>
        <w:spacing w:after="0" w:line="190" w:lineRule="exact"/>
        <w:rPr>
          <w:sz w:val="20"/>
          <w:szCs w:val="20"/>
          <w:color w:val="auto"/>
        </w:rPr>
      </w:pPr>
    </w:p>
    <w:p>
      <w:pPr>
        <w:ind w:left="520" w:hanging="260"/>
        <w:spacing w:after="0"/>
        <w:tabs>
          <w:tab w:leader="none" w:pos="520" w:val="left"/>
        </w:tabs>
        <w:numPr>
          <w:ilvl w:val="0"/>
          <w:numId w:val="36"/>
        </w:numPr>
        <w:rPr>
          <w:rFonts w:ascii="Arial" w:cs="Arial" w:eastAsia="Arial" w:hAnsi="Arial"/>
          <w:sz w:val="13"/>
          <w:szCs w:val="13"/>
          <w:color w:val="auto"/>
        </w:rPr>
      </w:pPr>
      <w:r>
        <w:rPr>
          <w:rFonts w:ascii="Arial" w:cs="Arial" w:eastAsia="Arial" w:hAnsi="Arial"/>
          <w:sz w:val="13"/>
          <w:szCs w:val="13"/>
          <w:color w:val="auto"/>
        </w:rPr>
        <w:t xml:space="preserve">Amendments to IAS 16 </w:t>
      </w:r>
      <w:r>
        <w:rPr>
          <w:rFonts w:ascii="Arial" w:cs="Arial" w:eastAsia="Arial" w:hAnsi="Arial"/>
          <w:sz w:val="13"/>
          <w:szCs w:val="13"/>
          <w:i w:val="1"/>
          <w:iCs w:val="1"/>
          <w:color w:val="auto"/>
        </w:rPr>
        <w:t>Property, Plant and Equipment (PPE): Proceeds before Intended Use (Effective date: 1 January 2022)</w:t>
      </w:r>
    </w:p>
    <w:p>
      <w:pPr>
        <w:spacing w:after="0" w:line="11" w:lineRule="exact"/>
        <w:rPr>
          <w:rFonts w:ascii="Arial" w:cs="Arial" w:eastAsia="Arial" w:hAnsi="Arial"/>
          <w:sz w:val="13"/>
          <w:szCs w:val="13"/>
          <w:color w:val="auto"/>
        </w:rPr>
      </w:pPr>
    </w:p>
    <w:p>
      <w:pPr>
        <w:ind w:left="520" w:hanging="260"/>
        <w:spacing w:after="0"/>
        <w:tabs>
          <w:tab w:leader="none" w:pos="520" w:val="left"/>
        </w:tabs>
        <w:numPr>
          <w:ilvl w:val="0"/>
          <w:numId w:val="36"/>
        </w:numPr>
        <w:rPr>
          <w:rFonts w:ascii="Arial" w:cs="Arial" w:eastAsia="Arial" w:hAnsi="Arial"/>
          <w:sz w:val="13"/>
          <w:szCs w:val="13"/>
          <w:i w:val="1"/>
          <w:iCs w:val="1"/>
          <w:color w:val="auto"/>
        </w:rPr>
      </w:pPr>
      <w:r>
        <w:rPr>
          <w:rFonts w:ascii="Arial" w:cs="Arial" w:eastAsia="Arial" w:hAnsi="Arial"/>
          <w:sz w:val="13"/>
          <w:szCs w:val="13"/>
          <w:color w:val="auto"/>
        </w:rPr>
        <w:t xml:space="preserve">Amendments to IAS 1 </w:t>
      </w:r>
      <w:r>
        <w:rPr>
          <w:rFonts w:ascii="Arial" w:cs="Arial" w:eastAsia="Arial" w:hAnsi="Arial"/>
          <w:sz w:val="13"/>
          <w:szCs w:val="13"/>
          <w:i w:val="1"/>
          <w:iCs w:val="1"/>
          <w:color w:val="auto"/>
        </w:rPr>
        <w:t>Classification of Liabilities as Current or Non-current and Disclosure of Accounting Policies (Effective date: 1 January 2023)</w:t>
      </w:r>
    </w:p>
    <w:p>
      <w:pPr>
        <w:ind w:left="500" w:hanging="240"/>
        <w:spacing w:after="0" w:line="221" w:lineRule="auto"/>
        <w:tabs>
          <w:tab w:leader="none" w:pos="500" w:val="left"/>
        </w:tabs>
        <w:numPr>
          <w:ilvl w:val="0"/>
          <w:numId w:val="36"/>
        </w:numPr>
        <w:rPr>
          <w:rFonts w:ascii="Arial" w:cs="Arial" w:eastAsia="Arial" w:hAnsi="Arial"/>
          <w:sz w:val="13"/>
          <w:szCs w:val="13"/>
          <w:i w:val="1"/>
          <w:iCs w:val="1"/>
          <w:color w:val="auto"/>
        </w:rPr>
      </w:pPr>
      <w:r>
        <w:rPr>
          <w:rFonts w:ascii="Arial" w:cs="Arial" w:eastAsia="Arial" w:hAnsi="Arial"/>
          <w:sz w:val="13"/>
          <w:szCs w:val="13"/>
          <w:color w:val="auto"/>
        </w:rPr>
        <w:t xml:space="preserve">Amendments to IAS 37 </w:t>
      </w:r>
      <w:r>
        <w:rPr>
          <w:rFonts w:ascii="Arial" w:cs="Arial" w:eastAsia="Arial" w:hAnsi="Arial"/>
          <w:sz w:val="13"/>
          <w:szCs w:val="13"/>
          <w:i w:val="1"/>
          <w:iCs w:val="1"/>
          <w:color w:val="auto"/>
        </w:rPr>
        <w:t>Provisions, Contingent Liabilities and Contingent Assets: Costs to Fulfil a Contract (Effective date: 1 January 2022)</w:t>
      </w:r>
    </w:p>
    <w:p>
      <w:pPr>
        <w:ind w:left="520" w:hanging="260"/>
        <w:spacing w:after="0"/>
        <w:tabs>
          <w:tab w:leader="none" w:pos="520" w:val="left"/>
        </w:tabs>
        <w:numPr>
          <w:ilvl w:val="0"/>
          <w:numId w:val="36"/>
        </w:numPr>
        <w:rPr>
          <w:rFonts w:ascii="Arial" w:cs="Arial" w:eastAsia="Arial" w:hAnsi="Arial"/>
          <w:sz w:val="13"/>
          <w:szCs w:val="13"/>
          <w:i w:val="1"/>
          <w:iCs w:val="1"/>
          <w:color w:val="auto"/>
        </w:rPr>
      </w:pPr>
      <w:r>
        <w:rPr>
          <w:rFonts w:ascii="Arial" w:cs="Arial" w:eastAsia="Arial" w:hAnsi="Arial"/>
          <w:sz w:val="13"/>
          <w:szCs w:val="13"/>
          <w:color w:val="auto"/>
        </w:rPr>
        <w:t xml:space="preserve">Amendments to IFRS 3 </w:t>
      </w:r>
      <w:r>
        <w:rPr>
          <w:rFonts w:ascii="Arial" w:cs="Arial" w:eastAsia="Arial" w:hAnsi="Arial"/>
          <w:sz w:val="13"/>
          <w:szCs w:val="13"/>
          <w:i w:val="1"/>
          <w:iCs w:val="1"/>
          <w:color w:val="auto"/>
        </w:rPr>
        <w:t>Business Combinations (Effective date: 1 January 2022)</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Critical accounting judgements and key sources of estimation uncertainty</w:t>
      </w:r>
    </w:p>
    <w:p>
      <w:pPr>
        <w:spacing w:after="0" w:line="190"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The preparation of consolidated financial statements requires management to make estimates and judgments that affect the reported amounts of assets and liabilities at the date of the financial statements and the reported amounts of revenues and expenses during the reported period.</w:t>
      </w:r>
    </w:p>
    <w:p>
      <w:pPr>
        <w:spacing w:after="0" w:line="14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base our estimates and judgments on historical experience and on the other factors that we believe are reasonable under current circumstances. Actual results may differ from these estimates if these assumptions prove to be incorrect or if conditions develop other than as assumed for the purposes of such estimates. The following is a discussion of the accounting policies used by us, which we believe are critical in that they require estimates and judgements by management. The application of these critical accounting policies and estimates is discussed with the Audit Committee of the Board of Directors.</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201"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Significant management judgments and estimates must be made and used in connection with the recognition of revenue in any accounting period. Material differences in the amount of revenue in any given period may result if these judgments or estimates prove to be incorrect or if management’s estimates change on the basis of development of the business or market conditions. To date there have been no material differences arising from these judgments and estimates.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1280"/>
          </w:cols>
          <w:pgMar w:left="300" w:top="698" w:right="319"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190" w:lineRule="exact"/>
        <w:rPr>
          <w:sz w:val="20"/>
          <w:szCs w:val="20"/>
          <w:color w:val="auto"/>
        </w:rPr>
      </w:pPr>
    </w:p>
    <w:p>
      <w:pPr>
        <w:ind w:left="260" w:hanging="255"/>
        <w:spacing w:after="0"/>
        <w:tabs>
          <w:tab w:leader="none" w:pos="260" w:val="left"/>
        </w:tabs>
        <w:numPr>
          <w:ilvl w:val="0"/>
          <w:numId w:val="37"/>
        </w:numPr>
        <w:rPr>
          <w:rFonts w:ascii="Arial" w:cs="Arial" w:eastAsia="Arial" w:hAnsi="Arial"/>
          <w:sz w:val="13"/>
          <w:szCs w:val="13"/>
          <w:b w:val="1"/>
          <w:bCs w:val="1"/>
          <w:color w:val="auto"/>
        </w:rPr>
      </w:pPr>
      <w:r>
        <w:rPr>
          <w:rFonts w:ascii="Arial" w:cs="Arial" w:eastAsia="Arial" w:hAnsi="Arial"/>
          <w:sz w:val="13"/>
          <w:szCs w:val="13"/>
          <w:b w:val="1"/>
          <w:bCs w:val="1"/>
          <w:color w:val="auto"/>
        </w:rPr>
        <w:t>Basis of preparation and statement of accounting policies (continued)</w:t>
      </w:r>
    </w:p>
    <w:p>
      <w:pPr>
        <w:spacing w:after="0" w:line="200" w:lineRule="exact"/>
        <w:rPr>
          <w:sz w:val="20"/>
          <w:szCs w:val="20"/>
          <w:color w:val="auto"/>
        </w:rPr>
      </w:pP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earn revenues by providing a number of different services to our clients. These services, which are integral elements of the clinical development process, include clinical trials management, contract staffing, consulting and laboratory services. Contracts range in duration from a number of months to several years. The criteria for revenue recognition is based on five steps: (1) identify the contract(s) with a customer; (2) identify the performance obligation in the contract; (3) determine the transaction price; (4) allocate the transaction price to the performance obligations in the contract; and (5) recognise revenue when (or as) the entity satisfies the performance obligation.</w:t>
      </w:r>
    </w:p>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Clinical trial services are a single performance obligation satisfied over time i.e. the full-service obligation in respect of a clinical trial (including those services performed by investigators and other parties) is considered a single performance obligation. Promises offered to the customer are not distinct within the context of the contract. We have concluded that ICON is the contract principal in respect of both direct services and in the use of third parties (principally investigator services) that support the clinical research project. The transaction price is determined by reference to the contract or change order value (total service revenue and pass-through/ reimbursable expenses) adjusted to reflect a realisable contract value. An assessment of the realisable contract value is judgmental in nature. The realisable value assessment is updated at each reporting period, having regard to (i) contract terms and (ii) customer experience.</w:t>
      </w:r>
    </w:p>
    <w:p>
      <w:pPr>
        <w:spacing w:after="0" w:line="164" w:lineRule="exact"/>
        <w:rPr>
          <w:sz w:val="20"/>
          <w:szCs w:val="20"/>
          <w:color w:val="auto"/>
        </w:rPr>
      </w:pPr>
    </w:p>
    <w:p>
      <w:pPr>
        <w:jc w:val="both"/>
        <w:spacing w:after="0" w:line="280" w:lineRule="auto"/>
        <w:rPr>
          <w:sz w:val="20"/>
          <w:szCs w:val="20"/>
          <w:color w:val="auto"/>
        </w:rPr>
      </w:pPr>
      <w:r>
        <w:rPr>
          <w:rFonts w:ascii="Arial" w:cs="Arial" w:eastAsia="Arial" w:hAnsi="Arial"/>
          <w:sz w:val="12"/>
          <w:szCs w:val="12"/>
          <w:color w:val="auto"/>
        </w:rPr>
        <w:t>Revenue is recognised on a percentage completion basis as the single performance obligation is satisfied. The progress towards completion for clinical service contracts is measured therefore based on an input measure being total project costs (inclusive of third party costs) at each reporting period. Measurement of the progress towards completion involves judgment and estimation. Assessment of completion requires an evaluation of labour and related time cost incurred at the reporting date and third party costs incurred at the reporting date. The assessment of third party costs incurred (principally investigator costs) requires a review of activity performed and recorded by the third party services providers. The timing of payments to third parties in respect of cost incurred reflect invoicing by third parties. The timing difference between the activity performed and receipt of invoices from third parties may result in significant accrued amounts at reporting periods.</w:t>
      </w:r>
    </w:p>
    <w:p>
      <w:pPr>
        <w:spacing w:after="0" w:line="15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assessment of progress towards completion also requires an up to date evaluation of the forecast costs to complete in respect of these projects. Given the long-term nature of the clinical trials, and the complex nature of those trials, the forecast costs to complete (being internal direct costs and costs that will be incurred by third parties (principally investigators)) is judgmental. Forecast time (and related costs) is determined by reference to (i) contract terms and (ii) past experience. Forecast third party costs to complete are determined by project by reference to (i) contract terms and (ii) past experience.</w:t>
      </w:r>
    </w:p>
    <w:p>
      <w:pPr>
        <w:spacing w:after="0" w:line="123"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Company provides data services to customers based on agreed-upon specifications, including the timing of delivery, which is typically either weekly, monthly, or quarterly. If a customer requests more than one type of data report or series of data reports within a contract, each distinct type of data report is a separate performance obligation. The contracts provide for the Company to be compensated for the value of each deliverable. The transaction price is determined using list prices, discount agreements, if any, and negotiations with the customers, and generally includes any out-of-pocket expenses.</w:t>
      </w:r>
    </w:p>
    <w:p>
      <w:pPr>
        <w:spacing w:after="0" w:line="176" w:lineRule="exact"/>
        <w:rPr>
          <w:sz w:val="20"/>
          <w:szCs w:val="20"/>
          <w:color w:val="auto"/>
        </w:rPr>
      </w:pPr>
    </w:p>
    <w:p>
      <w:pPr>
        <w:jc w:val="both"/>
        <w:spacing w:after="0" w:line="281" w:lineRule="auto"/>
        <w:rPr>
          <w:sz w:val="20"/>
          <w:szCs w:val="20"/>
          <w:color w:val="auto"/>
        </w:rPr>
      </w:pPr>
      <w:r>
        <w:rPr>
          <w:rFonts w:ascii="Arial" w:cs="Arial" w:eastAsia="Arial" w:hAnsi="Arial"/>
          <w:sz w:val="12"/>
          <w:szCs w:val="12"/>
          <w:color w:val="auto"/>
        </w:rPr>
        <w:t>The Company enters into contracts with some of its larger data suppliers that involve non-monetary terms. The Company issues purchase credits to be used toward the data supplier's purchase of the Company's services based on the fair value of the data obtained. In exchange, the Company receives monetary discounts on the data received from the data suppliers. The fair value of the revenue earned from the customer purchases is recognised as services are delivered as described above. At the end of the contract year, any unused customer purchase credits may be forfeited or carried over to the next contract year based on the terms of the data supplier contract. The calculation of the fair value of certain non-monetary terms involves management judgement and estimation.</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Intangible Assets acquired in a business combination</w:t>
      </w:r>
    </w:p>
    <w:p>
      <w:pPr>
        <w:spacing w:after="0" w:line="148"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Significant management judgments and estimates must be made and used in connection with the recognition of intangible assets associated with a business combination. The cost of a business combination is measured as the aggregate of the fair values at the date of exchange of assets given, liabilities incurred or assumed and equity instruments issued in exchange for control. The assets, liabilities and contingent liabilities of businesses acquired are generally measured at their fair values at the date of acquisition. When the initial accounting for a business combination is determined provisionally, any subsequent adjustments to the provisional values allocated to the identifiable assets, liabilities and contingent liabilities are made within twelve months of the acquisition date and presented as adjustments to goodwill in the reporting period in which the adjustments are determined.</w:t>
      </w:r>
    </w:p>
    <w:p>
      <w:pPr>
        <w:spacing w:after="0" w:line="126"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 xml:space="preserve">Measurement of intangible assets involves the use of estimates for determining the fair value at the acquisition date. The determination of the fair values of assets and liabilities, as well as of the useful lives of the assets is based on management’s judgment. The valuation of intangible assets required management to develop discounted cash flow models which required the use of reasonable and supportable inputs such as customer attrition data, discount rates developed from various weighted average cost of capital assumptions, growth rates, margin forecasting and assessment of useful lives </w:t>
      </w:r>
      <w:r>
        <w:rPr>
          <w:rFonts w:ascii="Arial" w:cs="Arial" w:eastAsia="Arial" w:hAnsi="Arial"/>
          <w:sz w:val="13"/>
          <w:szCs w:val="13"/>
          <w:i w:val="1"/>
          <w:iCs w:val="1"/>
          <w:color w:val="auto"/>
        </w:rPr>
        <w:t>(</w:t>
      </w:r>
      <w:r>
        <w:rPr>
          <w:rFonts w:ascii="Arial" w:cs="Arial" w:eastAsia="Arial" w:hAnsi="Arial"/>
          <w:sz w:val="13"/>
          <w:szCs w:val="13"/>
          <w:color w:val="auto"/>
        </w:rPr>
        <w:t xml:space="preserve">see </w:t>
      </w:r>
      <w:r>
        <w:rPr>
          <w:rFonts w:ascii="Arial" w:cs="Arial" w:eastAsia="Arial" w:hAnsi="Arial"/>
          <w:sz w:val="13"/>
          <w:szCs w:val="13"/>
          <w:i w:val="1"/>
          <w:iCs w:val="1"/>
          <w:color w:val="auto"/>
        </w:rPr>
        <w:t>note 13 - Intangible assets - goodwill and other)</w:t>
      </w:r>
      <w:r>
        <w:rPr>
          <w:rFonts w:ascii="Arial" w:cs="Arial" w:eastAsia="Arial" w:hAnsi="Arial"/>
          <w:sz w:val="13"/>
          <w:szCs w:val="13"/>
          <w:color w:val="auto"/>
        </w:rPr>
        <w:t>. Management utilised external valuation experts, where necessary, to ensure the valuation process was sufficiently detailed and robust to develop reliable valuations.</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1280"/>
          </w:cols>
          <w:pgMar w:left="300" w:top="698" w:right="31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190" w:lineRule="exact"/>
        <w:rPr>
          <w:sz w:val="20"/>
          <w:szCs w:val="20"/>
          <w:color w:val="auto"/>
        </w:rPr>
      </w:pPr>
    </w:p>
    <w:p>
      <w:pPr>
        <w:ind w:left="260" w:hanging="255"/>
        <w:spacing w:after="0"/>
        <w:tabs>
          <w:tab w:leader="none" w:pos="260" w:val="left"/>
        </w:tabs>
        <w:numPr>
          <w:ilvl w:val="0"/>
          <w:numId w:val="38"/>
        </w:numPr>
        <w:rPr>
          <w:rFonts w:ascii="Arial" w:cs="Arial" w:eastAsia="Arial" w:hAnsi="Arial"/>
          <w:sz w:val="13"/>
          <w:szCs w:val="13"/>
          <w:b w:val="1"/>
          <w:bCs w:val="1"/>
          <w:color w:val="auto"/>
        </w:rPr>
      </w:pPr>
      <w:r>
        <w:rPr>
          <w:rFonts w:ascii="Arial" w:cs="Arial" w:eastAsia="Arial" w:hAnsi="Arial"/>
          <w:sz w:val="13"/>
          <w:szCs w:val="13"/>
          <w:b w:val="1"/>
          <w:bCs w:val="1"/>
          <w:color w:val="auto"/>
        </w:rPr>
        <w:t>Basis of preparation and statement of accounting policies (continued)</w:t>
      </w:r>
    </w:p>
    <w:p>
      <w:pPr>
        <w:spacing w:after="0" w:line="39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Accounting policies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The following accounting policies have been applied consistently in dealing with items which are considered material in relation to the Group’s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Basis of consolidation</w:t>
      </w:r>
    </w:p>
    <w:p>
      <w:pPr>
        <w:spacing w:after="0" w:line="19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Group’s Financial Statements consolidate the financial statements of ICON plc and its subsidiaries. Subsidiaries are consolidated from the date on which control is transferred to the Group and cease to be consolidated from the date on which control is transferred out of the Group. The Group controls an entity when it is exposed to, or has rights to, variable returns from its involvement with the entity and has the ability to affect those returns through its power over the entity. Financial statements of subsidiaries are prepared for the same reporting year as the Company and where necessary, adjustments are made to the results of subsidiaries to bring their accounting policies into line with those used by the Group. The Group will continue to prepare the individual statutory financial statements of subsidiary companies under GAAP applicable in their country of incorporation but adjustments have been made to the results and financial position of such companies to bring their accounting policies into line with those of the Group.</w:t>
      </w:r>
    </w:p>
    <w:p>
      <w:pPr>
        <w:spacing w:after="0" w:line="160"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All intercompany balances and transactions, including unrealised profits arising from inter-group transactions, have been eliminated in full. Unrealised losses are eliminated in the same manner as unrealised gains except to the extent that there is evidence of impairment.</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Foreign currency translation</w:t>
      </w:r>
    </w:p>
    <w:p>
      <w:pPr>
        <w:spacing w:after="0" w:line="201"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auto"/>
        </w:rPr>
        <w:t>The presentation and functional currency of the Company is US dollars ($). The presentation currency of the Group is US dollars ($). The determination of the USD as the functional currency of the Company reflects consideration of the primary and secondary indicators as set out in IAS 21. The directors considered in particular the currency in which funds from financing activities are generated (debt and equity) and the currency in which receipts from operating activities are usually retained. This assessment is consistent with the assessment that the functional currencies of the main subsidiary trading entities are USD. The Company Financial Statements are presented in US dollars. Results and cash flows of non-dollar denominated undertakings are translated into dollars at the actual exchange rates at the transaction dates or average exchange rates for the year where this is a reasonable approximation.</w:t>
      </w:r>
    </w:p>
    <w:p>
      <w:pPr>
        <w:spacing w:after="0" w:line="173"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related statements of financial position are translated at the rates of exchange ruling at the reporting date. Goodwill and fair value adjustments arising on acquisition of a foreign operation are regarded as assets and liabilities of the foreign operation, are expressed in the functional currency of the foreign operation and are recorded at the exchange rate at the date of the transaction, and subsequently retranslated at the applicable closing rates. Adjustments arising on translation of the results of non-dollar undertakings at average rates, and on the restatement of the opening net assets at closing rates, are recorded in the translation reserve within equity.</w:t>
      </w:r>
    </w:p>
    <w:p>
      <w:pPr>
        <w:spacing w:after="0" w:line="176" w:lineRule="exact"/>
        <w:rPr>
          <w:sz w:val="20"/>
          <w:szCs w:val="20"/>
          <w:color w:val="auto"/>
        </w:rPr>
      </w:pPr>
    </w:p>
    <w:p>
      <w:pPr>
        <w:jc w:val="both"/>
        <w:spacing w:after="0" w:line="281" w:lineRule="auto"/>
        <w:rPr>
          <w:sz w:val="20"/>
          <w:szCs w:val="20"/>
          <w:color w:val="auto"/>
        </w:rPr>
      </w:pPr>
      <w:r>
        <w:rPr>
          <w:rFonts w:ascii="Arial" w:cs="Arial" w:eastAsia="Arial" w:hAnsi="Arial"/>
          <w:sz w:val="12"/>
          <w:szCs w:val="12"/>
          <w:color w:val="auto"/>
        </w:rPr>
        <w:t>Transactions in currencies different to the functional currencies of operations are recorded at the rate of exchange ruling at the date of the transaction. Monetary assets and liabilities denominated in foreign currencies are retranslated into the functional currency at the rate of exchange at the reporting date. All translation differences, with the exception of translation differences on long-term intercompany balances in the Consolidated Financial Statements where repayment is not foreseen, are recorded in the Consolidated Statement of Profit and Loss. Translation differences on long-term intercompany balances, in the Consolidated Financial Statements, where repayment is not foreseen are recorded within other comprehensive income in the Statement of Comprehensive Income.</w:t>
      </w:r>
    </w:p>
    <w:p>
      <w:pPr>
        <w:spacing w:after="0" w:line="14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On disposal of a foreign operation, accumulated currency translation differences, together with any exchange differences on foreign currency borrowings that provide a hedge of the net investment are recognised in the Consolidated Statement of Profit and Loss as part of the overall gain or loss on disposal.</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1280"/>
          </w:cols>
          <w:pgMar w:left="300" w:top="698" w:right="31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190" w:lineRule="exact"/>
        <w:rPr>
          <w:sz w:val="20"/>
          <w:szCs w:val="20"/>
          <w:color w:val="auto"/>
        </w:rPr>
      </w:pPr>
    </w:p>
    <w:p>
      <w:pPr>
        <w:ind w:left="260" w:hanging="255"/>
        <w:spacing w:after="0"/>
        <w:tabs>
          <w:tab w:leader="none" w:pos="260" w:val="left"/>
        </w:tabs>
        <w:numPr>
          <w:ilvl w:val="0"/>
          <w:numId w:val="39"/>
        </w:numPr>
        <w:rPr>
          <w:rFonts w:ascii="Arial" w:cs="Arial" w:eastAsia="Arial" w:hAnsi="Arial"/>
          <w:sz w:val="13"/>
          <w:szCs w:val="13"/>
          <w:b w:val="1"/>
          <w:bCs w:val="1"/>
          <w:color w:val="auto"/>
        </w:rPr>
      </w:pPr>
      <w:r>
        <w:rPr>
          <w:rFonts w:ascii="Arial" w:cs="Arial" w:eastAsia="Arial" w:hAnsi="Arial"/>
          <w:sz w:val="13"/>
          <w:szCs w:val="13"/>
          <w:b w:val="1"/>
          <w:bCs w:val="1"/>
          <w:color w:val="auto"/>
        </w:rPr>
        <w:t>Basis of preparation and statement of accounting policies (continued)</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The principal exchange rates used for the translation of results, cash flows and statements of financial position into US dollars were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shd w:val="clear" w:color="auto" w:fill="CCEEFF"/>
          </w:tcPr>
          <w:p>
            <w:pPr>
              <w:spacing w:after="0"/>
              <w:rPr>
                <w:sz w:val="14"/>
                <w:szCs w:val="14"/>
                <w:color w:val="auto"/>
              </w:rPr>
            </w:pPr>
          </w:p>
        </w:tc>
        <w:tc>
          <w:tcPr>
            <w:tcW w:w="18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Average</w:t>
            </w:r>
          </w:p>
        </w:tc>
        <w:tc>
          <w:tcPr>
            <w:tcW w:w="1340" w:type="dxa"/>
            <w:vAlign w:val="bottom"/>
            <w:tcBorders>
              <w:bottom w:val="single" w:sz="8" w:color="auto"/>
            </w:tcBorders>
            <w:shd w:val="clear" w:color="auto" w:fill="CCEEFF"/>
          </w:tcPr>
          <w:p>
            <w:pPr>
              <w:spacing w:after="0"/>
              <w:rPr>
                <w:sz w:val="14"/>
                <w:szCs w:val="14"/>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Year end</w:t>
            </w:r>
          </w:p>
        </w:tc>
        <w:tc>
          <w:tcPr>
            <w:tcW w:w="1160" w:type="dxa"/>
            <w:vAlign w:val="bottom"/>
            <w:tcBorders>
              <w:bottom w:val="single" w:sz="8" w:color="auto"/>
            </w:tcBorders>
            <w:shd w:val="clear" w:color="auto" w:fill="CCEEFF"/>
          </w:tcPr>
          <w:p>
            <w:pPr>
              <w:spacing w:after="0"/>
              <w:rPr>
                <w:sz w:val="14"/>
                <w:szCs w:val="14"/>
                <w:color w:val="auto"/>
              </w:rPr>
            </w:pPr>
          </w:p>
        </w:tc>
      </w:tr>
      <w:tr>
        <w:trPr>
          <w:trHeight w:val="160"/>
        </w:trPr>
        <w:tc>
          <w:tcPr>
            <w:tcW w:w="534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31 December 2021</w:t>
            </w:r>
          </w:p>
        </w:tc>
        <w:tc>
          <w:tcPr>
            <w:tcW w:w="134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31 December 2020</w:t>
            </w:r>
          </w:p>
        </w:tc>
        <w:tc>
          <w:tcPr>
            <w:tcW w:w="164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31 December 2021</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 December 2020</w:t>
            </w:r>
          </w:p>
        </w:tc>
      </w:tr>
      <w:tr>
        <w:trPr>
          <w:trHeight w:val="107"/>
        </w:trPr>
        <w:tc>
          <w:tcPr>
            <w:tcW w:w="5340" w:type="dxa"/>
            <w:vAlign w:val="bottom"/>
            <w:shd w:val="clear" w:color="auto" w:fill="CCEEFF"/>
          </w:tcPr>
          <w:p>
            <w:pPr>
              <w:spacing w:after="0"/>
              <w:rPr>
                <w:sz w:val="9"/>
                <w:szCs w:val="9"/>
                <w:color w:val="auto"/>
              </w:rPr>
            </w:pPr>
          </w:p>
        </w:tc>
        <w:tc>
          <w:tcPr>
            <w:tcW w:w="180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164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r>
      <w:tr>
        <w:trPr>
          <w:trHeight w:val="170"/>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Euro 1:$</w:t>
            </w:r>
          </w:p>
        </w:tc>
        <w:tc>
          <w:tcPr>
            <w:tcW w:w="180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1.1886</w:t>
            </w:r>
          </w:p>
        </w:tc>
        <w:tc>
          <w:tcPr>
            <w:tcW w:w="134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1.1357</w:t>
            </w:r>
          </w:p>
        </w:tc>
        <w:tc>
          <w:tcPr>
            <w:tcW w:w="164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1.1370</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1.2216</w:t>
            </w:r>
          </w:p>
        </w:tc>
      </w:tr>
      <w:tr>
        <w:trPr>
          <w:trHeight w:val="139"/>
        </w:trPr>
        <w:tc>
          <w:tcPr>
            <w:tcW w:w="534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r>
      <w:tr>
        <w:trPr>
          <w:trHeight w:val="171"/>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Pound Sterling 1:$</w:t>
            </w:r>
          </w:p>
        </w:tc>
        <w:tc>
          <w:tcPr>
            <w:tcW w:w="180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1.3788</w:t>
            </w:r>
          </w:p>
        </w:tc>
        <w:tc>
          <w:tcPr>
            <w:tcW w:w="134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1.2821</w:t>
            </w:r>
          </w:p>
        </w:tc>
        <w:tc>
          <w:tcPr>
            <w:tcW w:w="164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1.3532</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1.3670</w:t>
            </w:r>
          </w:p>
        </w:tc>
      </w:tr>
    </w:tbl>
    <w:p>
      <w:pPr>
        <w:spacing w:after="0" w:line="24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Property, plant and equipment</w:t>
      </w:r>
    </w:p>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Items of property, plant and equipment are stated at cost less accumulated depreciation and any provisions for impairment losses. Depreciation is calculated to write off the original cost of property, plant and equipment less its estimated residual value over its expected useful life on a straight line basis. Residual values and useful lives of property, plant and equipment are reviewed and adjusted if appropriate at each reporting date. At present it is estimated that all items of property, plant and equipment have no residual value. The estimated useful lives applied in determining the charge to depreciation are as follows: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60" w:type="dxa"/>
            <w:vAlign w:val="bottom"/>
            <w:tcBorders>
              <w:bottom w:val="single" w:sz="8" w:color="auto"/>
            </w:tcBorders>
            <w:shd w:val="clear" w:color="auto" w:fill="CCEEFF"/>
          </w:tcPr>
          <w:p>
            <w:pPr>
              <w:spacing w:after="0"/>
              <w:rPr>
                <w:sz w:val="14"/>
                <w:szCs w:val="14"/>
                <w:color w:val="auto"/>
              </w:rPr>
            </w:pPr>
          </w:p>
        </w:tc>
        <w:tc>
          <w:tcPr>
            <w:tcW w:w="2840" w:type="dxa"/>
            <w:vAlign w:val="bottom"/>
            <w:tcBorders>
              <w:bottom w:val="single" w:sz="8" w:color="auto"/>
            </w:tcBorders>
            <w:shd w:val="clear" w:color="auto" w:fill="CCEEFF"/>
          </w:tcPr>
          <w:p>
            <w:pPr>
              <w:ind w:left="1540"/>
              <w:spacing w:after="0"/>
              <w:rPr>
                <w:sz w:val="20"/>
                <w:szCs w:val="20"/>
                <w:color w:val="auto"/>
              </w:rPr>
            </w:pPr>
            <w:r>
              <w:rPr>
                <w:rFonts w:ascii="Arial" w:cs="Arial" w:eastAsia="Arial" w:hAnsi="Arial"/>
                <w:sz w:val="13"/>
                <w:szCs w:val="13"/>
                <w:b w:val="1"/>
                <w:bCs w:val="1"/>
                <w:color w:val="auto"/>
              </w:rPr>
              <w:t>Years</w:t>
            </w:r>
          </w:p>
        </w:tc>
      </w:tr>
      <w:tr>
        <w:trPr>
          <w:trHeight w:val="191"/>
        </w:trPr>
        <w:tc>
          <w:tcPr>
            <w:tcW w:w="3060" w:type="dxa"/>
            <w:vAlign w:val="bottom"/>
          </w:tcPr>
          <w:p>
            <w:pPr>
              <w:ind w:left="20"/>
              <w:spacing w:after="0"/>
              <w:rPr>
                <w:sz w:val="20"/>
                <w:szCs w:val="20"/>
                <w:color w:val="auto"/>
              </w:rPr>
            </w:pPr>
            <w:r>
              <w:rPr>
                <w:rFonts w:ascii="Arial" w:cs="Arial" w:eastAsia="Arial" w:hAnsi="Arial"/>
                <w:sz w:val="13"/>
                <w:szCs w:val="13"/>
                <w:color w:val="auto"/>
              </w:rPr>
              <w:t>Buildings</w:t>
            </w:r>
          </w:p>
        </w:tc>
        <w:tc>
          <w:tcPr>
            <w:tcW w:w="2840" w:type="dxa"/>
            <w:vAlign w:val="bottom"/>
          </w:tcPr>
          <w:p>
            <w:pPr>
              <w:jc w:val="center"/>
              <w:ind w:left="516"/>
              <w:spacing w:after="0"/>
              <w:rPr>
                <w:sz w:val="20"/>
                <w:szCs w:val="20"/>
                <w:color w:val="auto"/>
              </w:rPr>
            </w:pPr>
            <w:r>
              <w:rPr>
                <w:rFonts w:ascii="Arial" w:cs="Arial" w:eastAsia="Arial" w:hAnsi="Arial"/>
                <w:sz w:val="13"/>
                <w:szCs w:val="13"/>
                <w:color w:val="auto"/>
                <w:w w:val="96"/>
              </w:rPr>
              <w:t>40</w:t>
            </w:r>
          </w:p>
        </w:tc>
      </w:tr>
      <w:tr>
        <w:trPr>
          <w:trHeight w:val="203"/>
        </w:trPr>
        <w:tc>
          <w:tcPr>
            <w:tcW w:w="3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Computer equipment</w:t>
            </w:r>
          </w:p>
        </w:tc>
        <w:tc>
          <w:tcPr>
            <w:tcW w:w="2840" w:type="dxa"/>
            <w:vAlign w:val="bottom"/>
            <w:shd w:val="clear" w:color="auto" w:fill="CCEEFF"/>
          </w:tcPr>
          <w:p>
            <w:pPr>
              <w:jc w:val="center"/>
              <w:ind w:left="516"/>
              <w:spacing w:after="0"/>
              <w:rPr>
                <w:sz w:val="20"/>
                <w:szCs w:val="20"/>
                <w:color w:val="auto"/>
              </w:rPr>
            </w:pPr>
            <w:r>
              <w:rPr>
                <w:rFonts w:ascii="Arial" w:cs="Arial" w:eastAsia="Arial" w:hAnsi="Arial"/>
                <w:sz w:val="13"/>
                <w:szCs w:val="13"/>
                <w:color w:val="auto"/>
                <w:w w:val="95"/>
              </w:rPr>
              <w:t>2-8</w:t>
            </w:r>
          </w:p>
        </w:tc>
      </w:tr>
      <w:tr>
        <w:trPr>
          <w:trHeight w:val="200"/>
        </w:trPr>
        <w:tc>
          <w:tcPr>
            <w:tcW w:w="3060" w:type="dxa"/>
            <w:vAlign w:val="bottom"/>
          </w:tcPr>
          <w:p>
            <w:pPr>
              <w:ind w:left="20"/>
              <w:spacing w:after="0"/>
              <w:rPr>
                <w:sz w:val="20"/>
                <w:szCs w:val="20"/>
                <w:color w:val="auto"/>
              </w:rPr>
            </w:pPr>
            <w:r>
              <w:rPr>
                <w:rFonts w:ascii="Arial" w:cs="Arial" w:eastAsia="Arial" w:hAnsi="Arial"/>
                <w:sz w:val="13"/>
                <w:szCs w:val="13"/>
                <w:color w:val="auto"/>
              </w:rPr>
              <w:t>Office furniture and fixtures</w:t>
            </w:r>
          </w:p>
        </w:tc>
        <w:tc>
          <w:tcPr>
            <w:tcW w:w="2840" w:type="dxa"/>
            <w:vAlign w:val="bottom"/>
          </w:tcPr>
          <w:p>
            <w:pPr>
              <w:jc w:val="center"/>
              <w:ind w:left="496"/>
              <w:spacing w:after="0"/>
              <w:rPr>
                <w:sz w:val="20"/>
                <w:szCs w:val="20"/>
                <w:color w:val="auto"/>
              </w:rPr>
            </w:pPr>
            <w:r>
              <w:rPr>
                <w:rFonts w:ascii="Arial" w:cs="Arial" w:eastAsia="Arial" w:hAnsi="Arial"/>
                <w:sz w:val="13"/>
                <w:szCs w:val="13"/>
                <w:color w:val="auto"/>
              </w:rPr>
              <w:t>8</w:t>
            </w:r>
          </w:p>
        </w:tc>
      </w:tr>
      <w:tr>
        <w:trPr>
          <w:trHeight w:val="203"/>
        </w:trPr>
        <w:tc>
          <w:tcPr>
            <w:tcW w:w="3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Laboratory equipment</w:t>
            </w:r>
          </w:p>
        </w:tc>
        <w:tc>
          <w:tcPr>
            <w:tcW w:w="2840" w:type="dxa"/>
            <w:vAlign w:val="bottom"/>
            <w:shd w:val="clear" w:color="auto" w:fill="CCEEFF"/>
          </w:tcPr>
          <w:p>
            <w:pPr>
              <w:jc w:val="center"/>
              <w:ind w:left="496"/>
              <w:spacing w:after="0"/>
              <w:rPr>
                <w:sz w:val="20"/>
                <w:szCs w:val="20"/>
                <w:color w:val="auto"/>
              </w:rPr>
            </w:pPr>
            <w:r>
              <w:rPr>
                <w:rFonts w:ascii="Arial" w:cs="Arial" w:eastAsia="Arial" w:hAnsi="Arial"/>
                <w:sz w:val="13"/>
                <w:szCs w:val="13"/>
                <w:color w:val="auto"/>
              </w:rPr>
              <w:t>5</w:t>
            </w:r>
          </w:p>
        </w:tc>
      </w:tr>
      <w:tr>
        <w:trPr>
          <w:trHeight w:val="199"/>
        </w:trPr>
        <w:tc>
          <w:tcPr>
            <w:tcW w:w="3060" w:type="dxa"/>
            <w:vAlign w:val="bottom"/>
          </w:tcPr>
          <w:p>
            <w:pPr>
              <w:ind w:left="20"/>
              <w:spacing w:after="0"/>
              <w:rPr>
                <w:sz w:val="20"/>
                <w:szCs w:val="20"/>
                <w:color w:val="auto"/>
              </w:rPr>
            </w:pPr>
            <w:r>
              <w:rPr>
                <w:rFonts w:ascii="Arial" w:cs="Arial" w:eastAsia="Arial" w:hAnsi="Arial"/>
                <w:sz w:val="13"/>
                <w:szCs w:val="13"/>
                <w:color w:val="auto"/>
              </w:rPr>
              <w:t>Motor vehicles</w:t>
            </w:r>
          </w:p>
        </w:tc>
        <w:tc>
          <w:tcPr>
            <w:tcW w:w="2840" w:type="dxa"/>
            <w:vAlign w:val="bottom"/>
          </w:tcPr>
          <w:p>
            <w:pPr>
              <w:jc w:val="center"/>
              <w:ind w:left="496"/>
              <w:spacing w:after="0"/>
              <w:rPr>
                <w:sz w:val="20"/>
                <w:szCs w:val="20"/>
                <w:color w:val="auto"/>
              </w:rPr>
            </w:pPr>
            <w:r>
              <w:rPr>
                <w:rFonts w:ascii="Arial" w:cs="Arial" w:eastAsia="Arial" w:hAnsi="Arial"/>
                <w:sz w:val="13"/>
                <w:szCs w:val="13"/>
                <w:color w:val="auto"/>
              </w:rPr>
              <w:t>5</w:t>
            </w:r>
          </w:p>
        </w:tc>
      </w:tr>
    </w:tbl>
    <w:p>
      <w:pPr>
        <w:spacing w:after="0" w:line="257" w:lineRule="exact"/>
        <w:rPr>
          <w:sz w:val="20"/>
          <w:szCs w:val="20"/>
          <w:color w:val="auto"/>
        </w:rPr>
      </w:pPr>
    </w:p>
    <w:p>
      <w:pPr>
        <w:spacing w:after="0"/>
        <w:rPr>
          <w:sz w:val="20"/>
          <w:szCs w:val="20"/>
          <w:color w:val="auto"/>
        </w:rPr>
      </w:pPr>
      <w:r>
        <w:rPr>
          <w:rFonts w:ascii="Arial" w:cs="Arial" w:eastAsia="Arial" w:hAnsi="Arial"/>
          <w:sz w:val="13"/>
          <w:szCs w:val="13"/>
          <w:color w:val="auto"/>
        </w:rPr>
        <w:t>Leasehold improvements are amortised using the straight-line method over the estimated useful life of the asset or the lease term, whichever is shorter.</w:t>
      </w:r>
    </w:p>
    <w:p>
      <w:pPr>
        <w:spacing w:after="0" w:line="20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On disposal of property, plant and equipment the cost and related accumulated depreciation and impairments are removed from the financial statements and the net amount, less any proceeds, is taken to the Consolidated Statement of Profit and Loss.</w:t>
      </w:r>
    </w:p>
    <w:p>
      <w:pPr>
        <w:spacing w:after="0" w:line="167"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The carrying amounts of the Group’s property, plant and equipment are reviewed at each reporting date to determine whether there is any indicator of impairment. Where such an indicator exists an impairment review is carried out. An impairment loss is recognised whenever the carrying amount of an asset or its cash generation unit exceeds its recoverable amount. Impairment losses are recognised in the Consolidated Statement of Profit and Loss.</w:t>
      </w:r>
    </w:p>
    <w:p>
      <w:pPr>
        <w:spacing w:after="0" w:line="176"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Subsequent costs are included in an asset’s carrying amount or recognised as a separate asset, as appropriate, only when it is probable that future economic benefits associated with the item will flow to the Group and the cost of the replaced item can be measured reliably. All other repair and maintenance costs are charged to the Consolidated Statement of Profit and Loss during the financial period in which they are incurred.</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Right-of-use assets and lease liabilities</w:t>
      </w:r>
    </w:p>
    <w:p>
      <w:pPr>
        <w:spacing w:after="0" w:line="17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ICON determines if an arrangement is a lease at inception and recognises the rights and obligations resulting from virtually all leases on the Consolidated Statements of Financial Position as right-of-use (ROU) assets with corresponding lease liabilities.</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right-of-use assets comprise the initial measurement of the corresponding lease liability, plus lease payments made at or before the commencement day and any initial direct costs, less any lease incentives received. They are subsequently measured at cost less accumulated depreciation and impairment losses. Right-of-use assets are depreciated over the lease term.</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right-of-use assets are presented as a separate line in the Consolidated Statement of Financial Position. The Group applies IAS 36 to determine whether a right-of-use asset is impaired and accounts for any identified impairment loss as described in the ‘Property, Plant and Equipment’ policy.</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1280"/>
          </w:cols>
          <w:pgMar w:left="300" w:top="698" w:right="31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190" w:lineRule="exact"/>
        <w:rPr>
          <w:sz w:val="20"/>
          <w:szCs w:val="20"/>
          <w:color w:val="auto"/>
        </w:rPr>
      </w:pPr>
    </w:p>
    <w:p>
      <w:pPr>
        <w:ind w:left="260" w:hanging="255"/>
        <w:spacing w:after="0"/>
        <w:tabs>
          <w:tab w:leader="none" w:pos="260" w:val="left"/>
        </w:tabs>
        <w:numPr>
          <w:ilvl w:val="0"/>
          <w:numId w:val="40"/>
        </w:numPr>
        <w:rPr>
          <w:rFonts w:ascii="Arial" w:cs="Arial" w:eastAsia="Arial" w:hAnsi="Arial"/>
          <w:sz w:val="13"/>
          <w:szCs w:val="13"/>
          <w:b w:val="1"/>
          <w:bCs w:val="1"/>
          <w:color w:val="auto"/>
        </w:rPr>
      </w:pPr>
      <w:r>
        <w:rPr>
          <w:rFonts w:ascii="Arial" w:cs="Arial" w:eastAsia="Arial" w:hAnsi="Arial"/>
          <w:sz w:val="13"/>
          <w:szCs w:val="13"/>
          <w:b w:val="1"/>
          <w:bCs w:val="1"/>
          <w:color w:val="auto"/>
        </w:rPr>
        <w:t>Basis of preparation and statement of accounting policies (continued)</w:t>
      </w:r>
    </w:p>
    <w:p>
      <w:pPr>
        <w:spacing w:after="0" w:line="200" w:lineRule="exact"/>
        <w:rPr>
          <w:sz w:val="20"/>
          <w:szCs w:val="20"/>
          <w:color w:val="auto"/>
        </w:rPr>
      </w:pP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Lease liabilities are recognised based on the present value of future minimum lease payments over the lease term at commencement date or date of transition with the interest element of the finance lease charged to financing expense. As most of ICON's leases do not provide an implicit rate, the discount rate used is based on the Group's incremental borrowing rate derived from the rate of traded corporate bonds available at the commencement date adjusted for country risk, liquidity and lease term.</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Current lease liabilities are included in accrued and other liabilities in the Consolidated Statement of Financial Position and non-current lease liabilities are presented as a separate line. The lease liability is subsequently measured by increasing the carrying amount to reflect interest on the lease liability (using the effective interest method) and by reducing the carrying amount to reflect the lease payments made.</w:t>
      </w:r>
    </w:p>
    <w:p>
      <w:pPr>
        <w:spacing w:after="0" w:line="15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Lease terms may also include options to extend or terminate. Such options are actively reviewed and adjustments to the ROU asset and lease liability are made when it is reasonably certain the option will be exercised.</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Amendments to IFRS 16 were made by the IASB in 2020 allowing rent concessions directly related to the COVID-19 pandemic not to be accounted as lease modifications. Rental concessions directly related to the COVID-19 pandemic are recognised in the Consolidated Statement of Profit and Loss in the period they are received.</w:t>
      </w:r>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color w:val="auto"/>
        </w:rPr>
        <w:t>The Group accounts for lease and non-lease components separately with the exception of motor vehicle leases for which lease and non-lease components are accounted as a single lease component.</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Lease components are reflected in the Consolidated Statements of Financial Position and non-lease components expensed directly to the Consolidated Statements of Profit and Loss.</w:t>
      </w:r>
    </w:p>
    <w:p>
      <w:pPr>
        <w:spacing w:after="0" w:line="178"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Group has elected to account for short-term leases using the practical expedient. Instead of recognising a right-of-use asset and lease liability, the payments in relation to these are recognised as an expense in the Consolidated Statement of Profit and Loss on a straight-line basis over the lease term.</w:t>
      </w:r>
    </w:p>
    <w:p>
      <w:pPr>
        <w:spacing w:after="0" w:line="14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In some cases, ICON enters into sublease agreements and becomes both a lessee and a lessor for the same underlying asset. When the Group is an intermediate lessor, it accounts for the head lease and the sub-lease as two separate contracts. Subleases are accounted for in the same way as other leases. The sub-lease is classified as a finance or operating lease by reference to the right-of-use asset arising from the head lease.</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Business combinations</w:t>
      </w:r>
    </w:p>
    <w:p>
      <w:pPr>
        <w:spacing w:after="0" w:line="201"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Business combinations are accounted for using the acquisition method when control is transferred to the Group. The consideration transferred is measured at fair value, as are the identifiable assets acquired and liabilities assumed. Where a business combination agreement provides for an adjustment to the cost of the acquisition which is contingent upon future events, the amount of the estimated adjustment is recognised on the acquisition date at the acquisition date fair value of this contingent consideration. The accounting treatment of any changes to this estimate in subsequent periods will depend on the classification of the contingent consideration. If the contingent consideration is classified as equity it shall not be re-measured and the settlement shall be accounted for within equity. If the contingent consideration is classified as a liability any adjustments to the assessment of contingent consideration determined as at acquisition date will be accounted for through the Consolidated Statement of Profit and Loss, as the liability is measured at fair value at each reporting date.</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assets, liabilities and contingent liabilities of businesses acquired are measured at their fair values at the date of acquisition. In the case of a business combination which is completed in stages, the fair values of the identifiable assets, liabilities and contingent liabilities are re-determined at the date of each transaction until control is obtained. When the initial accounting for a business combination is determined provisionally, any subsequent adjustments to the provisional values allocated to the identifiable assets, liabilities and contingent liabilities are made within twelve months of the acquisition date and presented as adjustments to the original acquisition accounting. Acquisition costs are expensed as incurred.</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Goodwill</w:t>
      </w:r>
    </w:p>
    <w:p>
      <w:pPr>
        <w:spacing w:after="0" w:line="201"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The Group measures goodwill at the acquisition date as the fair value of the consideration transferred plus the recognised amount of any non controlling interests in the acquiree, if the business combination is achieved in stages, the fair value of the pre-existing equity interest in the acquiree, less the net recognised amount (generally fair value) of the identifiable assets acquired and liabilities assumed. Goodwill on the acquisition of subsidiaries is included in ‘intangible assets – goodwill and other’.</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1280"/>
          </w:cols>
          <w:pgMar w:left="300" w:top="698" w:right="31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190" w:lineRule="exact"/>
        <w:rPr>
          <w:sz w:val="20"/>
          <w:szCs w:val="20"/>
          <w:color w:val="auto"/>
        </w:rPr>
      </w:pPr>
    </w:p>
    <w:p>
      <w:pPr>
        <w:ind w:left="260" w:hanging="255"/>
        <w:spacing w:after="0"/>
        <w:tabs>
          <w:tab w:leader="none" w:pos="260" w:val="left"/>
        </w:tabs>
        <w:numPr>
          <w:ilvl w:val="0"/>
          <w:numId w:val="41"/>
        </w:numPr>
        <w:rPr>
          <w:rFonts w:ascii="Arial" w:cs="Arial" w:eastAsia="Arial" w:hAnsi="Arial"/>
          <w:sz w:val="13"/>
          <w:szCs w:val="13"/>
          <w:b w:val="1"/>
          <w:bCs w:val="1"/>
          <w:color w:val="auto"/>
        </w:rPr>
      </w:pPr>
      <w:r>
        <w:rPr>
          <w:rFonts w:ascii="Arial" w:cs="Arial" w:eastAsia="Arial" w:hAnsi="Arial"/>
          <w:sz w:val="13"/>
          <w:szCs w:val="13"/>
          <w:b w:val="1"/>
          <w:bCs w:val="1"/>
          <w:color w:val="auto"/>
        </w:rPr>
        <w:t>Basis of preparation and statement of accounting policies (continued)</w:t>
      </w:r>
    </w:p>
    <w:p>
      <w:pPr>
        <w:spacing w:after="0" w:line="200" w:lineRule="exact"/>
        <w:rPr>
          <w:sz w:val="20"/>
          <w:szCs w:val="20"/>
          <w:color w:val="auto"/>
        </w:rPr>
      </w:pP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At the acquisition date, any goodwill acquired is allocated to the cash-generating units expected to benefit from the combination's synergies. Impairment is determined by assessing the recoverable amount of the cash-generating unit to which the goodwill relates. Where goodwill forms part of a cash-generating unit and part of the operation within that unit is disposed of, the goodwill associated with the operation disposed of is included in the carrying amount of the operation when determining the gain or loss on disposal of the operation. Goodwill disposed of in this circumstance is measured on the basis of the relative values of the operation disposed of and the proportion of the cash-generating unit retained.</w:t>
      </w:r>
    </w:p>
    <w:p>
      <w:pPr>
        <w:spacing w:after="0" w:line="165"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Following initial recognition, goodwill is measured at cost less any accumulated impairment losses. Goodwill is reviewed for impairment annually or more frequently if events or changes in circumstances indicate that the carrying value may be impaired.</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Intangible assets</w:t>
      </w:r>
    </w:p>
    <w:p>
      <w:pPr>
        <w:spacing w:after="0" w:line="190"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Other intangible assets are stated at cost less accumulated amortisation and impairment losses. Useful lives of intangibles are reviewed and adjusted if appropriate at each reporting date. Amortisation is charged to the Consolidated Statement of Profit and Loss on a straight-line basis over the estimated useful lives of intangible assets, currently estimated as follows:</w:t>
      </w:r>
    </w:p>
    <w:p>
      <w:pPr>
        <w:spacing w:after="0" w:line="210" w:lineRule="exact"/>
        <w:rPr>
          <w:sz w:val="20"/>
          <w:szCs w:val="20"/>
          <w:color w:val="auto"/>
        </w:rPr>
      </w:pPr>
    </w:p>
    <w:tbl>
      <w:tblPr>
        <w:tblLayout w:type="fixed"/>
        <w:tblInd w:w="140" w:type="dxa"/>
        <w:tblCellMar>
          <w:top w:w="0" w:type="dxa"/>
          <w:left w:w="0" w:type="dxa"/>
          <w:bottom w:w="0" w:type="dxa"/>
          <w:right w:w="0" w:type="dxa"/>
        </w:tblCellMar>
      </w:tblPr>
      <w:tr>
        <w:trPr>
          <w:trHeight w:val="170"/>
        </w:trPr>
        <w:tc>
          <w:tcPr>
            <w:tcW w:w="3060" w:type="dxa"/>
            <w:vAlign w:val="bottom"/>
            <w:tcBorders>
              <w:bottom w:val="single" w:sz="8" w:color="auto"/>
            </w:tcBorders>
            <w:shd w:val="clear" w:color="auto" w:fill="CCEEFF"/>
          </w:tcPr>
          <w:p>
            <w:pPr>
              <w:spacing w:after="0"/>
              <w:rPr>
                <w:sz w:val="14"/>
                <w:szCs w:val="14"/>
                <w:color w:val="auto"/>
              </w:rPr>
            </w:pPr>
          </w:p>
        </w:tc>
        <w:tc>
          <w:tcPr>
            <w:tcW w:w="2760" w:type="dxa"/>
            <w:vAlign w:val="bottom"/>
            <w:tcBorders>
              <w:bottom w:val="single" w:sz="8" w:color="auto"/>
            </w:tcBorders>
            <w:shd w:val="clear" w:color="auto" w:fill="CCEEFF"/>
          </w:tcPr>
          <w:p>
            <w:pPr>
              <w:ind w:left="1480"/>
              <w:spacing w:after="0"/>
              <w:rPr>
                <w:sz w:val="20"/>
                <w:szCs w:val="20"/>
                <w:color w:val="auto"/>
              </w:rPr>
            </w:pPr>
            <w:r>
              <w:rPr>
                <w:rFonts w:ascii="Arial" w:cs="Arial" w:eastAsia="Arial" w:hAnsi="Arial"/>
                <w:sz w:val="13"/>
                <w:szCs w:val="13"/>
                <w:b w:val="1"/>
                <w:bCs w:val="1"/>
                <w:color w:val="auto"/>
              </w:rPr>
              <w:t>Years</w:t>
            </w:r>
          </w:p>
        </w:tc>
      </w:tr>
      <w:tr>
        <w:trPr>
          <w:trHeight w:val="159"/>
        </w:trPr>
        <w:tc>
          <w:tcPr>
            <w:tcW w:w="3060" w:type="dxa"/>
            <w:vAlign w:val="bottom"/>
          </w:tcPr>
          <w:p>
            <w:pPr>
              <w:spacing w:after="0"/>
              <w:rPr>
                <w:sz w:val="20"/>
                <w:szCs w:val="20"/>
                <w:color w:val="auto"/>
              </w:rPr>
            </w:pPr>
            <w:r>
              <w:rPr>
                <w:rFonts w:ascii="Arial" w:cs="Arial" w:eastAsia="Arial" w:hAnsi="Arial"/>
                <w:sz w:val="13"/>
                <w:szCs w:val="13"/>
                <w:color w:val="auto"/>
              </w:rPr>
              <w:t>Computer software</w:t>
            </w:r>
          </w:p>
        </w:tc>
        <w:tc>
          <w:tcPr>
            <w:tcW w:w="2760" w:type="dxa"/>
            <w:vAlign w:val="bottom"/>
          </w:tcPr>
          <w:p>
            <w:pPr>
              <w:jc w:val="center"/>
              <w:ind w:left="476"/>
              <w:spacing w:after="0"/>
              <w:rPr>
                <w:sz w:val="20"/>
                <w:szCs w:val="20"/>
                <w:color w:val="auto"/>
              </w:rPr>
            </w:pPr>
            <w:r>
              <w:rPr>
                <w:rFonts w:ascii="Arial" w:cs="Arial" w:eastAsia="Arial" w:hAnsi="Arial"/>
                <w:sz w:val="13"/>
                <w:szCs w:val="13"/>
                <w:color w:val="auto"/>
                <w:w w:val="95"/>
              </w:rPr>
              <w:t>2-8</w:t>
            </w:r>
          </w:p>
        </w:tc>
      </w:tr>
      <w:tr>
        <w:trPr>
          <w:trHeight w:val="171"/>
        </w:trPr>
        <w:tc>
          <w:tcPr>
            <w:tcW w:w="3060" w:type="dxa"/>
            <w:vAlign w:val="bottom"/>
            <w:shd w:val="clear" w:color="auto" w:fill="CCEEFF"/>
          </w:tcPr>
          <w:p>
            <w:pPr>
              <w:spacing w:after="0"/>
              <w:rPr>
                <w:sz w:val="20"/>
                <w:szCs w:val="20"/>
                <w:color w:val="auto"/>
              </w:rPr>
            </w:pPr>
            <w:r>
              <w:rPr>
                <w:rFonts w:ascii="Arial" w:cs="Arial" w:eastAsia="Arial" w:hAnsi="Arial"/>
                <w:sz w:val="13"/>
                <w:szCs w:val="13"/>
                <w:color w:val="auto"/>
              </w:rPr>
              <w:t>Customer relationships</w:t>
            </w:r>
          </w:p>
        </w:tc>
        <w:tc>
          <w:tcPr>
            <w:tcW w:w="2760" w:type="dxa"/>
            <w:vAlign w:val="bottom"/>
            <w:shd w:val="clear" w:color="auto" w:fill="CCEEFF"/>
          </w:tcPr>
          <w:p>
            <w:pPr>
              <w:jc w:val="center"/>
              <w:ind w:left="476"/>
              <w:spacing w:after="0"/>
              <w:rPr>
                <w:sz w:val="20"/>
                <w:szCs w:val="20"/>
                <w:color w:val="auto"/>
              </w:rPr>
            </w:pPr>
            <w:r>
              <w:rPr>
                <w:rFonts w:ascii="Arial" w:cs="Arial" w:eastAsia="Arial" w:hAnsi="Arial"/>
                <w:sz w:val="13"/>
                <w:szCs w:val="13"/>
                <w:color w:val="auto"/>
                <w:w w:val="99"/>
              </w:rPr>
              <w:t>7-23</w:t>
            </w:r>
          </w:p>
        </w:tc>
      </w:tr>
      <w:tr>
        <w:trPr>
          <w:trHeight w:val="169"/>
        </w:trPr>
        <w:tc>
          <w:tcPr>
            <w:tcW w:w="3060" w:type="dxa"/>
            <w:vAlign w:val="bottom"/>
          </w:tcPr>
          <w:p>
            <w:pPr>
              <w:spacing w:after="0"/>
              <w:rPr>
                <w:sz w:val="20"/>
                <w:szCs w:val="20"/>
                <w:color w:val="auto"/>
              </w:rPr>
            </w:pPr>
            <w:r>
              <w:rPr>
                <w:rFonts w:ascii="Arial" w:cs="Arial" w:eastAsia="Arial" w:hAnsi="Arial"/>
                <w:sz w:val="13"/>
                <w:szCs w:val="13"/>
                <w:color w:val="auto"/>
              </w:rPr>
              <w:t>Order backlog</w:t>
            </w:r>
          </w:p>
        </w:tc>
        <w:tc>
          <w:tcPr>
            <w:tcW w:w="2760" w:type="dxa"/>
            <w:vAlign w:val="bottom"/>
          </w:tcPr>
          <w:p>
            <w:pPr>
              <w:jc w:val="center"/>
              <w:ind w:left="476"/>
              <w:spacing w:after="0"/>
              <w:rPr>
                <w:sz w:val="20"/>
                <w:szCs w:val="20"/>
                <w:color w:val="auto"/>
              </w:rPr>
            </w:pPr>
            <w:r>
              <w:rPr>
                <w:rFonts w:ascii="Arial" w:cs="Arial" w:eastAsia="Arial" w:hAnsi="Arial"/>
                <w:sz w:val="13"/>
                <w:szCs w:val="13"/>
                <w:color w:val="auto"/>
                <w:w w:val="95"/>
              </w:rPr>
              <w:t>1-7</w:t>
            </w:r>
          </w:p>
        </w:tc>
      </w:tr>
      <w:tr>
        <w:trPr>
          <w:trHeight w:val="171"/>
        </w:trPr>
        <w:tc>
          <w:tcPr>
            <w:tcW w:w="3060" w:type="dxa"/>
            <w:vAlign w:val="bottom"/>
            <w:shd w:val="clear" w:color="auto" w:fill="CCEEFF"/>
          </w:tcPr>
          <w:p>
            <w:pPr>
              <w:spacing w:after="0"/>
              <w:rPr>
                <w:sz w:val="20"/>
                <w:szCs w:val="20"/>
                <w:color w:val="auto"/>
              </w:rPr>
            </w:pPr>
            <w:r>
              <w:rPr>
                <w:rFonts w:ascii="Arial" w:cs="Arial" w:eastAsia="Arial" w:hAnsi="Arial"/>
                <w:sz w:val="13"/>
                <w:szCs w:val="13"/>
                <w:color w:val="auto"/>
              </w:rPr>
              <w:t>Tradenames</w:t>
            </w:r>
          </w:p>
        </w:tc>
        <w:tc>
          <w:tcPr>
            <w:tcW w:w="2760" w:type="dxa"/>
            <w:vAlign w:val="bottom"/>
            <w:shd w:val="clear" w:color="auto" w:fill="CCEEFF"/>
          </w:tcPr>
          <w:p>
            <w:pPr>
              <w:jc w:val="center"/>
              <w:ind w:left="476"/>
              <w:spacing w:after="0"/>
              <w:rPr>
                <w:sz w:val="20"/>
                <w:szCs w:val="20"/>
                <w:color w:val="auto"/>
              </w:rPr>
            </w:pPr>
            <w:r>
              <w:rPr>
                <w:rFonts w:ascii="Arial" w:cs="Arial" w:eastAsia="Arial" w:hAnsi="Arial"/>
                <w:sz w:val="13"/>
                <w:szCs w:val="13"/>
                <w:color w:val="auto"/>
                <w:w w:val="95"/>
              </w:rPr>
              <w:t>3-5</w:t>
            </w:r>
          </w:p>
        </w:tc>
      </w:tr>
      <w:tr>
        <w:trPr>
          <w:trHeight w:val="169"/>
        </w:trPr>
        <w:tc>
          <w:tcPr>
            <w:tcW w:w="3060" w:type="dxa"/>
            <w:vAlign w:val="bottom"/>
          </w:tcPr>
          <w:p>
            <w:pPr>
              <w:spacing w:after="0"/>
              <w:rPr>
                <w:sz w:val="20"/>
                <w:szCs w:val="20"/>
                <w:color w:val="auto"/>
              </w:rPr>
            </w:pPr>
            <w:r>
              <w:rPr>
                <w:rFonts w:ascii="Arial" w:cs="Arial" w:eastAsia="Arial" w:hAnsi="Arial"/>
                <w:sz w:val="13"/>
                <w:szCs w:val="13"/>
                <w:color w:val="auto"/>
              </w:rPr>
              <w:t>Technology asset</w:t>
            </w:r>
          </w:p>
        </w:tc>
        <w:tc>
          <w:tcPr>
            <w:tcW w:w="2760" w:type="dxa"/>
            <w:vAlign w:val="bottom"/>
          </w:tcPr>
          <w:p>
            <w:pPr>
              <w:jc w:val="center"/>
              <w:ind w:left="476"/>
              <w:spacing w:after="0"/>
              <w:rPr>
                <w:sz w:val="20"/>
                <w:szCs w:val="20"/>
                <w:color w:val="auto"/>
              </w:rPr>
            </w:pPr>
            <w:r>
              <w:rPr>
                <w:rFonts w:ascii="Arial" w:cs="Arial" w:eastAsia="Arial" w:hAnsi="Arial"/>
                <w:sz w:val="13"/>
                <w:szCs w:val="13"/>
                <w:color w:val="auto"/>
                <w:w w:val="95"/>
              </w:rPr>
              <w:t>5-8</w:t>
            </w:r>
          </w:p>
        </w:tc>
      </w:tr>
      <w:tr>
        <w:trPr>
          <w:trHeight w:val="171"/>
        </w:trPr>
        <w:tc>
          <w:tcPr>
            <w:tcW w:w="3060" w:type="dxa"/>
            <w:vAlign w:val="bottom"/>
            <w:shd w:val="clear" w:color="auto" w:fill="CCEEFF"/>
          </w:tcPr>
          <w:p>
            <w:pPr>
              <w:spacing w:after="0"/>
              <w:rPr>
                <w:sz w:val="20"/>
                <w:szCs w:val="20"/>
                <w:color w:val="auto"/>
              </w:rPr>
            </w:pPr>
            <w:r>
              <w:rPr>
                <w:rFonts w:ascii="Arial" w:cs="Arial" w:eastAsia="Arial" w:hAnsi="Arial"/>
                <w:sz w:val="13"/>
                <w:szCs w:val="13"/>
                <w:color w:val="auto"/>
              </w:rPr>
              <w:t>Non-compete arrangements</w:t>
            </w:r>
          </w:p>
        </w:tc>
        <w:tc>
          <w:tcPr>
            <w:tcW w:w="2760" w:type="dxa"/>
            <w:vAlign w:val="bottom"/>
            <w:shd w:val="clear" w:color="auto" w:fill="CCEEFF"/>
          </w:tcPr>
          <w:p>
            <w:pPr>
              <w:jc w:val="center"/>
              <w:ind w:left="456"/>
              <w:spacing w:after="0"/>
              <w:rPr>
                <w:sz w:val="20"/>
                <w:szCs w:val="20"/>
                <w:color w:val="auto"/>
              </w:rPr>
            </w:pPr>
            <w:r>
              <w:rPr>
                <w:rFonts w:ascii="Arial" w:cs="Arial" w:eastAsia="Arial" w:hAnsi="Arial"/>
                <w:sz w:val="13"/>
                <w:szCs w:val="13"/>
                <w:color w:val="auto"/>
              </w:rPr>
              <w:t>5</w:t>
            </w:r>
          </w:p>
        </w:tc>
      </w:tr>
      <w:tr>
        <w:trPr>
          <w:trHeight w:val="167"/>
        </w:trPr>
        <w:tc>
          <w:tcPr>
            <w:tcW w:w="3060" w:type="dxa"/>
            <w:vAlign w:val="bottom"/>
          </w:tcPr>
          <w:p>
            <w:pPr>
              <w:spacing w:after="0"/>
              <w:rPr>
                <w:sz w:val="20"/>
                <w:szCs w:val="20"/>
                <w:color w:val="auto"/>
              </w:rPr>
            </w:pPr>
            <w:r>
              <w:rPr>
                <w:rFonts w:ascii="Arial" w:cs="Arial" w:eastAsia="Arial" w:hAnsi="Arial"/>
                <w:sz w:val="13"/>
                <w:szCs w:val="13"/>
                <w:color w:val="auto"/>
              </w:rPr>
              <w:t>Patient database</w:t>
            </w:r>
          </w:p>
        </w:tc>
        <w:tc>
          <w:tcPr>
            <w:tcW w:w="2760" w:type="dxa"/>
            <w:vAlign w:val="bottom"/>
          </w:tcPr>
          <w:p>
            <w:pPr>
              <w:jc w:val="center"/>
              <w:ind w:left="456"/>
              <w:spacing w:after="0"/>
              <w:rPr>
                <w:sz w:val="20"/>
                <w:szCs w:val="20"/>
                <w:color w:val="auto"/>
              </w:rPr>
            </w:pPr>
            <w:r>
              <w:rPr>
                <w:rFonts w:ascii="Arial" w:cs="Arial" w:eastAsia="Arial" w:hAnsi="Arial"/>
                <w:sz w:val="13"/>
                <w:szCs w:val="13"/>
                <w:color w:val="auto"/>
              </w:rPr>
              <w:t>7</w:t>
            </w:r>
          </w:p>
        </w:tc>
      </w:tr>
    </w:tbl>
    <w:p>
      <w:pPr>
        <w:spacing w:after="0" w:line="25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Impairment</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The Group assessed at the end of each reporting period whether there was objective evidence that a financial asset or group of financial assets was impaired. A financial asset or a group of financial assets was impaired and impairment losses were incurred only if there was objective evidence of impairment as a result of one or more events that occurred after the initial recognition of the asset (a 'loss event') and that loss event (or events) had an impact on the estimated future cash flows of the financial asset or group of financial assets that could be reliably estimated.</w:t>
      </w:r>
    </w:p>
    <w:p>
      <w:pPr>
        <w:spacing w:after="0" w:line="155"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Impairment losses in respect of other non-financial assets, other than goodwill, are reversed if there has been a change in the estimates used to determine recoverable amount. Impairment losses are reversed only to the extent that the carrying amount of the asset does not exceed the carrying value that would have been determined, net of depreciation or amortisation, if no impairment loss had been recognised. Impairment losses in respect of goodwill are not reversed.</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Inventories</w:t>
      </w:r>
    </w:p>
    <w:p>
      <w:pPr>
        <w:spacing w:after="0" w:line="20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Inventories, which comprise laboratory inventories, are stated at the lower of cost and net realisable value. Cost is based on the first-in, first-out principle and includes all expenditure incurred in acquiring the inventories and bringing them to their present location and condition. Cost in the case of raw materials comprises the purchase price and attributable costs, less trade discounts. Net realisable value is the estimated selling price in the ordinary course of business, less selling expenses.</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Accounts payable</w:t>
      </w:r>
    </w:p>
    <w:p>
      <w:pPr>
        <w:spacing w:after="0" w:line="201"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Trade and other payables are presented as current liabilities unless payment is not due within 12 months after the reporting period. They are recognised initially at fair value and subsequently measured at amortised cost using the effective interest rate method.</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Government grants</w:t>
      </w:r>
    </w:p>
    <w:p>
      <w:pPr>
        <w:spacing w:after="0" w:line="201"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Government grants received that compensate the Group for the cost of an asset are recognised in the Consolidated Statement of Financial Position initially as deferred income when there is reasonable assurance that it will be received and that the Group will comply with the conditions attaching to it. Such grants are recognised in the Consolidated Statement of Profit and Loss over the useful economic life of the asset which is consistent with the depreciation policy of the relevant asset.</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1280"/>
          </w:cols>
          <w:pgMar w:left="300" w:top="698" w:right="31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190" w:lineRule="exact"/>
        <w:rPr>
          <w:sz w:val="20"/>
          <w:szCs w:val="20"/>
          <w:color w:val="auto"/>
        </w:rPr>
      </w:pPr>
    </w:p>
    <w:p>
      <w:pPr>
        <w:ind w:left="260" w:hanging="255"/>
        <w:spacing w:after="0"/>
        <w:tabs>
          <w:tab w:leader="none" w:pos="260" w:val="left"/>
        </w:tabs>
        <w:numPr>
          <w:ilvl w:val="0"/>
          <w:numId w:val="42"/>
        </w:numPr>
        <w:rPr>
          <w:rFonts w:ascii="Arial" w:cs="Arial" w:eastAsia="Arial" w:hAnsi="Arial"/>
          <w:sz w:val="13"/>
          <w:szCs w:val="13"/>
          <w:b w:val="1"/>
          <w:bCs w:val="1"/>
          <w:color w:val="auto"/>
        </w:rPr>
      </w:pPr>
      <w:r>
        <w:rPr>
          <w:rFonts w:ascii="Arial" w:cs="Arial" w:eastAsia="Arial" w:hAnsi="Arial"/>
          <w:sz w:val="13"/>
          <w:szCs w:val="13"/>
          <w:b w:val="1"/>
          <w:bCs w:val="1"/>
          <w:color w:val="auto"/>
        </w:rPr>
        <w:t>Basis of preparation and statement of accounting policies (continued)</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2"/>
          <w:szCs w:val="12"/>
          <w:color w:val="auto"/>
        </w:rPr>
        <w:t>Grants that compensate the Group for expenses incurred are recognised in the Consolidated Statement of Profit and Loss in the same periods in which the expenditure to which they relate is charged.</w:t>
      </w:r>
    </w:p>
    <w:p>
      <w:pPr>
        <w:spacing w:after="0" w:line="202" w:lineRule="exact"/>
        <w:rPr>
          <w:sz w:val="20"/>
          <w:szCs w:val="20"/>
          <w:color w:val="auto"/>
        </w:rPr>
      </w:pPr>
    </w:p>
    <w:p>
      <w:pPr>
        <w:jc w:val="both"/>
        <w:ind w:right="20"/>
        <w:spacing w:after="0" w:line="261" w:lineRule="auto"/>
        <w:rPr>
          <w:sz w:val="20"/>
          <w:szCs w:val="20"/>
          <w:color w:val="auto"/>
        </w:rPr>
      </w:pPr>
      <w:r>
        <w:rPr>
          <w:rFonts w:ascii="Arial" w:cs="Arial" w:eastAsia="Arial" w:hAnsi="Arial"/>
          <w:sz w:val="13"/>
          <w:szCs w:val="13"/>
          <w:color w:val="auto"/>
        </w:rPr>
        <w:t>Under grant agreements, amounts received may become repayable in full or in part should certain circumstances specified within the grant agreements occur, including downsizing by the Group, disposing of the related assets, ceasing to carry on its business or the appointment of a receiver over any of its assets. The Group has not recognised any such loss contingency having assessed as remote the likelihood of these events arising.</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Provisions</w:t>
      </w:r>
    </w:p>
    <w:p>
      <w:pPr>
        <w:spacing w:after="0" w:line="201" w:lineRule="exact"/>
        <w:rPr>
          <w:sz w:val="20"/>
          <w:szCs w:val="20"/>
          <w:color w:val="auto"/>
        </w:rPr>
      </w:pPr>
    </w:p>
    <w:p>
      <w:pPr>
        <w:jc w:val="both"/>
        <w:ind w:right="20"/>
        <w:spacing w:after="0" w:line="259" w:lineRule="auto"/>
        <w:rPr>
          <w:sz w:val="20"/>
          <w:szCs w:val="20"/>
          <w:color w:val="auto"/>
        </w:rPr>
      </w:pPr>
      <w:r>
        <w:rPr>
          <w:rFonts w:ascii="Arial" w:cs="Arial" w:eastAsia="Arial" w:hAnsi="Arial"/>
          <w:sz w:val="13"/>
          <w:szCs w:val="13"/>
          <w:color w:val="auto"/>
        </w:rPr>
        <w:t>A provision is recognised in the Consolidated Statement of Financial Position when the Group has a present or legal or constructive obligation as a result of a past event, and it is probable that an outflow of economic benefits will be required to settle the obligation. If the effect of the time value of money is material, provisions are determined by discounting the expected future cash flows at a pre-tax rate that reflects the time value of money and, where appropriate, the risks specific to the liability. Where discounting is used, the increase in the provision due to the passage of time is recognised as a finance cost.</w:t>
      </w:r>
    </w:p>
    <w:p>
      <w:pPr>
        <w:spacing w:after="0" w:line="172" w:lineRule="exact"/>
        <w:rPr>
          <w:sz w:val="20"/>
          <w:szCs w:val="20"/>
          <w:color w:val="auto"/>
        </w:rPr>
      </w:pPr>
    </w:p>
    <w:p>
      <w:pPr>
        <w:jc w:val="both"/>
        <w:ind w:right="20"/>
        <w:spacing w:after="0" w:line="266" w:lineRule="auto"/>
        <w:rPr>
          <w:sz w:val="20"/>
          <w:szCs w:val="20"/>
          <w:color w:val="auto"/>
        </w:rPr>
      </w:pPr>
      <w:r>
        <w:rPr>
          <w:rFonts w:ascii="Arial" w:cs="Arial" w:eastAsia="Arial" w:hAnsi="Arial"/>
          <w:sz w:val="13"/>
          <w:szCs w:val="13"/>
          <w:color w:val="auto"/>
        </w:rPr>
        <w:t>A provision for restructuring is recognised when the Group has approved a detailed and formal restructuring plan, and the restructuring has either commenced or has been announced publicly. Future operating costs are not provided for.</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Financial Instruments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The Group assesses the business models and contractual cash flows which apply to its financial assets and classified the assets into the appropriate IFRS 9 categories accordingly.</w:t>
      </w:r>
    </w:p>
    <w:p>
      <w:pPr>
        <w:spacing w:after="0" w:line="96" w:lineRule="exact"/>
        <w:rPr>
          <w:sz w:val="20"/>
          <w:szCs w:val="20"/>
          <w:color w:val="auto"/>
        </w:rPr>
      </w:pPr>
    </w:p>
    <w:tbl>
      <w:tblPr>
        <w:tblLayout w:type="fixed"/>
        <w:tblInd w:w="10" w:type="dxa"/>
        <w:tblCellMar>
          <w:top w:w="0" w:type="dxa"/>
          <w:left w:w="0" w:type="dxa"/>
          <w:bottom w:w="0" w:type="dxa"/>
          <w:right w:w="0" w:type="dxa"/>
        </w:tblCellMar>
      </w:tblPr>
      <w:tr>
        <w:trPr>
          <w:trHeight w:val="180"/>
        </w:trPr>
        <w:tc>
          <w:tcPr>
            <w:tcW w:w="2300" w:type="dxa"/>
            <w:vAlign w:val="bottom"/>
            <w:tcBorders>
              <w:top w:val="single" w:sz="8" w:color="auto"/>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Financial asset category</w:t>
            </w:r>
          </w:p>
        </w:tc>
        <w:tc>
          <w:tcPr>
            <w:tcW w:w="3060" w:type="dxa"/>
            <w:vAlign w:val="bottom"/>
            <w:tcBorders>
              <w:top w:val="single" w:sz="8" w:color="auto"/>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b w:val="1"/>
                <w:bCs w:val="1"/>
                <w:color w:val="auto"/>
              </w:rPr>
              <w:t>Classification and measurement under IFRS 9</w:t>
            </w:r>
          </w:p>
        </w:tc>
        <w:tc>
          <w:tcPr>
            <w:tcW w:w="5940" w:type="dxa"/>
            <w:vAlign w:val="bottom"/>
            <w:tcBorders>
              <w:top w:val="single" w:sz="8" w:color="auto"/>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b w:val="1"/>
                <w:bCs w:val="1"/>
                <w:color w:val="auto"/>
              </w:rPr>
              <w:t>Classification test outcomes</w:t>
            </w:r>
          </w:p>
        </w:tc>
        <w:tc>
          <w:tcPr>
            <w:tcW w:w="0" w:type="dxa"/>
            <w:vAlign w:val="bottom"/>
          </w:tcPr>
          <w:p>
            <w:pPr>
              <w:spacing w:after="0"/>
              <w:rPr>
                <w:sz w:val="1"/>
                <w:szCs w:val="1"/>
                <w:color w:val="auto"/>
              </w:rPr>
            </w:pPr>
          </w:p>
        </w:tc>
      </w:tr>
      <w:tr>
        <w:trPr>
          <w:trHeight w:val="158"/>
        </w:trPr>
        <w:tc>
          <w:tcPr>
            <w:tcW w:w="230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Cash and cash equivalents</w:t>
            </w:r>
          </w:p>
        </w:tc>
        <w:tc>
          <w:tcPr>
            <w:tcW w:w="3060" w:type="dxa"/>
            <w:vAlign w:val="bottom"/>
            <w:tcBorders>
              <w:right w:val="single" w:sz="8" w:color="auto"/>
            </w:tcBorders>
            <w:shd w:val="clear" w:color="auto" w:fill="CCEEFF"/>
          </w:tcPr>
          <w:p>
            <w:pPr>
              <w:spacing w:after="0"/>
              <w:rPr>
                <w:sz w:val="13"/>
                <w:szCs w:val="13"/>
                <w:color w:val="auto"/>
              </w:rPr>
            </w:pPr>
          </w:p>
        </w:tc>
        <w:tc>
          <w:tcPr>
            <w:tcW w:w="5940" w:type="dxa"/>
            <w:vAlign w:val="bottom"/>
            <w:tcBorders>
              <w:right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300" w:type="dxa"/>
            <w:vAlign w:val="bottom"/>
            <w:tcBorders>
              <w:left w:val="single" w:sz="8" w:color="auto"/>
              <w:right w:val="single" w:sz="8" w:color="auto"/>
            </w:tcBorders>
            <w:shd w:val="clear" w:color="auto" w:fill="CCEEFF"/>
          </w:tcPr>
          <w:p>
            <w:pPr>
              <w:spacing w:after="0"/>
              <w:rPr>
                <w:sz w:val="11"/>
                <w:szCs w:val="11"/>
                <w:color w:val="auto"/>
              </w:rPr>
            </w:pPr>
          </w:p>
        </w:tc>
        <w:tc>
          <w:tcPr>
            <w:tcW w:w="3060" w:type="dxa"/>
            <w:vAlign w:val="bottom"/>
            <w:tcBorders>
              <w:right w:val="single" w:sz="8" w:color="auto"/>
            </w:tcBorders>
            <w:shd w:val="clear" w:color="auto" w:fill="CCEEFF"/>
          </w:tcPr>
          <w:p>
            <w:pPr>
              <w:spacing w:after="0" w:line="130" w:lineRule="exact"/>
              <w:rPr>
                <w:sz w:val="20"/>
                <w:szCs w:val="20"/>
                <w:color w:val="auto"/>
              </w:rPr>
            </w:pPr>
            <w:r>
              <w:rPr>
                <w:rFonts w:ascii="Arial" w:cs="Arial" w:eastAsia="Arial" w:hAnsi="Arial"/>
                <w:sz w:val="13"/>
                <w:szCs w:val="13"/>
                <w:color w:val="auto"/>
              </w:rPr>
              <w:t>Financial assets at fair value (initial recognition)</w:t>
            </w:r>
          </w:p>
        </w:tc>
        <w:tc>
          <w:tcPr>
            <w:tcW w:w="5940" w:type="dxa"/>
            <w:vAlign w:val="bottom"/>
            <w:tcBorders>
              <w:right w:val="single" w:sz="8" w:color="auto"/>
            </w:tcBorders>
            <w:vMerge w:val="restart"/>
            <w:shd w:val="clear" w:color="auto" w:fill="CCEEFF"/>
          </w:tcPr>
          <w:p>
            <w:pPr>
              <w:spacing w:after="0"/>
              <w:rPr>
                <w:sz w:val="20"/>
                <w:szCs w:val="20"/>
                <w:color w:val="auto"/>
              </w:rPr>
            </w:pPr>
            <w:r>
              <w:rPr>
                <w:rFonts w:ascii="Arial" w:cs="Arial" w:eastAsia="Arial" w:hAnsi="Arial"/>
                <w:sz w:val="13"/>
                <w:szCs w:val="13"/>
                <w:color w:val="auto"/>
              </w:rPr>
              <w:t>Business model test result: hold to collect contractual cash flows. Cash flow characteristics test result:</w:t>
            </w:r>
          </w:p>
        </w:tc>
        <w:tc>
          <w:tcPr>
            <w:tcW w:w="0" w:type="dxa"/>
            <w:vAlign w:val="bottom"/>
          </w:tcPr>
          <w:p>
            <w:pPr>
              <w:spacing w:after="0"/>
              <w:rPr>
                <w:sz w:val="1"/>
                <w:szCs w:val="1"/>
                <w:color w:val="auto"/>
              </w:rPr>
            </w:pPr>
          </w:p>
        </w:tc>
      </w:tr>
      <w:tr>
        <w:trPr>
          <w:trHeight w:val="64"/>
        </w:trPr>
        <w:tc>
          <w:tcPr>
            <w:tcW w:w="2300" w:type="dxa"/>
            <w:vAlign w:val="bottom"/>
            <w:tcBorders>
              <w:left w:val="single" w:sz="8" w:color="auto"/>
              <w:right w:val="single" w:sz="8" w:color="auto"/>
            </w:tcBorders>
            <w:vMerge w:val="restart"/>
            <w:shd w:val="clear" w:color="auto" w:fill="CCEEFF"/>
          </w:tcPr>
          <w:p>
            <w:pPr>
              <w:ind w:left="20"/>
              <w:spacing w:after="0" w:line="149" w:lineRule="exact"/>
              <w:rPr>
                <w:sz w:val="20"/>
                <w:szCs w:val="20"/>
                <w:color w:val="auto"/>
              </w:rPr>
            </w:pPr>
            <w:r>
              <w:rPr>
                <w:rFonts w:ascii="Arial" w:cs="Arial" w:eastAsia="Arial" w:hAnsi="Arial"/>
                <w:sz w:val="13"/>
                <w:szCs w:val="13"/>
                <w:color w:val="auto"/>
              </w:rPr>
              <w:t>Trade receivables</w:t>
            </w:r>
          </w:p>
        </w:tc>
        <w:tc>
          <w:tcPr>
            <w:tcW w:w="3060" w:type="dxa"/>
            <w:vAlign w:val="bottom"/>
            <w:tcBorders>
              <w:right w:val="single" w:sz="8" w:color="auto"/>
            </w:tcBorders>
            <w:vMerge w:val="restart"/>
            <w:shd w:val="clear" w:color="auto" w:fill="CCEEFF"/>
          </w:tcPr>
          <w:p>
            <w:pPr>
              <w:spacing w:after="0" w:line="149" w:lineRule="exact"/>
              <w:rPr>
                <w:sz w:val="20"/>
                <w:szCs w:val="20"/>
                <w:color w:val="auto"/>
              </w:rPr>
            </w:pPr>
            <w:r>
              <w:rPr>
                <w:rFonts w:ascii="Arial" w:cs="Arial" w:eastAsia="Arial" w:hAnsi="Arial"/>
                <w:sz w:val="13"/>
                <w:szCs w:val="13"/>
                <w:color w:val="auto"/>
              </w:rPr>
              <w:t>followed by amortised cost net of impairments</w:t>
            </w:r>
          </w:p>
        </w:tc>
        <w:tc>
          <w:tcPr>
            <w:tcW w:w="5940" w:type="dxa"/>
            <w:vAlign w:val="bottom"/>
            <w:tcBorders>
              <w:right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85"/>
        </w:trPr>
        <w:tc>
          <w:tcPr>
            <w:tcW w:w="2300" w:type="dxa"/>
            <w:vAlign w:val="bottom"/>
            <w:tcBorders>
              <w:left w:val="single" w:sz="8" w:color="auto"/>
              <w:right w:val="single" w:sz="8" w:color="auto"/>
            </w:tcBorders>
            <w:vMerge w:val="continue"/>
            <w:shd w:val="clear" w:color="auto" w:fill="CCEEFF"/>
          </w:tcPr>
          <w:p>
            <w:pPr>
              <w:spacing w:after="0"/>
              <w:rPr>
                <w:sz w:val="7"/>
                <w:szCs w:val="7"/>
                <w:color w:val="auto"/>
              </w:rPr>
            </w:pPr>
          </w:p>
        </w:tc>
        <w:tc>
          <w:tcPr>
            <w:tcW w:w="3060" w:type="dxa"/>
            <w:vAlign w:val="bottom"/>
            <w:tcBorders>
              <w:right w:val="single" w:sz="8" w:color="auto"/>
            </w:tcBorders>
            <w:vMerge w:val="continue"/>
            <w:shd w:val="clear" w:color="auto" w:fill="CCEEFF"/>
          </w:tcPr>
          <w:p>
            <w:pPr>
              <w:spacing w:after="0"/>
              <w:rPr>
                <w:sz w:val="7"/>
                <w:szCs w:val="7"/>
                <w:color w:val="auto"/>
              </w:rPr>
            </w:pPr>
          </w:p>
        </w:tc>
        <w:tc>
          <w:tcPr>
            <w:tcW w:w="5940" w:type="dxa"/>
            <w:vAlign w:val="bottom"/>
            <w:tcBorders>
              <w:right w:val="single" w:sz="8" w:color="auto"/>
            </w:tcBorders>
            <w:vMerge w:val="restart"/>
            <w:shd w:val="clear" w:color="auto" w:fill="CCEEFF"/>
          </w:tcPr>
          <w:p>
            <w:pPr>
              <w:spacing w:after="0"/>
              <w:rPr>
                <w:sz w:val="20"/>
                <w:szCs w:val="20"/>
                <w:color w:val="auto"/>
              </w:rPr>
            </w:pPr>
            <w:r>
              <w:rPr>
                <w:rFonts w:ascii="Arial" w:cs="Arial" w:eastAsia="Arial" w:hAnsi="Arial"/>
                <w:sz w:val="13"/>
                <w:szCs w:val="13"/>
                <w:color w:val="auto"/>
              </w:rPr>
              <w:t>solely payments of principal and interest.</w:t>
            </w:r>
          </w:p>
        </w:tc>
        <w:tc>
          <w:tcPr>
            <w:tcW w:w="0" w:type="dxa"/>
            <w:vAlign w:val="bottom"/>
          </w:tcPr>
          <w:p>
            <w:pPr>
              <w:spacing w:after="0"/>
              <w:rPr>
                <w:sz w:val="1"/>
                <w:szCs w:val="1"/>
                <w:color w:val="auto"/>
              </w:rPr>
            </w:pPr>
          </w:p>
        </w:tc>
      </w:tr>
      <w:tr>
        <w:trPr>
          <w:trHeight w:val="82"/>
        </w:trPr>
        <w:tc>
          <w:tcPr>
            <w:tcW w:w="2300" w:type="dxa"/>
            <w:vAlign w:val="bottom"/>
            <w:tcBorders>
              <w:left w:val="single" w:sz="8" w:color="auto"/>
              <w:right w:val="single" w:sz="8" w:color="auto"/>
            </w:tcBorders>
            <w:shd w:val="clear" w:color="auto" w:fill="CCEEFF"/>
          </w:tcPr>
          <w:p>
            <w:pPr>
              <w:spacing w:after="0"/>
              <w:rPr>
                <w:sz w:val="7"/>
                <w:szCs w:val="7"/>
                <w:color w:val="auto"/>
              </w:rPr>
            </w:pPr>
          </w:p>
        </w:tc>
        <w:tc>
          <w:tcPr>
            <w:tcW w:w="3060" w:type="dxa"/>
            <w:vAlign w:val="bottom"/>
            <w:tcBorders>
              <w:right w:val="single" w:sz="8" w:color="auto"/>
            </w:tcBorders>
            <w:vMerge w:val="restart"/>
            <w:shd w:val="clear" w:color="auto" w:fill="CCEEFF"/>
          </w:tcPr>
          <w:p>
            <w:pPr>
              <w:spacing w:after="0"/>
              <w:rPr>
                <w:sz w:val="20"/>
                <w:szCs w:val="20"/>
                <w:color w:val="auto"/>
              </w:rPr>
            </w:pPr>
            <w:r>
              <w:rPr>
                <w:rFonts w:ascii="Arial" w:cs="Arial" w:eastAsia="Arial" w:hAnsi="Arial"/>
                <w:sz w:val="13"/>
                <w:szCs w:val="13"/>
                <w:color w:val="auto"/>
              </w:rPr>
              <w:t>(subsequent measurement).</w:t>
            </w:r>
          </w:p>
        </w:tc>
        <w:tc>
          <w:tcPr>
            <w:tcW w:w="5940" w:type="dxa"/>
            <w:vAlign w:val="bottom"/>
            <w:tcBorders>
              <w:right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300" w:type="dxa"/>
            <w:vAlign w:val="bottom"/>
            <w:tcBorders>
              <w:left w:val="single" w:sz="8" w:color="auto"/>
              <w:right w:val="single" w:sz="8" w:color="auto"/>
            </w:tcBorders>
            <w:shd w:val="clear" w:color="auto" w:fill="CCEEFF"/>
          </w:tcPr>
          <w:p>
            <w:pPr>
              <w:spacing w:after="0"/>
              <w:rPr>
                <w:sz w:val="7"/>
                <w:szCs w:val="7"/>
                <w:color w:val="auto"/>
              </w:rPr>
            </w:pPr>
          </w:p>
        </w:tc>
        <w:tc>
          <w:tcPr>
            <w:tcW w:w="3060" w:type="dxa"/>
            <w:vAlign w:val="bottom"/>
            <w:tcBorders>
              <w:right w:val="single" w:sz="8" w:color="auto"/>
            </w:tcBorders>
            <w:vMerge w:val="continue"/>
            <w:shd w:val="clear" w:color="auto" w:fill="CCEEFF"/>
          </w:tcPr>
          <w:p>
            <w:pPr>
              <w:spacing w:after="0"/>
              <w:rPr>
                <w:sz w:val="7"/>
                <w:szCs w:val="7"/>
                <w:color w:val="auto"/>
              </w:rPr>
            </w:pPr>
          </w:p>
        </w:tc>
        <w:tc>
          <w:tcPr>
            <w:tcW w:w="5940" w:type="dxa"/>
            <w:vAlign w:val="bottom"/>
            <w:tcBorders>
              <w:right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2300" w:type="dxa"/>
            <w:vAlign w:val="bottom"/>
            <w:tcBorders>
              <w:left w:val="single" w:sz="8" w:color="auto"/>
              <w:bottom w:val="single" w:sz="8" w:color="auto"/>
              <w:right w:val="single" w:sz="8" w:color="auto"/>
            </w:tcBorders>
            <w:shd w:val="clear" w:color="auto" w:fill="CCEEFF"/>
          </w:tcPr>
          <w:p>
            <w:pPr>
              <w:spacing w:after="0"/>
              <w:rPr>
                <w:sz w:val="13"/>
                <w:szCs w:val="13"/>
                <w:color w:val="auto"/>
              </w:rPr>
            </w:pPr>
          </w:p>
        </w:tc>
        <w:tc>
          <w:tcPr>
            <w:tcW w:w="3060" w:type="dxa"/>
            <w:vAlign w:val="bottom"/>
            <w:tcBorders>
              <w:bottom w:val="single" w:sz="8" w:color="auto"/>
              <w:right w:val="single" w:sz="8" w:color="auto"/>
            </w:tcBorders>
            <w:shd w:val="clear" w:color="auto" w:fill="CCEEFF"/>
          </w:tcPr>
          <w:p>
            <w:pPr>
              <w:spacing w:after="0"/>
              <w:rPr>
                <w:sz w:val="13"/>
                <w:szCs w:val="13"/>
                <w:color w:val="auto"/>
              </w:rPr>
            </w:pPr>
          </w:p>
        </w:tc>
        <w:tc>
          <w:tcPr>
            <w:tcW w:w="5940" w:type="dxa"/>
            <w:vAlign w:val="bottom"/>
            <w:tcBorders>
              <w:bottom w:val="single" w:sz="8" w:color="auto"/>
              <w:right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300" w:type="dxa"/>
            <w:vAlign w:val="bottom"/>
            <w:tcBorders>
              <w:left w:val="single" w:sz="8" w:color="auto"/>
              <w:right w:val="single" w:sz="8" w:color="auto"/>
            </w:tcBorders>
            <w:vMerge w:val="restart"/>
            <w:shd w:val="clear" w:color="auto" w:fill="CCEEFF"/>
          </w:tcPr>
          <w:p>
            <w:pPr>
              <w:ind w:left="20"/>
              <w:spacing w:after="0"/>
              <w:rPr>
                <w:sz w:val="20"/>
                <w:szCs w:val="20"/>
                <w:color w:val="auto"/>
              </w:rPr>
            </w:pPr>
            <w:r>
              <w:rPr>
                <w:rFonts w:ascii="Arial" w:cs="Arial" w:eastAsia="Arial" w:hAnsi="Arial"/>
                <w:sz w:val="13"/>
                <w:szCs w:val="13"/>
                <w:color w:val="auto"/>
              </w:rPr>
              <w:t>Current asset investments</w:t>
            </w:r>
          </w:p>
        </w:tc>
        <w:tc>
          <w:tcPr>
            <w:tcW w:w="3060" w:type="dxa"/>
            <w:vAlign w:val="bottom"/>
            <w:tcBorders>
              <w:right w:val="single" w:sz="8" w:color="auto"/>
            </w:tcBorders>
            <w:shd w:val="clear" w:color="auto" w:fill="CCEEFF"/>
          </w:tcPr>
          <w:p>
            <w:pPr>
              <w:spacing w:after="0" w:line="118" w:lineRule="exact"/>
              <w:rPr>
                <w:sz w:val="20"/>
                <w:szCs w:val="20"/>
                <w:color w:val="auto"/>
              </w:rPr>
            </w:pPr>
            <w:r>
              <w:rPr>
                <w:rFonts w:ascii="Arial" w:cs="Arial" w:eastAsia="Arial" w:hAnsi="Arial"/>
                <w:sz w:val="13"/>
                <w:szCs w:val="13"/>
                <w:color w:val="auto"/>
              </w:rPr>
              <w:t>Short-term financial assets at fair value (initial</w:t>
            </w:r>
          </w:p>
        </w:tc>
        <w:tc>
          <w:tcPr>
            <w:tcW w:w="5940" w:type="dxa"/>
            <w:vAlign w:val="bottom"/>
            <w:tcBorders>
              <w:right w:val="single" w:sz="8" w:color="auto"/>
            </w:tcBorders>
            <w:vMerge w:val="restart"/>
            <w:shd w:val="clear" w:color="auto" w:fill="CCEEFF"/>
          </w:tcPr>
          <w:p>
            <w:pPr>
              <w:spacing w:after="0"/>
              <w:rPr>
                <w:sz w:val="20"/>
                <w:szCs w:val="20"/>
                <w:color w:val="auto"/>
              </w:rPr>
            </w:pPr>
            <w:r>
              <w:rPr>
                <w:rFonts w:ascii="Arial" w:cs="Arial" w:eastAsia="Arial" w:hAnsi="Arial"/>
                <w:sz w:val="13"/>
                <w:szCs w:val="13"/>
                <w:color w:val="auto"/>
              </w:rPr>
              <w:t>See details below</w:t>
            </w:r>
          </w:p>
        </w:tc>
        <w:tc>
          <w:tcPr>
            <w:tcW w:w="0" w:type="dxa"/>
            <w:vAlign w:val="bottom"/>
          </w:tcPr>
          <w:p>
            <w:pPr>
              <w:spacing w:after="0"/>
              <w:rPr>
                <w:sz w:val="1"/>
                <w:szCs w:val="1"/>
                <w:color w:val="auto"/>
              </w:rPr>
            </w:pPr>
          </w:p>
        </w:tc>
      </w:tr>
      <w:tr>
        <w:trPr>
          <w:trHeight w:val="104"/>
        </w:trPr>
        <w:tc>
          <w:tcPr>
            <w:tcW w:w="2300" w:type="dxa"/>
            <w:vAlign w:val="bottom"/>
            <w:tcBorders>
              <w:left w:val="single" w:sz="8" w:color="auto"/>
              <w:right w:val="single" w:sz="8" w:color="auto"/>
            </w:tcBorders>
            <w:vMerge w:val="continue"/>
            <w:shd w:val="clear" w:color="auto" w:fill="CCEEFF"/>
          </w:tcPr>
          <w:p>
            <w:pPr>
              <w:spacing w:after="0"/>
              <w:rPr>
                <w:sz w:val="9"/>
                <w:szCs w:val="9"/>
                <w:color w:val="auto"/>
              </w:rPr>
            </w:pPr>
          </w:p>
        </w:tc>
        <w:tc>
          <w:tcPr>
            <w:tcW w:w="3060" w:type="dxa"/>
            <w:vAlign w:val="bottom"/>
            <w:tcBorders>
              <w:right w:val="single" w:sz="8" w:color="auto"/>
            </w:tcBorders>
            <w:vMerge w:val="restart"/>
            <w:shd w:val="clear" w:color="auto" w:fill="CCEEFF"/>
          </w:tcPr>
          <w:p>
            <w:pPr>
              <w:spacing w:after="0"/>
              <w:rPr>
                <w:sz w:val="20"/>
                <w:szCs w:val="20"/>
                <w:color w:val="auto"/>
              </w:rPr>
            </w:pPr>
            <w:r>
              <w:rPr>
                <w:rFonts w:ascii="Arial" w:cs="Arial" w:eastAsia="Arial" w:hAnsi="Arial"/>
                <w:sz w:val="13"/>
                <w:szCs w:val="13"/>
                <w:color w:val="auto"/>
              </w:rPr>
              <w:t>recognition) either through OCI or profit or loss</w:t>
            </w:r>
          </w:p>
        </w:tc>
        <w:tc>
          <w:tcPr>
            <w:tcW w:w="5940" w:type="dxa"/>
            <w:vAlign w:val="bottom"/>
            <w:tcBorders>
              <w:right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2300" w:type="dxa"/>
            <w:vAlign w:val="bottom"/>
            <w:tcBorders>
              <w:left w:val="single" w:sz="8" w:color="auto"/>
              <w:bottom w:val="single" w:sz="8" w:color="auto"/>
              <w:right w:val="single" w:sz="8" w:color="auto"/>
            </w:tcBorders>
            <w:shd w:val="clear" w:color="auto" w:fill="CCEEFF"/>
          </w:tcPr>
          <w:p>
            <w:pPr>
              <w:spacing w:after="0"/>
              <w:rPr>
                <w:sz w:val="5"/>
                <w:szCs w:val="5"/>
                <w:color w:val="auto"/>
              </w:rPr>
            </w:pPr>
          </w:p>
        </w:tc>
        <w:tc>
          <w:tcPr>
            <w:tcW w:w="3060" w:type="dxa"/>
            <w:vAlign w:val="bottom"/>
            <w:tcBorders>
              <w:bottom w:val="single" w:sz="8" w:color="auto"/>
              <w:right w:val="single" w:sz="8" w:color="auto"/>
            </w:tcBorders>
            <w:vMerge w:val="continue"/>
            <w:shd w:val="clear" w:color="auto" w:fill="CCEEFF"/>
          </w:tcPr>
          <w:p>
            <w:pPr>
              <w:spacing w:after="0"/>
              <w:rPr>
                <w:sz w:val="5"/>
                <w:szCs w:val="5"/>
                <w:color w:val="auto"/>
              </w:rPr>
            </w:pPr>
          </w:p>
        </w:tc>
        <w:tc>
          <w:tcPr>
            <w:tcW w:w="5940" w:type="dxa"/>
            <w:vAlign w:val="bottom"/>
            <w:tcBorders>
              <w:bottom w:val="single" w:sz="8" w:color="auto"/>
              <w:right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30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Non-current financial assets</w:t>
            </w:r>
          </w:p>
        </w:tc>
        <w:tc>
          <w:tcPr>
            <w:tcW w:w="306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3"/>
                <w:szCs w:val="13"/>
                <w:color w:val="auto"/>
                <w:w w:val="99"/>
              </w:rPr>
              <w:t>Long-term financial assets at fair value through profit</w:t>
            </w:r>
          </w:p>
        </w:tc>
        <w:tc>
          <w:tcPr>
            <w:tcW w:w="594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See details below</w:t>
            </w:r>
          </w:p>
        </w:tc>
        <w:tc>
          <w:tcPr>
            <w:tcW w:w="0" w:type="dxa"/>
            <w:vAlign w:val="bottom"/>
          </w:tcPr>
          <w:p>
            <w:pPr>
              <w:spacing w:after="0"/>
              <w:rPr>
                <w:sz w:val="1"/>
                <w:szCs w:val="1"/>
                <w:color w:val="auto"/>
              </w:rPr>
            </w:pPr>
          </w:p>
        </w:tc>
      </w:tr>
      <w:tr>
        <w:trPr>
          <w:trHeight w:val="106"/>
        </w:trPr>
        <w:tc>
          <w:tcPr>
            <w:tcW w:w="2300" w:type="dxa"/>
            <w:vAlign w:val="bottom"/>
            <w:tcBorders>
              <w:left w:val="single" w:sz="8" w:color="auto"/>
              <w:bottom w:val="single" w:sz="8" w:color="auto"/>
              <w:right w:val="single" w:sz="8" w:color="auto"/>
            </w:tcBorders>
            <w:shd w:val="clear" w:color="auto" w:fill="CCEEFF"/>
          </w:tcPr>
          <w:p>
            <w:pPr>
              <w:spacing w:after="0"/>
              <w:rPr>
                <w:sz w:val="9"/>
                <w:szCs w:val="9"/>
                <w:color w:val="auto"/>
              </w:rPr>
            </w:pPr>
          </w:p>
        </w:tc>
        <w:tc>
          <w:tcPr>
            <w:tcW w:w="3060" w:type="dxa"/>
            <w:vAlign w:val="bottom"/>
            <w:tcBorders>
              <w:bottom w:val="single" w:sz="8" w:color="auto"/>
              <w:right w:val="single" w:sz="8" w:color="auto"/>
            </w:tcBorders>
            <w:shd w:val="clear" w:color="auto" w:fill="CCEEFF"/>
          </w:tcPr>
          <w:p>
            <w:pPr>
              <w:spacing w:after="0" w:line="106" w:lineRule="exact"/>
              <w:rPr>
                <w:sz w:val="20"/>
                <w:szCs w:val="20"/>
                <w:color w:val="auto"/>
              </w:rPr>
            </w:pPr>
            <w:r>
              <w:rPr>
                <w:rFonts w:ascii="Arial" w:cs="Arial" w:eastAsia="Arial" w:hAnsi="Arial"/>
                <w:sz w:val="12"/>
                <w:szCs w:val="12"/>
                <w:color w:val="auto"/>
              </w:rPr>
              <w:t>or loss</w:t>
            </w:r>
          </w:p>
        </w:tc>
        <w:tc>
          <w:tcPr>
            <w:tcW w:w="5940" w:type="dxa"/>
            <w:vAlign w:val="bottom"/>
            <w:tcBorders>
              <w:bottom w:val="single" w:sz="8" w:color="auto"/>
              <w:right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300" w:hanging="295"/>
        <w:spacing w:after="0"/>
        <w:tabs>
          <w:tab w:leader="none" w:pos="300" w:val="left"/>
        </w:tabs>
        <w:numPr>
          <w:ilvl w:val="0"/>
          <w:numId w:val="43"/>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Cash and cash equivalents</w:t>
      </w:r>
    </w:p>
    <w:p>
      <w:pPr>
        <w:spacing w:after="0" w:line="201" w:lineRule="exact"/>
        <w:rPr>
          <w:sz w:val="20"/>
          <w:szCs w:val="20"/>
          <w:color w:val="auto"/>
        </w:rPr>
      </w:pPr>
    </w:p>
    <w:p>
      <w:pPr>
        <w:ind w:right="20"/>
        <w:spacing w:after="0" w:line="266" w:lineRule="auto"/>
        <w:rPr>
          <w:sz w:val="20"/>
          <w:szCs w:val="20"/>
          <w:color w:val="auto"/>
        </w:rPr>
      </w:pPr>
      <w:r>
        <w:rPr>
          <w:rFonts w:ascii="Arial" w:cs="Arial" w:eastAsia="Arial" w:hAnsi="Arial"/>
          <w:sz w:val="13"/>
          <w:szCs w:val="13"/>
          <w:color w:val="auto"/>
        </w:rPr>
        <w:t>Cash and cash equivalents include cash and highly liquid investments with original maturities of three months or less and are stated at fair value on initial recognition followed by amortised cost, which approximates fair value.</w:t>
      </w:r>
    </w:p>
    <w:p>
      <w:pPr>
        <w:spacing w:after="0" w:line="167" w:lineRule="exact"/>
        <w:rPr>
          <w:sz w:val="20"/>
          <w:szCs w:val="20"/>
          <w:color w:val="auto"/>
        </w:rPr>
      </w:pPr>
    </w:p>
    <w:p>
      <w:pPr>
        <w:ind w:left="300" w:hanging="295"/>
        <w:spacing w:after="0"/>
        <w:tabs>
          <w:tab w:leader="none" w:pos="300" w:val="left"/>
        </w:tabs>
        <w:numPr>
          <w:ilvl w:val="0"/>
          <w:numId w:val="44"/>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Trade receivables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The Group's financial assets measured at amortised cost, the most significant of which are trade receivables and unbilled receivables, are subject to IFRS 9's expected credit loss model.</w:t>
      </w:r>
    </w:p>
    <w:p>
      <w:pPr>
        <w:spacing w:after="0" w:line="201" w:lineRule="exact"/>
        <w:rPr>
          <w:sz w:val="20"/>
          <w:szCs w:val="20"/>
          <w:color w:val="auto"/>
        </w:rPr>
      </w:pPr>
    </w:p>
    <w:p>
      <w:pPr>
        <w:jc w:val="both"/>
        <w:ind w:right="20"/>
        <w:spacing w:after="0" w:line="261" w:lineRule="auto"/>
        <w:rPr>
          <w:sz w:val="20"/>
          <w:szCs w:val="20"/>
          <w:color w:val="auto"/>
        </w:rPr>
      </w:pPr>
      <w:r>
        <w:rPr>
          <w:rFonts w:ascii="Arial" w:cs="Arial" w:eastAsia="Arial" w:hAnsi="Arial"/>
          <w:sz w:val="13"/>
          <w:szCs w:val="13"/>
          <w:color w:val="auto"/>
        </w:rPr>
        <w:t>For trade receivables and unbilled revenue, the Group applies the simplified approach permitted by IFRS 9, which requires expected lifetime losses to be recognised from initial recognition of the receivables. See notes 16 and 26 for further details. The expected credit losses on these financial assets are estimated based on the Group’s historical credit loss experience, adjusted for factors that are specific to the debtors, general economic conditions and an assessment of both the current, as well as the forecast direction of conditions, at the reporting date.</w:t>
      </w:r>
    </w:p>
    <w:p>
      <w:pPr>
        <w:spacing w:after="0" w:line="159" w:lineRule="exact"/>
        <w:rPr>
          <w:sz w:val="20"/>
          <w:szCs w:val="20"/>
          <w:color w:val="auto"/>
        </w:rPr>
      </w:pPr>
    </w:p>
    <w:p>
      <w:pPr>
        <w:jc w:val="both"/>
        <w:ind w:right="20"/>
        <w:spacing w:after="0" w:line="261" w:lineRule="auto"/>
        <w:rPr>
          <w:sz w:val="20"/>
          <w:szCs w:val="20"/>
          <w:color w:val="auto"/>
        </w:rPr>
      </w:pPr>
      <w:r>
        <w:rPr>
          <w:rFonts w:ascii="Arial" w:cs="Arial" w:eastAsia="Arial" w:hAnsi="Arial"/>
          <w:sz w:val="13"/>
          <w:szCs w:val="13"/>
          <w:color w:val="auto"/>
        </w:rPr>
        <w:t>The Group writes off a financial asset when there is information indicating that the debtor is in severe financial difficulty and there is no realistic prospect of recovery, e.g. when the debtor has been placed under liquidation or has entered into bankruptcy proceedings. Financial assets written off may still be subject to enforcement activities under the Group’s recovery procedures, taking into account legal advice where appropriate. Any recoveries made are recognised in profit or loss.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1300"/>
          </w:cols>
          <w:pgMar w:left="300" w:top="698" w:right="29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190" w:lineRule="exact"/>
        <w:rPr>
          <w:sz w:val="20"/>
          <w:szCs w:val="20"/>
          <w:color w:val="auto"/>
        </w:rPr>
      </w:pPr>
    </w:p>
    <w:p>
      <w:pPr>
        <w:ind w:left="260" w:hanging="255"/>
        <w:spacing w:after="0"/>
        <w:tabs>
          <w:tab w:leader="none" w:pos="260" w:val="left"/>
        </w:tabs>
        <w:numPr>
          <w:ilvl w:val="0"/>
          <w:numId w:val="45"/>
        </w:numPr>
        <w:rPr>
          <w:rFonts w:ascii="Arial" w:cs="Arial" w:eastAsia="Arial" w:hAnsi="Arial"/>
          <w:sz w:val="13"/>
          <w:szCs w:val="13"/>
          <w:b w:val="1"/>
          <w:bCs w:val="1"/>
          <w:color w:val="auto"/>
        </w:rPr>
      </w:pPr>
      <w:r>
        <w:rPr>
          <w:rFonts w:ascii="Arial" w:cs="Arial" w:eastAsia="Arial" w:hAnsi="Arial"/>
          <w:sz w:val="13"/>
          <w:szCs w:val="13"/>
          <w:b w:val="1"/>
          <w:bCs w:val="1"/>
          <w:color w:val="auto"/>
        </w:rPr>
        <w:t>Basis of preparation and statement of accounting policies (continued)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Accounts receivable factoring</w:t>
      </w:r>
    </w:p>
    <w:p>
      <w:pPr>
        <w:spacing w:after="0" w:line="9"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Where the Company enters into an agreement to sell certain portfolios of its accounts receivable balances, the sale is accounted for in accordance with IFRS 9. Agreements which result in true sales of the transferred receivables, as defined in IFRS 9, which occur when receivables are transferred without recourse to ICON, are excluded from amounts reported in the Consolidated Balance Sheet. Cash proceeds received from such sales are included in operating cash flows. The associated finance costs are presented as interest expense.</w:t>
      </w:r>
    </w:p>
    <w:p>
      <w:pPr>
        <w:spacing w:after="0" w:line="166" w:lineRule="exact"/>
        <w:rPr>
          <w:sz w:val="20"/>
          <w:szCs w:val="20"/>
          <w:color w:val="auto"/>
        </w:rPr>
      </w:pPr>
    </w:p>
    <w:p>
      <w:pPr>
        <w:ind w:left="300" w:hanging="295"/>
        <w:spacing w:after="0"/>
        <w:tabs>
          <w:tab w:leader="none" w:pos="300" w:val="left"/>
        </w:tabs>
        <w:numPr>
          <w:ilvl w:val="0"/>
          <w:numId w:val="46"/>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Current asset investments and non-current financial assets</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The Group classifies its financial assets in the following measurement categories:</w:t>
      </w:r>
    </w:p>
    <w:p>
      <w:pPr>
        <w:spacing w:after="0" w:line="10" w:lineRule="exact"/>
        <w:rPr>
          <w:sz w:val="20"/>
          <w:szCs w:val="20"/>
          <w:color w:val="auto"/>
        </w:rPr>
      </w:pPr>
    </w:p>
    <w:p>
      <w:pPr>
        <w:ind w:left="500" w:hanging="240"/>
        <w:spacing w:after="0"/>
        <w:tabs>
          <w:tab w:leader="none" w:pos="500"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those to be measured subsequently at fair value through OCI; and</w:t>
      </w:r>
    </w:p>
    <w:p>
      <w:pPr>
        <w:ind w:left="500" w:hanging="240"/>
        <w:spacing w:after="0"/>
        <w:tabs>
          <w:tab w:leader="none" w:pos="500"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those to be measured subsequently at fair value through profit or loss.</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color w:val="auto"/>
        </w:rPr>
        <w:t>The classification depends on the entity's business model for managing financial assets and the contractual terms of the cash flows.</w:t>
      </w:r>
    </w:p>
    <w:p>
      <w:pPr>
        <w:spacing w:after="0" w:line="190"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At initial recognition, the Group measures a financial asset at its fair value plus, in the case of a financial asset not at fair value through profit or loss (FVPL), transaction costs that are directly attributable to the acquisition of the financial asset. Transaction costs of financial assets carried at FVPL are expensed in profit or loss.</w:t>
      </w:r>
    </w:p>
    <w:p>
      <w:pPr>
        <w:spacing w:after="0" w:line="146"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For assets measured at fair value, gains and losses will either be recorded in profit or loss or OCI. For investments in equity instruments that are not held for trading, this will depend on whether the Group has made an irrevocable election at the time of initial recognition to account for the equity investment at fair value through other comprehensive income (FVOCI).</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The Group reclassifies debt investments when and only when its business model for managing those assets changes.</w:t>
      </w:r>
    </w:p>
    <w:p>
      <w:pPr>
        <w:spacing w:after="0" w:line="190"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Purchases or sales of financial assets are recognised on trade date, the date the Group commits to purchase or sell the asset. Financial assets are de-recognised when the rights to receive cash flows from the financial assets have expired or have been transferred and the group has transferred substantially all the risks and rewards of ownership.</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Subsequent measurement of debt instruments depends on the Group's business model for managing the asset and the cash flow characteristics of the asset.</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There are three measurement categories into which the Group classifies its financial instruments:</w:t>
      </w:r>
    </w:p>
    <w:p>
      <w:pPr>
        <w:spacing w:after="0" w:line="201" w:lineRule="exact"/>
        <w:rPr>
          <w:sz w:val="20"/>
          <w:szCs w:val="20"/>
          <w:color w:val="auto"/>
        </w:rPr>
      </w:pPr>
    </w:p>
    <w:p>
      <w:pPr>
        <w:jc w:val="both"/>
        <w:ind w:left="520" w:hanging="260"/>
        <w:spacing w:after="0" w:line="252" w:lineRule="auto"/>
        <w:tabs>
          <w:tab w:leader="none" w:pos="511" w:val="left"/>
        </w:tabs>
        <w:numPr>
          <w:ilvl w:val="0"/>
          <w:numId w:val="48"/>
        </w:numPr>
        <w:rPr>
          <w:rFonts w:ascii="Arial" w:cs="Arial" w:eastAsia="Arial" w:hAnsi="Arial"/>
          <w:sz w:val="13"/>
          <w:szCs w:val="13"/>
          <w:color w:val="auto"/>
        </w:rPr>
      </w:pPr>
      <w:r>
        <w:rPr>
          <w:rFonts w:ascii="Arial" w:cs="Arial" w:eastAsia="Arial" w:hAnsi="Arial"/>
          <w:sz w:val="13"/>
          <w:szCs w:val="13"/>
          <w:color w:val="auto"/>
        </w:rPr>
        <w:t>Amortised cost: Assets that are held for collection of contractual cash flows where those cash flows represent solely payments of principal and interest are measured at amortised cost. Interest income from these financial assets is included in finance income using the effective interest rate method. Any gain or loss arising on derecognition is recognised directly in profit or loss and presented in other gains/(losses) together with foreign exchange gains and losses.</w:t>
      </w:r>
    </w:p>
    <w:p>
      <w:pPr>
        <w:spacing w:after="0" w:line="176" w:lineRule="exact"/>
        <w:rPr>
          <w:rFonts w:ascii="Arial" w:cs="Arial" w:eastAsia="Arial" w:hAnsi="Arial"/>
          <w:sz w:val="13"/>
          <w:szCs w:val="13"/>
          <w:color w:val="auto"/>
        </w:rPr>
      </w:pPr>
    </w:p>
    <w:p>
      <w:pPr>
        <w:jc w:val="both"/>
        <w:ind w:left="520" w:hanging="260"/>
        <w:spacing w:after="0" w:line="253" w:lineRule="auto"/>
        <w:tabs>
          <w:tab w:leader="none" w:pos="511" w:val="left"/>
        </w:tabs>
        <w:numPr>
          <w:ilvl w:val="0"/>
          <w:numId w:val="48"/>
        </w:numPr>
        <w:rPr>
          <w:rFonts w:ascii="Arial" w:cs="Arial" w:eastAsia="Arial" w:hAnsi="Arial"/>
          <w:sz w:val="13"/>
          <w:szCs w:val="13"/>
          <w:color w:val="auto"/>
        </w:rPr>
      </w:pPr>
      <w:r>
        <w:rPr>
          <w:rFonts w:ascii="Arial" w:cs="Arial" w:eastAsia="Arial" w:hAnsi="Arial"/>
          <w:sz w:val="13"/>
          <w:szCs w:val="13"/>
          <w:color w:val="auto"/>
        </w:rPr>
        <w:t>FVOCI: Assets that are held for collection of contractual cash flows and for selling the financial assets, where the assets' cash flows represent solely payments of principal and interest, are measured at FVOCI. Movements in the carrying amount are taken through OCI, except for the recognition of impairment losses. When the financial asset is derecognised, the cumulative gain or loss previously recognised in OCI is reclassified from equity to profit or loss and recognised in other gains/(losses). Interest income from these financial assets is included in finance income using the effective interest rate method.</w:t>
      </w:r>
    </w:p>
    <w:p>
      <w:pPr>
        <w:spacing w:after="0" w:line="165" w:lineRule="exact"/>
        <w:rPr>
          <w:rFonts w:ascii="Arial" w:cs="Arial" w:eastAsia="Arial" w:hAnsi="Arial"/>
          <w:sz w:val="13"/>
          <w:szCs w:val="13"/>
          <w:color w:val="auto"/>
        </w:rPr>
      </w:pPr>
    </w:p>
    <w:p>
      <w:pPr>
        <w:ind w:left="520" w:hanging="260"/>
        <w:spacing w:after="0" w:line="283" w:lineRule="auto"/>
        <w:tabs>
          <w:tab w:leader="none" w:pos="511" w:val="left"/>
        </w:tabs>
        <w:numPr>
          <w:ilvl w:val="0"/>
          <w:numId w:val="48"/>
        </w:numPr>
        <w:rPr>
          <w:rFonts w:ascii="Arial" w:cs="Arial" w:eastAsia="Arial" w:hAnsi="Arial"/>
          <w:sz w:val="13"/>
          <w:szCs w:val="13"/>
          <w:color w:val="auto"/>
        </w:rPr>
      </w:pPr>
      <w:r>
        <w:rPr>
          <w:rFonts w:ascii="Arial" w:cs="Arial" w:eastAsia="Arial" w:hAnsi="Arial"/>
          <w:sz w:val="13"/>
          <w:szCs w:val="13"/>
          <w:color w:val="auto"/>
        </w:rPr>
        <w:t>FVPL: Assets that do not meet the criteria for amortised cost or FVOCI are measured at FVPL. A gain or loss on a debt investment that is subsequently measured at FVPL is recognised in profit or loss.</w:t>
      </w:r>
    </w:p>
    <w:p>
      <w:pPr>
        <w:spacing w:after="0" w:line="146"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The Group assesses on a forward-looking basis the expected credit losses associated with its debt instruments carried at amortised cost. The impairment methodology applied depends on whether there has been a significant increase in credit risk.</w:t>
      </w:r>
    </w:p>
    <w:p>
      <w:pPr>
        <w:spacing w:after="0" w:line="146" w:lineRule="exact"/>
        <w:rPr>
          <w:sz w:val="20"/>
          <w:szCs w:val="20"/>
          <w:color w:val="auto"/>
        </w:rPr>
      </w:pPr>
    </w:p>
    <w:p>
      <w:pPr>
        <w:ind w:left="300" w:hanging="295"/>
        <w:spacing w:after="0"/>
        <w:tabs>
          <w:tab w:leader="none" w:pos="300" w:val="left"/>
        </w:tabs>
        <w:numPr>
          <w:ilvl w:val="0"/>
          <w:numId w:val="49"/>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Interest bearing loans and borrowings</w:t>
      </w:r>
    </w:p>
    <w:p>
      <w:pPr>
        <w:spacing w:after="0" w:line="19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Borrowings are initially recognised at fair value, net of transaction costs incurred. Borrowings are subsequently measured at amortised cost. Subsequent to initial recognition, current and non-current interest bearing loans and borrowings are measured at amortised cost with any difference between cost and redemption value being recognised in the Consolidated Statement of Profit and Loss over the period of the borrowings on an effective interest rate basis. Fees paid on the establishment of loan facilities are recognised as transaction costs of the loan to the extent that it is probable that some or all of the facility will be drawn down. In this case, the fee is deferred until draw down will occur. Where there is no evidence</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1280"/>
          </w:cols>
          <w:pgMar w:left="300" w:top="698" w:right="31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190" w:lineRule="exact"/>
        <w:rPr>
          <w:sz w:val="20"/>
          <w:szCs w:val="20"/>
          <w:color w:val="auto"/>
        </w:rPr>
      </w:pPr>
    </w:p>
    <w:p>
      <w:pPr>
        <w:ind w:left="260" w:hanging="255"/>
        <w:spacing w:after="0"/>
        <w:tabs>
          <w:tab w:leader="none" w:pos="260" w:val="left"/>
        </w:tabs>
        <w:numPr>
          <w:ilvl w:val="0"/>
          <w:numId w:val="50"/>
        </w:numPr>
        <w:rPr>
          <w:rFonts w:ascii="Arial" w:cs="Arial" w:eastAsia="Arial" w:hAnsi="Arial"/>
          <w:sz w:val="13"/>
          <w:szCs w:val="13"/>
          <w:b w:val="1"/>
          <w:bCs w:val="1"/>
          <w:color w:val="auto"/>
        </w:rPr>
      </w:pPr>
      <w:r>
        <w:rPr>
          <w:rFonts w:ascii="Arial" w:cs="Arial" w:eastAsia="Arial" w:hAnsi="Arial"/>
          <w:sz w:val="13"/>
          <w:szCs w:val="13"/>
          <w:b w:val="1"/>
          <w:bCs w:val="1"/>
          <w:color w:val="auto"/>
        </w:rPr>
        <w:t>Basis of preparation and statement of accounting policies (continued)</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that it is probable that some or all of the facility will be drawn down, the fee is capitalised as a prepayment and amortised over the period of the facility to which it relates.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Borrowings are classified as current liabilities unless the Group has an unconditional right to defer settlement of the liability for at least 12 months after the reporting date.</w:t>
      </w:r>
    </w:p>
    <w:p>
      <w:pPr>
        <w:spacing w:after="0" w:line="19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Borrowings are removed from the Consolidated Statement of Financial Position when the obligation specified in the contract is discharged, cancelled or expired. The difference between the carrying amount of a financial liability that has been extinguished or transferred to another party and the consideration paid, including any non-cash assets transferred or liabilities assumed, is recognised in profit or loss as other income or finance costs.</w:t>
      </w:r>
    </w:p>
    <w:p>
      <w:pPr>
        <w:spacing w:after="0" w:line="170" w:lineRule="exact"/>
        <w:rPr>
          <w:sz w:val="20"/>
          <w:szCs w:val="20"/>
          <w:color w:val="auto"/>
        </w:rPr>
      </w:pPr>
    </w:p>
    <w:p>
      <w:pPr>
        <w:ind w:left="300" w:hanging="295"/>
        <w:spacing w:after="0"/>
        <w:tabs>
          <w:tab w:leader="none" w:pos="300" w:val="left"/>
        </w:tabs>
        <w:numPr>
          <w:ilvl w:val="0"/>
          <w:numId w:val="51"/>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Derivative financial instruments and hedging</w:t>
      </w:r>
    </w:p>
    <w:p>
      <w:pPr>
        <w:spacing w:after="0" w:line="190"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Derivatives are initially recognised at fair value on the date a derivative contract is entered into and are subsequently remeasured to their fair value at the end of each reporting period. The accounting for subsequent changes in fair value depends on whether the derivative is designated as a hedging instrument, and if so, the nature of the item being hedged.</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The Group designates certain derivatives as either:</w:t>
      </w:r>
    </w:p>
    <w:p>
      <w:pPr>
        <w:spacing w:after="0" w:line="201" w:lineRule="exact"/>
        <w:rPr>
          <w:sz w:val="20"/>
          <w:szCs w:val="20"/>
          <w:color w:val="auto"/>
        </w:rPr>
      </w:pPr>
    </w:p>
    <w:p>
      <w:pPr>
        <w:ind w:left="500" w:hanging="240"/>
        <w:spacing w:after="0"/>
        <w:tabs>
          <w:tab w:leader="none" w:pos="500" w:val="left"/>
        </w:tabs>
        <w:numPr>
          <w:ilvl w:val="0"/>
          <w:numId w:val="52"/>
        </w:numPr>
        <w:rPr>
          <w:rFonts w:ascii="Arial" w:cs="Arial" w:eastAsia="Arial" w:hAnsi="Arial"/>
          <w:sz w:val="13"/>
          <w:szCs w:val="13"/>
          <w:color w:val="auto"/>
        </w:rPr>
      </w:pPr>
      <w:r>
        <w:rPr>
          <w:rFonts w:ascii="Arial" w:cs="Arial" w:eastAsia="Arial" w:hAnsi="Arial"/>
          <w:sz w:val="13"/>
          <w:szCs w:val="13"/>
          <w:color w:val="auto"/>
        </w:rPr>
        <w:t>hedges of the fair value of recognised assets or liabilities or a firm commitment (fair value hedges)</w:t>
      </w:r>
    </w:p>
    <w:p>
      <w:pPr>
        <w:spacing w:after="0" w:line="11" w:lineRule="exact"/>
        <w:rPr>
          <w:rFonts w:ascii="Arial" w:cs="Arial" w:eastAsia="Arial" w:hAnsi="Arial"/>
          <w:sz w:val="13"/>
          <w:szCs w:val="13"/>
          <w:color w:val="auto"/>
        </w:rPr>
      </w:pPr>
    </w:p>
    <w:p>
      <w:pPr>
        <w:ind w:left="500" w:hanging="240"/>
        <w:spacing w:after="0"/>
        <w:tabs>
          <w:tab w:leader="none" w:pos="500" w:val="left"/>
        </w:tabs>
        <w:numPr>
          <w:ilvl w:val="0"/>
          <w:numId w:val="52"/>
        </w:numPr>
        <w:rPr>
          <w:rFonts w:ascii="Arial" w:cs="Arial" w:eastAsia="Arial" w:hAnsi="Arial"/>
          <w:sz w:val="13"/>
          <w:szCs w:val="13"/>
          <w:color w:val="auto"/>
        </w:rPr>
      </w:pPr>
      <w:r>
        <w:rPr>
          <w:rFonts w:ascii="Arial" w:cs="Arial" w:eastAsia="Arial" w:hAnsi="Arial"/>
          <w:sz w:val="13"/>
          <w:szCs w:val="13"/>
          <w:color w:val="auto"/>
        </w:rPr>
        <w:t>hedges of a particular risk associated with the cash flows of recognised assets and liabilities and highly probable forecast transactions (cash flow hedges), or</w:t>
      </w:r>
    </w:p>
    <w:p>
      <w:pPr>
        <w:ind w:left="500" w:hanging="240"/>
        <w:spacing w:after="0"/>
        <w:tabs>
          <w:tab w:leader="none" w:pos="500" w:val="left"/>
        </w:tabs>
        <w:numPr>
          <w:ilvl w:val="0"/>
          <w:numId w:val="52"/>
        </w:numPr>
        <w:rPr>
          <w:rFonts w:ascii="Arial" w:cs="Arial" w:eastAsia="Arial" w:hAnsi="Arial"/>
          <w:sz w:val="13"/>
          <w:szCs w:val="13"/>
          <w:color w:val="auto"/>
        </w:rPr>
      </w:pPr>
      <w:r>
        <w:rPr>
          <w:rFonts w:ascii="Arial" w:cs="Arial" w:eastAsia="Arial" w:hAnsi="Arial"/>
          <w:sz w:val="13"/>
          <w:szCs w:val="13"/>
          <w:color w:val="auto"/>
        </w:rPr>
        <w:t>hedges of a net investment in a foreign operation (net investment hedges).</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At inception of the hedge relationship, the Group documents the economic relationship between hedging instruments and hedged items including whether changes in the cash flows of the hedging instruments are expected to offset changes in the cash flows of hedged items. The Group documents its risk management objective and strategy for undertaking its hedge transactions.</w:t>
      </w:r>
    </w:p>
    <w:p>
      <w:pPr>
        <w:spacing w:after="0" w:line="167"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 xml:space="preserve">The fair value of derivative financial instruments designated in hedge relationships are disclosed in </w:t>
      </w:r>
      <w:r>
        <w:rPr>
          <w:rFonts w:ascii="Arial" w:cs="Arial" w:eastAsia="Arial" w:hAnsi="Arial"/>
          <w:sz w:val="13"/>
          <w:szCs w:val="13"/>
          <w:i w:val="1"/>
          <w:iCs w:val="1"/>
          <w:color w:val="auto"/>
        </w:rPr>
        <w:t>note 26</w:t>
      </w:r>
      <w:r>
        <w:rPr>
          <w:rFonts w:ascii="Arial" w:cs="Arial" w:eastAsia="Arial" w:hAnsi="Arial"/>
          <w:sz w:val="13"/>
          <w:szCs w:val="13"/>
          <w:color w:val="auto"/>
        </w:rPr>
        <w:t xml:space="preserve"> – </w:t>
      </w:r>
      <w:r>
        <w:rPr>
          <w:rFonts w:ascii="Arial" w:cs="Arial" w:eastAsia="Arial" w:hAnsi="Arial"/>
          <w:sz w:val="13"/>
          <w:szCs w:val="13"/>
          <w:i w:val="1"/>
          <w:iCs w:val="1"/>
          <w:color w:val="auto"/>
        </w:rPr>
        <w:t>Financial instruments</w:t>
      </w:r>
      <w:r>
        <w:rPr>
          <w:rFonts w:ascii="Arial" w:cs="Arial" w:eastAsia="Arial" w:hAnsi="Arial"/>
          <w:sz w:val="13"/>
          <w:szCs w:val="13"/>
          <w:color w:val="auto"/>
        </w:rPr>
        <w:t>. Movements in the hedging reserve in shareholders' equity are shown in shareholders' equity. The full fair value of a hedging derivative is classified as a non-current asset or liability when the remaining maturity of the hedged item is more than 12 months. It is classified as a current asset or liability when the remaining maturity of the hedged item is less than 12 months.</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Cash flow hedges that qualify for hedge accounting</w:t>
      </w:r>
    </w:p>
    <w:p>
      <w:pPr>
        <w:spacing w:after="0" w:line="19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effective portion of changes in the fair value of derivatives that are designated and qualify as cash flow hedges is recognised in the cash flow hedge reserve within equity. The gain or loss relating to the ineffective portion is recognised immediately in profit or loss, within other gains/(losses).</w:t>
      </w:r>
    </w:p>
    <w:p>
      <w:pPr>
        <w:spacing w:after="0" w:line="157"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Gains or losses relating to the effective portion of the change in intrinsic value of the options are recognised in the cash flow hedge reserve within equity. The changes in the time value of the options that relate to the hedged item are recognised within OCI in the costs of hedging reserve within equity.</w:t>
      </w:r>
    </w:p>
    <w:p>
      <w:pPr>
        <w:spacing w:after="0" w:line="14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When a hedging instrument expires or is sold or terminated, or when a hedge no longer meets the criteria for hedge accounting, any cumulative deferred gain or loss and deferred costs of hedging in equity at that time remains in equity until the forecast transaction occurs.</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color w:val="auto"/>
        </w:rPr>
        <w:t>Changes in the fair value of any derivative instrument that does not qualify for hedge accounting are recognised immediately in profit or loss.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There were no open derivative transactions at 31 December 2021 or 31 December 2020.</w:t>
      </w:r>
    </w:p>
    <w:p>
      <w:pPr>
        <w:spacing w:after="0" w:line="201" w:lineRule="exact"/>
        <w:rPr>
          <w:sz w:val="20"/>
          <w:szCs w:val="20"/>
          <w:color w:val="auto"/>
        </w:rPr>
      </w:pPr>
    </w:p>
    <w:p>
      <w:pPr>
        <w:jc w:val="both"/>
        <w:spacing w:after="0" w:line="281" w:lineRule="auto"/>
        <w:rPr>
          <w:sz w:val="20"/>
          <w:szCs w:val="20"/>
          <w:color w:val="auto"/>
        </w:rPr>
      </w:pPr>
      <w:r>
        <w:rPr>
          <w:rFonts w:ascii="Arial" w:cs="Arial" w:eastAsia="Arial" w:hAnsi="Arial"/>
          <w:sz w:val="12"/>
          <w:szCs w:val="12"/>
          <w:color w:val="auto"/>
        </w:rPr>
        <w:t xml:space="preserve">The Group entered into an interest rate hedge in respect of the planned issuance of the 2020 Senior Notes in June 2020. The interest rate hedge matured in July 2020 when the interest rates on the 2020 Senior Notes was fixed. The interest rate hedge was considered an effective hedge on application of the provisions of IFRS 9. There was a cash outflow on maturity in July 2020 of $0.9 million, representing the realised loss on the interest rate hedge. The loss, representing the instrument’s fair value at maturity was recorded in Other Comprehensive Income. The unamortised portion of this loss has been released to the Statement of Profit and Loss in the period in line with the commitment to early settle the 2020 Senior Notes. See </w:t>
      </w:r>
      <w:r>
        <w:rPr>
          <w:rFonts w:ascii="Arial" w:cs="Arial" w:eastAsia="Arial" w:hAnsi="Arial"/>
          <w:sz w:val="12"/>
          <w:szCs w:val="12"/>
          <w:i w:val="1"/>
          <w:iCs w:val="1"/>
          <w:color w:val="auto"/>
        </w:rPr>
        <w:t>note 23 - Bank credit lines and loan facilities.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11280"/>
          </w:cols>
          <w:pgMar w:left="300" w:top="698" w:right="31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190" w:lineRule="exact"/>
        <w:rPr>
          <w:sz w:val="20"/>
          <w:szCs w:val="20"/>
          <w:color w:val="auto"/>
        </w:rPr>
      </w:pPr>
    </w:p>
    <w:p>
      <w:pPr>
        <w:ind w:left="260" w:hanging="255"/>
        <w:spacing w:after="0"/>
        <w:tabs>
          <w:tab w:leader="none" w:pos="260" w:val="left"/>
        </w:tabs>
        <w:numPr>
          <w:ilvl w:val="0"/>
          <w:numId w:val="53"/>
        </w:numPr>
        <w:rPr>
          <w:rFonts w:ascii="Arial" w:cs="Arial" w:eastAsia="Arial" w:hAnsi="Arial"/>
          <w:sz w:val="13"/>
          <w:szCs w:val="13"/>
          <w:b w:val="1"/>
          <w:bCs w:val="1"/>
          <w:color w:val="auto"/>
        </w:rPr>
      </w:pPr>
      <w:r>
        <w:rPr>
          <w:rFonts w:ascii="Arial" w:cs="Arial" w:eastAsia="Arial" w:hAnsi="Arial"/>
          <w:sz w:val="13"/>
          <w:szCs w:val="13"/>
          <w:b w:val="1"/>
          <w:bCs w:val="1"/>
          <w:color w:val="auto"/>
        </w:rPr>
        <w:t>Basis of preparation and statement of accounting policies (continued)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Put and call options in unconsolidated entities</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On 24 July 2020, the Group entered into an agreement to jointly establish a new company, Oncacare, with a third-party. The Group owns 49% of the voting share capital with the majority third party owning the remaining 51% voting share capital. The majority investor has the right to sell the 51% majority voting share capital exclusively to the Group in a two and half year period, commencing 1 January 2023 and the Group also has the right to acquire the 51% majority voting share capital from 1 August 2025. These option arrangements are derivative financial instruments which have been bifurcated and separately recorded from the equity host contract as Oncacare is not part of the Group. These option arrangements will be measured at their fair value at each reporting period with changes in the fair value of the financial instruments recorded through the Consolidated Statement of Profit and Loss.</w:t>
      </w:r>
    </w:p>
    <w:p>
      <w:pPr>
        <w:spacing w:after="0" w:line="164" w:lineRule="exact"/>
        <w:rPr>
          <w:sz w:val="20"/>
          <w:szCs w:val="20"/>
          <w:color w:val="auto"/>
        </w:rPr>
      </w:pPr>
    </w:p>
    <w:p>
      <w:pPr>
        <w:ind w:left="280" w:hanging="275"/>
        <w:spacing w:after="0"/>
        <w:tabs>
          <w:tab w:leader="none" w:pos="280" w:val="left"/>
        </w:tabs>
        <w:numPr>
          <w:ilvl w:val="0"/>
          <w:numId w:val="54"/>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Investments in subsidiaries - Company</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Investments in subsidiary undertakings are stated at cost less any accumulated impairment and are reviewed for impairment if there are indicators that the carrying value may not be recoverable.</w:t>
      </w:r>
    </w:p>
    <w:p>
      <w:pPr>
        <w:spacing w:after="0" w:line="20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Intercompany loans receivable and payable are initially recognised at fair value. These are subsequently measured at amortised cost, less any loss allowance, calculated on an expected credit loss basis.</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Share capital</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Ordinary shares are classified as equity. Incremental costs directly attributable to the issue of new shares or options are shown in equity as a deduction, net of tax, from the proceeds.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Where ordinary shares are re-purchased by the Company they are cancelled and the nominal value of the shares is transferred to other undenominated capital within equity.</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Noncontrolling interest</w:t>
      </w:r>
    </w:p>
    <w:p>
      <w:pPr>
        <w:spacing w:after="0" w:line="201"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ICON acquired a majority ownership interest in MeDiNova. Included in the purchase agreement were put and call option arrangements with the noncontrolling interest holders that required (put option) or enabled (call option) ICON to purchase the remaining minority ownership at a future date at a price dependant on the future results of the company. The noncontrolling interest was recorded at its fair value at the acquisition date in equity.</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financial liability for the noncontrolling interest put option was recognised at the present value of the amount payable upon exercise of the option. On initial recognition, the corresponding debit relating to the financial liability was made to equity attributable to the Company within the category 'put option in noncontrolling interest shares'. The financial asset relating to the call option meets the definition of a derivative under IFRS 9 and was measured at fair value through the profit and loss in accordance with IFRS 9.</w:t>
      </w:r>
    </w:p>
    <w:p>
      <w:pPr>
        <w:spacing w:after="0" w:line="15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All subsequent changes in the carrying amount of the financial liability that resulted from the remeasurement of the present value of the amount payable upon exercise of the noncontrolling interest put option were recognised in the profit or loss attributable to the Company.</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carrying amount of noncontrolling interest changed due to allocations of profit or loss, allocations of changes in other comprehensive income and dividends declared for the reporting period. The noncontrolling interest continued to be recognised within equity until the noncontrolling interest call/put option was exercised.</w:t>
      </w:r>
    </w:p>
    <w:p>
      <w:pPr>
        <w:spacing w:after="0" w:line="157"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On 9 March 2020 ICON exercised its option to call the outstanding shares in the noncontrolling interest to take 100% ownership of MeDiNova. On exercise of the call option, the noncontrolling interest was extinguished and a liability was recorded for the amount payable to the former noncontrolling interest holders. This liability was settled on 17 July 2020 for $43.9 million.</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Equity Method Investments</w:t>
      </w:r>
    </w:p>
    <w:p>
      <w:pPr>
        <w:spacing w:after="0" w:line="201"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Company’s investments that are not consolidated are accounted for under the equity method if the Company exercises significant influence that is considered to be greater than minor. These investments are classified as equity method investments on the accompanying Consolidated Statements of Financial Position. The Company records its pro rata share of the earnings/losses of these investments in Share of equity method investments in the Consolidated Statements of Profit and Loss. The Company reviews these for impairment whenever events or changes in circumstances indicate that the carrying amounts may not be recoverable.</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ectPr>
          <w:pgSz w:w="11900" w:h="16838" w:orient="portrait"/>
          <w:cols w:equalWidth="0" w:num="1">
            <w:col w:w="11280"/>
          </w:cols>
          <w:pgMar w:left="300" w:top="698" w:right="31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190" w:lineRule="exact"/>
        <w:rPr>
          <w:sz w:val="20"/>
          <w:szCs w:val="20"/>
          <w:color w:val="auto"/>
        </w:rPr>
      </w:pPr>
    </w:p>
    <w:p>
      <w:pPr>
        <w:ind w:left="260" w:hanging="255"/>
        <w:spacing w:after="0"/>
        <w:tabs>
          <w:tab w:leader="none" w:pos="260" w:val="left"/>
        </w:tabs>
        <w:numPr>
          <w:ilvl w:val="0"/>
          <w:numId w:val="55"/>
        </w:numPr>
        <w:rPr>
          <w:rFonts w:ascii="Arial" w:cs="Arial" w:eastAsia="Arial" w:hAnsi="Arial"/>
          <w:sz w:val="13"/>
          <w:szCs w:val="13"/>
          <w:b w:val="1"/>
          <w:bCs w:val="1"/>
          <w:color w:val="auto"/>
        </w:rPr>
      </w:pPr>
      <w:r>
        <w:rPr>
          <w:rFonts w:ascii="Arial" w:cs="Arial" w:eastAsia="Arial" w:hAnsi="Arial"/>
          <w:sz w:val="13"/>
          <w:szCs w:val="13"/>
          <w:b w:val="1"/>
          <w:bCs w:val="1"/>
          <w:color w:val="auto"/>
        </w:rPr>
        <w:t>Basis of preparation and statement of accounting policies (continued)</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Employee benefits</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 Pension and other post-employment benefits</w:t>
      </w:r>
    </w:p>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Certain companies within the Group operate defined contribution pension plans. A defined contribution plan is a pension plan under which the Group pays fixed contributions into a separate entity. The Group has no legal or constructive obligations to pay further contributions if the fund does not hold sufficient assets to pay all employees the benefits relating to employee service in the current and prior periods. Contributions to defined contribution pension plans are expensed as incurred.</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Group operates defined benefit pension plans for certain of its United Kingdom and Swiss employees through subsidiary companies. A defined benefit plan is a pension plan that is not a defined contribution plan. Typically, defined benefit plans define the amount of pension benefit that an employee will receive on retirement, usually dependent on one or more factors such as age, years of service and compensation. Obligations for contributions to defined benefit contribution pension plans are recognised as an expense in the Consolidated Statement of Profit and Loss as service is received from the relevant employees.</w:t>
      </w:r>
    </w:p>
    <w:p>
      <w:pPr>
        <w:spacing w:after="0" w:line="165"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The Group’s net obligation in respect of the defined benefit pension plans is calculated separately by estimating the amount of future benefit that employees have earned in return for their service in the current and prior periods. This benefit is discounted to determine its present value, and the fair value of plan assets deducted. The discount rate used in respect of the UK scheme is the yield at the reporting date on the iBoxx corporate bond over 15 years plus 10 basis points. The discount rate used in respect of the Swiss scheme is determined by the Swiss corporate bond yields at the reporting date. The calculation is performed by a qualified actuary using the projected unit credit method. The net finance income/cost are recorded in operating costs in the Consolidated Statement of Profit and Loss. When benefits of a plan are improved, the portion of the increased benefit relating to the past service by employees is recognised as an expense in the Consolidated Statement of Profit and Loss on a straight line basis over the average period until the benefits become vested. To the extent that the benefits vest immediately, the expense is recognised immediately in the Consolidated Statement of Profit and Loss.</w:t>
      </w:r>
    </w:p>
    <w:p>
      <w:pPr>
        <w:spacing w:after="0" w:line="18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(b) Share-based payments</w:t>
      </w:r>
    </w:p>
    <w:p>
      <w:pPr>
        <w:spacing w:after="0" w:line="188"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Share-based payments comprise options to acquire ordinary shares in the Company, RSUs and PSUs in the form of ordinary share entitlements after a certain period of time. These are awarded to certain key employees and Directors of the Group based on service conditions such as term of employment and individual performance. The fair value of options, RSUs and PSUs granted is recognised as an employee expense with a corresponding increase in equity. The fair value is measured at grant date and spread over the period during which the Directors and other employees become unconditionally entitled to the options, RSUs or PSUs. The fair value of options granted is measured using a binomial lattice model, taking into account the terms and conditions upon which the options were granted. The fair value of RSUs and PSUs is equal to the market price of a share at date of grant. The total amount to be expensed is determined by reference to the fair value of the options, RSUs or PSUs granted, excluding the impact of any non-market service and performance vesting conditions (for example profitability, sales growth targets). There are no such non-market vesting conditions during the year ended 31 December 2021 in relation to options, RSUs or PSUs that are expected to vest. The amount recognised as an expense is adjusted to reflect the actual number of share options, RSUs or PSUs that vest.</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color w:val="auto"/>
        </w:rPr>
        <w:t>Forfeitures are estimated on the date of grant and revised if actual or expected forfeiture activity differs materially from original estimates.</w:t>
      </w:r>
    </w:p>
    <w:p>
      <w:pPr>
        <w:spacing w:after="0" w:line="20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Share-based payment expense is recognised over the requisite service period for awards of equity instruments to employees based on the grant date fair value of those awards expected to ultimately vest.</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Replacement awards</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In connection with the completion of the Merger, the Company issued replacement awards to the holders of PRA equity awards on 1 July 2021. An exchange of share-based compensation awards in a business combination is treated as a modification under IFRS 2. The replacement awards and the original acquiree awards are measured at fair value at the acquisition date and calculated using the fair-value-based measurement principles in IFRS 2. Amounts attributable to pre-combination vesting are accounted for as part of the consideration transferred for the acquiree. Amounts attributable to post-combination vesting are accounted for separate from the business combination and are recognised as compensation cost in the post-combination period.</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ectPr>
          <w:pgSz w:w="11900" w:h="16838" w:orient="portrait"/>
          <w:cols w:equalWidth="0" w:num="1">
            <w:col w:w="11280"/>
          </w:cols>
          <w:pgMar w:left="300" w:top="698" w:right="31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190" w:lineRule="exact"/>
        <w:rPr>
          <w:sz w:val="20"/>
          <w:szCs w:val="20"/>
          <w:color w:val="auto"/>
        </w:rPr>
      </w:pPr>
    </w:p>
    <w:p>
      <w:pPr>
        <w:ind w:left="260" w:hanging="255"/>
        <w:spacing w:after="0"/>
        <w:tabs>
          <w:tab w:leader="none" w:pos="260" w:val="left"/>
        </w:tabs>
        <w:numPr>
          <w:ilvl w:val="0"/>
          <w:numId w:val="56"/>
        </w:numPr>
        <w:rPr>
          <w:rFonts w:ascii="Arial" w:cs="Arial" w:eastAsia="Arial" w:hAnsi="Arial"/>
          <w:sz w:val="13"/>
          <w:szCs w:val="13"/>
          <w:b w:val="1"/>
          <w:bCs w:val="1"/>
          <w:color w:val="auto"/>
        </w:rPr>
      </w:pPr>
      <w:r>
        <w:rPr>
          <w:rFonts w:ascii="Arial" w:cs="Arial" w:eastAsia="Arial" w:hAnsi="Arial"/>
          <w:sz w:val="13"/>
          <w:szCs w:val="13"/>
          <w:b w:val="1"/>
          <w:bCs w:val="1"/>
          <w:color w:val="auto"/>
        </w:rPr>
        <w:t>Basis of preparation and statement of accounting policies (continued)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 Share-based payments – Company</w:t>
      </w:r>
    </w:p>
    <w:p>
      <w:pPr>
        <w:spacing w:after="0" w:line="188"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 xml:space="preserve">The Company operates a number of share-based payment plans the details of which are presented in </w:t>
      </w:r>
      <w:r>
        <w:rPr>
          <w:rFonts w:ascii="Arial" w:cs="Arial" w:eastAsia="Arial" w:hAnsi="Arial"/>
          <w:sz w:val="13"/>
          <w:szCs w:val="13"/>
          <w:i w:val="1"/>
          <w:iCs w:val="1"/>
          <w:color w:val="auto"/>
        </w:rPr>
        <w:t>note 11 Share-based Payments</w:t>
      </w:r>
      <w:r>
        <w:rPr>
          <w:rFonts w:ascii="Arial" w:cs="Arial" w:eastAsia="Arial" w:hAnsi="Arial"/>
          <w:sz w:val="13"/>
          <w:szCs w:val="13"/>
          <w:color w:val="auto"/>
        </w:rPr>
        <w:t xml:space="preserve"> to the Consolidated Financial Statements. The share-based payment expense associated with the share-based payment plans is recognised by the entity which receives services in exchange for the share-based compensation.</w:t>
      </w:r>
    </w:p>
    <w:p>
      <w:pPr>
        <w:spacing w:after="0" w:line="167"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 xml:space="preserve">The Statement of Profit and Loss of the Company is charged with the expense related to the services received by the Company. The remaining portions of the share-based payments represent a contribution to Company’s subsidiaries and are added to the carrying amount of those investments. Under an agreement, with certain subsidiaries, on the date of exercise the Company is paid an amount equal to the fair value of the ordinary shares issued that is in excess of the award exercise price with such amount reducing the Company’s investment in its subsidiaries. The net effect of the grant date fair value of the Company’s share-based compensation to employees of the Company’s subsidiaries and recharges received from those subsidiaries is presented as a movement in financial fixed assets (see </w:t>
      </w:r>
      <w:r>
        <w:rPr>
          <w:rFonts w:ascii="Arial" w:cs="Arial" w:eastAsia="Arial" w:hAnsi="Arial"/>
          <w:sz w:val="13"/>
          <w:szCs w:val="13"/>
          <w:i w:val="1"/>
          <w:iCs w:val="1"/>
          <w:color w:val="auto"/>
        </w:rPr>
        <w:t>note 3 Investment in subsidiaries</w:t>
      </w:r>
      <w:r>
        <w:rPr>
          <w:rFonts w:ascii="Arial" w:cs="Arial" w:eastAsia="Arial" w:hAnsi="Arial"/>
          <w:sz w:val="13"/>
          <w:szCs w:val="13"/>
          <w:color w:val="auto"/>
        </w:rPr>
        <w:t>, to the Company only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190"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Company primarily earns revenues by providing a number of different services to its customers. These services, which are integral elements of the clinical development process, include clinical trials management, consulting, contract staffing, and laboratory services. Contracts range in duration from a number of months to several years.</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Revenue Recognition - Clinical trial service revenue</w:t>
      </w:r>
    </w:p>
    <w:p>
      <w:pPr>
        <w:spacing w:after="0" w:line="188"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Under IFRS 15, a clinical trial service is a single performance obligation satisfied over time i.e. the full service obligation in respect of a clinical trial (including those services performed by investigators and other parties) is considered a single performance obligation. Promises offered to the customer are not distinct within the context of the contract. ICON is the contract principal in respect of both direct services and in the use of third parties (principally investigator services) that support the clinical research project. The transaction price is determined by reference to the contract or change order value (total service revenue and pass-through/reimbursable expenses) adjusted downwards to reflect a realisable contract value. Revenue is recognised as the single performance obligation is satisfied. The progress towards completion for clinical service contracts is measured based on an input measure being project costs incurred as a proportion of total project costs (inclusive of third-party costs) at each reporting period.</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Revenue Recognition - Contracting services revenue</w:t>
      </w:r>
    </w:p>
    <w:p>
      <w:pPr>
        <w:spacing w:after="0" w:line="188"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Company has availed of the practical expedient which results in recognition of revenue on a right to invoice basis. Application of the practical expedient reflects the right to consideration from the customer in an amount that corresponds directly with the value to the customer of the performance completion to date. This reflects hours performed by contract staff.</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Revenue Recognition - Consulting services revenue</w:t>
      </w:r>
    </w:p>
    <w:p>
      <w:pPr>
        <w:spacing w:after="0" w:line="188"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Consulting services contracts represent a single performance obligation satisfied over time. The transaction price is determined by reference to contract or change order value. Revenue is recognised as the performance obligation is satisfied. The progress towards completion for consulting contracts is measured based on total project inputs (time) at each reporting period.</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Revenue Recognition - Laboratory services revenue</w:t>
      </w:r>
    </w:p>
    <w:p>
      <w:pPr>
        <w:spacing w:after="0" w:line="178"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Revenue is recognised when, or as, obligations under the terms of a contract are satisfied, which occurs when control of the products or services are transferred to the customer. Revenue for laboratory services is measured as the amount of consideration we expect to receive in exchange for transferring products or services. Where contracts with customers contain multiple performance obligations, the transaction price is allocated to each performance obligation based on the estimated relative selling price of the promised good or service. Service revenue is recognised over time as the services are delivered to the customer based on the extent of progress towards completion of the performance obligation. The determination of the methodology to measure progress requires judgement and is based on the nature of services provided. This requires an assessment of the transfer of value to the customer. The right to invoice measure of progress is generally related to rate per unit contracts, as the extent of progress towards completion is measured based on discrete service or time-based increments, such as samples tested or labour hours incurred. Revenue is recorded in the amount invoiced since those amounts corresponds to the value of the Company's performance and the transfer of value to the customer.</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11280"/>
          </w:cols>
          <w:pgMar w:left="300" w:top="698" w:right="31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190" w:lineRule="exact"/>
        <w:rPr>
          <w:sz w:val="20"/>
          <w:szCs w:val="20"/>
          <w:color w:val="auto"/>
        </w:rPr>
      </w:pPr>
    </w:p>
    <w:p>
      <w:pPr>
        <w:ind w:left="260" w:hanging="255"/>
        <w:spacing w:after="0"/>
        <w:tabs>
          <w:tab w:leader="none" w:pos="260" w:val="left"/>
        </w:tabs>
        <w:numPr>
          <w:ilvl w:val="0"/>
          <w:numId w:val="57"/>
        </w:numPr>
        <w:rPr>
          <w:rFonts w:ascii="Arial" w:cs="Arial" w:eastAsia="Arial" w:hAnsi="Arial"/>
          <w:sz w:val="13"/>
          <w:szCs w:val="13"/>
          <w:b w:val="1"/>
          <w:bCs w:val="1"/>
          <w:color w:val="auto"/>
        </w:rPr>
      </w:pPr>
      <w:r>
        <w:rPr>
          <w:rFonts w:ascii="Arial" w:cs="Arial" w:eastAsia="Arial" w:hAnsi="Arial"/>
          <w:sz w:val="13"/>
          <w:szCs w:val="13"/>
          <w:b w:val="1"/>
          <w:bCs w:val="1"/>
          <w:color w:val="auto"/>
        </w:rPr>
        <w:t>Basis of preparation and statement of accounting policies (continued)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Revenue Recognition - Data services revenue</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Company provides data reports and analytics to customers based on agreed-upon specifications, including the timing of delivery, which is typically either weekly, monthly, or quarterly. If a customer requests more than one type of data report or series of data reports within a contract, each distinct type of data report is a separate performance obligation. The contracts provide for the Company to be compensated for the value of each deliverable. The transaction price is determined using list prices, discount agreements, if any, and negotiations with the customers, and generally includes any out-of-pocket expenses. Typically, the Company bills in advance of services being provided with the amount being recorded as unearned revenue.</w:t>
      </w:r>
    </w:p>
    <w:p>
      <w:pPr>
        <w:spacing w:after="0" w:line="176"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When multiple performance obligations exist, the transaction price is allocated to performance obligations on a relative standalone selling price basis. In cases where the Company contracts to provide a series of data reports, or in some cases data, the Company recognises revenue over time using the “units delivered” output method as the data or reports are delivered. Expense reimbursements are recorded to revenue as the expenses are incurred as they relate directly to the services performed.</w:t>
      </w:r>
    </w:p>
    <w:p>
      <w:pPr>
        <w:spacing w:after="0" w:line="176" w:lineRule="exact"/>
        <w:rPr>
          <w:sz w:val="20"/>
          <w:szCs w:val="20"/>
          <w:color w:val="auto"/>
        </w:rPr>
      </w:pPr>
    </w:p>
    <w:p>
      <w:pPr>
        <w:spacing w:after="0"/>
        <w:rPr>
          <w:sz w:val="20"/>
          <w:szCs w:val="20"/>
          <w:color w:val="auto"/>
        </w:rPr>
      </w:pPr>
      <w:r>
        <w:rPr>
          <w:rFonts w:ascii="Arial" w:cs="Arial" w:eastAsia="Arial" w:hAnsi="Arial"/>
          <w:sz w:val="12"/>
          <w:szCs w:val="12"/>
          <w:color w:val="auto"/>
        </w:rPr>
        <w:t>Certain arrangements include upfront customisation or consultative services for customers. These arrangements often include payments based on the achievement of certain contractual milestones.</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Under these arrangements, the Company contracts with a customer to carry out a specific study, ultimately resulting in delivery of a custom report or data product.</w:t>
      </w:r>
    </w:p>
    <w:p>
      <w:pPr>
        <w:spacing w:after="0" w:line="189"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These arrangements are a single performance obligation given the integrated nature of the service being provided. The Company typically recognises revenue under these contracts over time, using an output-based measure, generally time</w:t>
      </w:r>
    </w:p>
    <w:p>
      <w:pPr>
        <w:jc w:val="both"/>
        <w:spacing w:after="0" w:line="264" w:lineRule="auto"/>
        <w:rPr>
          <w:sz w:val="20"/>
          <w:szCs w:val="20"/>
          <w:color w:val="auto"/>
        </w:rPr>
      </w:pPr>
      <w:r>
        <w:rPr>
          <w:rFonts w:ascii="Arial" w:cs="Arial" w:eastAsia="Arial" w:hAnsi="Arial"/>
          <w:sz w:val="13"/>
          <w:szCs w:val="13"/>
          <w:color w:val="auto"/>
        </w:rPr>
        <w:t>elapsed, to measure progress and transfer of control of the performance obligation to the customer. Expense reimbursements are recorded to revenue as the expenses are incurred as they relate directly to the service performed.</w:t>
      </w:r>
    </w:p>
    <w:p>
      <w:pPr>
        <w:spacing w:after="0" w:line="158"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The Company enters into contracts with some of its larger data suppliers that involve non-monetary terms. The Company issues purchase credits to be used toward the data supplier's purchase of the Company's services based on the fair value of the data obtained. In exchange, the Company receives monetary discounts on the data received from the data suppliers. The fair value of the revenue earned from the customer purchases is recognised as services are delivered as described above. At the end of the contract year, any unused customer purchase credits may be forfeited or carried over to the</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next contract year based on the terms of the data supplier contract.</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Commissions</w:t>
      </w:r>
    </w:p>
    <w:p>
      <w:pPr>
        <w:spacing w:after="0" w:line="188"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Incremental costs of obtaining a contract are recognised as an asset on the Consolidated Balance Sheet in respect of those contracts that exceed one year. Where commission costs relate to contracts that are less than one year, the practical expedient is applied as the amortisation period of the asset which would arise on deferral would be one year or less.</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Direct costs</w:t>
      </w:r>
    </w:p>
    <w:p>
      <w:pPr>
        <w:spacing w:after="0" w:line="20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Direct costs consist of compensation, associated employee benefits and share-based payments for project-related employees and other direct project-related costs. Reimbursable expenses are included within direct costs.</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Other operating expenses</w:t>
      </w:r>
    </w:p>
    <w:p>
      <w:pPr>
        <w:spacing w:after="0" w:line="201" w:lineRule="exact"/>
        <w:rPr>
          <w:sz w:val="20"/>
          <w:szCs w:val="20"/>
          <w:color w:val="auto"/>
        </w:rPr>
      </w:pPr>
    </w:p>
    <w:p>
      <w:pPr>
        <w:spacing w:after="0"/>
        <w:rPr>
          <w:sz w:val="20"/>
          <w:szCs w:val="20"/>
          <w:color w:val="auto"/>
        </w:rPr>
      </w:pPr>
      <w:r>
        <w:rPr>
          <w:rFonts w:ascii="Arial" w:cs="Arial" w:eastAsia="Arial" w:hAnsi="Arial"/>
          <w:sz w:val="12"/>
          <w:szCs w:val="12"/>
          <w:color w:val="auto"/>
        </w:rPr>
        <w:t>Other operating expenses consist of compensation, associated employee benefits and share-based payments for non-project-related employees and other indirect costs associated with the business.</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Other operating expenses also include depreciation expense and the amortisation of intangible assets.</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Exceptional items</w:t>
      </w:r>
    </w:p>
    <w:p>
      <w:pPr>
        <w:spacing w:after="0" w:line="19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Company has used the term “exceptional” to describe certain items which, in management’s view, warrant separate disclosure by virtue of their size or incidence, or due to the fact that certain gains or losses are determined to be non-recurring in nature. Exceptional items may include restructuring, transaction and integration-related expenses, significant impairments, and material changes in estimates. Also see the replacement awards accounting policy described above.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Transaction and integration-related expenses</w:t>
      </w:r>
    </w:p>
    <w:p>
      <w:pPr>
        <w:spacing w:after="0" w:line="9" w:lineRule="exact"/>
        <w:rPr>
          <w:sz w:val="20"/>
          <w:szCs w:val="20"/>
          <w:color w:val="auto"/>
        </w:rPr>
      </w:pPr>
    </w:p>
    <w:p>
      <w:pPr>
        <w:jc w:val="both"/>
        <w:spacing w:after="0" w:line="236" w:lineRule="auto"/>
        <w:rPr>
          <w:sz w:val="20"/>
          <w:szCs w:val="20"/>
          <w:color w:val="auto"/>
        </w:rPr>
      </w:pPr>
      <w:r>
        <w:rPr>
          <w:rFonts w:ascii="Arial" w:cs="Arial" w:eastAsia="Arial" w:hAnsi="Arial"/>
          <w:sz w:val="13"/>
          <w:szCs w:val="13"/>
          <w:color w:val="auto"/>
        </w:rPr>
        <w:t>Transaction and integration-related expenses are the incremental costs directly attributable to the completion and integration activities associated with the Group’s recent acquisitions. The costs consist of investment banking fees, advisory costs, retention agreements with employees, contingent consideration valuation adjustments and ongoing integration activities. The Group accounts for these transaction and integration-related costs as expenses in the period in which the costs are incurred and the services are received.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ectPr>
          <w:pgSz w:w="11900" w:h="16838" w:orient="portrait"/>
          <w:cols w:equalWidth="0" w:num="1">
            <w:col w:w="11280"/>
          </w:cols>
          <w:pgMar w:left="300" w:top="698" w:right="31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190" w:lineRule="exact"/>
        <w:rPr>
          <w:sz w:val="20"/>
          <w:szCs w:val="20"/>
          <w:color w:val="auto"/>
        </w:rPr>
      </w:pPr>
    </w:p>
    <w:p>
      <w:pPr>
        <w:ind w:left="260" w:hanging="255"/>
        <w:spacing w:after="0"/>
        <w:tabs>
          <w:tab w:leader="none" w:pos="260" w:val="left"/>
        </w:tabs>
        <w:numPr>
          <w:ilvl w:val="0"/>
          <w:numId w:val="58"/>
        </w:numPr>
        <w:rPr>
          <w:rFonts w:ascii="Arial" w:cs="Arial" w:eastAsia="Arial" w:hAnsi="Arial"/>
          <w:sz w:val="13"/>
          <w:szCs w:val="13"/>
          <w:b w:val="1"/>
          <w:bCs w:val="1"/>
          <w:color w:val="auto"/>
        </w:rPr>
      </w:pPr>
      <w:r>
        <w:rPr>
          <w:rFonts w:ascii="Arial" w:cs="Arial" w:eastAsia="Arial" w:hAnsi="Arial"/>
          <w:sz w:val="13"/>
          <w:szCs w:val="13"/>
          <w:b w:val="1"/>
          <w:bCs w:val="1"/>
          <w:color w:val="auto"/>
        </w:rPr>
        <w:t>Basis of preparation and statement of accounting policies (continued)</w:t>
      </w:r>
    </w:p>
    <w:p>
      <w:pPr>
        <w:spacing w:after="0" w:line="39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Restructuring</w:t>
      </w:r>
    </w:p>
    <w:p>
      <w:pPr>
        <w:jc w:val="both"/>
        <w:spacing w:after="0" w:line="243" w:lineRule="auto"/>
        <w:rPr>
          <w:sz w:val="20"/>
          <w:szCs w:val="20"/>
          <w:color w:val="auto"/>
        </w:rPr>
      </w:pPr>
      <w:r>
        <w:rPr>
          <w:rFonts w:ascii="Arial" w:cs="Arial" w:eastAsia="Arial" w:hAnsi="Arial"/>
          <w:sz w:val="13"/>
          <w:szCs w:val="13"/>
          <w:color w:val="auto"/>
        </w:rPr>
        <w:t>Restructuring charges reflect certain one-time and associated unavoidable costs arising from reorganisation programmes announced by Group management. These programmes generally result in asset impairments and workforce reductions in order to optimise the Group’s structure and facilitate improved long-term performance. Impairment charges are taken when the value-in-use of the asset is less than the asset’s carrying value. Workforce related charges are taken when an approved reorganisation programme is communicated to the relevant employee groups.</w:t>
      </w:r>
    </w:p>
    <w:p>
      <w:pPr>
        <w:spacing w:after="0" w:line="36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Research and development credits</w:t>
      </w:r>
    </w:p>
    <w:p>
      <w:pPr>
        <w:spacing w:after="0" w:line="20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Research and development credits that are provided under the income tax law of the jurisdictions in which the Group operates generally are recognised as a reduction of income tax expense. However, certain tax jurisdictions provide refundable credits that are not dependent on the Group’s ongoing tax status or tax position. In these circumstances the credits are recognised in the Consolidated Statement of Profit and Loss in the same periods in which the expenditure to which they relate to is charged as a deduction against the related expense.</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Financing income</w:t>
      </w:r>
    </w:p>
    <w:p>
      <w:pPr>
        <w:spacing w:after="0" w:line="190" w:lineRule="exact"/>
        <w:rPr>
          <w:sz w:val="20"/>
          <w:szCs w:val="20"/>
          <w:color w:val="auto"/>
        </w:rPr>
      </w:pPr>
    </w:p>
    <w:p>
      <w:pPr>
        <w:ind w:right="1120"/>
        <w:spacing w:after="0" w:line="293" w:lineRule="auto"/>
        <w:rPr>
          <w:sz w:val="20"/>
          <w:szCs w:val="20"/>
          <w:color w:val="auto"/>
        </w:rPr>
      </w:pPr>
      <w:r>
        <w:rPr>
          <w:rFonts w:ascii="Arial" w:cs="Arial" w:eastAsia="Arial" w:hAnsi="Arial"/>
          <w:sz w:val="13"/>
          <w:szCs w:val="13"/>
          <w:color w:val="auto"/>
        </w:rPr>
        <w:t xml:space="preserve">Interest income is recognised in the Consolidated Statement of Profit and Loss as it accrues using the effective interest rate method and includes interest receivable on investments. </w:t>
      </w:r>
      <w:r>
        <w:rPr>
          <w:rFonts w:ascii="Arial" w:cs="Arial" w:eastAsia="Arial" w:hAnsi="Arial"/>
          <w:sz w:val="13"/>
          <w:szCs w:val="13"/>
          <w:b w:val="1"/>
          <w:bCs w:val="1"/>
          <w:i w:val="1"/>
          <w:iCs w:val="1"/>
          <w:color w:val="auto"/>
        </w:rPr>
        <w:t>Financing expense</w:t>
      </w:r>
    </w:p>
    <w:p>
      <w:pPr>
        <w:spacing w:after="0" w:line="134"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Financing expense comprises interest payable on borrowings calculated using the effective interest rate method, finance charges on leases, foreign exchange gains and losses on bank loans, non-cash finance charges in respect of contingent consideration and gains and losses on hedging instruments that are recognised in the Consolidated Statement of Profit and Loss.</w:t>
      </w:r>
    </w:p>
    <w:p>
      <w:pPr>
        <w:spacing w:after="0" w:line="14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Financing expense also includes fees paid on the establishment of loan facilities which are recognised as transaction costs of the loan to the extent that it is probable that some or all of the facility will be drawn down. These fees are deferred and recognised in the Statement of Financial Position and are then amortised to the Consolidated Statement of Profit and Loss over the term the facility is available to the Group.</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Income tax</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Income tax expense in the Consolidated Statement of Profit and Loss represents the sum of income tax currently payable and deferred income tax.</w:t>
      </w:r>
    </w:p>
    <w:p>
      <w:pPr>
        <w:spacing w:after="0" w:line="19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Income tax currently payable is based on taxable profit for the year. Taxable profit differs from net profit as reported in the Consolidated Statement of Profit and Loss because it excludes items of income or expense that are taxable or deductible in other years and further excludes items that are not taxable or deductible. The Group’s liability for income tax is calculated using rates that have been enacted or substantively enacted at the reporting date. Income tax is recognised in the Consolidated Statement of Profit and Loss except to the extent that it relates to items recognised directly in equity.</w:t>
      </w:r>
    </w:p>
    <w:p>
      <w:pPr>
        <w:spacing w:after="0" w:line="165"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Deferred income tax is provided, using the liability method, on all differences between the carrying amounts of assets and liabilities for financial reporting purposes and the amounts used for taxation purposes except those arising from non-deductible goodwill or on initial recognition of an asset or liability which affects neither accounting nor taxable profit.</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Deferred income tax assets and liabilities are measured at the tax rates that are expected to apply in the year when the asset is expected to be realised or the liability to be settled.</w:t>
      </w:r>
    </w:p>
    <w:p>
      <w:pPr>
        <w:spacing w:after="0" w:line="189" w:lineRule="exact"/>
        <w:rPr>
          <w:sz w:val="20"/>
          <w:szCs w:val="20"/>
          <w:color w:val="auto"/>
        </w:rPr>
      </w:pPr>
    </w:p>
    <w:p>
      <w:pPr>
        <w:jc w:val="both"/>
        <w:spacing w:after="0" w:line="283" w:lineRule="auto"/>
        <w:rPr>
          <w:sz w:val="20"/>
          <w:szCs w:val="20"/>
          <w:color w:val="auto"/>
        </w:rPr>
      </w:pPr>
      <w:r>
        <w:rPr>
          <w:rFonts w:ascii="Arial" w:cs="Arial" w:eastAsia="Arial" w:hAnsi="Arial"/>
          <w:sz w:val="12"/>
          <w:szCs w:val="12"/>
          <w:color w:val="auto"/>
        </w:rPr>
        <w:t>Deferred tax assets are recognised for all deductible differences, carry forward of unused tax credits and unused tax losses, to the extent that it is probable that taxable profit will be available against which the deductible temporary differences and the carry forward of unused tax credits and unused tax losses can be utilised. The carrying amount of deferred income tax assets is reviewed at each reporting date and reduced to the extent that it is no longer probable that sufficient taxable profit would be available to allow all or part of the deferred income tax asset to be utilised.</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ectPr>
          <w:pgSz w:w="11900" w:h="16838" w:orient="portrait"/>
          <w:cols w:equalWidth="0" w:num="1">
            <w:col w:w="11280"/>
          </w:cols>
          <w:pgMar w:left="300" w:top="698" w:right="319" w:bottom="1440" w:gutter="0" w:footer="0" w:header="0"/>
        </w:sectPr>
      </w:pPr>
    </w:p>
    <w:bookmarkStart w:id="71" w:name="page72"/>
    <w:bookmarkEnd w:id="71"/>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190" w:lineRule="exact"/>
        <w:rPr>
          <w:sz w:val="20"/>
          <w:szCs w:val="20"/>
          <w:color w:val="auto"/>
        </w:rPr>
      </w:pPr>
    </w:p>
    <w:p>
      <w:pPr>
        <w:ind w:left="260" w:hanging="255"/>
        <w:spacing w:after="0"/>
        <w:tabs>
          <w:tab w:leader="none" w:pos="260" w:val="left"/>
        </w:tabs>
        <w:numPr>
          <w:ilvl w:val="0"/>
          <w:numId w:val="59"/>
        </w:numPr>
        <w:rPr>
          <w:rFonts w:ascii="Arial" w:cs="Arial" w:eastAsia="Arial" w:hAnsi="Arial"/>
          <w:sz w:val="13"/>
          <w:szCs w:val="13"/>
          <w:b w:val="1"/>
          <w:bCs w:val="1"/>
          <w:color w:val="auto"/>
        </w:rPr>
      </w:pPr>
      <w:r>
        <w:rPr>
          <w:rFonts w:ascii="Arial" w:cs="Arial" w:eastAsia="Arial" w:hAnsi="Arial"/>
          <w:sz w:val="13"/>
          <w:szCs w:val="13"/>
          <w:b w:val="1"/>
          <w:bCs w:val="1"/>
          <w:color w:val="auto"/>
        </w:rPr>
        <w:t>Basis of preparation and statement of accounting policies (continued)</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Earnings per ordinary share</w:t>
      </w:r>
    </w:p>
    <w:p>
      <w:pPr>
        <w:spacing w:after="0" w:line="19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Basic earnings per share is computed by dividing the profit for the financial year attributable to ordinary shareholders of the Company by the weighted average number of ordinary shares outstanding during the financial period.</w:t>
      </w:r>
    </w:p>
    <w:p>
      <w:pPr>
        <w:spacing w:after="0" w:line="167"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 There is no difference in net income used for basic and diluted net income per ordinary share.</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Segment reporting</w:t>
      </w:r>
    </w:p>
    <w:p>
      <w:pPr>
        <w:spacing w:after="0" w:line="201"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An operating segment is a component of the Group that engages in business activities from which it may earn revenues and incur expenses, including revenues and expenses that relate to transactions with any of the Group’s other components. The Group determines and presents operating segments based on the information that internally is provided to the Chief Executive Officer (CEO) and Chief Financial Officer (CFO) who together are considered the Group’s chief operating decision makers, the ‘CODM’. An operating segment’s operating results are reviewed regularly by the CODM to make decisions about resources to be allocated to the segment and assess its performance, and for which discrete financial information is available.</w:t>
      </w:r>
    </w:p>
    <w:p>
      <w:pPr>
        <w:spacing w:after="0" w:line="165"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Segment results that are reported to the CODM include items directly attributable to a segment as well as those that can be allocated on a reasonable basis. Segment capital expenditure is the total cost incurred during the period to acquire property, plant and equipment and right-of-use assets.</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Debt issuance costs</w:t>
      </w:r>
    </w:p>
    <w:p>
      <w:pPr>
        <w:spacing w:after="0" w:line="20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Debt issuance costs relating to the Group’s long-term debt are recorded as a direct reduction of long-term debt; these costs are deferred and amortised to interest expense using the effective interest method, over the respective terms of the related debt. Debt issuance costs relating to the Group’s revolving credit facilities are recorded as an asset; these costs are deferred and amortised to interest expense using the straight-line method. Early repayment of debt facilities can result in modification of the debt and the acceleration of the amortisation of debt issuance costs.</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Reclassifications</w:t>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Certain prior period amounts in the consolidated financial statements and accompanying notes have been reclassified to conform to the current period’s presentation. Most notably, the Group has presented transaction and integration-related expenses as exceptional items in the Consolidated Statement of Profit and Loss and reclassified certain costs incurred in the year ended 31 December 2020. These costs consist of transaction and integration-related expenses and contingent consideration valuation adjustments related to ICON's prior period acquisitions. These costs were previously presented in other operating expenses but have been reclassified to exceptional items to conform to the current period’s presentation.</w:t>
      </w:r>
    </w:p>
    <w:p>
      <w:pPr>
        <w:spacing w:after="0" w:line="303" w:lineRule="exact"/>
        <w:rPr>
          <w:sz w:val="20"/>
          <w:szCs w:val="20"/>
          <w:color w:val="auto"/>
        </w:rPr>
      </w:pPr>
    </w:p>
    <w:p>
      <w:pPr>
        <w:ind w:left="260" w:hanging="255"/>
        <w:spacing w:after="0"/>
        <w:tabs>
          <w:tab w:leader="none" w:pos="260" w:val="left"/>
        </w:tabs>
        <w:numPr>
          <w:ilvl w:val="0"/>
          <w:numId w:val="60"/>
        </w:numPr>
        <w:rPr>
          <w:rFonts w:ascii="Arial" w:cs="Arial" w:eastAsia="Arial" w:hAnsi="Arial"/>
          <w:sz w:val="13"/>
          <w:szCs w:val="13"/>
          <w:b w:val="1"/>
          <w:bCs w:val="1"/>
          <w:color w:val="auto"/>
        </w:rPr>
      </w:pPr>
      <w:r>
        <w:rPr>
          <w:rFonts w:ascii="Arial" w:cs="Arial" w:eastAsia="Arial" w:hAnsi="Arial"/>
          <w:sz w:val="13"/>
          <w:szCs w:val="13"/>
          <w:b w:val="1"/>
          <w:bCs w:val="1"/>
          <w:color w:val="auto"/>
        </w:rPr>
        <w:t>Segmental information</w:t>
      </w:r>
    </w:p>
    <w:p>
      <w:pPr>
        <w:spacing w:after="0" w:line="190"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The Group is a clinical research organisation (“CRO”), providing outsourced development services on a global basis to the pharmaceutical, biotechnology and medical device industries. It specialises in the strategic development, management and analysis of programmes that support all stages of the clinical development process - from compound selection to Phase I-IV clinical studies. The Group has expanded predominately through internal growth, together with a number of strategic acquisitions to enhance its expertise and capabilities in certain areas of the clinical development process. The Group has the expertise and capability to conduct clinical trials in most major therapeutic areas on a global basis and has the operational flexibility to provide development services on a stand-alone basis or as part of an integrated “full service” solution. These services, which are integral elements of the clinical development process, include clinical trials management, biometric activities, consulting, imaging, contract staffing, informatics and laboratory services.</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 xml:space="preserve">The Company determines and presents operating segments based on the information that is internally provided to the chief operating decision maker, together the ('CODM') in accordance with IFRS 8 </w:t>
      </w:r>
      <w:r>
        <w:rPr>
          <w:rFonts w:ascii="Arial" w:cs="Arial" w:eastAsia="Arial" w:hAnsi="Arial"/>
          <w:sz w:val="13"/>
          <w:szCs w:val="13"/>
          <w:i w:val="1"/>
          <w:iCs w:val="1"/>
          <w:color w:val="auto"/>
        </w:rPr>
        <w:t xml:space="preserve">Operating Segments. </w:t>
      </w:r>
      <w:r>
        <w:rPr>
          <w:rFonts w:ascii="Arial" w:cs="Arial" w:eastAsia="Arial" w:hAnsi="Arial"/>
          <w:sz w:val="13"/>
          <w:szCs w:val="13"/>
          <w:color w:val="auto"/>
        </w:rPr>
        <w:t>The Company determined that the CODM was comprised of the Chief Executive Officer and the Chief Financial Officer.</w:t>
      </w:r>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color w:val="auto"/>
        </w:rPr>
        <w:t>The Company operates as one business segment, which is the provision of outsourced development services on a global basis to the pharmaceutical, biotechnology and medical devices industries.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ectPr>
          <w:pgSz w:w="11900" w:h="16838" w:orient="portrait"/>
          <w:cols w:equalWidth="0" w:num="1">
            <w:col w:w="11280"/>
          </w:cols>
          <w:pgMar w:left="300" w:top="698" w:right="31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190" w:lineRule="exact"/>
        <w:rPr>
          <w:sz w:val="20"/>
          <w:szCs w:val="20"/>
          <w:color w:val="auto"/>
        </w:rPr>
      </w:pPr>
    </w:p>
    <w:p>
      <w:pPr>
        <w:ind w:left="260" w:hanging="255"/>
        <w:spacing w:after="0"/>
        <w:tabs>
          <w:tab w:leader="none" w:pos="260" w:val="left"/>
        </w:tabs>
        <w:numPr>
          <w:ilvl w:val="0"/>
          <w:numId w:val="61"/>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Segmental information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The Group’s listing for its shares is the NASDAQ market in the United States. Consequently, information reviewed by the chief operating decision makers is prepared in accordance with US generally accepted accounting principles (“US GAAP”) however, the information presented below is prepared in accordance with IFRS reporting standards. Reconciliations of the Group’s profit for the financial year and shareholders’ equity from US GAAP to IFRS are set out on pages 151 to 154 of this report.</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Company's areas of operation outside of Ireland include the United States, United Kingdom, Austria, Belgium, Bulgaria, Czech Republic, France, Germany, Hungary, Italy, Latvia, Poland, Portugal, Romania, Russia, Serbia, Spain, Sweden, The Netherlands, Turkey, Ukraine, Canada, Argentina, Brazil, Chile, Colombia, Mexico, Peru, China (including Hong Kong), India, Israel, Japan, Singapore, South Korea, The Philippines, Taiwan, Thailand, Australia, New Zealand, South Africa, Belarus, Bermuda, British Virgin Islands, Costa Rica, Croatia, Denmark, Egypt, Estonia, Finland, Georgia, Greece, Guatemala, Iceland, Jersey, Kenya, Lithuania, Luxembourg, Malaysia, Norway, Panama, Puerto Rico, Slovakia, Switzerland and Uruguay.</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Geographical segment information</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360" w:type="dxa"/>
            <w:vAlign w:val="bottom"/>
            <w:shd w:val="clear" w:color="auto" w:fill="CCEEFF"/>
          </w:tcPr>
          <w:p>
            <w:pPr>
              <w:spacing w:after="0"/>
              <w:rPr>
                <w:sz w:val="13"/>
                <w:szCs w:val="13"/>
                <w:color w:val="auto"/>
              </w:rPr>
            </w:pPr>
          </w:p>
        </w:tc>
        <w:tc>
          <w:tcPr>
            <w:tcW w:w="492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 xml:space="preserve">Year ended 31 </w:t>
            </w:r>
            <w:r>
              <w:rPr>
                <w:rFonts w:ascii="Arial" w:cs="Arial" w:eastAsia="Arial" w:hAnsi="Arial"/>
                <w:sz w:val="13"/>
                <w:szCs w:val="13"/>
                <w:color w:val="auto"/>
              </w:rPr>
              <w:t>Year ended 31 December</w:t>
            </w:r>
          </w:p>
        </w:tc>
      </w:tr>
      <w:tr>
        <w:trPr>
          <w:trHeight w:val="170"/>
        </w:trPr>
        <w:tc>
          <w:tcPr>
            <w:tcW w:w="6360" w:type="dxa"/>
            <w:vAlign w:val="bottom"/>
            <w:tcBorders>
              <w:bottom w:val="single" w:sz="8" w:color="auto"/>
            </w:tcBorders>
            <w:shd w:val="clear" w:color="auto" w:fill="CCEEFF"/>
          </w:tcPr>
          <w:p>
            <w:pPr>
              <w:spacing w:after="0"/>
              <w:rPr>
                <w:sz w:val="14"/>
                <w:szCs w:val="14"/>
                <w:color w:val="auto"/>
              </w:rPr>
            </w:pPr>
          </w:p>
        </w:tc>
        <w:tc>
          <w:tcPr>
            <w:tcW w:w="386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b w:val="1"/>
                <w:bCs w:val="1"/>
                <w:color w:val="auto"/>
              </w:rPr>
              <w:t>December 2021</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2020</w:t>
            </w:r>
          </w:p>
        </w:tc>
      </w:tr>
      <w:tr>
        <w:trPr>
          <w:trHeight w:val="160"/>
        </w:trPr>
        <w:tc>
          <w:tcPr>
            <w:tcW w:w="6360" w:type="dxa"/>
            <w:vAlign w:val="bottom"/>
          </w:tcPr>
          <w:p>
            <w:pPr>
              <w:spacing w:after="0"/>
              <w:rPr>
                <w:sz w:val="13"/>
                <w:szCs w:val="13"/>
                <w:color w:val="auto"/>
              </w:rPr>
            </w:pPr>
          </w:p>
        </w:tc>
        <w:tc>
          <w:tcPr>
            <w:tcW w:w="3860" w:type="dxa"/>
            <w:vAlign w:val="bottom"/>
          </w:tcPr>
          <w:p>
            <w:pPr>
              <w:jc w:val="right"/>
              <w:ind w:right="376"/>
              <w:spacing w:after="0"/>
              <w:rPr>
                <w:sz w:val="20"/>
                <w:szCs w:val="20"/>
                <w:color w:val="auto"/>
              </w:rPr>
            </w:pPr>
            <w:r>
              <w:rPr>
                <w:rFonts w:ascii="Arial" w:cs="Arial" w:eastAsia="Arial" w:hAnsi="Arial"/>
                <w:sz w:val="13"/>
                <w:szCs w:val="13"/>
                <w:b w:val="1"/>
                <w:bCs w:val="1"/>
                <w:color w:val="auto"/>
              </w:rPr>
              <w:t>$’000</w:t>
            </w:r>
          </w:p>
        </w:tc>
        <w:tc>
          <w:tcPr>
            <w:tcW w:w="106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63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Revenue</w:t>
            </w:r>
          </w:p>
        </w:tc>
        <w:tc>
          <w:tcPr>
            <w:tcW w:w="38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70"/>
        </w:trPr>
        <w:tc>
          <w:tcPr>
            <w:tcW w:w="6360" w:type="dxa"/>
            <w:vAlign w:val="bottom"/>
          </w:tcPr>
          <w:p>
            <w:pPr>
              <w:ind w:left="20"/>
              <w:spacing w:after="0"/>
              <w:rPr>
                <w:sz w:val="20"/>
                <w:szCs w:val="20"/>
                <w:color w:val="auto"/>
              </w:rPr>
            </w:pPr>
            <w:r>
              <w:rPr>
                <w:rFonts w:ascii="Arial" w:cs="Arial" w:eastAsia="Arial" w:hAnsi="Arial"/>
                <w:sz w:val="13"/>
                <w:szCs w:val="13"/>
                <w:color w:val="auto"/>
              </w:rPr>
              <w:t>Ireland (1)*</w:t>
            </w:r>
          </w:p>
        </w:tc>
        <w:tc>
          <w:tcPr>
            <w:tcW w:w="3860" w:type="dxa"/>
            <w:vAlign w:val="bottom"/>
          </w:tcPr>
          <w:p>
            <w:pPr>
              <w:jc w:val="right"/>
              <w:ind w:right="416"/>
              <w:spacing w:after="0"/>
              <w:rPr>
                <w:sz w:val="20"/>
                <w:szCs w:val="20"/>
                <w:color w:val="auto"/>
              </w:rPr>
            </w:pPr>
            <w:r>
              <w:rPr>
                <w:rFonts w:ascii="Arial" w:cs="Arial" w:eastAsia="Arial" w:hAnsi="Arial"/>
                <w:sz w:val="13"/>
                <w:szCs w:val="13"/>
                <w:b w:val="1"/>
                <w:bCs w:val="1"/>
                <w:color w:val="auto"/>
              </w:rPr>
              <w:t>1,365,911</w:t>
            </w:r>
          </w:p>
        </w:tc>
        <w:tc>
          <w:tcPr>
            <w:tcW w:w="1060" w:type="dxa"/>
            <w:vAlign w:val="bottom"/>
          </w:tcPr>
          <w:p>
            <w:pPr>
              <w:jc w:val="right"/>
              <w:spacing w:after="0"/>
              <w:rPr>
                <w:sz w:val="20"/>
                <w:szCs w:val="20"/>
                <w:color w:val="auto"/>
              </w:rPr>
            </w:pPr>
            <w:r>
              <w:rPr>
                <w:rFonts w:ascii="Arial" w:cs="Arial" w:eastAsia="Arial" w:hAnsi="Arial"/>
                <w:sz w:val="13"/>
                <w:szCs w:val="13"/>
                <w:color w:val="auto"/>
              </w:rPr>
              <w:t>1,181,292</w:t>
            </w:r>
          </w:p>
        </w:tc>
      </w:tr>
      <w:tr>
        <w:trPr>
          <w:trHeight w:val="170"/>
        </w:trPr>
        <w:tc>
          <w:tcPr>
            <w:tcW w:w="6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 of Europe (33)*</w:t>
            </w:r>
          </w:p>
        </w:tc>
        <w:tc>
          <w:tcPr>
            <w:tcW w:w="3860" w:type="dxa"/>
            <w:vAlign w:val="bottom"/>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1,175,515</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416,884</w:t>
            </w:r>
          </w:p>
        </w:tc>
      </w:tr>
      <w:tr>
        <w:trPr>
          <w:trHeight w:val="170"/>
        </w:trPr>
        <w:tc>
          <w:tcPr>
            <w:tcW w:w="6360" w:type="dxa"/>
            <w:vAlign w:val="bottom"/>
          </w:tcPr>
          <w:p>
            <w:pPr>
              <w:ind w:left="20"/>
              <w:spacing w:after="0"/>
              <w:rPr>
                <w:sz w:val="20"/>
                <w:szCs w:val="20"/>
                <w:color w:val="auto"/>
              </w:rPr>
            </w:pPr>
            <w:r>
              <w:rPr>
                <w:rFonts w:ascii="Arial" w:cs="Arial" w:eastAsia="Arial" w:hAnsi="Arial"/>
                <w:sz w:val="13"/>
                <w:szCs w:val="13"/>
                <w:color w:val="auto"/>
              </w:rPr>
              <w:t>United States (1)*</w:t>
            </w:r>
          </w:p>
        </w:tc>
        <w:tc>
          <w:tcPr>
            <w:tcW w:w="3860" w:type="dxa"/>
            <w:vAlign w:val="bottom"/>
          </w:tcPr>
          <w:p>
            <w:pPr>
              <w:jc w:val="right"/>
              <w:ind w:right="416"/>
              <w:spacing w:after="0"/>
              <w:rPr>
                <w:sz w:val="20"/>
                <w:szCs w:val="20"/>
                <w:color w:val="auto"/>
              </w:rPr>
            </w:pPr>
            <w:r>
              <w:rPr>
                <w:rFonts w:ascii="Arial" w:cs="Arial" w:eastAsia="Arial" w:hAnsi="Arial"/>
                <w:sz w:val="13"/>
                <w:szCs w:val="13"/>
                <w:b w:val="1"/>
                <w:bCs w:val="1"/>
                <w:color w:val="auto"/>
              </w:rPr>
              <w:t>2,573,005</w:t>
            </w:r>
          </w:p>
        </w:tc>
        <w:tc>
          <w:tcPr>
            <w:tcW w:w="1060" w:type="dxa"/>
            <w:vAlign w:val="bottom"/>
          </w:tcPr>
          <w:p>
            <w:pPr>
              <w:jc w:val="right"/>
              <w:spacing w:after="0"/>
              <w:rPr>
                <w:sz w:val="20"/>
                <w:szCs w:val="20"/>
                <w:color w:val="auto"/>
              </w:rPr>
            </w:pPr>
            <w:r>
              <w:rPr>
                <w:rFonts w:ascii="Arial" w:cs="Arial" w:eastAsia="Arial" w:hAnsi="Arial"/>
                <w:sz w:val="13"/>
                <w:szCs w:val="13"/>
                <w:color w:val="auto"/>
              </w:rPr>
              <w:t>925,563</w:t>
            </w:r>
          </w:p>
        </w:tc>
      </w:tr>
      <w:tr>
        <w:trPr>
          <w:trHeight w:val="170"/>
        </w:trPr>
        <w:tc>
          <w:tcPr>
            <w:tcW w:w="6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Rest of World (26)*</w:t>
            </w:r>
          </w:p>
        </w:tc>
        <w:tc>
          <w:tcPr>
            <w:tcW w:w="386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358,395</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273,549</w:t>
            </w:r>
          </w:p>
        </w:tc>
      </w:tr>
      <w:tr>
        <w:trPr>
          <w:trHeight w:val="162"/>
        </w:trPr>
        <w:tc>
          <w:tcPr>
            <w:tcW w:w="63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w:t>
            </w:r>
          </w:p>
        </w:tc>
        <w:tc>
          <w:tcPr>
            <w:tcW w:w="386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5,472,826</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2,797,288</w:t>
            </w:r>
          </w:p>
        </w:tc>
      </w:tr>
      <w:tr>
        <w:trPr>
          <w:trHeight w:val="231"/>
        </w:trPr>
        <w:tc>
          <w:tcPr>
            <w:tcW w:w="6360" w:type="dxa"/>
            <w:vAlign w:val="bottom"/>
          </w:tcPr>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denotes number of countries</w:t>
            </w:r>
          </w:p>
        </w:tc>
        <w:tc>
          <w:tcPr>
            <w:tcW w:w="38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87"/>
        </w:trPr>
        <w:tc>
          <w:tcPr>
            <w:tcW w:w="6360" w:type="dxa"/>
            <w:vAlign w:val="bottom"/>
          </w:tcPr>
          <w:p>
            <w:pPr>
              <w:spacing w:after="0"/>
              <w:rPr>
                <w:sz w:val="7"/>
                <w:szCs w:val="7"/>
                <w:color w:val="auto"/>
              </w:rPr>
            </w:pPr>
          </w:p>
        </w:tc>
        <w:tc>
          <w:tcPr>
            <w:tcW w:w="4920" w:type="dxa"/>
            <w:vAlign w:val="bottom"/>
            <w:gridSpan w:val="2"/>
          </w:tcPr>
          <w:p>
            <w:pPr>
              <w:spacing w:after="0"/>
              <w:rPr>
                <w:sz w:val="7"/>
                <w:szCs w:val="7"/>
                <w:color w:val="auto"/>
              </w:rPr>
            </w:pPr>
          </w:p>
        </w:tc>
      </w:tr>
      <w:tr>
        <w:trPr>
          <w:trHeight w:val="127"/>
        </w:trPr>
        <w:tc>
          <w:tcPr>
            <w:tcW w:w="6360" w:type="dxa"/>
            <w:vAlign w:val="bottom"/>
            <w:shd w:val="clear" w:color="auto" w:fill="CCEEFF"/>
          </w:tcPr>
          <w:p>
            <w:pPr>
              <w:spacing w:after="0"/>
              <w:rPr>
                <w:sz w:val="11"/>
                <w:szCs w:val="11"/>
                <w:color w:val="auto"/>
              </w:rPr>
            </w:pPr>
          </w:p>
        </w:tc>
        <w:tc>
          <w:tcPr>
            <w:tcW w:w="492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 xml:space="preserve">Year ended 31 </w:t>
            </w:r>
            <w:r>
              <w:rPr>
                <w:rFonts w:ascii="Arial" w:cs="Arial" w:eastAsia="Arial" w:hAnsi="Arial"/>
                <w:sz w:val="13"/>
                <w:szCs w:val="13"/>
                <w:color w:val="auto"/>
              </w:rPr>
              <w:t>Year ended 31 December</w:t>
            </w:r>
          </w:p>
        </w:tc>
      </w:tr>
      <w:tr>
        <w:trPr>
          <w:trHeight w:val="170"/>
        </w:trPr>
        <w:tc>
          <w:tcPr>
            <w:tcW w:w="6360" w:type="dxa"/>
            <w:vAlign w:val="bottom"/>
            <w:tcBorders>
              <w:bottom w:val="single" w:sz="8" w:color="auto"/>
            </w:tcBorders>
            <w:shd w:val="clear" w:color="auto" w:fill="CCEEFF"/>
          </w:tcPr>
          <w:p>
            <w:pPr>
              <w:spacing w:after="0"/>
              <w:rPr>
                <w:sz w:val="14"/>
                <w:szCs w:val="14"/>
                <w:color w:val="auto"/>
              </w:rPr>
            </w:pPr>
          </w:p>
        </w:tc>
        <w:tc>
          <w:tcPr>
            <w:tcW w:w="386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b w:val="1"/>
                <w:bCs w:val="1"/>
                <w:color w:val="auto"/>
              </w:rPr>
              <w:t>December 2021</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2020</w:t>
            </w:r>
          </w:p>
        </w:tc>
      </w:tr>
      <w:tr>
        <w:trPr>
          <w:trHeight w:val="160"/>
        </w:trPr>
        <w:tc>
          <w:tcPr>
            <w:tcW w:w="6360" w:type="dxa"/>
            <w:vAlign w:val="bottom"/>
          </w:tcPr>
          <w:p>
            <w:pPr>
              <w:spacing w:after="0"/>
              <w:rPr>
                <w:sz w:val="13"/>
                <w:szCs w:val="13"/>
                <w:color w:val="auto"/>
              </w:rPr>
            </w:pPr>
          </w:p>
        </w:tc>
        <w:tc>
          <w:tcPr>
            <w:tcW w:w="3860" w:type="dxa"/>
            <w:vAlign w:val="bottom"/>
          </w:tcPr>
          <w:p>
            <w:pPr>
              <w:jc w:val="right"/>
              <w:ind w:right="376"/>
              <w:spacing w:after="0"/>
              <w:rPr>
                <w:sz w:val="20"/>
                <w:szCs w:val="20"/>
                <w:color w:val="auto"/>
              </w:rPr>
            </w:pPr>
            <w:r>
              <w:rPr>
                <w:rFonts w:ascii="Arial" w:cs="Arial" w:eastAsia="Arial" w:hAnsi="Arial"/>
                <w:sz w:val="13"/>
                <w:szCs w:val="13"/>
                <w:b w:val="1"/>
                <w:bCs w:val="1"/>
                <w:color w:val="auto"/>
              </w:rPr>
              <w:t>$’000</w:t>
            </w:r>
          </w:p>
        </w:tc>
        <w:tc>
          <w:tcPr>
            <w:tcW w:w="106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244"/>
        </w:trPr>
        <w:tc>
          <w:tcPr>
            <w:tcW w:w="63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Property, plant and equipment and operating right-of-use assets</w:t>
            </w:r>
          </w:p>
        </w:tc>
        <w:tc>
          <w:tcPr>
            <w:tcW w:w="38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170"/>
        </w:trPr>
        <w:tc>
          <w:tcPr>
            <w:tcW w:w="6360" w:type="dxa"/>
            <w:vAlign w:val="bottom"/>
          </w:tcPr>
          <w:p>
            <w:pPr>
              <w:ind w:left="20"/>
              <w:spacing w:after="0"/>
              <w:rPr>
                <w:sz w:val="20"/>
                <w:szCs w:val="20"/>
                <w:color w:val="auto"/>
              </w:rPr>
            </w:pPr>
            <w:r>
              <w:rPr>
                <w:rFonts w:ascii="Arial" w:cs="Arial" w:eastAsia="Arial" w:hAnsi="Arial"/>
                <w:sz w:val="13"/>
                <w:szCs w:val="13"/>
                <w:color w:val="auto"/>
              </w:rPr>
              <w:t>Ireland</w:t>
            </w:r>
          </w:p>
        </w:tc>
        <w:tc>
          <w:tcPr>
            <w:tcW w:w="3860" w:type="dxa"/>
            <w:vAlign w:val="bottom"/>
          </w:tcPr>
          <w:p>
            <w:pPr>
              <w:jc w:val="right"/>
              <w:ind w:right="416"/>
              <w:spacing w:after="0"/>
              <w:rPr>
                <w:sz w:val="20"/>
                <w:szCs w:val="20"/>
                <w:color w:val="auto"/>
              </w:rPr>
            </w:pPr>
            <w:r>
              <w:rPr>
                <w:rFonts w:ascii="Arial" w:cs="Arial" w:eastAsia="Arial" w:hAnsi="Arial"/>
                <w:sz w:val="13"/>
                <w:szCs w:val="13"/>
                <w:b w:val="1"/>
                <w:bCs w:val="1"/>
                <w:color w:val="auto"/>
              </w:rPr>
              <w:t>56,357</w:t>
            </w:r>
          </w:p>
        </w:tc>
        <w:tc>
          <w:tcPr>
            <w:tcW w:w="1060" w:type="dxa"/>
            <w:vAlign w:val="bottom"/>
          </w:tcPr>
          <w:p>
            <w:pPr>
              <w:jc w:val="right"/>
              <w:spacing w:after="0"/>
              <w:rPr>
                <w:sz w:val="20"/>
                <w:szCs w:val="20"/>
                <w:color w:val="auto"/>
              </w:rPr>
            </w:pPr>
            <w:r>
              <w:rPr>
                <w:rFonts w:ascii="Arial" w:cs="Arial" w:eastAsia="Arial" w:hAnsi="Arial"/>
                <w:sz w:val="13"/>
                <w:szCs w:val="13"/>
                <w:color w:val="auto"/>
              </w:rPr>
              <w:t>66,326</w:t>
            </w:r>
          </w:p>
        </w:tc>
      </w:tr>
      <w:tr>
        <w:trPr>
          <w:trHeight w:val="170"/>
        </w:trPr>
        <w:tc>
          <w:tcPr>
            <w:tcW w:w="6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Europe</w:t>
            </w:r>
          </w:p>
        </w:tc>
        <w:tc>
          <w:tcPr>
            <w:tcW w:w="3860" w:type="dxa"/>
            <w:vAlign w:val="bottom"/>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119,445</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34,730</w:t>
            </w:r>
          </w:p>
        </w:tc>
      </w:tr>
      <w:tr>
        <w:trPr>
          <w:trHeight w:val="170"/>
        </w:trPr>
        <w:tc>
          <w:tcPr>
            <w:tcW w:w="6360" w:type="dxa"/>
            <w:vAlign w:val="bottom"/>
          </w:tcPr>
          <w:p>
            <w:pPr>
              <w:ind w:left="20"/>
              <w:spacing w:after="0"/>
              <w:rPr>
                <w:sz w:val="20"/>
                <w:szCs w:val="20"/>
                <w:color w:val="auto"/>
              </w:rPr>
            </w:pPr>
            <w:r>
              <w:rPr>
                <w:rFonts w:ascii="Arial" w:cs="Arial" w:eastAsia="Arial" w:hAnsi="Arial"/>
                <w:sz w:val="13"/>
                <w:szCs w:val="13"/>
                <w:color w:val="auto"/>
              </w:rPr>
              <w:t>United States</w:t>
            </w:r>
          </w:p>
        </w:tc>
        <w:tc>
          <w:tcPr>
            <w:tcW w:w="3860" w:type="dxa"/>
            <w:vAlign w:val="bottom"/>
          </w:tcPr>
          <w:p>
            <w:pPr>
              <w:jc w:val="right"/>
              <w:ind w:right="416"/>
              <w:spacing w:after="0"/>
              <w:rPr>
                <w:sz w:val="20"/>
                <w:szCs w:val="20"/>
                <w:color w:val="auto"/>
              </w:rPr>
            </w:pPr>
            <w:r>
              <w:rPr>
                <w:rFonts w:ascii="Arial" w:cs="Arial" w:eastAsia="Arial" w:hAnsi="Arial"/>
                <w:sz w:val="13"/>
                <w:szCs w:val="13"/>
                <w:b w:val="1"/>
                <w:bCs w:val="1"/>
                <w:color w:val="auto"/>
              </w:rPr>
              <w:t>162,814</w:t>
            </w:r>
          </w:p>
        </w:tc>
        <w:tc>
          <w:tcPr>
            <w:tcW w:w="1060" w:type="dxa"/>
            <w:vAlign w:val="bottom"/>
          </w:tcPr>
          <w:p>
            <w:pPr>
              <w:jc w:val="right"/>
              <w:spacing w:after="0"/>
              <w:rPr>
                <w:sz w:val="20"/>
                <w:szCs w:val="20"/>
                <w:color w:val="auto"/>
              </w:rPr>
            </w:pPr>
            <w:r>
              <w:rPr>
                <w:rFonts w:ascii="Arial" w:cs="Arial" w:eastAsia="Arial" w:hAnsi="Arial"/>
                <w:sz w:val="13"/>
                <w:szCs w:val="13"/>
                <w:color w:val="auto"/>
              </w:rPr>
              <w:t>55,023</w:t>
            </w:r>
          </w:p>
        </w:tc>
      </w:tr>
      <w:tr>
        <w:trPr>
          <w:trHeight w:val="170"/>
        </w:trPr>
        <w:tc>
          <w:tcPr>
            <w:tcW w:w="6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Rest of World</w:t>
            </w:r>
          </w:p>
        </w:tc>
        <w:tc>
          <w:tcPr>
            <w:tcW w:w="386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54,012</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36,830</w:t>
            </w:r>
          </w:p>
        </w:tc>
      </w:tr>
      <w:tr>
        <w:trPr>
          <w:trHeight w:val="162"/>
        </w:trPr>
        <w:tc>
          <w:tcPr>
            <w:tcW w:w="63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w:t>
            </w:r>
          </w:p>
        </w:tc>
        <w:tc>
          <w:tcPr>
            <w:tcW w:w="386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392,628</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192,909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ectPr>
          <w:pgSz w:w="11900" w:h="16838" w:orient="portrait"/>
          <w:cols w:equalWidth="0" w:num="1">
            <w:col w:w="11280"/>
          </w:cols>
          <w:pgMar w:left="300" w:top="698" w:right="31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190" w:lineRule="exact"/>
        <w:rPr>
          <w:sz w:val="20"/>
          <w:szCs w:val="20"/>
          <w:color w:val="auto"/>
        </w:rPr>
      </w:pPr>
    </w:p>
    <w:p>
      <w:pPr>
        <w:spacing w:after="0"/>
        <w:tabs>
          <w:tab w:leader="none" w:pos="240" w:val="left"/>
        </w:tabs>
        <w:rPr>
          <w:sz w:val="20"/>
          <w:szCs w:val="20"/>
          <w:color w:val="auto"/>
        </w:rPr>
      </w:pPr>
      <w:r>
        <w:rPr>
          <w:rFonts w:ascii="Arial" w:cs="Arial" w:eastAsia="Arial" w:hAnsi="Arial"/>
          <w:sz w:val="13"/>
          <w:szCs w:val="13"/>
          <w:b w:val="1"/>
          <w:bCs w:val="1"/>
          <w:color w:val="auto"/>
        </w:rPr>
        <w:t>3.</w:t>
      </w:r>
      <w:r>
        <w:rPr>
          <w:sz w:val="20"/>
          <w:szCs w:val="20"/>
          <w:color w:val="auto"/>
        </w:rPr>
        <w:tab/>
      </w:r>
      <w:r>
        <w:rPr>
          <w:rFonts w:ascii="Arial" w:cs="Arial" w:eastAsia="Arial" w:hAnsi="Arial"/>
          <w:sz w:val="12"/>
          <w:szCs w:val="12"/>
          <w:b w:val="1"/>
          <w:bCs w:val="1"/>
          <w:color w:val="auto"/>
        </w:rPr>
        <w:t>Profit before taxation</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060" w:type="dxa"/>
            <w:vAlign w:val="bottom"/>
          </w:tcPr>
          <w:p>
            <w:pPr>
              <w:spacing w:after="0"/>
              <w:rPr>
                <w:sz w:val="20"/>
                <w:szCs w:val="20"/>
                <w:color w:val="auto"/>
              </w:rPr>
            </w:pPr>
            <w:r>
              <w:rPr>
                <w:rFonts w:ascii="Arial" w:cs="Arial" w:eastAsia="Arial" w:hAnsi="Arial"/>
                <w:sz w:val="13"/>
                <w:szCs w:val="13"/>
                <w:color w:val="auto"/>
              </w:rPr>
              <w:t>Profit before taxation is stated after charging the following:</w:t>
            </w:r>
          </w:p>
        </w:tc>
        <w:tc>
          <w:tcPr>
            <w:tcW w:w="13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87"/>
        </w:trPr>
        <w:tc>
          <w:tcPr>
            <w:tcW w:w="4060" w:type="dxa"/>
            <w:vAlign w:val="bottom"/>
          </w:tcPr>
          <w:p>
            <w:pPr>
              <w:spacing w:after="0"/>
              <w:rPr>
                <w:sz w:val="7"/>
                <w:szCs w:val="7"/>
                <w:color w:val="auto"/>
              </w:rPr>
            </w:pPr>
          </w:p>
        </w:tc>
        <w:tc>
          <w:tcPr>
            <w:tcW w:w="2980" w:type="dxa"/>
            <w:vAlign w:val="bottom"/>
            <w:gridSpan w:val="2"/>
          </w:tcPr>
          <w:p>
            <w:pPr>
              <w:spacing w:after="0"/>
              <w:rPr>
                <w:sz w:val="7"/>
                <w:szCs w:val="7"/>
                <w:color w:val="auto"/>
              </w:rPr>
            </w:pPr>
          </w:p>
        </w:tc>
        <w:tc>
          <w:tcPr>
            <w:tcW w:w="740" w:type="dxa"/>
            <w:vAlign w:val="bottom"/>
          </w:tcPr>
          <w:p>
            <w:pPr>
              <w:spacing w:after="0"/>
              <w:rPr>
                <w:sz w:val="7"/>
                <w:szCs w:val="7"/>
                <w:color w:val="auto"/>
              </w:rPr>
            </w:pPr>
          </w:p>
        </w:tc>
        <w:tc>
          <w:tcPr>
            <w:tcW w:w="2840" w:type="dxa"/>
            <w:vAlign w:val="bottom"/>
            <w:gridSpan w:val="2"/>
          </w:tcPr>
          <w:p>
            <w:pPr>
              <w:spacing w:after="0"/>
              <w:rPr>
                <w:sz w:val="7"/>
                <w:szCs w:val="7"/>
                <w:color w:val="auto"/>
              </w:rPr>
            </w:pPr>
          </w:p>
        </w:tc>
        <w:tc>
          <w:tcPr>
            <w:tcW w:w="660" w:type="dxa"/>
            <w:vAlign w:val="bottom"/>
          </w:tcPr>
          <w:p>
            <w:pPr>
              <w:spacing w:after="0"/>
              <w:rPr>
                <w:sz w:val="7"/>
                <w:szCs w:val="7"/>
                <w:color w:val="auto"/>
              </w:rPr>
            </w:pPr>
          </w:p>
        </w:tc>
      </w:tr>
      <w:tr>
        <w:trPr>
          <w:trHeight w:val="170"/>
        </w:trPr>
        <w:tc>
          <w:tcPr>
            <w:tcW w:w="4060" w:type="dxa"/>
            <w:vAlign w:val="bottom"/>
            <w:shd w:val="clear" w:color="auto" w:fill="CCEEFF"/>
          </w:tcPr>
          <w:p>
            <w:pPr>
              <w:spacing w:after="0"/>
              <w:rPr>
                <w:sz w:val="14"/>
                <w:szCs w:val="14"/>
                <w:color w:val="auto"/>
              </w:rPr>
            </w:pPr>
          </w:p>
        </w:tc>
        <w:tc>
          <w:tcPr>
            <w:tcW w:w="2980" w:type="dxa"/>
            <w:vAlign w:val="bottom"/>
            <w:tcBorders>
              <w:bottom w:val="single" w:sz="8" w:color="auto"/>
            </w:tcBorders>
            <w:gridSpan w:val="2"/>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Year ended 31 December 2021</w:t>
            </w:r>
          </w:p>
        </w:tc>
        <w:tc>
          <w:tcPr>
            <w:tcW w:w="740" w:type="dxa"/>
            <w:vAlign w:val="bottom"/>
            <w:tcBorders>
              <w:bottom w:val="single" w:sz="8" w:color="auto"/>
            </w:tcBorders>
            <w:shd w:val="clear" w:color="auto" w:fill="CCEEFF"/>
          </w:tcPr>
          <w:p>
            <w:pPr>
              <w:spacing w:after="0"/>
              <w:rPr>
                <w:sz w:val="14"/>
                <w:szCs w:val="14"/>
                <w:color w:val="auto"/>
              </w:rPr>
            </w:pPr>
          </w:p>
        </w:tc>
        <w:tc>
          <w:tcPr>
            <w:tcW w:w="2840" w:type="dxa"/>
            <w:vAlign w:val="bottom"/>
            <w:tcBorders>
              <w:bottom w:val="single" w:sz="8" w:color="auto"/>
            </w:tcBorders>
            <w:gridSpan w:val="2"/>
            <w:shd w:val="clear" w:color="auto" w:fill="CCEEFF"/>
          </w:tcPr>
          <w:p>
            <w:pPr>
              <w:jc w:val="right"/>
              <w:ind w:right="196"/>
              <w:spacing w:after="0"/>
              <w:rPr>
                <w:sz w:val="20"/>
                <w:szCs w:val="20"/>
                <w:color w:val="auto"/>
              </w:rPr>
            </w:pPr>
            <w:r>
              <w:rPr>
                <w:rFonts w:ascii="Arial" w:cs="Arial" w:eastAsia="Arial" w:hAnsi="Arial"/>
                <w:sz w:val="13"/>
                <w:szCs w:val="13"/>
                <w:color w:val="auto"/>
              </w:rPr>
              <w:t>Year ended 31 December 2020</w:t>
            </w:r>
          </w:p>
        </w:tc>
        <w:tc>
          <w:tcPr>
            <w:tcW w:w="660" w:type="dxa"/>
            <w:vAlign w:val="bottom"/>
            <w:tcBorders>
              <w:bottom w:val="single" w:sz="8" w:color="auto"/>
            </w:tcBorders>
            <w:shd w:val="clear" w:color="auto" w:fill="CCEEFF"/>
          </w:tcPr>
          <w:p>
            <w:pPr>
              <w:spacing w:after="0"/>
              <w:rPr>
                <w:sz w:val="14"/>
                <w:szCs w:val="14"/>
                <w:color w:val="auto"/>
              </w:rPr>
            </w:pPr>
          </w:p>
        </w:tc>
      </w:tr>
      <w:tr>
        <w:trPr>
          <w:trHeight w:val="160"/>
        </w:trPr>
        <w:tc>
          <w:tcPr>
            <w:tcW w:w="40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Statutory auditor</w:t>
            </w:r>
          </w:p>
        </w:tc>
        <w:tc>
          <w:tcPr>
            <w:tcW w:w="164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Affiliated firms</w:t>
            </w: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Total</w:t>
            </w:r>
          </w:p>
        </w:tc>
        <w:tc>
          <w:tcPr>
            <w:tcW w:w="12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Statutory auditor</w:t>
            </w:r>
          </w:p>
        </w:tc>
        <w:tc>
          <w:tcPr>
            <w:tcW w:w="156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color w:val="auto"/>
              </w:rPr>
              <w:t>Affiliated firms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Total</w:t>
            </w:r>
          </w:p>
        </w:tc>
      </w:tr>
      <w:tr>
        <w:trPr>
          <w:trHeight w:val="160"/>
        </w:trPr>
        <w:tc>
          <w:tcPr>
            <w:tcW w:w="4060" w:type="dxa"/>
            <w:vAlign w:val="bottom"/>
            <w:shd w:val="clear" w:color="auto" w:fill="CCEEFF"/>
          </w:tcPr>
          <w:p>
            <w:pPr>
              <w:spacing w:after="0"/>
              <w:rPr>
                <w:sz w:val="13"/>
                <w:szCs w:val="13"/>
                <w:color w:val="auto"/>
              </w:rPr>
            </w:pPr>
          </w:p>
        </w:tc>
        <w:tc>
          <w:tcPr>
            <w:tcW w:w="1340" w:type="dxa"/>
            <w:vAlign w:val="bottom"/>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$’000</w:t>
            </w:r>
          </w:p>
        </w:tc>
        <w:tc>
          <w:tcPr>
            <w:tcW w:w="1640" w:type="dxa"/>
            <w:vAlign w:val="bottom"/>
            <w:shd w:val="clear" w:color="auto" w:fill="CCEEFF"/>
          </w:tcPr>
          <w:p>
            <w:pPr>
              <w:jc w:val="right"/>
              <w:ind w:right="516"/>
              <w:spacing w:after="0"/>
              <w:rPr>
                <w:sz w:val="20"/>
                <w:szCs w:val="20"/>
                <w:color w:val="auto"/>
              </w:rPr>
            </w:pPr>
            <w:r>
              <w:rPr>
                <w:rFonts w:ascii="Arial" w:cs="Arial" w:eastAsia="Arial" w:hAnsi="Arial"/>
                <w:sz w:val="13"/>
                <w:szCs w:val="13"/>
                <w:b w:val="1"/>
                <w:bCs w:val="1"/>
                <w:color w:val="auto"/>
              </w:rPr>
              <w:t>$’000</w:t>
            </w: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$’000</w:t>
            </w:r>
          </w:p>
        </w:tc>
        <w:tc>
          <w:tcPr>
            <w:tcW w:w="1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$’000</w:t>
            </w:r>
          </w:p>
        </w:tc>
        <w:tc>
          <w:tcPr>
            <w:tcW w:w="1560" w:type="dxa"/>
            <w:vAlign w:val="bottom"/>
            <w:shd w:val="clear" w:color="auto" w:fill="CCEEFF"/>
          </w:tcPr>
          <w:p>
            <w:pPr>
              <w:jc w:val="right"/>
              <w:ind w:right="516"/>
              <w:spacing w:after="0"/>
              <w:rPr>
                <w:sz w:val="20"/>
                <w:szCs w:val="20"/>
                <w:color w:val="auto"/>
              </w:rPr>
            </w:pPr>
            <w:r>
              <w:rPr>
                <w:rFonts w:ascii="Arial" w:cs="Arial" w:eastAsia="Arial" w:hAnsi="Arial"/>
                <w:sz w:val="13"/>
                <w:szCs w:val="13"/>
                <w:color w:val="auto"/>
              </w:rPr>
              <w:t>$’000</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4060" w:type="dxa"/>
            <w:vAlign w:val="bottom"/>
          </w:tcPr>
          <w:p>
            <w:pPr>
              <w:ind w:left="20"/>
              <w:spacing w:after="0"/>
              <w:rPr>
                <w:sz w:val="20"/>
                <w:szCs w:val="20"/>
                <w:color w:val="auto"/>
              </w:rPr>
            </w:pPr>
            <w:r>
              <w:rPr>
                <w:rFonts w:ascii="Arial" w:cs="Arial" w:eastAsia="Arial" w:hAnsi="Arial"/>
                <w:sz w:val="13"/>
                <w:szCs w:val="13"/>
                <w:b w:val="1"/>
                <w:bCs w:val="1"/>
                <w:color w:val="auto"/>
              </w:rPr>
              <w:t>Auditor's remuneration:</w:t>
            </w:r>
          </w:p>
        </w:tc>
        <w:tc>
          <w:tcPr>
            <w:tcW w:w="13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4060" w:type="dxa"/>
            <w:vAlign w:val="bottom"/>
            <w:shd w:val="clear" w:color="auto" w:fill="CCEEFF"/>
          </w:tcPr>
          <w:p>
            <w:pPr>
              <w:ind w:left="20"/>
              <w:spacing w:after="0" w:line="170" w:lineRule="exact"/>
              <w:rPr>
                <w:sz w:val="20"/>
                <w:szCs w:val="20"/>
                <w:color w:val="auto"/>
              </w:rPr>
            </w:pPr>
            <w:r>
              <w:rPr>
                <w:rFonts w:ascii="Arial" w:cs="Arial" w:eastAsia="Arial" w:hAnsi="Arial"/>
                <w:sz w:val="13"/>
                <w:szCs w:val="13"/>
                <w:color w:val="auto"/>
              </w:rPr>
              <w:t xml:space="preserve">Audit fees </w:t>
            </w:r>
            <w:r>
              <w:rPr>
                <w:rFonts w:ascii="Arial" w:cs="Arial" w:eastAsia="Arial" w:hAnsi="Arial"/>
                <w:sz w:val="16"/>
                <w:szCs w:val="16"/>
                <w:color w:val="auto"/>
                <w:vertAlign w:val="superscript"/>
              </w:rPr>
              <w:t>(1) (2)</w:t>
            </w:r>
          </w:p>
        </w:tc>
        <w:tc>
          <w:tcPr>
            <w:tcW w:w="1340" w:type="dxa"/>
            <w:vAlign w:val="bottom"/>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2,744</w:t>
            </w:r>
          </w:p>
        </w:tc>
        <w:tc>
          <w:tcPr>
            <w:tcW w:w="1640" w:type="dxa"/>
            <w:vAlign w:val="bottom"/>
            <w:shd w:val="clear" w:color="auto" w:fill="CCEEFF"/>
          </w:tcPr>
          <w:p>
            <w:pPr>
              <w:jc w:val="right"/>
              <w:ind w:right="576"/>
              <w:spacing w:after="0"/>
              <w:rPr>
                <w:sz w:val="20"/>
                <w:szCs w:val="20"/>
                <w:color w:val="auto"/>
              </w:rPr>
            </w:pPr>
            <w:r>
              <w:rPr>
                <w:rFonts w:ascii="Arial" w:cs="Arial" w:eastAsia="Arial" w:hAnsi="Arial"/>
                <w:sz w:val="13"/>
                <w:szCs w:val="13"/>
                <w:b w:val="1"/>
                <w:bCs w:val="1"/>
                <w:color w:val="auto"/>
              </w:rPr>
              <w:t>—</w:t>
            </w:r>
          </w:p>
        </w:tc>
        <w:tc>
          <w:tcPr>
            <w:tcW w:w="740" w:type="dxa"/>
            <w:vAlign w:val="bottom"/>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2,744</w:t>
            </w:r>
          </w:p>
        </w:tc>
        <w:tc>
          <w:tcPr>
            <w:tcW w:w="12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1,357</w:t>
            </w:r>
          </w:p>
        </w:tc>
        <w:tc>
          <w:tcPr>
            <w:tcW w:w="1560" w:type="dxa"/>
            <w:vAlign w:val="bottom"/>
            <w:shd w:val="clear" w:color="auto" w:fill="CCEEFF"/>
          </w:tcPr>
          <w:p>
            <w:pPr>
              <w:jc w:val="right"/>
              <w:ind w:right="556"/>
              <w:spacing w:after="0"/>
              <w:rPr>
                <w:sz w:val="20"/>
                <w:szCs w:val="20"/>
                <w:color w:val="auto"/>
              </w:rPr>
            </w:pPr>
            <w:r>
              <w:rPr>
                <w:rFonts w:ascii="Arial" w:cs="Arial" w:eastAsia="Arial" w:hAnsi="Arial"/>
                <w:sz w:val="13"/>
                <w:szCs w:val="13"/>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1,357</w:t>
            </w:r>
          </w:p>
        </w:tc>
      </w:tr>
      <w:tr>
        <w:trPr>
          <w:trHeight w:val="170"/>
        </w:trPr>
        <w:tc>
          <w:tcPr>
            <w:tcW w:w="4060" w:type="dxa"/>
            <w:vAlign w:val="bottom"/>
          </w:tcPr>
          <w:p>
            <w:pPr>
              <w:ind w:left="20"/>
              <w:spacing w:after="0" w:line="170" w:lineRule="exact"/>
              <w:rPr>
                <w:sz w:val="20"/>
                <w:szCs w:val="20"/>
                <w:color w:val="auto"/>
              </w:rPr>
            </w:pPr>
            <w:r>
              <w:rPr>
                <w:rFonts w:ascii="Arial" w:cs="Arial" w:eastAsia="Arial" w:hAnsi="Arial"/>
                <w:sz w:val="13"/>
                <w:szCs w:val="13"/>
                <w:color w:val="auto"/>
              </w:rPr>
              <w:t xml:space="preserve">Other assurance fees </w:t>
            </w:r>
            <w:r>
              <w:rPr>
                <w:rFonts w:ascii="Arial" w:cs="Arial" w:eastAsia="Arial" w:hAnsi="Arial"/>
                <w:sz w:val="16"/>
                <w:szCs w:val="16"/>
                <w:color w:val="auto"/>
                <w:vertAlign w:val="superscript"/>
              </w:rPr>
              <w:t>(3)</w:t>
            </w:r>
          </w:p>
        </w:tc>
        <w:tc>
          <w:tcPr>
            <w:tcW w:w="1340" w:type="dxa"/>
            <w:vAlign w:val="bottom"/>
          </w:tcPr>
          <w:p>
            <w:pPr>
              <w:jc w:val="right"/>
              <w:ind w:right="116"/>
              <w:spacing w:after="0"/>
              <w:rPr>
                <w:sz w:val="20"/>
                <w:szCs w:val="20"/>
                <w:color w:val="auto"/>
              </w:rPr>
            </w:pPr>
            <w:r>
              <w:rPr>
                <w:rFonts w:ascii="Arial" w:cs="Arial" w:eastAsia="Arial" w:hAnsi="Arial"/>
                <w:sz w:val="13"/>
                <w:szCs w:val="13"/>
                <w:b w:val="1"/>
                <w:bCs w:val="1"/>
                <w:color w:val="auto"/>
              </w:rPr>
              <w:t>—</w:t>
            </w:r>
          </w:p>
        </w:tc>
        <w:tc>
          <w:tcPr>
            <w:tcW w:w="1640" w:type="dxa"/>
            <w:vAlign w:val="bottom"/>
          </w:tcPr>
          <w:p>
            <w:pPr>
              <w:jc w:val="right"/>
              <w:ind w:right="576"/>
              <w:spacing w:after="0"/>
              <w:rPr>
                <w:sz w:val="20"/>
                <w:szCs w:val="20"/>
                <w:color w:val="auto"/>
              </w:rPr>
            </w:pPr>
            <w:r>
              <w:rPr>
                <w:rFonts w:ascii="Arial" w:cs="Arial" w:eastAsia="Arial" w:hAnsi="Arial"/>
                <w:sz w:val="13"/>
                <w:szCs w:val="13"/>
                <w:b w:val="1"/>
                <w:bCs w:val="1"/>
                <w:color w:val="auto"/>
              </w:rPr>
              <w:t>162</w:t>
            </w:r>
          </w:p>
        </w:tc>
        <w:tc>
          <w:tcPr>
            <w:tcW w:w="740" w:type="dxa"/>
            <w:vAlign w:val="bottom"/>
          </w:tcPr>
          <w:p>
            <w:pPr>
              <w:jc w:val="right"/>
              <w:ind w:right="116"/>
              <w:spacing w:after="0"/>
              <w:rPr>
                <w:sz w:val="20"/>
                <w:szCs w:val="20"/>
                <w:color w:val="auto"/>
              </w:rPr>
            </w:pPr>
            <w:r>
              <w:rPr>
                <w:rFonts w:ascii="Arial" w:cs="Arial" w:eastAsia="Arial" w:hAnsi="Arial"/>
                <w:sz w:val="13"/>
                <w:szCs w:val="13"/>
                <w:b w:val="1"/>
                <w:bCs w:val="1"/>
                <w:color w:val="auto"/>
              </w:rPr>
              <w:t>162</w:t>
            </w:r>
          </w:p>
        </w:tc>
        <w:tc>
          <w:tcPr>
            <w:tcW w:w="128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1560" w:type="dxa"/>
            <w:vAlign w:val="bottom"/>
          </w:tcPr>
          <w:p>
            <w:pPr>
              <w:jc w:val="right"/>
              <w:ind w:right="556"/>
              <w:spacing w:after="0"/>
              <w:rPr>
                <w:sz w:val="20"/>
                <w:szCs w:val="20"/>
                <w:color w:val="auto"/>
              </w:rPr>
            </w:pPr>
            <w:r>
              <w:rPr>
                <w:rFonts w:ascii="Arial" w:cs="Arial" w:eastAsia="Arial" w:hAnsi="Arial"/>
                <w:sz w:val="13"/>
                <w:szCs w:val="13"/>
                <w:color w:val="auto"/>
              </w:rPr>
              <w:t>81</w:t>
            </w:r>
          </w:p>
        </w:tc>
        <w:tc>
          <w:tcPr>
            <w:tcW w:w="660" w:type="dxa"/>
            <w:vAlign w:val="bottom"/>
          </w:tcPr>
          <w:p>
            <w:pPr>
              <w:jc w:val="right"/>
              <w:spacing w:after="0"/>
              <w:rPr>
                <w:sz w:val="20"/>
                <w:szCs w:val="20"/>
                <w:color w:val="auto"/>
              </w:rPr>
            </w:pPr>
            <w:r>
              <w:rPr>
                <w:rFonts w:ascii="Arial" w:cs="Arial" w:eastAsia="Arial" w:hAnsi="Arial"/>
                <w:sz w:val="13"/>
                <w:szCs w:val="13"/>
                <w:color w:val="auto"/>
              </w:rPr>
              <w:t>81</w:t>
            </w:r>
          </w:p>
        </w:tc>
      </w:tr>
      <w:tr>
        <w:trPr>
          <w:trHeight w:val="170"/>
        </w:trPr>
        <w:tc>
          <w:tcPr>
            <w:tcW w:w="4060" w:type="dxa"/>
            <w:vAlign w:val="bottom"/>
            <w:shd w:val="clear" w:color="auto" w:fill="CCEEFF"/>
          </w:tcPr>
          <w:p>
            <w:pPr>
              <w:ind w:left="20"/>
              <w:spacing w:after="0" w:line="170" w:lineRule="exact"/>
              <w:rPr>
                <w:sz w:val="20"/>
                <w:szCs w:val="20"/>
                <w:color w:val="auto"/>
              </w:rPr>
            </w:pPr>
            <w:r>
              <w:rPr>
                <w:rFonts w:ascii="Arial" w:cs="Arial" w:eastAsia="Arial" w:hAnsi="Arial"/>
                <w:sz w:val="13"/>
                <w:szCs w:val="13"/>
                <w:color w:val="auto"/>
              </w:rPr>
              <w:t xml:space="preserve">Tax advisory fees </w:t>
            </w:r>
            <w:r>
              <w:rPr>
                <w:rFonts w:ascii="Arial" w:cs="Arial" w:eastAsia="Arial" w:hAnsi="Arial"/>
                <w:sz w:val="16"/>
                <w:szCs w:val="16"/>
                <w:color w:val="auto"/>
                <w:vertAlign w:val="superscript"/>
              </w:rPr>
              <w:t>(4)</w:t>
            </w:r>
          </w:p>
        </w:tc>
        <w:tc>
          <w:tcPr>
            <w:tcW w:w="1340" w:type="dxa"/>
            <w:vAlign w:val="bottom"/>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1,809</w:t>
            </w:r>
          </w:p>
        </w:tc>
        <w:tc>
          <w:tcPr>
            <w:tcW w:w="1640" w:type="dxa"/>
            <w:vAlign w:val="bottom"/>
            <w:shd w:val="clear" w:color="auto" w:fill="CCEEFF"/>
          </w:tcPr>
          <w:p>
            <w:pPr>
              <w:jc w:val="right"/>
              <w:ind w:right="576"/>
              <w:spacing w:after="0"/>
              <w:rPr>
                <w:sz w:val="20"/>
                <w:szCs w:val="20"/>
                <w:color w:val="auto"/>
              </w:rPr>
            </w:pPr>
            <w:r>
              <w:rPr>
                <w:rFonts w:ascii="Arial" w:cs="Arial" w:eastAsia="Arial" w:hAnsi="Arial"/>
                <w:sz w:val="13"/>
                <w:szCs w:val="13"/>
                <w:b w:val="1"/>
                <w:bCs w:val="1"/>
                <w:color w:val="auto"/>
              </w:rPr>
              <w:t>2,257</w:t>
            </w:r>
          </w:p>
        </w:tc>
        <w:tc>
          <w:tcPr>
            <w:tcW w:w="740" w:type="dxa"/>
            <w:vAlign w:val="bottom"/>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4,066</w:t>
            </w:r>
          </w:p>
        </w:tc>
        <w:tc>
          <w:tcPr>
            <w:tcW w:w="12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405</w:t>
            </w:r>
          </w:p>
        </w:tc>
        <w:tc>
          <w:tcPr>
            <w:tcW w:w="1560" w:type="dxa"/>
            <w:vAlign w:val="bottom"/>
            <w:shd w:val="clear" w:color="auto" w:fill="CCEEFF"/>
          </w:tcPr>
          <w:p>
            <w:pPr>
              <w:jc w:val="right"/>
              <w:ind w:right="556"/>
              <w:spacing w:after="0"/>
              <w:rPr>
                <w:sz w:val="20"/>
                <w:szCs w:val="20"/>
                <w:color w:val="auto"/>
              </w:rPr>
            </w:pPr>
            <w:r>
              <w:rPr>
                <w:rFonts w:ascii="Arial" w:cs="Arial" w:eastAsia="Arial" w:hAnsi="Arial"/>
                <w:sz w:val="13"/>
                <w:szCs w:val="13"/>
                <w:color w:val="auto"/>
              </w:rPr>
              <w:t>360</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765</w:t>
            </w:r>
          </w:p>
        </w:tc>
      </w:tr>
      <w:tr>
        <w:trPr>
          <w:trHeight w:val="170"/>
        </w:trPr>
        <w:tc>
          <w:tcPr>
            <w:tcW w:w="4060" w:type="dxa"/>
            <w:vAlign w:val="bottom"/>
            <w:tcBorders>
              <w:bottom w:val="single" w:sz="8" w:color="auto"/>
            </w:tcBorders>
          </w:tcPr>
          <w:p>
            <w:pPr>
              <w:ind w:left="20"/>
              <w:spacing w:after="0" w:line="170" w:lineRule="exact"/>
              <w:rPr>
                <w:sz w:val="20"/>
                <w:szCs w:val="20"/>
                <w:color w:val="auto"/>
              </w:rPr>
            </w:pPr>
            <w:r>
              <w:rPr>
                <w:rFonts w:ascii="Arial" w:cs="Arial" w:eastAsia="Arial" w:hAnsi="Arial"/>
                <w:sz w:val="13"/>
                <w:szCs w:val="13"/>
                <w:color w:val="auto"/>
              </w:rPr>
              <w:t xml:space="preserve">Other non-audit fees </w:t>
            </w:r>
            <w:r>
              <w:rPr>
                <w:rFonts w:ascii="Arial" w:cs="Arial" w:eastAsia="Arial" w:hAnsi="Arial"/>
                <w:sz w:val="16"/>
                <w:szCs w:val="16"/>
                <w:color w:val="auto"/>
                <w:vertAlign w:val="superscript"/>
              </w:rPr>
              <w:t>(5)</w:t>
            </w:r>
          </w:p>
        </w:tc>
        <w:tc>
          <w:tcPr>
            <w:tcW w:w="134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1,300</w:t>
            </w:r>
          </w:p>
        </w:tc>
        <w:tc>
          <w:tcPr>
            <w:tcW w:w="1640" w:type="dxa"/>
            <w:vAlign w:val="bottom"/>
            <w:tcBorders>
              <w:bottom w:val="single" w:sz="8" w:color="auto"/>
            </w:tcBorders>
          </w:tcPr>
          <w:p>
            <w:pPr>
              <w:jc w:val="right"/>
              <w:ind w:right="576"/>
              <w:spacing w:after="0"/>
              <w:rPr>
                <w:sz w:val="20"/>
                <w:szCs w:val="20"/>
                <w:color w:val="auto"/>
              </w:rPr>
            </w:pPr>
            <w:r>
              <w:rPr>
                <w:rFonts w:ascii="Arial" w:cs="Arial" w:eastAsia="Arial" w:hAnsi="Arial"/>
                <w:sz w:val="13"/>
                <w:szCs w:val="13"/>
                <w:b w:val="1"/>
                <w:bCs w:val="1"/>
                <w:color w:val="auto"/>
              </w:rPr>
              <w:t>813</w:t>
            </w:r>
          </w:p>
        </w:tc>
        <w:tc>
          <w:tcPr>
            <w:tcW w:w="74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2,113</w:t>
            </w:r>
          </w:p>
        </w:tc>
        <w:tc>
          <w:tcPr>
            <w:tcW w:w="128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rPr>
              <w:t>204</w:t>
            </w:r>
          </w:p>
        </w:tc>
        <w:tc>
          <w:tcPr>
            <w:tcW w:w="156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color w:val="auto"/>
              </w:rPr>
              <w:t>7</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211</w:t>
            </w:r>
          </w:p>
        </w:tc>
      </w:tr>
      <w:tr>
        <w:trPr>
          <w:trHeight w:val="162"/>
        </w:trPr>
        <w:tc>
          <w:tcPr>
            <w:tcW w:w="4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fees</w:t>
            </w:r>
          </w:p>
        </w:tc>
        <w:tc>
          <w:tcPr>
            <w:tcW w:w="134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5,853</w:t>
            </w:r>
          </w:p>
        </w:tc>
        <w:tc>
          <w:tcPr>
            <w:tcW w:w="1640" w:type="dxa"/>
            <w:vAlign w:val="bottom"/>
            <w:tcBorders>
              <w:bottom w:val="single" w:sz="8" w:color="auto"/>
            </w:tcBorders>
            <w:shd w:val="clear" w:color="auto" w:fill="CCEEFF"/>
          </w:tcPr>
          <w:p>
            <w:pPr>
              <w:jc w:val="right"/>
              <w:ind w:right="576"/>
              <w:spacing w:after="0"/>
              <w:rPr>
                <w:sz w:val="20"/>
                <w:szCs w:val="20"/>
                <w:color w:val="auto"/>
              </w:rPr>
            </w:pPr>
            <w:r>
              <w:rPr>
                <w:rFonts w:ascii="Arial" w:cs="Arial" w:eastAsia="Arial" w:hAnsi="Arial"/>
                <w:sz w:val="13"/>
                <w:szCs w:val="13"/>
                <w:b w:val="1"/>
                <w:bCs w:val="1"/>
                <w:color w:val="auto"/>
              </w:rPr>
              <w:t>3,232</w:t>
            </w:r>
          </w:p>
        </w:tc>
        <w:tc>
          <w:tcPr>
            <w:tcW w:w="74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9,085</w:t>
            </w:r>
          </w:p>
        </w:tc>
        <w:tc>
          <w:tcPr>
            <w:tcW w:w="12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1,966</w:t>
            </w:r>
          </w:p>
        </w:tc>
        <w:tc>
          <w:tcPr>
            <w:tcW w:w="156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3"/>
                <w:szCs w:val="13"/>
                <w:color w:val="auto"/>
              </w:rPr>
              <w:t>448</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2,414</w:t>
            </w:r>
          </w:p>
        </w:tc>
      </w:tr>
    </w:tbl>
    <w:p>
      <w:pPr>
        <w:spacing w:after="0" w:line="37" w:lineRule="exact"/>
        <w:rPr>
          <w:sz w:val="20"/>
          <w:szCs w:val="20"/>
          <w:color w:val="auto"/>
        </w:rPr>
      </w:pPr>
    </w:p>
    <w:p>
      <w:pPr>
        <w:ind w:left="260" w:hanging="191"/>
        <w:spacing w:after="0"/>
        <w:tabs>
          <w:tab w:leader="none" w:pos="260" w:val="left"/>
        </w:tabs>
        <w:numPr>
          <w:ilvl w:val="0"/>
          <w:numId w:val="62"/>
        </w:numPr>
        <w:rPr>
          <w:rFonts w:ascii="Arial" w:cs="Arial" w:eastAsia="Arial" w:hAnsi="Arial"/>
          <w:sz w:val="15"/>
          <w:szCs w:val="15"/>
          <w:i w:val="1"/>
          <w:iCs w:val="1"/>
          <w:color w:val="auto"/>
          <w:vertAlign w:val="superscript"/>
        </w:rPr>
      </w:pPr>
      <w:r>
        <w:rPr>
          <w:rFonts w:ascii="Arial" w:cs="Arial" w:eastAsia="Arial" w:hAnsi="Arial"/>
          <w:sz w:val="11"/>
          <w:szCs w:val="11"/>
          <w:i w:val="1"/>
          <w:iCs w:val="1"/>
          <w:color w:val="auto"/>
        </w:rPr>
        <w:t>Audit fees include annual audit fees for ICON plc.</w:t>
      </w:r>
    </w:p>
    <w:p>
      <w:pPr>
        <w:ind w:left="260" w:hanging="191"/>
        <w:spacing w:after="0" w:line="186" w:lineRule="auto"/>
        <w:tabs>
          <w:tab w:leader="none" w:pos="260" w:val="left"/>
        </w:tabs>
        <w:numPr>
          <w:ilvl w:val="0"/>
          <w:numId w:val="62"/>
        </w:numPr>
        <w:rPr>
          <w:rFonts w:ascii="Arial" w:cs="Arial" w:eastAsia="Arial" w:hAnsi="Arial"/>
          <w:sz w:val="15"/>
          <w:szCs w:val="15"/>
          <w:i w:val="1"/>
          <w:iCs w:val="1"/>
          <w:color w:val="auto"/>
          <w:vertAlign w:val="superscript"/>
        </w:rPr>
      </w:pPr>
      <w:r>
        <w:rPr>
          <w:rFonts w:ascii="Arial" w:cs="Arial" w:eastAsia="Arial" w:hAnsi="Arial"/>
          <w:sz w:val="11"/>
          <w:szCs w:val="11"/>
          <w:i w:val="1"/>
          <w:iCs w:val="1"/>
          <w:color w:val="auto"/>
        </w:rPr>
        <w:t>Audit fees for the Company for the year are set at $30,000 (2020: $30,000)</w:t>
      </w:r>
    </w:p>
    <w:p>
      <w:pPr>
        <w:ind w:left="260" w:hanging="191"/>
        <w:spacing w:after="0"/>
        <w:tabs>
          <w:tab w:leader="none" w:pos="260" w:val="left"/>
        </w:tabs>
        <w:numPr>
          <w:ilvl w:val="0"/>
          <w:numId w:val="62"/>
        </w:numPr>
        <w:rPr>
          <w:rFonts w:ascii="Arial" w:cs="Arial" w:eastAsia="Arial" w:hAnsi="Arial"/>
          <w:sz w:val="7"/>
          <w:szCs w:val="7"/>
          <w:i w:val="1"/>
          <w:iCs w:val="1"/>
          <w:color w:val="auto"/>
        </w:rPr>
      </w:pPr>
      <w:r>
        <w:rPr>
          <w:rFonts w:ascii="Arial" w:cs="Arial" w:eastAsia="Arial" w:hAnsi="Arial"/>
          <w:sz w:val="11"/>
          <w:szCs w:val="11"/>
          <w:i w:val="1"/>
          <w:iCs w:val="1"/>
          <w:color w:val="auto"/>
        </w:rPr>
        <w:t>Other assurance fees principally consist of fees for the audit of remaining subsidiaries and fees for the audit of the financial statements of employee benefit plans.</w:t>
      </w:r>
    </w:p>
    <w:p>
      <w:pPr>
        <w:spacing w:after="0" w:line="11" w:lineRule="exact"/>
        <w:rPr>
          <w:rFonts w:ascii="Arial" w:cs="Arial" w:eastAsia="Arial" w:hAnsi="Arial"/>
          <w:sz w:val="7"/>
          <w:szCs w:val="7"/>
          <w:i w:val="1"/>
          <w:iCs w:val="1"/>
          <w:color w:val="auto"/>
        </w:rPr>
      </w:pPr>
    </w:p>
    <w:p>
      <w:pPr>
        <w:ind w:left="260" w:hanging="191"/>
        <w:spacing w:after="0" w:line="191" w:lineRule="auto"/>
        <w:tabs>
          <w:tab w:leader="none" w:pos="260" w:val="left"/>
        </w:tabs>
        <w:numPr>
          <w:ilvl w:val="0"/>
          <w:numId w:val="62"/>
        </w:numPr>
        <w:rPr>
          <w:rFonts w:ascii="Arial" w:cs="Arial" w:eastAsia="Arial" w:hAnsi="Arial"/>
          <w:sz w:val="15"/>
          <w:szCs w:val="15"/>
          <w:i w:val="1"/>
          <w:iCs w:val="1"/>
          <w:color w:val="auto"/>
          <w:vertAlign w:val="superscript"/>
        </w:rPr>
      </w:pPr>
      <w:r>
        <w:rPr>
          <w:rFonts w:ascii="Arial" w:cs="Arial" w:eastAsia="Arial" w:hAnsi="Arial"/>
          <w:sz w:val="11"/>
          <w:szCs w:val="11"/>
          <w:i w:val="1"/>
          <w:iCs w:val="1"/>
          <w:color w:val="auto"/>
        </w:rPr>
        <w:t>Tax advisory fees are for tax compliance and tax advisory services.</w:t>
      </w:r>
    </w:p>
    <w:p>
      <w:pPr>
        <w:ind w:left="260" w:hanging="191"/>
        <w:spacing w:after="0" w:line="192" w:lineRule="auto"/>
        <w:tabs>
          <w:tab w:leader="none" w:pos="260" w:val="left"/>
        </w:tabs>
        <w:numPr>
          <w:ilvl w:val="0"/>
          <w:numId w:val="62"/>
        </w:numPr>
        <w:rPr>
          <w:rFonts w:ascii="Arial" w:cs="Arial" w:eastAsia="Arial" w:hAnsi="Arial"/>
          <w:sz w:val="15"/>
          <w:szCs w:val="15"/>
          <w:i w:val="1"/>
          <w:iCs w:val="1"/>
          <w:color w:val="auto"/>
          <w:vertAlign w:val="superscript"/>
        </w:rPr>
      </w:pPr>
      <w:r>
        <w:rPr>
          <w:rFonts w:ascii="Arial" w:cs="Arial" w:eastAsia="Arial" w:hAnsi="Arial"/>
          <w:sz w:val="11"/>
          <w:szCs w:val="11"/>
          <w:i w:val="1"/>
          <w:iCs w:val="1"/>
          <w:color w:val="auto"/>
        </w:rPr>
        <w:t>Other non-audit fees principally consist of fees for financial due diligence.</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3"/>
          <w:szCs w:val="13"/>
          <w:color w:val="auto"/>
        </w:rPr>
        <w:t>Directors’ remuneration disclosures as required by Section 305 of the Companies Act are set out below:</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80" w:type="dxa"/>
            <w:vAlign w:val="bottom"/>
            <w:shd w:val="clear" w:color="auto" w:fill="CCEEFF"/>
          </w:tcPr>
          <w:p>
            <w:pPr>
              <w:spacing w:after="0"/>
              <w:rPr>
                <w:sz w:val="13"/>
                <w:szCs w:val="13"/>
                <w:color w:val="auto"/>
              </w:rPr>
            </w:pPr>
          </w:p>
        </w:tc>
        <w:tc>
          <w:tcPr>
            <w:tcW w:w="560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 xml:space="preserve">Year ended 31 </w:t>
            </w:r>
            <w:r>
              <w:rPr>
                <w:rFonts w:ascii="Arial" w:cs="Arial" w:eastAsia="Arial" w:hAnsi="Arial"/>
                <w:sz w:val="13"/>
                <w:szCs w:val="13"/>
                <w:color w:val="auto"/>
              </w:rPr>
              <w:t>Year ended 31 December</w:t>
            </w:r>
          </w:p>
        </w:tc>
      </w:tr>
      <w:tr>
        <w:trPr>
          <w:trHeight w:val="170"/>
        </w:trPr>
        <w:tc>
          <w:tcPr>
            <w:tcW w:w="5680" w:type="dxa"/>
            <w:vAlign w:val="bottom"/>
            <w:tcBorders>
              <w:bottom w:val="single" w:sz="8" w:color="auto"/>
            </w:tcBorders>
            <w:shd w:val="clear" w:color="auto" w:fill="CCEEFF"/>
          </w:tcPr>
          <w:p>
            <w:pPr>
              <w:spacing w:after="0"/>
              <w:rPr>
                <w:sz w:val="14"/>
                <w:szCs w:val="14"/>
                <w:color w:val="auto"/>
              </w:rPr>
            </w:pPr>
          </w:p>
        </w:tc>
        <w:tc>
          <w:tcPr>
            <w:tcW w:w="466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December 2021</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2020</w:t>
            </w:r>
          </w:p>
        </w:tc>
      </w:tr>
      <w:tr>
        <w:trPr>
          <w:trHeight w:val="160"/>
        </w:trPr>
        <w:tc>
          <w:tcPr>
            <w:tcW w:w="5680" w:type="dxa"/>
            <w:vAlign w:val="bottom"/>
          </w:tcPr>
          <w:p>
            <w:pPr>
              <w:spacing w:after="0"/>
              <w:rPr>
                <w:sz w:val="13"/>
                <w:szCs w:val="13"/>
                <w:color w:val="auto"/>
              </w:rPr>
            </w:pPr>
          </w:p>
        </w:tc>
        <w:tc>
          <w:tcPr>
            <w:tcW w:w="4660" w:type="dxa"/>
            <w:vAlign w:val="bottom"/>
          </w:tcPr>
          <w:p>
            <w:pPr>
              <w:jc w:val="right"/>
              <w:ind w:right="476"/>
              <w:spacing w:after="0"/>
              <w:rPr>
                <w:sz w:val="20"/>
                <w:szCs w:val="20"/>
                <w:color w:val="auto"/>
              </w:rPr>
            </w:pPr>
            <w:r>
              <w:rPr>
                <w:rFonts w:ascii="Arial" w:cs="Arial" w:eastAsia="Arial" w:hAnsi="Arial"/>
                <w:sz w:val="13"/>
                <w:szCs w:val="13"/>
                <w:b w:val="1"/>
                <w:bCs w:val="1"/>
                <w:color w:val="auto"/>
              </w:rPr>
              <w:t>$’000</w:t>
            </w:r>
          </w:p>
        </w:tc>
        <w:tc>
          <w:tcPr>
            <w:tcW w:w="9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56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Directors’ emoluments</w:t>
            </w:r>
          </w:p>
        </w:tc>
        <w:tc>
          <w:tcPr>
            <w:tcW w:w="46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170"/>
        </w:trPr>
        <w:tc>
          <w:tcPr>
            <w:tcW w:w="5680" w:type="dxa"/>
            <w:vAlign w:val="bottom"/>
          </w:tcPr>
          <w:p>
            <w:pPr>
              <w:ind w:left="20"/>
              <w:spacing w:after="0"/>
              <w:rPr>
                <w:sz w:val="20"/>
                <w:szCs w:val="20"/>
                <w:color w:val="auto"/>
              </w:rPr>
            </w:pPr>
            <w:r>
              <w:rPr>
                <w:rFonts w:ascii="Arial" w:cs="Arial" w:eastAsia="Arial" w:hAnsi="Arial"/>
                <w:sz w:val="13"/>
                <w:szCs w:val="13"/>
                <w:color w:val="auto"/>
              </w:rPr>
              <w:t>Emoluments</w:t>
            </w:r>
          </w:p>
        </w:tc>
        <w:tc>
          <w:tcPr>
            <w:tcW w:w="4660" w:type="dxa"/>
            <w:vAlign w:val="bottom"/>
          </w:tcPr>
          <w:p>
            <w:pPr>
              <w:jc w:val="right"/>
              <w:ind w:right="476"/>
              <w:spacing w:after="0"/>
              <w:rPr>
                <w:sz w:val="20"/>
                <w:szCs w:val="20"/>
                <w:color w:val="auto"/>
              </w:rPr>
            </w:pPr>
            <w:r>
              <w:rPr>
                <w:rFonts w:ascii="Arial" w:cs="Arial" w:eastAsia="Arial" w:hAnsi="Arial"/>
                <w:sz w:val="13"/>
                <w:szCs w:val="13"/>
                <w:b w:val="1"/>
                <w:bCs w:val="1"/>
                <w:color w:val="auto"/>
              </w:rPr>
              <w:t>4,803</w:t>
            </w:r>
          </w:p>
        </w:tc>
        <w:tc>
          <w:tcPr>
            <w:tcW w:w="940" w:type="dxa"/>
            <w:vAlign w:val="bottom"/>
          </w:tcPr>
          <w:p>
            <w:pPr>
              <w:jc w:val="right"/>
              <w:spacing w:after="0"/>
              <w:rPr>
                <w:sz w:val="20"/>
                <w:szCs w:val="20"/>
                <w:color w:val="auto"/>
              </w:rPr>
            </w:pPr>
            <w:r>
              <w:rPr>
                <w:rFonts w:ascii="Arial" w:cs="Arial" w:eastAsia="Arial" w:hAnsi="Arial"/>
                <w:sz w:val="13"/>
                <w:szCs w:val="13"/>
                <w:color w:val="auto"/>
              </w:rPr>
              <w:t>3,058</w:t>
            </w:r>
          </w:p>
        </w:tc>
      </w:tr>
      <w:tr>
        <w:trPr>
          <w:trHeight w:val="170"/>
        </w:trPr>
        <w:tc>
          <w:tcPr>
            <w:tcW w:w="5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Benefits under long-term incentive schemes</w:t>
            </w:r>
          </w:p>
        </w:tc>
        <w:tc>
          <w:tcPr>
            <w:tcW w:w="4660" w:type="dxa"/>
            <w:vAlign w:val="bottom"/>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4,273</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4,531</w:t>
            </w:r>
          </w:p>
        </w:tc>
      </w:tr>
      <w:tr>
        <w:trPr>
          <w:trHeight w:val="170"/>
        </w:trPr>
        <w:tc>
          <w:tcPr>
            <w:tcW w:w="5680" w:type="dxa"/>
            <w:vAlign w:val="bottom"/>
          </w:tcPr>
          <w:p>
            <w:pPr>
              <w:ind w:left="20"/>
              <w:spacing w:after="0"/>
              <w:rPr>
                <w:sz w:val="20"/>
                <w:szCs w:val="20"/>
                <w:color w:val="auto"/>
              </w:rPr>
            </w:pPr>
            <w:r>
              <w:rPr>
                <w:rFonts w:ascii="Arial" w:cs="Arial" w:eastAsia="Arial" w:hAnsi="Arial"/>
                <w:sz w:val="13"/>
                <w:szCs w:val="13"/>
                <w:color w:val="auto"/>
              </w:rPr>
              <w:t>Gain on exercise of share options</w:t>
            </w:r>
          </w:p>
        </w:tc>
        <w:tc>
          <w:tcPr>
            <w:tcW w:w="4660" w:type="dxa"/>
            <w:vAlign w:val="bottom"/>
          </w:tcPr>
          <w:p>
            <w:pPr>
              <w:jc w:val="right"/>
              <w:ind w:right="476"/>
              <w:spacing w:after="0"/>
              <w:rPr>
                <w:sz w:val="20"/>
                <w:szCs w:val="20"/>
                <w:color w:val="auto"/>
              </w:rPr>
            </w:pPr>
            <w:r>
              <w:rPr>
                <w:rFonts w:ascii="Arial" w:cs="Arial" w:eastAsia="Arial" w:hAnsi="Arial"/>
                <w:sz w:val="13"/>
                <w:szCs w:val="13"/>
                <w:b w:val="1"/>
                <w:bCs w:val="1"/>
                <w:color w:val="auto"/>
              </w:rPr>
              <w:t>16,319</w:t>
            </w:r>
          </w:p>
        </w:tc>
        <w:tc>
          <w:tcPr>
            <w:tcW w:w="940" w:type="dxa"/>
            <w:vAlign w:val="bottom"/>
          </w:tcPr>
          <w:p>
            <w:pPr>
              <w:jc w:val="right"/>
              <w:spacing w:after="0"/>
              <w:rPr>
                <w:sz w:val="20"/>
                <w:szCs w:val="20"/>
                <w:color w:val="auto"/>
              </w:rPr>
            </w:pPr>
            <w:r>
              <w:rPr>
                <w:rFonts w:ascii="Arial" w:cs="Arial" w:eastAsia="Arial" w:hAnsi="Arial"/>
                <w:sz w:val="13"/>
                <w:szCs w:val="13"/>
                <w:color w:val="auto"/>
              </w:rPr>
              <w:t>12,914</w:t>
            </w:r>
          </w:p>
        </w:tc>
      </w:tr>
      <w:tr>
        <w:trPr>
          <w:trHeight w:val="171"/>
        </w:trPr>
        <w:tc>
          <w:tcPr>
            <w:tcW w:w="5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Pension contributions (defined contribution)</w:t>
            </w:r>
          </w:p>
        </w:tc>
        <w:tc>
          <w:tcPr>
            <w:tcW w:w="466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120</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171</w:t>
            </w:r>
          </w:p>
        </w:tc>
      </w:tr>
    </w:tbl>
    <w:p>
      <w:pPr>
        <w:spacing w:after="0" w:line="34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Further details regarding Directors’ shareholdings, share options and compensation are shown in </w:t>
      </w:r>
      <w:r>
        <w:rPr>
          <w:rFonts w:ascii="Arial" w:cs="Arial" w:eastAsia="Arial" w:hAnsi="Arial"/>
          <w:sz w:val="13"/>
          <w:szCs w:val="13"/>
          <w:i w:val="1"/>
          <w:iCs w:val="1"/>
          <w:color w:val="auto"/>
        </w:rPr>
        <w:t>note 9 – Payroll and related benefits.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Retirement benefits accrue to one Director (2020: one Director) under a defined contribution scheme.</w:t>
      </w:r>
    </w:p>
    <w:p>
      <w:pPr>
        <w:spacing w:after="0" w:line="190"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 xml:space="preserve">Included in the benefits under long-term incentive scheme are amounts relating to share entitlements, the calculation of which was based on the share-based payment charge calculated under IFRS 2 </w:t>
      </w:r>
      <w:r>
        <w:rPr>
          <w:rFonts w:ascii="Arial" w:cs="Arial" w:eastAsia="Arial" w:hAnsi="Arial"/>
          <w:sz w:val="13"/>
          <w:szCs w:val="13"/>
          <w:i w:val="1"/>
          <w:iCs w:val="1"/>
          <w:color w:val="auto"/>
        </w:rPr>
        <w:t>Share-Based Payments</w:t>
      </w:r>
      <w:r>
        <w:rPr>
          <w:rFonts w:ascii="Arial" w:cs="Arial" w:eastAsia="Arial" w:hAnsi="Arial"/>
          <w:sz w:val="13"/>
          <w:szCs w:val="13"/>
          <w:color w:val="auto"/>
        </w:rPr>
        <w:t>.</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00" w:type="dxa"/>
            <w:vAlign w:val="bottom"/>
            <w:shd w:val="clear" w:color="auto" w:fill="CCEEFF"/>
          </w:tcPr>
          <w:p>
            <w:pPr>
              <w:spacing w:after="0"/>
              <w:rPr>
                <w:sz w:val="12"/>
                <w:szCs w:val="12"/>
                <w:color w:val="auto"/>
              </w:rPr>
            </w:pPr>
          </w:p>
        </w:tc>
        <w:tc>
          <w:tcPr>
            <w:tcW w:w="528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 xml:space="preserve">Year ended 31 </w:t>
            </w:r>
            <w:r>
              <w:rPr>
                <w:rFonts w:ascii="Arial" w:cs="Arial" w:eastAsia="Arial" w:hAnsi="Arial"/>
                <w:sz w:val="13"/>
                <w:szCs w:val="13"/>
                <w:color w:val="auto"/>
              </w:rPr>
              <w:t>Year ended 31 December</w:t>
            </w:r>
          </w:p>
        </w:tc>
      </w:tr>
      <w:tr>
        <w:trPr>
          <w:trHeight w:val="170"/>
        </w:trPr>
        <w:tc>
          <w:tcPr>
            <w:tcW w:w="6000" w:type="dxa"/>
            <w:vAlign w:val="bottom"/>
            <w:tcBorders>
              <w:bottom w:val="single" w:sz="8" w:color="auto"/>
            </w:tcBorders>
            <w:shd w:val="clear" w:color="auto" w:fill="CCEEFF"/>
          </w:tcPr>
          <w:p>
            <w:pPr>
              <w:spacing w:after="0"/>
              <w:rPr>
                <w:sz w:val="14"/>
                <w:szCs w:val="14"/>
                <w:color w:val="auto"/>
              </w:rPr>
            </w:pPr>
          </w:p>
        </w:tc>
        <w:tc>
          <w:tcPr>
            <w:tcW w:w="432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December 2021</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2020</w:t>
            </w:r>
          </w:p>
        </w:tc>
      </w:tr>
      <w:tr>
        <w:trPr>
          <w:trHeight w:val="160"/>
        </w:trPr>
        <w:tc>
          <w:tcPr>
            <w:tcW w:w="6000" w:type="dxa"/>
            <w:vAlign w:val="bottom"/>
          </w:tcPr>
          <w:p>
            <w:pPr>
              <w:spacing w:after="0"/>
              <w:rPr>
                <w:sz w:val="13"/>
                <w:szCs w:val="13"/>
                <w:color w:val="auto"/>
              </w:rPr>
            </w:pPr>
          </w:p>
        </w:tc>
        <w:tc>
          <w:tcPr>
            <w:tcW w:w="4320" w:type="dxa"/>
            <w:vAlign w:val="bottom"/>
          </w:tcPr>
          <w:p>
            <w:pPr>
              <w:jc w:val="right"/>
              <w:ind w:right="476"/>
              <w:spacing w:after="0"/>
              <w:rPr>
                <w:sz w:val="20"/>
                <w:szCs w:val="20"/>
                <w:color w:val="auto"/>
              </w:rPr>
            </w:pPr>
            <w:r>
              <w:rPr>
                <w:rFonts w:ascii="Arial" w:cs="Arial" w:eastAsia="Arial" w:hAnsi="Arial"/>
                <w:sz w:val="13"/>
                <w:szCs w:val="13"/>
                <w:b w:val="1"/>
                <w:bCs w:val="1"/>
                <w:color w:val="auto"/>
              </w:rPr>
              <w:t>$’000</w:t>
            </w:r>
          </w:p>
        </w:tc>
        <w:tc>
          <w:tcPr>
            <w:tcW w:w="96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60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Depreciation and amortisation</w:t>
            </w:r>
          </w:p>
        </w:tc>
        <w:tc>
          <w:tcPr>
            <w:tcW w:w="43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70"/>
        </w:trPr>
        <w:tc>
          <w:tcPr>
            <w:tcW w:w="6000" w:type="dxa"/>
            <w:vAlign w:val="bottom"/>
          </w:tcPr>
          <w:p>
            <w:pPr>
              <w:ind w:left="20"/>
              <w:spacing w:after="0"/>
              <w:rPr>
                <w:sz w:val="20"/>
                <w:szCs w:val="20"/>
                <w:color w:val="auto"/>
              </w:rPr>
            </w:pPr>
            <w:r>
              <w:rPr>
                <w:rFonts w:ascii="Arial" w:cs="Arial" w:eastAsia="Arial" w:hAnsi="Arial"/>
                <w:sz w:val="13"/>
                <w:szCs w:val="13"/>
                <w:color w:val="auto"/>
              </w:rPr>
              <w:t>Depreciation of property, plant and equipment (note 12)</w:t>
            </w:r>
          </w:p>
        </w:tc>
        <w:tc>
          <w:tcPr>
            <w:tcW w:w="4320" w:type="dxa"/>
            <w:vAlign w:val="bottom"/>
          </w:tcPr>
          <w:p>
            <w:pPr>
              <w:jc w:val="right"/>
              <w:ind w:right="516"/>
              <w:spacing w:after="0"/>
              <w:rPr>
                <w:sz w:val="20"/>
                <w:szCs w:val="20"/>
                <w:color w:val="auto"/>
              </w:rPr>
            </w:pPr>
            <w:r>
              <w:rPr>
                <w:rFonts w:ascii="Arial" w:cs="Arial" w:eastAsia="Arial" w:hAnsi="Arial"/>
                <w:sz w:val="13"/>
                <w:szCs w:val="13"/>
                <w:b w:val="1"/>
                <w:bCs w:val="1"/>
                <w:color w:val="auto"/>
              </w:rPr>
              <w:t>33,654</w:t>
            </w:r>
          </w:p>
        </w:tc>
        <w:tc>
          <w:tcPr>
            <w:tcW w:w="960" w:type="dxa"/>
            <w:vAlign w:val="bottom"/>
          </w:tcPr>
          <w:p>
            <w:pPr>
              <w:jc w:val="right"/>
              <w:spacing w:after="0"/>
              <w:rPr>
                <w:sz w:val="20"/>
                <w:szCs w:val="20"/>
                <w:color w:val="auto"/>
              </w:rPr>
            </w:pPr>
            <w:r>
              <w:rPr>
                <w:rFonts w:ascii="Arial" w:cs="Arial" w:eastAsia="Arial" w:hAnsi="Arial"/>
                <w:sz w:val="13"/>
                <w:szCs w:val="13"/>
                <w:color w:val="auto"/>
              </w:rPr>
              <w:t>18,360</w:t>
            </w:r>
          </w:p>
        </w:tc>
      </w:tr>
      <w:tr>
        <w:trPr>
          <w:trHeight w:val="170"/>
        </w:trPr>
        <w:tc>
          <w:tcPr>
            <w:tcW w:w="6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of right-of-use assets (note 27)</w:t>
            </w:r>
          </w:p>
        </w:tc>
        <w:tc>
          <w:tcPr>
            <w:tcW w:w="4320" w:type="dxa"/>
            <w:vAlign w:val="bottom"/>
            <w:shd w:val="clear" w:color="auto" w:fill="CCEEFF"/>
          </w:tcPr>
          <w:p>
            <w:pPr>
              <w:jc w:val="right"/>
              <w:ind w:right="516"/>
              <w:spacing w:after="0"/>
              <w:rPr>
                <w:sz w:val="20"/>
                <w:szCs w:val="20"/>
                <w:color w:val="auto"/>
              </w:rPr>
            </w:pPr>
            <w:r>
              <w:rPr>
                <w:rFonts w:ascii="Arial" w:cs="Arial" w:eastAsia="Arial" w:hAnsi="Arial"/>
                <w:sz w:val="13"/>
                <w:szCs w:val="13"/>
                <w:b w:val="1"/>
                <w:bCs w:val="1"/>
                <w:color w:val="auto"/>
              </w:rPr>
              <w:t>45,247</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28,947</w:t>
            </w:r>
          </w:p>
        </w:tc>
      </w:tr>
      <w:tr>
        <w:trPr>
          <w:trHeight w:val="170"/>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Amortisation of intangible assets (note 13)</w:t>
            </w:r>
          </w:p>
        </w:tc>
        <w:tc>
          <w:tcPr>
            <w:tcW w:w="432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281,333</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47,766</w:t>
            </w:r>
          </w:p>
        </w:tc>
      </w:tr>
      <w:tr>
        <w:trPr>
          <w:trHeight w:val="192"/>
        </w:trPr>
        <w:tc>
          <w:tcPr>
            <w:tcW w:w="6000" w:type="dxa"/>
            <w:vAlign w:val="bottom"/>
            <w:shd w:val="clear" w:color="auto" w:fill="CCEEFF"/>
          </w:tcPr>
          <w:p>
            <w:pPr>
              <w:spacing w:after="0"/>
              <w:rPr>
                <w:sz w:val="16"/>
                <w:szCs w:val="16"/>
                <w:color w:val="auto"/>
              </w:rPr>
            </w:pPr>
          </w:p>
        </w:tc>
        <w:tc>
          <w:tcPr>
            <w:tcW w:w="43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71"/>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depreciation and amortisation</w:t>
            </w:r>
          </w:p>
        </w:tc>
        <w:tc>
          <w:tcPr>
            <w:tcW w:w="432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360,234</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95,073</w:t>
            </w:r>
          </w:p>
        </w:tc>
      </w:tr>
      <w:tr>
        <w:trPr>
          <w:trHeight w:val="159"/>
        </w:trPr>
        <w:tc>
          <w:tcPr>
            <w:tcW w:w="6000" w:type="dxa"/>
            <w:vAlign w:val="bottom"/>
            <w:shd w:val="clear" w:color="auto" w:fill="CCEEFF"/>
          </w:tcPr>
          <w:p>
            <w:pPr>
              <w:spacing w:after="0"/>
              <w:rPr>
                <w:sz w:val="13"/>
                <w:szCs w:val="13"/>
                <w:color w:val="auto"/>
              </w:rPr>
            </w:pPr>
          </w:p>
        </w:tc>
        <w:tc>
          <w:tcPr>
            <w:tcW w:w="43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170"/>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Loss on sale of property, plant &amp; equipment</w:t>
            </w:r>
          </w:p>
        </w:tc>
        <w:tc>
          <w:tcPr>
            <w:tcW w:w="432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249</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ectPr>
          <w:pgSz w:w="11900" w:h="16838" w:orient="portrait"/>
          <w:cols w:equalWidth="0" w:num="1">
            <w:col w:w="11280"/>
          </w:cols>
          <w:pgMar w:left="300" w:top="698" w:right="31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200" w:lineRule="exact"/>
        <w:rPr>
          <w:sz w:val="20"/>
          <w:szCs w:val="20"/>
          <w:color w:val="auto"/>
        </w:rPr>
      </w:pPr>
    </w:p>
    <w:p>
      <w:pPr>
        <w:spacing w:after="0" w:line="351" w:lineRule="exact"/>
        <w:rPr>
          <w:sz w:val="20"/>
          <w:szCs w:val="20"/>
          <w:color w:val="auto"/>
        </w:rPr>
      </w:pPr>
    </w:p>
    <w:p>
      <w:pPr>
        <w:ind w:left="260" w:hanging="255"/>
        <w:spacing w:after="0"/>
        <w:tabs>
          <w:tab w:leader="none" w:pos="260" w:val="left"/>
        </w:tabs>
        <w:numPr>
          <w:ilvl w:val="0"/>
          <w:numId w:val="63"/>
        </w:numPr>
        <w:rPr>
          <w:rFonts w:ascii="Arial" w:cs="Arial" w:eastAsia="Arial" w:hAnsi="Arial"/>
          <w:sz w:val="13"/>
          <w:szCs w:val="13"/>
          <w:b w:val="1"/>
          <w:bCs w:val="1"/>
          <w:color w:val="auto"/>
        </w:rPr>
      </w:pPr>
      <w:r>
        <w:rPr>
          <w:rFonts w:ascii="Arial" w:cs="Arial" w:eastAsia="Arial" w:hAnsi="Arial"/>
          <w:sz w:val="13"/>
          <w:szCs w:val="13"/>
          <w:b w:val="1"/>
          <w:bCs w:val="1"/>
          <w:color w:val="auto"/>
        </w:rPr>
        <w:t>Financing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161530" cy="188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188595"/>
                    </a:xfrm>
                    <a:prstGeom prst="rect">
                      <a:avLst/>
                    </a:prstGeom>
                    <a:noFill/>
                  </pic:spPr>
                </pic:pic>
              </a:graphicData>
            </a:graphic>
          </wp:anchor>
        </w:drawing>
      </w:r>
    </w:p>
    <w:p>
      <w:pPr>
        <w:spacing w:after="0" w:line="85" w:lineRule="exact"/>
        <w:rPr>
          <w:sz w:val="20"/>
          <w:szCs w:val="20"/>
          <w:color w:val="auto"/>
        </w:rPr>
      </w:pPr>
    </w:p>
    <w:p>
      <w:pPr>
        <w:ind w:left="8920"/>
        <w:spacing w:after="0"/>
        <w:rPr>
          <w:sz w:val="20"/>
          <w:szCs w:val="20"/>
          <w:color w:val="auto"/>
        </w:rPr>
      </w:pPr>
      <w:r>
        <w:rPr>
          <w:rFonts w:ascii="Arial" w:cs="Arial" w:eastAsia="Arial" w:hAnsi="Arial"/>
          <w:sz w:val="12"/>
          <w:szCs w:val="12"/>
          <w:b w:val="1"/>
          <w:bCs w:val="1"/>
          <w:color w:val="auto"/>
        </w:rPr>
        <w:t xml:space="preserve">Year ended 31 </w:t>
      </w:r>
      <w:r>
        <w:rPr>
          <w:rFonts w:ascii="Arial" w:cs="Arial" w:eastAsia="Arial" w:hAnsi="Arial"/>
          <w:sz w:val="12"/>
          <w:szCs w:val="12"/>
          <w:color w:val="auto"/>
        </w:rPr>
        <w:t>Year ended 31 December</w:t>
      </w:r>
    </w:p>
    <w:p>
      <w:pPr>
        <w:spacing w:after="0" w:line="1" w:lineRule="exact"/>
        <w:rPr>
          <w:sz w:val="20"/>
          <w:szCs w:val="20"/>
          <w:color w:val="auto"/>
        </w:rPr>
      </w:pPr>
    </w:p>
    <w:p>
      <w:pPr>
        <w:ind w:left="8840"/>
        <w:spacing w:after="0"/>
        <w:tabs>
          <w:tab w:leader="none" w:pos="10960" w:val="left"/>
        </w:tabs>
        <w:rPr>
          <w:sz w:val="20"/>
          <w:szCs w:val="20"/>
          <w:color w:val="auto"/>
        </w:rPr>
      </w:pPr>
      <w:r>
        <w:rPr>
          <w:rFonts w:ascii="Arial" w:cs="Arial" w:eastAsia="Arial" w:hAnsi="Arial"/>
          <w:sz w:val="13"/>
          <w:szCs w:val="13"/>
          <w:b w:val="1"/>
          <w:bCs w:val="1"/>
          <w:color w:val="auto"/>
        </w:rPr>
        <w:t>December 2021</w:t>
      </w:r>
      <w:r>
        <w:rPr>
          <w:sz w:val="20"/>
          <w:szCs w:val="20"/>
          <w:color w:val="auto"/>
        </w:rPr>
        <w:tab/>
      </w:r>
      <w:r>
        <w:rPr>
          <w:rFonts w:ascii="Arial" w:cs="Arial" w:eastAsia="Arial" w:hAnsi="Arial"/>
          <w:sz w:val="12"/>
          <w:szCs w:val="12"/>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716153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ind w:left="9460"/>
        <w:spacing w:after="0"/>
        <w:tabs>
          <w:tab w:leader="none" w:pos="10940" w:val="left"/>
        </w:tabs>
        <w:rPr>
          <w:sz w:val="20"/>
          <w:szCs w:val="20"/>
          <w:color w:val="auto"/>
        </w:rPr>
      </w:pPr>
      <w:r>
        <w:rPr>
          <w:rFonts w:ascii="Arial" w:cs="Arial" w:eastAsia="Arial" w:hAnsi="Arial"/>
          <w:sz w:val="13"/>
          <w:szCs w:val="13"/>
          <w:b w:val="1"/>
          <w:bCs w:val="1"/>
          <w:color w:val="auto"/>
        </w:rPr>
        <w:t>$’000</w:t>
      </w:r>
      <w:r>
        <w:rPr>
          <w:sz w:val="20"/>
          <w:szCs w:val="20"/>
          <w:color w:val="auto"/>
        </w:rPr>
        <w:tab/>
      </w:r>
      <w:r>
        <w:rPr>
          <w:rFonts w:ascii="Arial" w:cs="Arial" w:eastAsia="Arial" w:hAnsi="Arial"/>
          <w:sz w:val="12"/>
          <w:szCs w:val="12"/>
          <w:color w:val="auto"/>
        </w:rPr>
        <w:t>$’000</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300" w:type="dxa"/>
            <w:vAlign w:val="bottom"/>
            <w:shd w:val="clear" w:color="auto" w:fill="CCEEFF"/>
          </w:tcPr>
          <w:p>
            <w:pPr>
              <w:spacing w:after="0"/>
              <w:rPr>
                <w:sz w:val="15"/>
                <w:szCs w:val="15"/>
                <w:color w:val="auto"/>
              </w:rPr>
            </w:pPr>
          </w:p>
        </w:tc>
        <w:tc>
          <w:tcPr>
            <w:tcW w:w="32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r>
      <w:tr>
        <w:trPr>
          <w:trHeight w:val="170"/>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Interest receivable</w:t>
            </w:r>
          </w:p>
        </w:tc>
        <w:tc>
          <w:tcPr>
            <w:tcW w:w="32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w w:val="92"/>
              </w:rPr>
              <w:t>574</w:t>
            </w:r>
          </w:p>
        </w:tc>
        <w:tc>
          <w:tcPr>
            <w:tcW w:w="13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2,724</w:t>
            </w:r>
          </w:p>
        </w:tc>
      </w:tr>
      <w:tr>
        <w:trPr>
          <w:trHeight w:val="182"/>
        </w:trPr>
        <w:tc>
          <w:tcPr>
            <w:tcW w:w="6300" w:type="dxa"/>
            <w:vAlign w:val="bottom"/>
            <w:shd w:val="clear" w:color="auto" w:fill="CCEEFF"/>
          </w:tcPr>
          <w:p>
            <w:pPr>
              <w:spacing w:after="0"/>
              <w:rPr>
                <w:sz w:val="15"/>
                <w:szCs w:val="15"/>
                <w:color w:val="auto"/>
              </w:rPr>
            </w:pPr>
          </w:p>
        </w:tc>
        <w:tc>
          <w:tcPr>
            <w:tcW w:w="32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r>
      <w:tr>
        <w:trPr>
          <w:trHeight w:val="171"/>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finance income</w:t>
            </w:r>
          </w:p>
        </w:tc>
        <w:tc>
          <w:tcPr>
            <w:tcW w:w="32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w w:val="92"/>
              </w:rPr>
              <w:t>574</w:t>
            </w:r>
          </w:p>
        </w:tc>
        <w:tc>
          <w:tcPr>
            <w:tcW w:w="13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2,724</w:t>
            </w:r>
          </w:p>
        </w:tc>
      </w:tr>
      <w:tr>
        <w:trPr>
          <w:trHeight w:val="422"/>
        </w:trPr>
        <w:tc>
          <w:tcPr>
            <w:tcW w:w="6300" w:type="dxa"/>
            <w:vAlign w:val="bottom"/>
          </w:tcPr>
          <w:p>
            <w:pPr>
              <w:spacing w:after="0"/>
              <w:rPr>
                <w:sz w:val="20"/>
                <w:szCs w:val="20"/>
                <w:color w:val="auto"/>
              </w:rPr>
            </w:pPr>
            <w:r>
              <w:rPr>
                <w:rFonts w:ascii="Arial" w:cs="Arial" w:eastAsia="Arial" w:hAnsi="Arial"/>
                <w:sz w:val="13"/>
                <w:szCs w:val="13"/>
                <w:color w:val="auto"/>
              </w:rPr>
              <w:t>All of the above relate to items not at fair value through profit and loss.</w:t>
            </w:r>
          </w:p>
        </w:tc>
        <w:tc>
          <w:tcPr>
            <w:tcW w:w="3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56"/>
        </w:trPr>
        <w:tc>
          <w:tcPr>
            <w:tcW w:w="6300" w:type="dxa"/>
            <w:vAlign w:val="bottom"/>
          </w:tcPr>
          <w:p>
            <w:pPr>
              <w:spacing w:after="0"/>
              <w:rPr>
                <w:sz w:val="20"/>
                <w:szCs w:val="20"/>
                <w:color w:val="auto"/>
              </w:rPr>
            </w:pPr>
            <w:r>
              <w:rPr>
                <w:rFonts w:ascii="Arial" w:cs="Arial" w:eastAsia="Arial" w:hAnsi="Arial"/>
                <w:sz w:val="13"/>
                <w:szCs w:val="13"/>
                <w:b w:val="1"/>
                <w:bCs w:val="1"/>
                <w:color w:val="auto"/>
              </w:rPr>
              <w:t>5.  Financing expense</w:t>
            </w:r>
          </w:p>
        </w:tc>
        <w:tc>
          <w:tcPr>
            <w:tcW w:w="3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09"/>
        </w:trPr>
        <w:tc>
          <w:tcPr>
            <w:tcW w:w="63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r>
      <w:tr>
        <w:trPr>
          <w:trHeight w:val="127"/>
        </w:trPr>
        <w:tc>
          <w:tcPr>
            <w:tcW w:w="6300" w:type="dxa"/>
            <w:vAlign w:val="bottom"/>
            <w:shd w:val="clear" w:color="auto" w:fill="CCEEFF"/>
          </w:tcPr>
          <w:p>
            <w:pPr>
              <w:spacing w:after="0"/>
              <w:rPr>
                <w:sz w:val="11"/>
                <w:szCs w:val="11"/>
                <w:color w:val="auto"/>
              </w:rPr>
            </w:pPr>
          </w:p>
        </w:tc>
        <w:tc>
          <w:tcPr>
            <w:tcW w:w="326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Year ended 31</w:t>
            </w:r>
          </w:p>
        </w:tc>
        <w:tc>
          <w:tcPr>
            <w:tcW w:w="38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Year ended 31</w:t>
            </w:r>
          </w:p>
        </w:tc>
        <w:tc>
          <w:tcPr>
            <w:tcW w:w="260" w:type="dxa"/>
            <w:vAlign w:val="bottom"/>
          </w:tcPr>
          <w:p>
            <w:pPr>
              <w:spacing w:after="0"/>
              <w:rPr>
                <w:sz w:val="11"/>
                <w:szCs w:val="11"/>
                <w:color w:val="auto"/>
              </w:rPr>
            </w:pPr>
          </w:p>
        </w:tc>
      </w:tr>
      <w:tr>
        <w:trPr>
          <w:trHeight w:val="170"/>
        </w:trPr>
        <w:tc>
          <w:tcPr>
            <w:tcW w:w="6300" w:type="dxa"/>
            <w:vAlign w:val="bottom"/>
            <w:tcBorders>
              <w:bottom w:val="single" w:sz="8" w:color="auto"/>
            </w:tcBorders>
            <w:shd w:val="clear" w:color="auto" w:fill="CCEEFF"/>
          </w:tcPr>
          <w:p>
            <w:pPr>
              <w:spacing w:after="0"/>
              <w:rPr>
                <w:sz w:val="14"/>
                <w:szCs w:val="14"/>
                <w:color w:val="auto"/>
              </w:rPr>
            </w:pPr>
          </w:p>
        </w:tc>
        <w:tc>
          <w:tcPr>
            <w:tcW w:w="3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December 2021</w:t>
            </w:r>
          </w:p>
        </w:tc>
        <w:tc>
          <w:tcPr>
            <w:tcW w:w="3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December 2020</w:t>
            </w:r>
          </w:p>
        </w:tc>
        <w:tc>
          <w:tcPr>
            <w:tcW w:w="260" w:type="dxa"/>
            <w:vAlign w:val="bottom"/>
          </w:tcPr>
          <w:p>
            <w:pPr>
              <w:spacing w:after="0"/>
              <w:rPr>
                <w:sz w:val="14"/>
                <w:szCs w:val="14"/>
                <w:color w:val="auto"/>
              </w:rPr>
            </w:pPr>
          </w:p>
        </w:tc>
      </w:tr>
      <w:tr>
        <w:trPr>
          <w:trHeight w:val="160"/>
        </w:trPr>
        <w:tc>
          <w:tcPr>
            <w:tcW w:w="6300" w:type="dxa"/>
            <w:vAlign w:val="bottom"/>
          </w:tcPr>
          <w:p>
            <w:pPr>
              <w:spacing w:after="0"/>
              <w:rPr>
                <w:sz w:val="13"/>
                <w:szCs w:val="13"/>
                <w:color w:val="auto"/>
              </w:rPr>
            </w:pPr>
          </w:p>
        </w:tc>
        <w:tc>
          <w:tcPr>
            <w:tcW w:w="326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380" w:type="dxa"/>
            <w:vAlign w:val="bottom"/>
          </w:tcPr>
          <w:p>
            <w:pPr>
              <w:spacing w:after="0"/>
              <w:rPr>
                <w:sz w:val="13"/>
                <w:szCs w:val="13"/>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3"/>
                <w:szCs w:val="13"/>
                <w:color w:val="auto"/>
              </w:rPr>
              <w:t>$’000</w:t>
            </w:r>
          </w:p>
        </w:tc>
      </w:tr>
      <w:tr>
        <w:trPr>
          <w:trHeight w:val="170"/>
        </w:trPr>
        <w:tc>
          <w:tcPr>
            <w:tcW w:w="6300" w:type="dxa"/>
            <w:vAlign w:val="bottom"/>
            <w:shd w:val="clear" w:color="auto" w:fill="CCEEFF"/>
          </w:tcPr>
          <w:p>
            <w:pPr>
              <w:spacing w:after="0"/>
              <w:rPr>
                <w:sz w:val="14"/>
                <w:szCs w:val="14"/>
                <w:color w:val="auto"/>
              </w:rPr>
            </w:pPr>
          </w:p>
        </w:tc>
        <w:tc>
          <w:tcPr>
            <w:tcW w:w="32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60" w:type="dxa"/>
            <w:vAlign w:val="bottom"/>
          </w:tcPr>
          <w:p>
            <w:pPr>
              <w:spacing w:after="0"/>
              <w:rPr>
                <w:sz w:val="14"/>
                <w:szCs w:val="14"/>
                <w:color w:val="auto"/>
              </w:rPr>
            </w:pPr>
          </w:p>
        </w:tc>
      </w:tr>
      <w:tr>
        <w:trPr>
          <w:trHeight w:val="170"/>
        </w:trPr>
        <w:tc>
          <w:tcPr>
            <w:tcW w:w="6300" w:type="dxa"/>
            <w:vAlign w:val="bottom"/>
          </w:tcPr>
          <w:p>
            <w:pPr>
              <w:ind w:left="20"/>
              <w:spacing w:after="0"/>
              <w:rPr>
                <w:sz w:val="20"/>
                <w:szCs w:val="20"/>
                <w:color w:val="auto"/>
              </w:rPr>
            </w:pPr>
            <w:r>
              <w:rPr>
                <w:rFonts w:ascii="Arial" w:cs="Arial" w:eastAsia="Arial" w:hAnsi="Arial"/>
                <w:sz w:val="13"/>
                <w:szCs w:val="13"/>
                <w:color w:val="auto"/>
              </w:rPr>
              <w:t>Interest payable on borrowings</w:t>
            </w:r>
          </w:p>
        </w:tc>
        <w:tc>
          <w:tcPr>
            <w:tcW w:w="3260" w:type="dxa"/>
            <w:vAlign w:val="bottom"/>
          </w:tcPr>
          <w:p>
            <w:pPr>
              <w:jc w:val="right"/>
              <w:spacing w:after="0"/>
              <w:rPr>
                <w:sz w:val="20"/>
                <w:szCs w:val="20"/>
                <w:color w:val="auto"/>
              </w:rPr>
            </w:pPr>
            <w:r>
              <w:rPr>
                <w:rFonts w:ascii="Arial" w:cs="Arial" w:eastAsia="Arial" w:hAnsi="Arial"/>
                <w:sz w:val="13"/>
                <w:szCs w:val="13"/>
                <w:b w:val="1"/>
                <w:bCs w:val="1"/>
                <w:color w:val="auto"/>
              </w:rPr>
              <w:t>94,029</w:t>
            </w:r>
          </w:p>
        </w:tc>
        <w:tc>
          <w:tcPr>
            <w:tcW w:w="3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13,406</w:t>
            </w:r>
          </w:p>
        </w:tc>
        <w:tc>
          <w:tcPr>
            <w:tcW w:w="260" w:type="dxa"/>
            <w:vAlign w:val="bottom"/>
          </w:tcPr>
          <w:p>
            <w:pPr>
              <w:spacing w:after="0"/>
              <w:rPr>
                <w:sz w:val="14"/>
                <w:szCs w:val="14"/>
                <w:color w:val="auto"/>
              </w:rPr>
            </w:pPr>
          </w:p>
        </w:tc>
      </w:tr>
      <w:tr>
        <w:trPr>
          <w:trHeight w:val="170"/>
        </w:trPr>
        <w:tc>
          <w:tcPr>
            <w:tcW w:w="6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Transaction and exceptional costs</w:t>
            </w:r>
          </w:p>
        </w:tc>
        <w:tc>
          <w:tcPr>
            <w:tcW w:w="32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75,391</w:t>
            </w:r>
          </w:p>
        </w:tc>
        <w:tc>
          <w:tcPr>
            <w:tcW w:w="3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r>
      <w:tr>
        <w:trPr>
          <w:trHeight w:val="170"/>
        </w:trPr>
        <w:tc>
          <w:tcPr>
            <w:tcW w:w="6300" w:type="dxa"/>
            <w:vAlign w:val="bottom"/>
          </w:tcPr>
          <w:p>
            <w:pPr>
              <w:ind w:left="20"/>
              <w:spacing w:after="0"/>
              <w:rPr>
                <w:sz w:val="20"/>
                <w:szCs w:val="20"/>
                <w:color w:val="auto"/>
              </w:rPr>
            </w:pPr>
            <w:r>
              <w:rPr>
                <w:rFonts w:ascii="Arial" w:cs="Arial" w:eastAsia="Arial" w:hAnsi="Arial"/>
                <w:sz w:val="13"/>
                <w:szCs w:val="13"/>
                <w:color w:val="auto"/>
              </w:rPr>
              <w:t>Remeasurement of gross obligation under put option</w:t>
            </w:r>
          </w:p>
        </w:tc>
        <w:tc>
          <w:tcPr>
            <w:tcW w:w="32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3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(2,540)</w:t>
            </w:r>
          </w:p>
        </w:tc>
        <w:tc>
          <w:tcPr>
            <w:tcW w:w="260" w:type="dxa"/>
            <w:vAlign w:val="bottom"/>
          </w:tcPr>
          <w:p>
            <w:pPr>
              <w:spacing w:after="0"/>
              <w:rPr>
                <w:sz w:val="14"/>
                <w:szCs w:val="14"/>
                <w:color w:val="auto"/>
              </w:rPr>
            </w:pPr>
          </w:p>
        </w:tc>
      </w:tr>
      <w:tr>
        <w:trPr>
          <w:trHeight w:val="170"/>
        </w:trPr>
        <w:tc>
          <w:tcPr>
            <w:tcW w:w="6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on lease liabilities</w:t>
            </w:r>
          </w:p>
        </w:tc>
        <w:tc>
          <w:tcPr>
            <w:tcW w:w="32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4,113</w:t>
            </w:r>
          </w:p>
        </w:tc>
        <w:tc>
          <w:tcPr>
            <w:tcW w:w="3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1,668</w:t>
            </w:r>
          </w:p>
        </w:tc>
        <w:tc>
          <w:tcPr>
            <w:tcW w:w="260" w:type="dxa"/>
            <w:vAlign w:val="bottom"/>
          </w:tcPr>
          <w:p>
            <w:pPr>
              <w:spacing w:after="0"/>
              <w:rPr>
                <w:sz w:val="14"/>
                <w:szCs w:val="14"/>
                <w:color w:val="auto"/>
              </w:rPr>
            </w:pPr>
          </w:p>
        </w:tc>
      </w:tr>
      <w:tr>
        <w:trPr>
          <w:trHeight w:val="170"/>
        </w:trPr>
        <w:tc>
          <w:tcPr>
            <w:tcW w:w="6300" w:type="dxa"/>
            <w:vAlign w:val="bottom"/>
          </w:tcPr>
          <w:p>
            <w:pPr>
              <w:ind w:left="20"/>
              <w:spacing w:after="0"/>
              <w:rPr>
                <w:sz w:val="20"/>
                <w:szCs w:val="20"/>
                <w:color w:val="auto"/>
              </w:rPr>
            </w:pPr>
            <w:r>
              <w:rPr>
                <w:rFonts w:ascii="Arial" w:cs="Arial" w:eastAsia="Arial" w:hAnsi="Arial"/>
                <w:sz w:val="13"/>
                <w:szCs w:val="13"/>
                <w:color w:val="auto"/>
              </w:rPr>
              <w:t>Facility fees (including amortisation)</w:t>
            </w:r>
          </w:p>
        </w:tc>
        <w:tc>
          <w:tcPr>
            <w:tcW w:w="3260" w:type="dxa"/>
            <w:vAlign w:val="bottom"/>
          </w:tcPr>
          <w:p>
            <w:pPr>
              <w:jc w:val="right"/>
              <w:spacing w:after="0"/>
              <w:rPr>
                <w:sz w:val="20"/>
                <w:szCs w:val="20"/>
                <w:color w:val="auto"/>
              </w:rPr>
            </w:pPr>
            <w:r>
              <w:rPr>
                <w:rFonts w:ascii="Arial" w:cs="Arial" w:eastAsia="Arial" w:hAnsi="Arial"/>
                <w:sz w:val="13"/>
                <w:szCs w:val="13"/>
                <w:b w:val="1"/>
                <w:bCs w:val="1"/>
                <w:color w:val="auto"/>
              </w:rPr>
              <w:t>12,890</w:t>
            </w:r>
          </w:p>
        </w:tc>
        <w:tc>
          <w:tcPr>
            <w:tcW w:w="3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523</w:t>
            </w:r>
          </w:p>
        </w:tc>
        <w:tc>
          <w:tcPr>
            <w:tcW w:w="260" w:type="dxa"/>
            <w:vAlign w:val="bottom"/>
          </w:tcPr>
          <w:p>
            <w:pPr>
              <w:spacing w:after="0"/>
              <w:rPr>
                <w:sz w:val="14"/>
                <w:szCs w:val="14"/>
                <w:color w:val="auto"/>
              </w:rPr>
            </w:pPr>
          </w:p>
        </w:tc>
      </w:tr>
      <w:tr>
        <w:trPr>
          <w:trHeight w:val="170"/>
        </w:trPr>
        <w:tc>
          <w:tcPr>
            <w:tcW w:w="6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Amortisation of gain on interest rate hedge</w:t>
            </w:r>
          </w:p>
        </w:tc>
        <w:tc>
          <w:tcPr>
            <w:tcW w:w="3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113</w:t>
            </w:r>
          </w:p>
        </w:tc>
        <w:tc>
          <w:tcPr>
            <w:tcW w:w="3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(910)</w:t>
            </w:r>
          </w:p>
        </w:tc>
        <w:tc>
          <w:tcPr>
            <w:tcW w:w="260" w:type="dxa"/>
            <w:vAlign w:val="bottom"/>
          </w:tcPr>
          <w:p>
            <w:pPr>
              <w:spacing w:after="0"/>
              <w:rPr>
                <w:sz w:val="14"/>
                <w:szCs w:val="14"/>
                <w:color w:val="auto"/>
              </w:rPr>
            </w:pPr>
          </w:p>
        </w:tc>
      </w:tr>
      <w:tr>
        <w:trPr>
          <w:trHeight w:val="150"/>
        </w:trPr>
        <w:tc>
          <w:tcPr>
            <w:tcW w:w="630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171"/>
        </w:trPr>
        <w:tc>
          <w:tcPr>
            <w:tcW w:w="6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finance expense</w:t>
            </w:r>
          </w:p>
        </w:tc>
        <w:tc>
          <w:tcPr>
            <w:tcW w:w="3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186,536</w:t>
            </w:r>
          </w:p>
        </w:tc>
        <w:tc>
          <w:tcPr>
            <w:tcW w:w="3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12,147</w:t>
            </w:r>
          </w:p>
        </w:tc>
        <w:tc>
          <w:tcPr>
            <w:tcW w:w="260" w:type="dxa"/>
            <w:vAlign w:val="bottom"/>
          </w:tcPr>
          <w:p>
            <w:pPr>
              <w:spacing w:after="0"/>
              <w:rPr>
                <w:sz w:val="14"/>
                <w:szCs w:val="14"/>
                <w:color w:val="auto"/>
              </w:rPr>
            </w:pPr>
          </w:p>
        </w:tc>
      </w:tr>
    </w:tbl>
    <w:p>
      <w:pPr>
        <w:spacing w:after="0" w:line="244"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Company incurred interest costs from various financing arrangements during the years ended 31 December 2021 and 31 December 2020 as set out in the table above. These costs have been charged in the interest expense line of the Consolidated Statement of Profit and Loss.</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color w:val="auto"/>
        </w:rPr>
        <w:t>All of the above (other than remeasurement of gross obligation under put option) relate to items not at fair value through profit and loss.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ectPr>
          <w:pgSz w:w="11900" w:h="16838" w:orient="portrait"/>
          <w:cols w:equalWidth="0" w:num="1">
            <w:col w:w="11280"/>
          </w:cols>
          <w:pgMar w:left="300" w:top="889" w:right="31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232" w:lineRule="exact"/>
        <w:rPr>
          <w:sz w:val="20"/>
          <w:szCs w:val="20"/>
          <w:color w:val="auto"/>
        </w:rPr>
      </w:pPr>
    </w:p>
    <w:p>
      <w:pPr>
        <w:ind w:left="260" w:hanging="255"/>
        <w:spacing w:after="0"/>
        <w:tabs>
          <w:tab w:leader="none" w:pos="260" w:val="left"/>
        </w:tabs>
        <w:numPr>
          <w:ilvl w:val="0"/>
          <w:numId w:val="64"/>
        </w:numPr>
        <w:rPr>
          <w:rFonts w:ascii="Arial" w:cs="Arial" w:eastAsia="Arial" w:hAnsi="Arial"/>
          <w:sz w:val="13"/>
          <w:szCs w:val="13"/>
          <w:b w:val="1"/>
          <w:bCs w:val="1"/>
          <w:color w:val="auto"/>
        </w:rPr>
      </w:pPr>
      <w:r>
        <w:rPr>
          <w:rFonts w:ascii="Arial" w:cs="Arial" w:eastAsia="Arial" w:hAnsi="Arial"/>
          <w:sz w:val="13"/>
          <w:szCs w:val="13"/>
          <w:b w:val="1"/>
          <w:bCs w:val="1"/>
          <w:color w:val="auto"/>
        </w:rPr>
        <w:t>Income tax expense</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The components of the current and deferred tax expense for the years ended 31 December 2021 and 2020 were as follows: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0" w:type="dxa"/>
            <w:vAlign w:val="bottom"/>
            <w:shd w:val="clear" w:color="auto" w:fill="CCEEFF"/>
          </w:tcPr>
          <w:p>
            <w:pPr>
              <w:spacing w:after="0"/>
              <w:rPr>
                <w:sz w:val="13"/>
                <w:szCs w:val="13"/>
                <w:color w:val="auto"/>
              </w:rPr>
            </w:pPr>
          </w:p>
        </w:tc>
        <w:tc>
          <w:tcPr>
            <w:tcW w:w="6120" w:type="dxa"/>
            <w:vAlign w:val="bottom"/>
            <w:shd w:val="clear" w:color="auto" w:fill="CCEEFF"/>
          </w:tcPr>
          <w:p>
            <w:pPr>
              <w:spacing w:after="0"/>
              <w:rPr>
                <w:sz w:val="13"/>
                <w:szCs w:val="13"/>
                <w:color w:val="auto"/>
              </w:rPr>
            </w:pPr>
          </w:p>
        </w:tc>
        <w:tc>
          <w:tcPr>
            <w:tcW w:w="502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 xml:space="preserve">Year ended 31 </w:t>
            </w:r>
            <w:r>
              <w:rPr>
                <w:rFonts w:ascii="Arial" w:cs="Arial" w:eastAsia="Arial" w:hAnsi="Arial"/>
                <w:sz w:val="13"/>
                <w:szCs w:val="13"/>
                <w:color w:val="auto"/>
              </w:rPr>
              <w:t>Year ended 31 December</w:t>
            </w:r>
          </w:p>
        </w:tc>
      </w:tr>
      <w:tr>
        <w:trPr>
          <w:trHeight w:val="170"/>
        </w:trPr>
        <w:tc>
          <w:tcPr>
            <w:tcW w:w="140" w:type="dxa"/>
            <w:vAlign w:val="bottom"/>
            <w:tcBorders>
              <w:bottom w:val="single" w:sz="8" w:color="auto"/>
            </w:tcBorders>
            <w:shd w:val="clear" w:color="auto" w:fill="CCEEFF"/>
          </w:tcPr>
          <w:p>
            <w:pPr>
              <w:spacing w:after="0"/>
              <w:rPr>
                <w:sz w:val="14"/>
                <w:szCs w:val="14"/>
                <w:color w:val="auto"/>
              </w:rPr>
            </w:pPr>
          </w:p>
        </w:tc>
        <w:tc>
          <w:tcPr>
            <w:tcW w:w="6120" w:type="dxa"/>
            <w:vAlign w:val="bottom"/>
            <w:tcBorders>
              <w:bottom w:val="single" w:sz="8" w:color="auto"/>
            </w:tcBorders>
            <w:shd w:val="clear" w:color="auto" w:fill="CCEEFF"/>
          </w:tcPr>
          <w:p>
            <w:pPr>
              <w:spacing w:after="0"/>
              <w:rPr>
                <w:sz w:val="14"/>
                <w:szCs w:val="14"/>
                <w:color w:val="auto"/>
              </w:rPr>
            </w:pPr>
          </w:p>
        </w:tc>
        <w:tc>
          <w:tcPr>
            <w:tcW w:w="404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December 2021</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2020</w:t>
            </w:r>
          </w:p>
        </w:tc>
      </w:tr>
      <w:tr>
        <w:trPr>
          <w:trHeight w:val="160"/>
        </w:trPr>
        <w:tc>
          <w:tcPr>
            <w:tcW w:w="140" w:type="dxa"/>
            <w:vAlign w:val="bottom"/>
          </w:tcPr>
          <w:p>
            <w:pPr>
              <w:spacing w:after="0"/>
              <w:rPr>
                <w:sz w:val="13"/>
                <w:szCs w:val="13"/>
                <w:color w:val="auto"/>
              </w:rPr>
            </w:pPr>
          </w:p>
        </w:tc>
        <w:tc>
          <w:tcPr>
            <w:tcW w:w="6120" w:type="dxa"/>
            <w:vAlign w:val="bottom"/>
          </w:tcPr>
          <w:p>
            <w:pPr>
              <w:spacing w:after="0"/>
              <w:rPr>
                <w:sz w:val="13"/>
                <w:szCs w:val="13"/>
                <w:color w:val="auto"/>
              </w:rPr>
            </w:pPr>
          </w:p>
        </w:tc>
        <w:tc>
          <w:tcPr>
            <w:tcW w:w="4040" w:type="dxa"/>
            <w:vAlign w:val="bottom"/>
          </w:tcPr>
          <w:p>
            <w:pPr>
              <w:jc w:val="right"/>
              <w:ind w:right="456"/>
              <w:spacing w:after="0"/>
              <w:rPr>
                <w:sz w:val="20"/>
                <w:szCs w:val="20"/>
                <w:color w:val="auto"/>
              </w:rPr>
            </w:pPr>
            <w:r>
              <w:rPr>
                <w:rFonts w:ascii="Arial" w:cs="Arial" w:eastAsia="Arial" w:hAnsi="Arial"/>
                <w:sz w:val="13"/>
                <w:szCs w:val="13"/>
                <w:b w:val="1"/>
                <w:bCs w:val="1"/>
                <w:color w:val="auto"/>
              </w:rPr>
              <w:t>$’000</w:t>
            </w:r>
          </w:p>
        </w:tc>
        <w:tc>
          <w:tcPr>
            <w:tcW w:w="98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626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Current tax expense</w:t>
            </w:r>
          </w:p>
        </w:tc>
        <w:tc>
          <w:tcPr>
            <w:tcW w:w="40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78"/>
        </w:trPr>
        <w:tc>
          <w:tcPr>
            <w:tcW w:w="6260" w:type="dxa"/>
            <w:vAlign w:val="bottom"/>
            <w:gridSpan w:val="2"/>
          </w:tcPr>
          <w:p>
            <w:pPr>
              <w:ind w:left="20"/>
              <w:spacing w:after="0"/>
              <w:rPr>
                <w:sz w:val="20"/>
                <w:szCs w:val="20"/>
                <w:color w:val="auto"/>
              </w:rPr>
            </w:pPr>
            <w:r>
              <w:rPr>
                <w:rFonts w:ascii="Arial" w:cs="Arial" w:eastAsia="Arial" w:hAnsi="Arial"/>
                <w:sz w:val="13"/>
                <w:szCs w:val="13"/>
                <w:color w:val="auto"/>
              </w:rPr>
              <w:t>Current year</w:t>
            </w:r>
          </w:p>
        </w:tc>
        <w:tc>
          <w:tcPr>
            <w:tcW w:w="40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4"/>
        </w:trPr>
        <w:tc>
          <w:tcPr>
            <w:tcW w:w="140" w:type="dxa"/>
            <w:vAlign w:val="bottom"/>
          </w:tcPr>
          <w:p>
            <w:pPr>
              <w:spacing w:after="0"/>
              <w:rPr>
                <w:sz w:val="2"/>
                <w:szCs w:val="2"/>
                <w:color w:val="auto"/>
              </w:rPr>
            </w:pPr>
          </w:p>
        </w:tc>
        <w:tc>
          <w:tcPr>
            <w:tcW w:w="61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02"/>
        </w:trPr>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120" w:type="dxa"/>
            <w:vAlign w:val="bottom"/>
            <w:shd w:val="clear" w:color="auto" w:fill="CCEEFF"/>
          </w:tcPr>
          <w:p>
            <w:pPr>
              <w:ind w:left="60"/>
              <w:spacing w:after="0"/>
              <w:rPr>
                <w:sz w:val="20"/>
                <w:szCs w:val="20"/>
                <w:color w:val="auto"/>
              </w:rPr>
            </w:pPr>
            <w:r>
              <w:rPr>
                <w:rFonts w:ascii="Arial" w:cs="Arial" w:eastAsia="Arial" w:hAnsi="Arial"/>
                <w:sz w:val="13"/>
                <w:szCs w:val="13"/>
                <w:color w:val="auto"/>
              </w:rPr>
              <w:t>Ireland</w:t>
            </w:r>
          </w:p>
        </w:tc>
        <w:tc>
          <w:tcPr>
            <w:tcW w:w="4040" w:type="dxa"/>
            <w:vAlign w:val="bottom"/>
            <w:shd w:val="clear" w:color="auto" w:fill="CCEEFF"/>
          </w:tcPr>
          <w:p>
            <w:pPr>
              <w:jc w:val="right"/>
              <w:ind w:right="496"/>
              <w:spacing w:after="0"/>
              <w:rPr>
                <w:sz w:val="20"/>
                <w:szCs w:val="20"/>
                <w:color w:val="auto"/>
              </w:rPr>
            </w:pPr>
            <w:r>
              <w:rPr>
                <w:rFonts w:ascii="Arial" w:cs="Arial" w:eastAsia="Arial" w:hAnsi="Arial"/>
                <w:sz w:val="13"/>
                <w:szCs w:val="13"/>
                <w:b w:val="1"/>
                <w:bCs w:val="1"/>
                <w:color w:val="auto"/>
              </w:rPr>
              <w:t>19,907</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30,151</w:t>
            </w:r>
          </w:p>
        </w:tc>
      </w:tr>
      <w:tr>
        <w:trPr>
          <w:trHeight w:val="178"/>
        </w:trPr>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6120" w:type="dxa"/>
            <w:vAlign w:val="bottom"/>
          </w:tcPr>
          <w:p>
            <w:pPr>
              <w:ind w:left="60"/>
              <w:spacing w:after="0"/>
              <w:rPr>
                <w:sz w:val="20"/>
                <w:szCs w:val="20"/>
                <w:color w:val="auto"/>
              </w:rPr>
            </w:pPr>
            <w:r>
              <w:rPr>
                <w:rFonts w:ascii="Arial" w:cs="Arial" w:eastAsia="Arial" w:hAnsi="Arial"/>
                <w:sz w:val="13"/>
                <w:szCs w:val="13"/>
                <w:color w:val="auto"/>
              </w:rPr>
              <w:t>Other</w:t>
            </w:r>
          </w:p>
        </w:tc>
        <w:tc>
          <w:tcPr>
            <w:tcW w:w="4040" w:type="dxa"/>
            <w:vAlign w:val="bottom"/>
          </w:tcPr>
          <w:p>
            <w:pPr>
              <w:jc w:val="right"/>
              <w:ind w:right="496"/>
              <w:spacing w:after="0"/>
              <w:rPr>
                <w:sz w:val="20"/>
                <w:szCs w:val="20"/>
                <w:color w:val="auto"/>
              </w:rPr>
            </w:pPr>
            <w:r>
              <w:rPr>
                <w:rFonts w:ascii="Arial" w:cs="Arial" w:eastAsia="Arial" w:hAnsi="Arial"/>
                <w:sz w:val="13"/>
                <w:szCs w:val="13"/>
                <w:b w:val="1"/>
                <w:bCs w:val="1"/>
                <w:color w:val="auto"/>
              </w:rPr>
              <w:t>96,043</w:t>
            </w:r>
          </w:p>
        </w:tc>
        <w:tc>
          <w:tcPr>
            <w:tcW w:w="980" w:type="dxa"/>
            <w:vAlign w:val="bottom"/>
          </w:tcPr>
          <w:p>
            <w:pPr>
              <w:jc w:val="right"/>
              <w:spacing w:after="0"/>
              <w:rPr>
                <w:sz w:val="20"/>
                <w:szCs w:val="20"/>
                <w:color w:val="auto"/>
              </w:rPr>
            </w:pPr>
            <w:r>
              <w:rPr>
                <w:rFonts w:ascii="Arial" w:cs="Arial" w:eastAsia="Arial" w:hAnsi="Arial"/>
                <w:sz w:val="13"/>
                <w:szCs w:val="13"/>
                <w:color w:val="auto"/>
              </w:rPr>
              <w:t>22,536</w:t>
            </w:r>
          </w:p>
        </w:tc>
      </w:tr>
      <w:tr>
        <w:trPr>
          <w:trHeight w:val="24"/>
        </w:trPr>
        <w:tc>
          <w:tcPr>
            <w:tcW w:w="140" w:type="dxa"/>
            <w:vAlign w:val="bottom"/>
            <w:tcBorders>
              <w:bottom w:val="single" w:sz="8" w:color="auto"/>
            </w:tcBorders>
          </w:tcPr>
          <w:p>
            <w:pPr>
              <w:spacing w:after="0"/>
              <w:rPr>
                <w:sz w:val="2"/>
                <w:szCs w:val="2"/>
                <w:color w:val="auto"/>
              </w:rPr>
            </w:pPr>
          </w:p>
        </w:tc>
        <w:tc>
          <w:tcPr>
            <w:tcW w:w="612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60"/>
        </w:trPr>
        <w:tc>
          <w:tcPr>
            <w:tcW w:w="140" w:type="dxa"/>
            <w:vAlign w:val="bottom"/>
            <w:shd w:val="clear" w:color="auto" w:fill="CCEEFF"/>
          </w:tcPr>
          <w:p>
            <w:pPr>
              <w:spacing w:after="0"/>
              <w:rPr>
                <w:sz w:val="13"/>
                <w:szCs w:val="13"/>
                <w:color w:val="auto"/>
              </w:rPr>
            </w:pPr>
          </w:p>
        </w:tc>
        <w:tc>
          <w:tcPr>
            <w:tcW w:w="6120" w:type="dxa"/>
            <w:vAlign w:val="bottom"/>
            <w:shd w:val="clear" w:color="auto" w:fill="CCEEFF"/>
          </w:tcPr>
          <w:p>
            <w:pPr>
              <w:spacing w:after="0"/>
              <w:rPr>
                <w:sz w:val="13"/>
                <w:szCs w:val="13"/>
                <w:color w:val="auto"/>
              </w:rPr>
            </w:pPr>
          </w:p>
        </w:tc>
        <w:tc>
          <w:tcPr>
            <w:tcW w:w="4040" w:type="dxa"/>
            <w:vAlign w:val="bottom"/>
            <w:shd w:val="clear" w:color="auto" w:fill="CCEEFF"/>
          </w:tcPr>
          <w:p>
            <w:pPr>
              <w:jc w:val="right"/>
              <w:ind w:right="496"/>
              <w:spacing w:after="0"/>
              <w:rPr>
                <w:sz w:val="20"/>
                <w:szCs w:val="20"/>
                <w:color w:val="auto"/>
              </w:rPr>
            </w:pPr>
            <w:r>
              <w:rPr>
                <w:rFonts w:ascii="Arial" w:cs="Arial" w:eastAsia="Arial" w:hAnsi="Arial"/>
                <w:sz w:val="13"/>
                <w:szCs w:val="13"/>
                <w:b w:val="1"/>
                <w:bCs w:val="1"/>
                <w:color w:val="auto"/>
              </w:rPr>
              <w:t>115,950</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52,687</w:t>
            </w:r>
          </w:p>
        </w:tc>
      </w:tr>
      <w:tr>
        <w:trPr>
          <w:trHeight w:val="170"/>
        </w:trPr>
        <w:tc>
          <w:tcPr>
            <w:tcW w:w="6260" w:type="dxa"/>
            <w:vAlign w:val="bottom"/>
            <w:gridSpan w:val="2"/>
          </w:tcPr>
          <w:p>
            <w:pPr>
              <w:ind w:left="20"/>
              <w:spacing w:after="0"/>
              <w:rPr>
                <w:sz w:val="20"/>
                <w:szCs w:val="20"/>
                <w:color w:val="auto"/>
              </w:rPr>
            </w:pPr>
            <w:r>
              <w:rPr>
                <w:rFonts w:ascii="Arial" w:cs="Arial" w:eastAsia="Arial" w:hAnsi="Arial"/>
                <w:sz w:val="13"/>
                <w:szCs w:val="13"/>
                <w:b w:val="1"/>
                <w:bCs w:val="1"/>
                <w:color w:val="auto"/>
              </w:rPr>
              <w:t>Deferred tax expense/ (credit)</w:t>
            </w:r>
          </w:p>
        </w:tc>
        <w:tc>
          <w:tcPr>
            <w:tcW w:w="40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62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Origination and reversal of temporary differences</w:t>
            </w:r>
          </w:p>
        </w:tc>
        <w:tc>
          <w:tcPr>
            <w:tcW w:w="4040" w:type="dxa"/>
            <w:vAlign w:val="bottom"/>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(70,848)</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(1,925)</w:t>
            </w:r>
          </w:p>
        </w:tc>
      </w:tr>
      <w:tr>
        <w:trPr>
          <w:trHeight w:val="127"/>
        </w:trPr>
        <w:tc>
          <w:tcPr>
            <w:tcW w:w="6260" w:type="dxa"/>
            <w:vAlign w:val="bottom"/>
            <w:gridSpan w:val="2"/>
          </w:tcPr>
          <w:p>
            <w:pPr>
              <w:spacing w:after="0"/>
              <w:rPr>
                <w:sz w:val="11"/>
                <w:szCs w:val="11"/>
                <w:color w:val="auto"/>
              </w:rPr>
            </w:pPr>
          </w:p>
        </w:tc>
        <w:tc>
          <w:tcPr>
            <w:tcW w:w="404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202"/>
        </w:trPr>
        <w:tc>
          <w:tcPr>
            <w:tcW w:w="626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Over provided in prior years</w:t>
            </w:r>
          </w:p>
        </w:tc>
        <w:tc>
          <w:tcPr>
            <w:tcW w:w="40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170"/>
        </w:trPr>
        <w:tc>
          <w:tcPr>
            <w:tcW w:w="6260" w:type="dxa"/>
            <w:vAlign w:val="bottom"/>
            <w:gridSpan w:val="2"/>
          </w:tcPr>
          <w:p>
            <w:pPr>
              <w:ind w:left="20"/>
              <w:spacing w:after="0"/>
              <w:rPr>
                <w:sz w:val="20"/>
                <w:szCs w:val="20"/>
                <w:color w:val="auto"/>
              </w:rPr>
            </w:pPr>
            <w:r>
              <w:rPr>
                <w:rFonts w:ascii="Arial" w:cs="Arial" w:eastAsia="Arial" w:hAnsi="Arial"/>
                <w:sz w:val="13"/>
                <w:szCs w:val="13"/>
                <w:color w:val="auto"/>
              </w:rPr>
              <w:t>Current tax</w:t>
            </w:r>
          </w:p>
        </w:tc>
        <w:tc>
          <w:tcPr>
            <w:tcW w:w="4040" w:type="dxa"/>
            <w:vAlign w:val="bottom"/>
          </w:tcPr>
          <w:p>
            <w:pPr>
              <w:jc w:val="right"/>
              <w:ind w:right="476"/>
              <w:spacing w:after="0"/>
              <w:rPr>
                <w:sz w:val="20"/>
                <w:szCs w:val="20"/>
                <w:color w:val="auto"/>
              </w:rPr>
            </w:pPr>
            <w:r>
              <w:rPr>
                <w:rFonts w:ascii="Arial" w:cs="Arial" w:eastAsia="Arial" w:hAnsi="Arial"/>
                <w:sz w:val="13"/>
                <w:szCs w:val="13"/>
                <w:b w:val="1"/>
                <w:bCs w:val="1"/>
                <w:color w:val="auto"/>
              </w:rPr>
              <w:t>(4,139)</w:t>
            </w:r>
          </w:p>
        </w:tc>
        <w:tc>
          <w:tcPr>
            <w:tcW w:w="980" w:type="dxa"/>
            <w:vAlign w:val="bottom"/>
          </w:tcPr>
          <w:p>
            <w:pPr>
              <w:jc w:val="right"/>
              <w:spacing w:after="0"/>
              <w:rPr>
                <w:sz w:val="20"/>
                <w:szCs w:val="20"/>
                <w:color w:val="auto"/>
              </w:rPr>
            </w:pPr>
            <w:r>
              <w:rPr>
                <w:rFonts w:ascii="Arial" w:cs="Arial" w:eastAsia="Arial" w:hAnsi="Arial"/>
                <w:sz w:val="13"/>
                <w:szCs w:val="13"/>
                <w:color w:val="auto"/>
              </w:rPr>
              <w:t>(1,740)</w:t>
            </w:r>
          </w:p>
        </w:tc>
      </w:tr>
      <w:tr>
        <w:trPr>
          <w:trHeight w:val="170"/>
        </w:trPr>
        <w:tc>
          <w:tcPr>
            <w:tcW w:w="62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3"/>
                <w:szCs w:val="13"/>
                <w:color w:val="auto"/>
              </w:rPr>
              <w:t>Deferred tax</w:t>
            </w:r>
          </w:p>
        </w:tc>
        <w:tc>
          <w:tcPr>
            <w:tcW w:w="404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(744)</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1,731</w:t>
            </w:r>
          </w:p>
        </w:tc>
      </w:tr>
      <w:tr>
        <w:trPr>
          <w:trHeight w:val="160"/>
        </w:trPr>
        <w:tc>
          <w:tcPr>
            <w:tcW w:w="6260" w:type="dxa"/>
            <w:vAlign w:val="bottom"/>
            <w:gridSpan w:val="2"/>
          </w:tcPr>
          <w:p>
            <w:pPr>
              <w:ind w:left="20"/>
              <w:spacing w:after="0"/>
              <w:rPr>
                <w:sz w:val="20"/>
                <w:szCs w:val="20"/>
                <w:color w:val="auto"/>
              </w:rPr>
            </w:pPr>
            <w:r>
              <w:rPr>
                <w:rFonts w:ascii="Arial" w:cs="Arial" w:eastAsia="Arial" w:hAnsi="Arial"/>
                <w:sz w:val="13"/>
                <w:szCs w:val="13"/>
                <w:color w:val="auto"/>
              </w:rPr>
              <w:t>Over provided in prior years</w:t>
            </w:r>
          </w:p>
        </w:tc>
        <w:tc>
          <w:tcPr>
            <w:tcW w:w="4040" w:type="dxa"/>
            <w:vAlign w:val="bottom"/>
          </w:tcPr>
          <w:p>
            <w:pPr>
              <w:jc w:val="right"/>
              <w:ind w:right="476"/>
              <w:spacing w:after="0"/>
              <w:rPr>
                <w:sz w:val="20"/>
                <w:szCs w:val="20"/>
                <w:color w:val="auto"/>
              </w:rPr>
            </w:pPr>
            <w:r>
              <w:rPr>
                <w:rFonts w:ascii="Arial" w:cs="Arial" w:eastAsia="Arial" w:hAnsi="Arial"/>
                <w:sz w:val="13"/>
                <w:szCs w:val="13"/>
                <w:b w:val="1"/>
                <w:bCs w:val="1"/>
                <w:color w:val="auto"/>
              </w:rPr>
              <w:t>(4,883)</w:t>
            </w:r>
          </w:p>
        </w:tc>
        <w:tc>
          <w:tcPr>
            <w:tcW w:w="980" w:type="dxa"/>
            <w:vAlign w:val="bottom"/>
          </w:tcPr>
          <w:p>
            <w:pPr>
              <w:jc w:val="right"/>
              <w:spacing w:after="0"/>
              <w:rPr>
                <w:sz w:val="20"/>
                <w:szCs w:val="20"/>
                <w:color w:val="auto"/>
              </w:rPr>
            </w:pPr>
            <w:r>
              <w:rPr>
                <w:rFonts w:ascii="Arial" w:cs="Arial" w:eastAsia="Arial" w:hAnsi="Arial"/>
                <w:sz w:val="13"/>
                <w:szCs w:val="13"/>
                <w:color w:val="auto"/>
              </w:rPr>
              <w:t>(9)</w:t>
            </w:r>
          </w:p>
        </w:tc>
      </w:tr>
      <w:tr>
        <w:trPr>
          <w:trHeight w:val="127"/>
        </w:trPr>
        <w:tc>
          <w:tcPr>
            <w:tcW w:w="6260" w:type="dxa"/>
            <w:vAlign w:val="bottom"/>
            <w:tcBorders>
              <w:bottom w:val="single" w:sz="8" w:color="auto"/>
            </w:tcBorders>
            <w:gridSpan w:val="2"/>
            <w:shd w:val="clear" w:color="auto" w:fill="CCEEFF"/>
          </w:tcPr>
          <w:p>
            <w:pPr>
              <w:spacing w:after="0"/>
              <w:rPr>
                <w:sz w:val="11"/>
                <w:szCs w:val="11"/>
                <w:color w:val="auto"/>
              </w:rPr>
            </w:pPr>
          </w:p>
        </w:tc>
        <w:tc>
          <w:tcPr>
            <w:tcW w:w="404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spacing w:after="0"/>
              <w:rPr>
                <w:sz w:val="11"/>
                <w:szCs w:val="11"/>
                <w:color w:val="auto"/>
              </w:rPr>
            </w:pPr>
          </w:p>
        </w:tc>
      </w:tr>
      <w:tr>
        <w:trPr>
          <w:trHeight w:val="162"/>
        </w:trPr>
        <w:tc>
          <w:tcPr>
            <w:tcW w:w="626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Total income tax expense in profit and loss</w:t>
            </w:r>
          </w:p>
        </w:tc>
        <w:tc>
          <w:tcPr>
            <w:tcW w:w="404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40,219</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50,753</w:t>
            </w:r>
          </w:p>
        </w:tc>
      </w:tr>
      <w:tr>
        <w:trPr>
          <w:trHeight w:val="117"/>
        </w:trPr>
        <w:tc>
          <w:tcPr>
            <w:tcW w:w="140" w:type="dxa"/>
            <w:vAlign w:val="bottom"/>
            <w:shd w:val="clear" w:color="auto" w:fill="CCEEFF"/>
          </w:tcPr>
          <w:p>
            <w:pPr>
              <w:spacing w:after="0"/>
              <w:rPr>
                <w:sz w:val="10"/>
                <w:szCs w:val="10"/>
                <w:color w:val="auto"/>
              </w:rPr>
            </w:pPr>
          </w:p>
        </w:tc>
        <w:tc>
          <w:tcPr>
            <w:tcW w:w="6120" w:type="dxa"/>
            <w:vAlign w:val="bottom"/>
            <w:shd w:val="clear" w:color="auto" w:fill="CCEEFF"/>
          </w:tcPr>
          <w:p>
            <w:pPr>
              <w:spacing w:after="0"/>
              <w:rPr>
                <w:sz w:val="10"/>
                <w:szCs w:val="10"/>
                <w:color w:val="auto"/>
              </w:rPr>
            </w:pPr>
          </w:p>
        </w:tc>
        <w:tc>
          <w:tcPr>
            <w:tcW w:w="40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r>
      <w:tr>
        <w:trPr>
          <w:trHeight w:val="170"/>
        </w:trPr>
        <w:tc>
          <w:tcPr>
            <w:tcW w:w="6260" w:type="dxa"/>
            <w:vAlign w:val="bottom"/>
            <w:gridSpan w:val="2"/>
          </w:tcPr>
          <w:p>
            <w:pPr>
              <w:ind w:left="20"/>
              <w:spacing w:after="0"/>
              <w:rPr>
                <w:sz w:val="20"/>
                <w:szCs w:val="20"/>
                <w:color w:val="auto"/>
              </w:rPr>
            </w:pPr>
            <w:r>
              <w:rPr>
                <w:rFonts w:ascii="Arial" w:cs="Arial" w:eastAsia="Arial" w:hAnsi="Arial"/>
                <w:sz w:val="13"/>
                <w:szCs w:val="13"/>
                <w:b w:val="1"/>
                <w:bCs w:val="1"/>
                <w:color w:val="auto"/>
              </w:rPr>
              <w:t>Tax recognised directly in equity</w:t>
            </w:r>
          </w:p>
        </w:tc>
        <w:tc>
          <w:tcPr>
            <w:tcW w:w="40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62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Deferred tax recognised directly in equity</w:t>
            </w:r>
          </w:p>
        </w:tc>
        <w:tc>
          <w:tcPr>
            <w:tcW w:w="4040" w:type="dxa"/>
            <w:vAlign w:val="bottom"/>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(22,515)</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1,470</w:t>
            </w:r>
          </w:p>
        </w:tc>
      </w:tr>
      <w:tr>
        <w:trPr>
          <w:trHeight w:val="170"/>
        </w:trPr>
        <w:tc>
          <w:tcPr>
            <w:tcW w:w="626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color w:val="auto"/>
              </w:rPr>
              <w:t>Current tax recognised directly in equity</w:t>
            </w:r>
          </w:p>
        </w:tc>
        <w:tc>
          <w:tcPr>
            <w:tcW w:w="404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(7,809)</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(3,999)</w:t>
            </w:r>
          </w:p>
        </w:tc>
      </w:tr>
      <w:tr>
        <w:trPr>
          <w:trHeight w:val="107"/>
        </w:trPr>
        <w:tc>
          <w:tcPr>
            <w:tcW w:w="140" w:type="dxa"/>
            <w:vAlign w:val="bottom"/>
            <w:shd w:val="clear" w:color="auto" w:fill="CCEEFF"/>
          </w:tcPr>
          <w:p>
            <w:pPr>
              <w:spacing w:after="0"/>
              <w:rPr>
                <w:sz w:val="9"/>
                <w:szCs w:val="9"/>
                <w:color w:val="auto"/>
              </w:rPr>
            </w:pPr>
          </w:p>
        </w:tc>
        <w:tc>
          <w:tcPr>
            <w:tcW w:w="6120" w:type="dxa"/>
            <w:vAlign w:val="bottom"/>
            <w:shd w:val="clear" w:color="auto" w:fill="CCEEFF"/>
          </w:tcPr>
          <w:p>
            <w:pPr>
              <w:spacing w:after="0"/>
              <w:rPr>
                <w:sz w:val="9"/>
                <w:szCs w:val="9"/>
                <w:color w:val="auto"/>
              </w:rPr>
            </w:pPr>
          </w:p>
        </w:tc>
        <w:tc>
          <w:tcPr>
            <w:tcW w:w="404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r>
      <w:tr>
        <w:trPr>
          <w:trHeight w:val="171"/>
        </w:trPr>
        <w:tc>
          <w:tcPr>
            <w:tcW w:w="626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Total tax recognised in equity</w:t>
            </w:r>
          </w:p>
        </w:tc>
        <w:tc>
          <w:tcPr>
            <w:tcW w:w="404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(30,324)</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(2,529)</w:t>
            </w:r>
          </w:p>
        </w:tc>
      </w:tr>
      <w:tr>
        <w:trPr>
          <w:trHeight w:val="117"/>
        </w:trPr>
        <w:tc>
          <w:tcPr>
            <w:tcW w:w="140" w:type="dxa"/>
            <w:vAlign w:val="bottom"/>
            <w:shd w:val="clear" w:color="auto" w:fill="CCEEFF"/>
          </w:tcPr>
          <w:p>
            <w:pPr>
              <w:spacing w:after="0"/>
              <w:rPr>
                <w:sz w:val="10"/>
                <w:szCs w:val="10"/>
                <w:color w:val="auto"/>
              </w:rPr>
            </w:pPr>
          </w:p>
        </w:tc>
        <w:tc>
          <w:tcPr>
            <w:tcW w:w="6120" w:type="dxa"/>
            <w:vAlign w:val="bottom"/>
            <w:shd w:val="clear" w:color="auto" w:fill="CCEEFF"/>
          </w:tcPr>
          <w:p>
            <w:pPr>
              <w:spacing w:after="0"/>
              <w:rPr>
                <w:sz w:val="10"/>
                <w:szCs w:val="10"/>
                <w:color w:val="auto"/>
              </w:rPr>
            </w:pPr>
          </w:p>
        </w:tc>
        <w:tc>
          <w:tcPr>
            <w:tcW w:w="40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r>
      <w:tr>
        <w:trPr>
          <w:trHeight w:val="170"/>
        </w:trPr>
        <w:tc>
          <w:tcPr>
            <w:tcW w:w="6260" w:type="dxa"/>
            <w:vAlign w:val="bottom"/>
            <w:gridSpan w:val="2"/>
          </w:tcPr>
          <w:p>
            <w:pPr>
              <w:ind w:left="20"/>
              <w:spacing w:after="0"/>
              <w:rPr>
                <w:sz w:val="20"/>
                <w:szCs w:val="20"/>
                <w:color w:val="auto"/>
              </w:rPr>
            </w:pPr>
            <w:r>
              <w:rPr>
                <w:rFonts w:ascii="Arial" w:cs="Arial" w:eastAsia="Arial" w:hAnsi="Arial"/>
                <w:sz w:val="13"/>
                <w:szCs w:val="13"/>
                <w:b w:val="1"/>
                <w:bCs w:val="1"/>
                <w:color w:val="auto"/>
              </w:rPr>
              <w:t>Income tax recognised in other comprehensive income</w:t>
            </w:r>
          </w:p>
        </w:tc>
        <w:tc>
          <w:tcPr>
            <w:tcW w:w="40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62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3"/>
                <w:szCs w:val="13"/>
                <w:color w:val="auto"/>
              </w:rPr>
              <w:t>Tax on currency impact on long-term funding</w:t>
            </w:r>
          </w:p>
        </w:tc>
        <w:tc>
          <w:tcPr>
            <w:tcW w:w="404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49</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w:t>
            </w:r>
          </w:p>
        </w:tc>
      </w:tr>
      <w:tr>
        <w:trPr>
          <w:trHeight w:val="107"/>
        </w:trPr>
        <w:tc>
          <w:tcPr>
            <w:tcW w:w="140" w:type="dxa"/>
            <w:vAlign w:val="bottom"/>
          </w:tcPr>
          <w:p>
            <w:pPr>
              <w:spacing w:after="0"/>
              <w:rPr>
                <w:sz w:val="9"/>
                <w:szCs w:val="9"/>
                <w:color w:val="auto"/>
              </w:rPr>
            </w:pPr>
          </w:p>
        </w:tc>
        <w:tc>
          <w:tcPr>
            <w:tcW w:w="6120" w:type="dxa"/>
            <w:vAlign w:val="bottom"/>
          </w:tcPr>
          <w:p>
            <w:pPr>
              <w:spacing w:after="0"/>
              <w:rPr>
                <w:sz w:val="9"/>
                <w:szCs w:val="9"/>
                <w:color w:val="auto"/>
              </w:rPr>
            </w:pPr>
          </w:p>
        </w:tc>
        <w:tc>
          <w:tcPr>
            <w:tcW w:w="4040" w:type="dxa"/>
            <w:vAlign w:val="bottom"/>
          </w:tcPr>
          <w:p>
            <w:pPr>
              <w:spacing w:after="0"/>
              <w:rPr>
                <w:sz w:val="9"/>
                <w:szCs w:val="9"/>
                <w:color w:val="auto"/>
              </w:rPr>
            </w:pPr>
          </w:p>
        </w:tc>
        <w:tc>
          <w:tcPr>
            <w:tcW w:w="980" w:type="dxa"/>
            <w:vAlign w:val="bottom"/>
          </w:tcPr>
          <w:p>
            <w:pPr>
              <w:spacing w:after="0"/>
              <w:rPr>
                <w:sz w:val="9"/>
                <w:szCs w:val="9"/>
                <w:color w:val="auto"/>
              </w:rPr>
            </w:pPr>
          </w:p>
        </w:tc>
      </w:tr>
      <w:tr>
        <w:trPr>
          <w:trHeight w:val="171"/>
        </w:trPr>
        <w:tc>
          <w:tcPr>
            <w:tcW w:w="62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Total income tax recognised in other comprehensive income</w:t>
            </w:r>
          </w:p>
        </w:tc>
        <w:tc>
          <w:tcPr>
            <w:tcW w:w="404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49</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w:t>
            </w:r>
          </w:p>
        </w:tc>
      </w:tr>
    </w:tbl>
    <w:p>
      <w:pPr>
        <w:spacing w:after="0" w:line="255"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total tax expense of $40.2 million and $50.8 million for the years ended 31 December 2021 and 31 December 2020 respectively, reflects tax at standard rates on taxable profits in the jurisdictions in which the Group operates, foreign withholding tax and the availability of tax losses.</w:t>
      </w:r>
    </w:p>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The deferred tax credit of $70.8 million for the year ended 31 December 2021 and the deferred tax credit of $1.9 million for the year ended 31 December 2020, relates to deferred tax arising in respect of net operating losses and temporary differences in property, plant and equipment, the timing of certain goodwill amortisation on US acquisitions and the timing of tax deductions available relating to the Group’s share-based compensation schemes.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ectPr>
          <w:pgSz w:w="11900" w:h="16838" w:orient="portrait"/>
          <w:cols w:equalWidth="0" w:num="1">
            <w:col w:w="11280"/>
          </w:cols>
          <w:pgMar w:left="300" w:top="698" w:right="319" w:bottom="1440" w:gutter="0" w:footer="0" w:header="0"/>
        </w:sectPr>
      </w:pPr>
    </w:p>
    <w:bookmarkStart w:id="76" w:name="page77"/>
    <w:bookmarkEnd w:id="76"/>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232" w:lineRule="exact"/>
        <w:rPr>
          <w:sz w:val="20"/>
          <w:szCs w:val="20"/>
          <w:color w:val="auto"/>
        </w:rPr>
      </w:pPr>
    </w:p>
    <w:p>
      <w:pPr>
        <w:ind w:left="260" w:hanging="255"/>
        <w:spacing w:after="0"/>
        <w:tabs>
          <w:tab w:leader="none" w:pos="260" w:val="left"/>
        </w:tabs>
        <w:numPr>
          <w:ilvl w:val="0"/>
          <w:numId w:val="65"/>
        </w:numPr>
        <w:rPr>
          <w:rFonts w:ascii="Arial" w:cs="Arial" w:eastAsia="Arial" w:hAnsi="Arial"/>
          <w:sz w:val="13"/>
          <w:szCs w:val="13"/>
          <w:b w:val="1"/>
          <w:bCs w:val="1"/>
          <w:color w:val="auto"/>
        </w:rPr>
      </w:pPr>
      <w:r>
        <w:rPr>
          <w:rFonts w:ascii="Arial" w:cs="Arial" w:eastAsia="Arial" w:hAnsi="Arial"/>
          <w:sz w:val="13"/>
          <w:szCs w:val="13"/>
          <w:b w:val="1"/>
          <w:bCs w:val="1"/>
          <w:color w:val="auto"/>
        </w:rPr>
        <w:t>Income tax expense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60" w:lineRule="exact"/>
        <w:rPr>
          <w:sz w:val="20"/>
          <w:szCs w:val="20"/>
          <w:color w:val="auto"/>
        </w:rPr>
      </w:pPr>
    </w:p>
    <w:p>
      <w:pPr>
        <w:spacing w:after="0"/>
        <w:rPr>
          <w:sz w:val="20"/>
          <w:szCs w:val="20"/>
          <w:color w:val="auto"/>
        </w:rPr>
      </w:pPr>
      <w:r>
        <w:rPr>
          <w:rFonts w:ascii="Arial" w:cs="Arial" w:eastAsia="Arial" w:hAnsi="Arial"/>
          <w:sz w:val="13"/>
          <w:szCs w:val="13"/>
          <w:color w:val="auto"/>
        </w:rPr>
        <w:t>A reconciliation of the expected tax expense, computed by applying the standard Irish tax rate to income before tax to the actual tax expense, is as follows: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00" w:type="dxa"/>
            <w:vAlign w:val="bottom"/>
            <w:shd w:val="clear" w:color="auto" w:fill="CCEEFF"/>
          </w:tcPr>
          <w:p>
            <w:pPr>
              <w:spacing w:after="0"/>
              <w:rPr>
                <w:sz w:val="13"/>
                <w:szCs w:val="13"/>
                <w:color w:val="auto"/>
              </w:rPr>
            </w:pPr>
          </w:p>
        </w:tc>
        <w:tc>
          <w:tcPr>
            <w:tcW w:w="320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Year ended 31 December</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Year ended 31 December</w:t>
            </w:r>
          </w:p>
        </w:tc>
      </w:tr>
      <w:tr>
        <w:trPr>
          <w:trHeight w:val="170"/>
        </w:trPr>
        <w:tc>
          <w:tcPr>
            <w:tcW w:w="6600" w:type="dxa"/>
            <w:vAlign w:val="bottom"/>
            <w:tcBorders>
              <w:bottom w:val="single" w:sz="8" w:color="auto"/>
            </w:tcBorders>
            <w:shd w:val="clear" w:color="auto" w:fill="CCEEFF"/>
          </w:tcPr>
          <w:p>
            <w:pPr>
              <w:spacing w:after="0"/>
              <w:rPr>
                <w:sz w:val="14"/>
                <w:szCs w:val="14"/>
                <w:color w:val="auto"/>
              </w:rPr>
            </w:pPr>
          </w:p>
        </w:tc>
        <w:tc>
          <w:tcPr>
            <w:tcW w:w="3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2021</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2020</w:t>
            </w:r>
          </w:p>
        </w:tc>
      </w:tr>
      <w:tr>
        <w:trPr>
          <w:trHeight w:val="160"/>
        </w:trPr>
        <w:tc>
          <w:tcPr>
            <w:tcW w:w="6600" w:type="dxa"/>
            <w:vAlign w:val="bottom"/>
          </w:tcPr>
          <w:p>
            <w:pPr>
              <w:spacing w:after="0"/>
              <w:rPr>
                <w:sz w:val="13"/>
                <w:szCs w:val="13"/>
                <w:color w:val="auto"/>
              </w:rPr>
            </w:pPr>
          </w:p>
        </w:tc>
        <w:tc>
          <w:tcPr>
            <w:tcW w:w="3200" w:type="dxa"/>
            <w:vAlign w:val="bottom"/>
          </w:tcPr>
          <w:p>
            <w:pPr>
              <w:jc w:val="right"/>
              <w:ind w:right="56"/>
              <w:spacing w:after="0"/>
              <w:rPr>
                <w:sz w:val="20"/>
                <w:szCs w:val="20"/>
                <w:color w:val="auto"/>
              </w:rPr>
            </w:pPr>
            <w:r>
              <w:rPr>
                <w:rFonts w:ascii="Arial" w:cs="Arial" w:eastAsia="Arial" w:hAnsi="Arial"/>
                <w:sz w:val="13"/>
                <w:szCs w:val="13"/>
                <w:b w:val="1"/>
                <w:bCs w:val="1"/>
                <w:color w:val="auto"/>
              </w:rPr>
              <w:t>$’000</w:t>
            </w:r>
          </w:p>
        </w:tc>
        <w:tc>
          <w:tcPr>
            <w:tcW w:w="148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202"/>
        </w:trPr>
        <w:tc>
          <w:tcPr>
            <w:tcW w:w="6600" w:type="dxa"/>
            <w:vAlign w:val="bottom"/>
            <w:shd w:val="clear" w:color="auto" w:fill="CCEEFF"/>
          </w:tcPr>
          <w:p>
            <w:pPr>
              <w:spacing w:after="0"/>
              <w:rPr>
                <w:sz w:val="17"/>
                <w:szCs w:val="17"/>
                <w:color w:val="auto"/>
              </w:rPr>
            </w:pPr>
          </w:p>
        </w:tc>
        <w:tc>
          <w:tcPr>
            <w:tcW w:w="3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170"/>
        </w:trPr>
        <w:tc>
          <w:tcPr>
            <w:tcW w:w="6600" w:type="dxa"/>
            <w:vAlign w:val="bottom"/>
          </w:tcPr>
          <w:p>
            <w:pPr>
              <w:ind w:left="20"/>
              <w:spacing w:after="0"/>
              <w:rPr>
                <w:sz w:val="20"/>
                <w:szCs w:val="20"/>
                <w:color w:val="auto"/>
              </w:rPr>
            </w:pPr>
            <w:r>
              <w:rPr>
                <w:rFonts w:ascii="Arial" w:cs="Arial" w:eastAsia="Arial" w:hAnsi="Arial"/>
                <w:sz w:val="13"/>
                <w:szCs w:val="13"/>
                <w:color w:val="auto"/>
              </w:rPr>
              <w:t>Profit before tax</w:t>
            </w:r>
          </w:p>
        </w:tc>
        <w:tc>
          <w:tcPr>
            <w:tcW w:w="3200" w:type="dxa"/>
            <w:vAlign w:val="bottom"/>
          </w:tcPr>
          <w:p>
            <w:pPr>
              <w:jc w:val="right"/>
              <w:ind w:right="196"/>
              <w:spacing w:after="0"/>
              <w:rPr>
                <w:sz w:val="20"/>
                <w:szCs w:val="20"/>
                <w:color w:val="auto"/>
              </w:rPr>
            </w:pPr>
            <w:r>
              <w:rPr>
                <w:rFonts w:ascii="Arial" w:cs="Arial" w:eastAsia="Arial" w:hAnsi="Arial"/>
                <w:sz w:val="13"/>
                <w:szCs w:val="13"/>
                <w:b w:val="1"/>
                <w:bCs w:val="1"/>
                <w:color w:val="auto"/>
              </w:rPr>
              <w:t>214,671</w:t>
            </w:r>
          </w:p>
        </w:tc>
        <w:tc>
          <w:tcPr>
            <w:tcW w:w="1480" w:type="dxa"/>
            <w:vAlign w:val="bottom"/>
          </w:tcPr>
          <w:p>
            <w:pPr>
              <w:jc w:val="right"/>
              <w:ind w:right="96"/>
              <w:spacing w:after="0"/>
              <w:rPr>
                <w:sz w:val="20"/>
                <w:szCs w:val="20"/>
                <w:color w:val="auto"/>
              </w:rPr>
            </w:pPr>
            <w:r>
              <w:rPr>
                <w:rFonts w:ascii="Arial" w:cs="Arial" w:eastAsia="Arial" w:hAnsi="Arial"/>
                <w:sz w:val="13"/>
                <w:szCs w:val="13"/>
                <w:color w:val="auto"/>
              </w:rPr>
              <w:t>382,178</w:t>
            </w:r>
          </w:p>
        </w:tc>
      </w:tr>
      <w:tr>
        <w:trPr>
          <w:trHeight w:val="170"/>
        </w:trPr>
        <w:tc>
          <w:tcPr>
            <w:tcW w:w="6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Irish standard tax rate</w:t>
            </w:r>
          </w:p>
        </w:tc>
        <w:tc>
          <w:tcPr>
            <w:tcW w:w="3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12.5 %</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12.5 %</w:t>
            </w:r>
          </w:p>
        </w:tc>
      </w:tr>
      <w:tr>
        <w:trPr>
          <w:trHeight w:val="182"/>
        </w:trPr>
        <w:tc>
          <w:tcPr>
            <w:tcW w:w="660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02"/>
        </w:trPr>
        <w:tc>
          <w:tcPr>
            <w:tcW w:w="6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Taxes at Irish standard tax rate</w:t>
            </w:r>
          </w:p>
        </w:tc>
        <w:tc>
          <w:tcPr>
            <w:tcW w:w="32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26,834</w:t>
            </w:r>
          </w:p>
        </w:tc>
        <w:tc>
          <w:tcPr>
            <w:tcW w:w="14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47,772</w:t>
            </w:r>
          </w:p>
        </w:tc>
      </w:tr>
      <w:tr>
        <w:trPr>
          <w:trHeight w:val="182"/>
        </w:trPr>
        <w:tc>
          <w:tcPr>
            <w:tcW w:w="660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02"/>
        </w:trPr>
        <w:tc>
          <w:tcPr>
            <w:tcW w:w="6600" w:type="dxa"/>
            <w:vAlign w:val="bottom"/>
            <w:shd w:val="clear" w:color="auto" w:fill="CCEEFF"/>
          </w:tcPr>
          <w:p>
            <w:pPr>
              <w:spacing w:after="0"/>
              <w:rPr>
                <w:sz w:val="17"/>
                <w:szCs w:val="17"/>
                <w:color w:val="auto"/>
              </w:rPr>
            </w:pPr>
          </w:p>
        </w:tc>
        <w:tc>
          <w:tcPr>
            <w:tcW w:w="3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178"/>
        </w:trPr>
        <w:tc>
          <w:tcPr>
            <w:tcW w:w="6600" w:type="dxa"/>
            <w:vAlign w:val="bottom"/>
          </w:tcPr>
          <w:p>
            <w:pPr>
              <w:ind w:left="20"/>
              <w:spacing w:after="0"/>
              <w:rPr>
                <w:sz w:val="20"/>
                <w:szCs w:val="20"/>
                <w:color w:val="auto"/>
              </w:rPr>
            </w:pPr>
            <w:r>
              <w:rPr>
                <w:rFonts w:ascii="Arial" w:cs="Arial" w:eastAsia="Arial" w:hAnsi="Arial"/>
                <w:sz w:val="13"/>
                <w:szCs w:val="13"/>
                <w:color w:val="auto"/>
              </w:rPr>
              <w:t>Over provision in respect to prior years</w:t>
            </w:r>
          </w:p>
        </w:tc>
        <w:tc>
          <w:tcPr>
            <w:tcW w:w="3200" w:type="dxa"/>
            <w:vAlign w:val="bottom"/>
          </w:tcPr>
          <w:p>
            <w:pPr>
              <w:jc w:val="right"/>
              <w:ind w:right="156"/>
              <w:spacing w:after="0"/>
              <w:rPr>
                <w:sz w:val="20"/>
                <w:szCs w:val="20"/>
                <w:color w:val="auto"/>
              </w:rPr>
            </w:pPr>
            <w:r>
              <w:rPr>
                <w:rFonts w:ascii="Arial" w:cs="Arial" w:eastAsia="Arial" w:hAnsi="Arial"/>
                <w:sz w:val="13"/>
                <w:szCs w:val="13"/>
                <w:b w:val="1"/>
                <w:bCs w:val="1"/>
                <w:color w:val="auto"/>
              </w:rPr>
              <w:t>(4,883)</w:t>
            </w:r>
          </w:p>
        </w:tc>
        <w:tc>
          <w:tcPr>
            <w:tcW w:w="1480" w:type="dxa"/>
            <w:vAlign w:val="bottom"/>
          </w:tcPr>
          <w:p>
            <w:pPr>
              <w:jc w:val="right"/>
              <w:ind w:right="56"/>
              <w:spacing w:after="0"/>
              <w:rPr>
                <w:sz w:val="20"/>
                <w:szCs w:val="20"/>
                <w:color w:val="auto"/>
              </w:rPr>
            </w:pPr>
            <w:r>
              <w:rPr>
                <w:rFonts w:ascii="Arial" w:cs="Arial" w:eastAsia="Arial" w:hAnsi="Arial"/>
                <w:sz w:val="13"/>
                <w:szCs w:val="13"/>
                <w:color w:val="auto"/>
              </w:rPr>
              <w:t>(9)</w:t>
            </w:r>
          </w:p>
        </w:tc>
      </w:tr>
      <w:tr>
        <w:trPr>
          <w:trHeight w:val="24"/>
        </w:trPr>
        <w:tc>
          <w:tcPr>
            <w:tcW w:w="66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70"/>
        </w:trPr>
        <w:tc>
          <w:tcPr>
            <w:tcW w:w="6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Foreign and other income taxed at higher rates</w:t>
            </w:r>
          </w:p>
        </w:tc>
        <w:tc>
          <w:tcPr>
            <w:tcW w:w="3200" w:type="dxa"/>
            <w:vAlign w:val="bottom"/>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20,045</w:t>
            </w:r>
          </w:p>
        </w:tc>
        <w:tc>
          <w:tcPr>
            <w:tcW w:w="14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7,943</w:t>
            </w:r>
          </w:p>
        </w:tc>
      </w:tr>
      <w:tr>
        <w:trPr>
          <w:trHeight w:val="170"/>
        </w:trPr>
        <w:tc>
          <w:tcPr>
            <w:tcW w:w="6600" w:type="dxa"/>
            <w:vAlign w:val="bottom"/>
          </w:tcPr>
          <w:p>
            <w:pPr>
              <w:ind w:left="20"/>
              <w:spacing w:after="0"/>
              <w:rPr>
                <w:sz w:val="20"/>
                <w:szCs w:val="20"/>
                <w:color w:val="auto"/>
              </w:rPr>
            </w:pPr>
            <w:r>
              <w:rPr>
                <w:rFonts w:ascii="Arial" w:cs="Arial" w:eastAsia="Arial" w:hAnsi="Arial"/>
                <w:sz w:val="13"/>
                <w:szCs w:val="13"/>
                <w:color w:val="auto"/>
              </w:rPr>
              <w:t>Effect of change in tax rates</w:t>
            </w:r>
          </w:p>
        </w:tc>
        <w:tc>
          <w:tcPr>
            <w:tcW w:w="3200" w:type="dxa"/>
            <w:vAlign w:val="bottom"/>
          </w:tcPr>
          <w:p>
            <w:pPr>
              <w:jc w:val="right"/>
              <w:ind w:right="156"/>
              <w:spacing w:after="0"/>
              <w:rPr>
                <w:sz w:val="20"/>
                <w:szCs w:val="20"/>
                <w:color w:val="auto"/>
              </w:rPr>
            </w:pPr>
            <w:r>
              <w:rPr>
                <w:rFonts w:ascii="Arial" w:cs="Arial" w:eastAsia="Arial" w:hAnsi="Arial"/>
                <w:sz w:val="13"/>
                <w:szCs w:val="13"/>
                <w:b w:val="1"/>
                <w:bCs w:val="1"/>
                <w:color w:val="auto"/>
              </w:rPr>
              <w:t>(128)</w:t>
            </w:r>
          </w:p>
        </w:tc>
        <w:tc>
          <w:tcPr>
            <w:tcW w:w="1480" w:type="dxa"/>
            <w:vAlign w:val="bottom"/>
          </w:tcPr>
          <w:p>
            <w:pPr>
              <w:jc w:val="right"/>
              <w:ind w:right="96"/>
              <w:spacing w:after="0"/>
              <w:rPr>
                <w:sz w:val="20"/>
                <w:szCs w:val="20"/>
                <w:color w:val="auto"/>
              </w:rPr>
            </w:pPr>
            <w:r>
              <w:rPr>
                <w:rFonts w:ascii="Arial" w:cs="Arial" w:eastAsia="Arial" w:hAnsi="Arial"/>
                <w:sz w:val="13"/>
                <w:szCs w:val="13"/>
                <w:color w:val="auto"/>
              </w:rPr>
              <w:t>108</w:t>
            </w:r>
          </w:p>
        </w:tc>
      </w:tr>
      <w:tr>
        <w:trPr>
          <w:trHeight w:val="170"/>
        </w:trPr>
        <w:tc>
          <w:tcPr>
            <w:tcW w:w="6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Decrease in unrecognised tax benefits</w:t>
            </w:r>
          </w:p>
        </w:tc>
        <w:tc>
          <w:tcPr>
            <w:tcW w:w="3200" w:type="dxa"/>
            <w:vAlign w:val="bottom"/>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5,246</w:t>
            </w:r>
          </w:p>
        </w:tc>
        <w:tc>
          <w:tcPr>
            <w:tcW w:w="14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(1,672)</w:t>
            </w:r>
          </w:p>
        </w:tc>
      </w:tr>
      <w:tr>
        <w:trPr>
          <w:trHeight w:val="170"/>
        </w:trPr>
        <w:tc>
          <w:tcPr>
            <w:tcW w:w="6600" w:type="dxa"/>
            <w:vAlign w:val="bottom"/>
          </w:tcPr>
          <w:p>
            <w:pPr>
              <w:ind w:left="20"/>
              <w:spacing w:after="0"/>
              <w:rPr>
                <w:sz w:val="20"/>
                <w:szCs w:val="20"/>
                <w:color w:val="auto"/>
              </w:rPr>
            </w:pPr>
            <w:r>
              <w:rPr>
                <w:rFonts w:ascii="Arial" w:cs="Arial" w:eastAsia="Arial" w:hAnsi="Arial"/>
                <w:sz w:val="13"/>
                <w:szCs w:val="13"/>
                <w:color w:val="auto"/>
              </w:rPr>
              <w:t>Losses for which no benefit has been recognised</w:t>
            </w:r>
          </w:p>
        </w:tc>
        <w:tc>
          <w:tcPr>
            <w:tcW w:w="3200" w:type="dxa"/>
            <w:vAlign w:val="bottom"/>
          </w:tcPr>
          <w:p>
            <w:pPr>
              <w:jc w:val="right"/>
              <w:ind w:right="196"/>
              <w:spacing w:after="0"/>
              <w:rPr>
                <w:sz w:val="20"/>
                <w:szCs w:val="20"/>
                <w:color w:val="auto"/>
              </w:rPr>
            </w:pPr>
            <w:r>
              <w:rPr>
                <w:rFonts w:ascii="Arial" w:cs="Arial" w:eastAsia="Arial" w:hAnsi="Arial"/>
                <w:sz w:val="13"/>
                <w:szCs w:val="13"/>
                <w:b w:val="1"/>
                <w:bCs w:val="1"/>
                <w:color w:val="auto"/>
              </w:rPr>
              <w:t>3,101</w:t>
            </w:r>
          </w:p>
        </w:tc>
        <w:tc>
          <w:tcPr>
            <w:tcW w:w="1480" w:type="dxa"/>
            <w:vAlign w:val="bottom"/>
          </w:tcPr>
          <w:p>
            <w:pPr>
              <w:jc w:val="right"/>
              <w:ind w:right="96"/>
              <w:spacing w:after="0"/>
              <w:rPr>
                <w:sz w:val="20"/>
                <w:szCs w:val="20"/>
                <w:color w:val="auto"/>
              </w:rPr>
            </w:pPr>
            <w:r>
              <w:rPr>
                <w:rFonts w:ascii="Arial" w:cs="Arial" w:eastAsia="Arial" w:hAnsi="Arial"/>
                <w:sz w:val="13"/>
                <w:szCs w:val="13"/>
                <w:color w:val="auto"/>
              </w:rPr>
              <w:t>—</w:t>
            </w:r>
          </w:p>
        </w:tc>
      </w:tr>
      <w:tr>
        <w:trPr>
          <w:trHeight w:val="170"/>
        </w:trPr>
        <w:tc>
          <w:tcPr>
            <w:tcW w:w="6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Research and development tax incentives</w:t>
            </w:r>
          </w:p>
        </w:tc>
        <w:tc>
          <w:tcPr>
            <w:tcW w:w="3200" w:type="dxa"/>
            <w:vAlign w:val="bottom"/>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(3,120)</w:t>
            </w:r>
          </w:p>
        </w:tc>
        <w:tc>
          <w:tcPr>
            <w:tcW w:w="14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(1,243)</w:t>
            </w:r>
          </w:p>
        </w:tc>
      </w:tr>
      <w:tr>
        <w:trPr>
          <w:trHeight w:val="170"/>
        </w:trPr>
        <w:tc>
          <w:tcPr>
            <w:tcW w:w="6600" w:type="dxa"/>
            <w:vAlign w:val="bottom"/>
          </w:tcPr>
          <w:p>
            <w:pPr>
              <w:ind w:left="20"/>
              <w:spacing w:after="0"/>
              <w:rPr>
                <w:sz w:val="20"/>
                <w:szCs w:val="20"/>
                <w:color w:val="auto"/>
              </w:rPr>
            </w:pPr>
            <w:r>
              <w:rPr>
                <w:rFonts w:ascii="Arial" w:cs="Arial" w:eastAsia="Arial" w:hAnsi="Arial"/>
                <w:sz w:val="13"/>
                <w:szCs w:val="13"/>
                <w:color w:val="auto"/>
              </w:rPr>
              <w:t>Impact of stock compensation</w:t>
            </w:r>
          </w:p>
        </w:tc>
        <w:tc>
          <w:tcPr>
            <w:tcW w:w="3200" w:type="dxa"/>
            <w:vAlign w:val="bottom"/>
          </w:tcPr>
          <w:p>
            <w:pPr>
              <w:jc w:val="right"/>
              <w:ind w:right="156"/>
              <w:spacing w:after="0"/>
              <w:rPr>
                <w:sz w:val="20"/>
                <w:szCs w:val="20"/>
                <w:color w:val="auto"/>
              </w:rPr>
            </w:pPr>
            <w:r>
              <w:rPr>
                <w:rFonts w:ascii="Arial" w:cs="Arial" w:eastAsia="Arial" w:hAnsi="Arial"/>
                <w:sz w:val="13"/>
                <w:szCs w:val="13"/>
                <w:b w:val="1"/>
                <w:bCs w:val="1"/>
                <w:color w:val="auto"/>
              </w:rPr>
              <w:t>(13,258)</w:t>
            </w:r>
          </w:p>
        </w:tc>
        <w:tc>
          <w:tcPr>
            <w:tcW w:w="1480" w:type="dxa"/>
            <w:vAlign w:val="bottom"/>
          </w:tcPr>
          <w:p>
            <w:pPr>
              <w:jc w:val="right"/>
              <w:ind w:right="56"/>
              <w:spacing w:after="0"/>
              <w:rPr>
                <w:sz w:val="20"/>
                <w:szCs w:val="20"/>
                <w:color w:val="auto"/>
              </w:rPr>
            </w:pPr>
            <w:r>
              <w:rPr>
                <w:rFonts w:ascii="Arial" w:cs="Arial" w:eastAsia="Arial" w:hAnsi="Arial"/>
                <w:sz w:val="13"/>
                <w:szCs w:val="13"/>
                <w:color w:val="auto"/>
              </w:rPr>
              <w:t>(2,212)</w:t>
            </w:r>
          </w:p>
        </w:tc>
      </w:tr>
      <w:tr>
        <w:trPr>
          <w:trHeight w:val="170"/>
        </w:trPr>
        <w:tc>
          <w:tcPr>
            <w:tcW w:w="6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 of loss of Associate already tax effected</w:t>
            </w:r>
          </w:p>
        </w:tc>
        <w:tc>
          <w:tcPr>
            <w:tcW w:w="3200" w:type="dxa"/>
            <w:vAlign w:val="bottom"/>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270</w:t>
            </w:r>
          </w:p>
        </w:tc>
        <w:tc>
          <w:tcPr>
            <w:tcW w:w="14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46</w:t>
            </w:r>
          </w:p>
        </w:tc>
      </w:tr>
      <w:tr>
        <w:trPr>
          <w:trHeight w:val="170"/>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Other</w:t>
            </w:r>
          </w:p>
        </w:tc>
        <w:tc>
          <w:tcPr>
            <w:tcW w:w="320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6,112</w:t>
            </w:r>
          </w:p>
        </w:tc>
        <w:tc>
          <w:tcPr>
            <w:tcW w:w="14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20</w:t>
            </w:r>
          </w:p>
        </w:tc>
      </w:tr>
      <w:tr>
        <w:trPr>
          <w:trHeight w:val="182"/>
        </w:trPr>
        <w:tc>
          <w:tcPr>
            <w:tcW w:w="6600" w:type="dxa"/>
            <w:vAlign w:val="bottom"/>
            <w:shd w:val="clear" w:color="auto" w:fill="CCEEFF"/>
          </w:tcPr>
          <w:p>
            <w:pPr>
              <w:spacing w:after="0"/>
              <w:rPr>
                <w:sz w:val="15"/>
                <w:szCs w:val="15"/>
                <w:color w:val="auto"/>
              </w:rPr>
            </w:pPr>
          </w:p>
        </w:tc>
        <w:tc>
          <w:tcPr>
            <w:tcW w:w="32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171"/>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Tax expense on profit for the year</w:t>
            </w:r>
          </w:p>
        </w:tc>
        <w:tc>
          <w:tcPr>
            <w:tcW w:w="320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40,219</w:t>
            </w:r>
          </w:p>
        </w:tc>
        <w:tc>
          <w:tcPr>
            <w:tcW w:w="14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50,753</w:t>
            </w:r>
          </w:p>
        </w:tc>
      </w:tr>
      <w:tr>
        <w:trPr>
          <w:trHeight w:val="422"/>
        </w:trPr>
        <w:tc>
          <w:tcPr>
            <w:tcW w:w="6600" w:type="dxa"/>
            <w:vAlign w:val="bottom"/>
          </w:tcPr>
          <w:p>
            <w:pPr>
              <w:spacing w:after="0"/>
              <w:rPr>
                <w:sz w:val="20"/>
                <w:szCs w:val="20"/>
                <w:color w:val="auto"/>
              </w:rPr>
            </w:pPr>
            <w:r>
              <w:rPr>
                <w:rFonts w:ascii="Arial" w:cs="Arial" w:eastAsia="Arial" w:hAnsi="Arial"/>
                <w:sz w:val="13"/>
                <w:szCs w:val="13"/>
                <w:color w:val="auto"/>
              </w:rPr>
              <w:t>The net deferred tax asset at 31 December 2021 and 31 December 2020 was as follows:</w:t>
            </w:r>
          </w:p>
        </w:tc>
        <w:tc>
          <w:tcPr>
            <w:tcW w:w="32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87"/>
        </w:trPr>
        <w:tc>
          <w:tcPr>
            <w:tcW w:w="6600" w:type="dxa"/>
            <w:vAlign w:val="bottom"/>
          </w:tcPr>
          <w:p>
            <w:pPr>
              <w:spacing w:after="0"/>
              <w:rPr>
                <w:sz w:val="7"/>
                <w:szCs w:val="7"/>
                <w:color w:val="auto"/>
              </w:rPr>
            </w:pPr>
          </w:p>
        </w:tc>
        <w:tc>
          <w:tcPr>
            <w:tcW w:w="4680" w:type="dxa"/>
            <w:vAlign w:val="bottom"/>
            <w:gridSpan w:val="2"/>
          </w:tcPr>
          <w:p>
            <w:pPr>
              <w:spacing w:after="0"/>
              <w:rPr>
                <w:sz w:val="7"/>
                <w:szCs w:val="7"/>
                <w:color w:val="auto"/>
              </w:rPr>
            </w:pPr>
          </w:p>
        </w:tc>
      </w:tr>
      <w:tr>
        <w:trPr>
          <w:trHeight w:val="127"/>
        </w:trPr>
        <w:tc>
          <w:tcPr>
            <w:tcW w:w="6600" w:type="dxa"/>
            <w:vAlign w:val="bottom"/>
            <w:shd w:val="clear" w:color="auto" w:fill="CCEEFF"/>
          </w:tcPr>
          <w:p>
            <w:pPr>
              <w:spacing w:after="0"/>
              <w:rPr>
                <w:sz w:val="11"/>
                <w:szCs w:val="11"/>
                <w:color w:val="auto"/>
              </w:rPr>
            </w:pPr>
          </w:p>
        </w:tc>
        <w:tc>
          <w:tcPr>
            <w:tcW w:w="468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 xml:space="preserve">Year ended 31 </w:t>
            </w:r>
            <w:r>
              <w:rPr>
                <w:rFonts w:ascii="Arial" w:cs="Arial" w:eastAsia="Arial" w:hAnsi="Arial"/>
                <w:sz w:val="13"/>
                <w:szCs w:val="13"/>
                <w:color w:val="auto"/>
              </w:rPr>
              <w:t>Year ended 31 December</w:t>
            </w:r>
          </w:p>
        </w:tc>
      </w:tr>
      <w:tr>
        <w:trPr>
          <w:trHeight w:val="170"/>
        </w:trPr>
        <w:tc>
          <w:tcPr>
            <w:tcW w:w="6600" w:type="dxa"/>
            <w:vAlign w:val="bottom"/>
            <w:tcBorders>
              <w:bottom w:val="single" w:sz="8" w:color="auto"/>
            </w:tcBorders>
            <w:shd w:val="clear" w:color="auto" w:fill="CCEEFF"/>
          </w:tcPr>
          <w:p>
            <w:pPr>
              <w:spacing w:after="0"/>
              <w:rPr>
                <w:sz w:val="14"/>
                <w:szCs w:val="14"/>
                <w:color w:val="auto"/>
              </w:rPr>
            </w:pPr>
          </w:p>
        </w:tc>
        <w:tc>
          <w:tcPr>
            <w:tcW w:w="3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December 2021</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2020</w:t>
            </w:r>
          </w:p>
        </w:tc>
      </w:tr>
      <w:tr>
        <w:trPr>
          <w:trHeight w:val="160"/>
        </w:trPr>
        <w:tc>
          <w:tcPr>
            <w:tcW w:w="6600" w:type="dxa"/>
            <w:vAlign w:val="bottom"/>
          </w:tcPr>
          <w:p>
            <w:pPr>
              <w:spacing w:after="0"/>
              <w:rPr>
                <w:sz w:val="13"/>
                <w:szCs w:val="13"/>
                <w:color w:val="auto"/>
              </w:rPr>
            </w:pPr>
          </w:p>
        </w:tc>
        <w:tc>
          <w:tcPr>
            <w:tcW w:w="320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148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66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Deferred taxation assets</w:t>
            </w:r>
          </w:p>
        </w:tc>
        <w:tc>
          <w:tcPr>
            <w:tcW w:w="32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r>
      <w:tr>
        <w:trPr>
          <w:trHeight w:val="170"/>
        </w:trPr>
        <w:tc>
          <w:tcPr>
            <w:tcW w:w="6600" w:type="dxa"/>
            <w:vAlign w:val="bottom"/>
          </w:tcPr>
          <w:p>
            <w:pPr>
              <w:ind w:left="20"/>
              <w:spacing w:after="0"/>
              <w:rPr>
                <w:sz w:val="20"/>
                <w:szCs w:val="20"/>
                <w:color w:val="auto"/>
              </w:rPr>
            </w:pPr>
            <w:r>
              <w:rPr>
                <w:rFonts w:ascii="Arial" w:cs="Arial" w:eastAsia="Arial" w:hAnsi="Arial"/>
                <w:sz w:val="13"/>
                <w:szCs w:val="13"/>
                <w:color w:val="auto"/>
              </w:rPr>
              <w:t>Net operating losses carried forward</w:t>
            </w:r>
          </w:p>
        </w:tc>
        <w:tc>
          <w:tcPr>
            <w:tcW w:w="3200" w:type="dxa"/>
            <w:vAlign w:val="bottom"/>
          </w:tcPr>
          <w:p>
            <w:pPr>
              <w:jc w:val="right"/>
              <w:spacing w:after="0"/>
              <w:rPr>
                <w:sz w:val="20"/>
                <w:szCs w:val="20"/>
                <w:color w:val="auto"/>
              </w:rPr>
            </w:pPr>
            <w:r>
              <w:rPr>
                <w:rFonts w:ascii="Arial" w:cs="Arial" w:eastAsia="Arial" w:hAnsi="Arial"/>
                <w:sz w:val="13"/>
                <w:szCs w:val="13"/>
                <w:b w:val="1"/>
                <w:bCs w:val="1"/>
                <w:color w:val="auto"/>
              </w:rPr>
              <w:t>43,451</w:t>
            </w:r>
          </w:p>
        </w:tc>
        <w:tc>
          <w:tcPr>
            <w:tcW w:w="1480" w:type="dxa"/>
            <w:vAlign w:val="bottom"/>
          </w:tcPr>
          <w:p>
            <w:pPr>
              <w:jc w:val="right"/>
              <w:spacing w:after="0"/>
              <w:rPr>
                <w:sz w:val="20"/>
                <w:szCs w:val="20"/>
                <w:color w:val="auto"/>
              </w:rPr>
            </w:pPr>
            <w:r>
              <w:rPr>
                <w:rFonts w:ascii="Arial" w:cs="Arial" w:eastAsia="Arial" w:hAnsi="Arial"/>
                <w:sz w:val="13"/>
                <w:szCs w:val="13"/>
                <w:color w:val="auto"/>
              </w:rPr>
              <w:t>12,412</w:t>
            </w:r>
          </w:p>
        </w:tc>
      </w:tr>
      <w:tr>
        <w:trPr>
          <w:trHeight w:val="170"/>
        </w:trPr>
        <w:tc>
          <w:tcPr>
            <w:tcW w:w="6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Accrued expenses</w:t>
            </w:r>
          </w:p>
        </w:tc>
        <w:tc>
          <w:tcPr>
            <w:tcW w:w="32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67,404</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22,076</w:t>
            </w:r>
          </w:p>
        </w:tc>
      </w:tr>
      <w:tr>
        <w:trPr>
          <w:trHeight w:val="170"/>
        </w:trPr>
        <w:tc>
          <w:tcPr>
            <w:tcW w:w="6600" w:type="dxa"/>
            <w:vAlign w:val="bottom"/>
          </w:tcPr>
          <w:p>
            <w:pPr>
              <w:ind w:left="20"/>
              <w:spacing w:after="0"/>
              <w:rPr>
                <w:sz w:val="20"/>
                <w:szCs w:val="20"/>
                <w:color w:val="auto"/>
              </w:rPr>
            </w:pPr>
            <w:r>
              <w:rPr>
                <w:rFonts w:ascii="Arial" w:cs="Arial" w:eastAsia="Arial" w:hAnsi="Arial"/>
                <w:sz w:val="13"/>
                <w:szCs w:val="13"/>
                <w:color w:val="auto"/>
              </w:rPr>
              <w:t>Property, plant and equipment</w:t>
            </w:r>
          </w:p>
        </w:tc>
        <w:tc>
          <w:tcPr>
            <w:tcW w:w="3200" w:type="dxa"/>
            <w:vAlign w:val="bottom"/>
          </w:tcPr>
          <w:p>
            <w:pPr>
              <w:jc w:val="right"/>
              <w:spacing w:after="0"/>
              <w:rPr>
                <w:sz w:val="20"/>
                <w:szCs w:val="20"/>
                <w:color w:val="auto"/>
              </w:rPr>
            </w:pPr>
            <w:r>
              <w:rPr>
                <w:rFonts w:ascii="Arial" w:cs="Arial" w:eastAsia="Arial" w:hAnsi="Arial"/>
                <w:sz w:val="13"/>
                <w:szCs w:val="13"/>
                <w:b w:val="1"/>
                <w:bCs w:val="1"/>
                <w:color w:val="auto"/>
              </w:rPr>
              <w:t>5,619</w:t>
            </w:r>
          </w:p>
        </w:tc>
        <w:tc>
          <w:tcPr>
            <w:tcW w:w="1480" w:type="dxa"/>
            <w:vAlign w:val="bottom"/>
          </w:tcPr>
          <w:p>
            <w:pPr>
              <w:jc w:val="right"/>
              <w:spacing w:after="0"/>
              <w:rPr>
                <w:sz w:val="20"/>
                <w:szCs w:val="20"/>
                <w:color w:val="auto"/>
              </w:rPr>
            </w:pPr>
            <w:r>
              <w:rPr>
                <w:rFonts w:ascii="Arial" w:cs="Arial" w:eastAsia="Arial" w:hAnsi="Arial"/>
                <w:sz w:val="13"/>
                <w:szCs w:val="13"/>
                <w:color w:val="auto"/>
              </w:rPr>
              <w:t>5,974</w:t>
            </w:r>
          </w:p>
        </w:tc>
      </w:tr>
      <w:tr>
        <w:trPr>
          <w:trHeight w:val="170"/>
        </w:trPr>
        <w:tc>
          <w:tcPr>
            <w:tcW w:w="6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revenue</w:t>
            </w:r>
          </w:p>
        </w:tc>
        <w:tc>
          <w:tcPr>
            <w:tcW w:w="32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62,871</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2,257</w:t>
            </w:r>
          </w:p>
        </w:tc>
      </w:tr>
      <w:tr>
        <w:trPr>
          <w:trHeight w:val="170"/>
        </w:trPr>
        <w:tc>
          <w:tcPr>
            <w:tcW w:w="6600" w:type="dxa"/>
            <w:vAlign w:val="bottom"/>
          </w:tcPr>
          <w:p>
            <w:pPr>
              <w:ind w:left="20"/>
              <w:spacing w:after="0"/>
              <w:rPr>
                <w:sz w:val="20"/>
                <w:szCs w:val="20"/>
                <w:color w:val="auto"/>
              </w:rPr>
            </w:pPr>
            <w:r>
              <w:rPr>
                <w:rFonts w:ascii="Arial" w:cs="Arial" w:eastAsia="Arial" w:hAnsi="Arial"/>
                <w:sz w:val="13"/>
                <w:szCs w:val="13"/>
                <w:color w:val="auto"/>
              </w:rPr>
              <w:t>Deferred compensation</w:t>
            </w:r>
          </w:p>
        </w:tc>
        <w:tc>
          <w:tcPr>
            <w:tcW w:w="3200" w:type="dxa"/>
            <w:vAlign w:val="bottom"/>
          </w:tcPr>
          <w:p>
            <w:pPr>
              <w:jc w:val="right"/>
              <w:spacing w:after="0"/>
              <w:rPr>
                <w:sz w:val="20"/>
                <w:szCs w:val="20"/>
                <w:color w:val="auto"/>
              </w:rPr>
            </w:pPr>
            <w:r>
              <w:rPr>
                <w:rFonts w:ascii="Arial" w:cs="Arial" w:eastAsia="Arial" w:hAnsi="Arial"/>
                <w:sz w:val="13"/>
                <w:szCs w:val="13"/>
                <w:b w:val="1"/>
                <w:bCs w:val="1"/>
                <w:color w:val="auto"/>
              </w:rPr>
              <w:t>3,445</w:t>
            </w:r>
          </w:p>
        </w:tc>
        <w:tc>
          <w:tcPr>
            <w:tcW w:w="1480" w:type="dxa"/>
            <w:vAlign w:val="bottom"/>
          </w:tcPr>
          <w:p>
            <w:pPr>
              <w:jc w:val="right"/>
              <w:spacing w:after="0"/>
              <w:rPr>
                <w:sz w:val="20"/>
                <w:szCs w:val="20"/>
                <w:color w:val="auto"/>
              </w:rPr>
            </w:pPr>
            <w:r>
              <w:rPr>
                <w:rFonts w:ascii="Arial" w:cs="Arial" w:eastAsia="Arial" w:hAnsi="Arial"/>
                <w:sz w:val="13"/>
                <w:szCs w:val="13"/>
                <w:color w:val="auto"/>
              </w:rPr>
              <w:t>3,184</w:t>
            </w:r>
          </w:p>
        </w:tc>
      </w:tr>
      <w:tr>
        <w:trPr>
          <w:trHeight w:val="170"/>
        </w:trPr>
        <w:tc>
          <w:tcPr>
            <w:tcW w:w="6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payment</w:t>
            </w:r>
          </w:p>
        </w:tc>
        <w:tc>
          <w:tcPr>
            <w:tcW w:w="32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81,903</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21,338</w:t>
            </w:r>
          </w:p>
        </w:tc>
      </w:tr>
      <w:tr>
        <w:trPr>
          <w:trHeight w:val="170"/>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Other</w:t>
            </w:r>
          </w:p>
        </w:tc>
        <w:tc>
          <w:tcPr>
            <w:tcW w:w="32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8,325</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358</w:t>
            </w:r>
          </w:p>
        </w:tc>
      </w:tr>
      <w:tr>
        <w:trPr>
          <w:trHeight w:val="160"/>
        </w:trPr>
        <w:tc>
          <w:tcPr>
            <w:tcW w:w="66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Total deferred taxation assets</w:t>
            </w:r>
          </w:p>
        </w:tc>
        <w:tc>
          <w:tcPr>
            <w:tcW w:w="32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273,018</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67,599</w:t>
            </w:r>
          </w:p>
        </w:tc>
      </w:tr>
      <w:tr>
        <w:trPr>
          <w:trHeight w:val="170"/>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Less: offset against deferred tax liabilities</w:t>
            </w:r>
          </w:p>
        </w:tc>
        <w:tc>
          <w:tcPr>
            <w:tcW w:w="32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(170,064)</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(37,229)</w:t>
            </w:r>
          </w:p>
        </w:tc>
      </w:tr>
      <w:tr>
        <w:trPr>
          <w:trHeight w:val="182"/>
        </w:trPr>
        <w:tc>
          <w:tcPr>
            <w:tcW w:w="6600" w:type="dxa"/>
            <w:vAlign w:val="bottom"/>
            <w:shd w:val="clear" w:color="auto" w:fill="CCEEFF"/>
          </w:tcPr>
          <w:p>
            <w:pPr>
              <w:spacing w:after="0"/>
              <w:rPr>
                <w:sz w:val="15"/>
                <w:szCs w:val="15"/>
                <w:color w:val="auto"/>
              </w:rPr>
            </w:pPr>
          </w:p>
        </w:tc>
        <w:tc>
          <w:tcPr>
            <w:tcW w:w="32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170"/>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Deferred tax asset disclosed on Consolidated Statement of Financial Position</w:t>
            </w:r>
          </w:p>
        </w:tc>
        <w:tc>
          <w:tcPr>
            <w:tcW w:w="32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102,954</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30,370</w:t>
            </w:r>
          </w:p>
        </w:tc>
      </w:tr>
    </w:tbl>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ectPr>
          <w:pgSz w:w="11900" w:h="16838" w:orient="portrait"/>
          <w:cols w:equalWidth="0" w:num="1">
            <w:col w:w="11280"/>
          </w:cols>
          <w:pgMar w:left="300" w:top="698" w:right="319" w:bottom="1440" w:gutter="0" w:footer="0" w:header="0"/>
        </w:sectPr>
      </w:pPr>
    </w:p>
    <w:bookmarkStart w:id="77" w:name="page78"/>
    <w:bookmarkEnd w:id="77"/>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232" w:lineRule="exact"/>
        <w:rPr>
          <w:sz w:val="20"/>
          <w:szCs w:val="20"/>
          <w:color w:val="auto"/>
        </w:rPr>
      </w:pPr>
    </w:p>
    <w:p>
      <w:pPr>
        <w:spacing w:after="0"/>
        <w:tabs>
          <w:tab w:leader="none" w:pos="240" w:val="left"/>
        </w:tabs>
        <w:rPr>
          <w:sz w:val="20"/>
          <w:szCs w:val="20"/>
          <w:color w:val="auto"/>
        </w:rPr>
      </w:pPr>
      <w:r>
        <w:rPr>
          <w:rFonts w:ascii="Arial" w:cs="Arial" w:eastAsia="Arial" w:hAnsi="Arial"/>
          <w:sz w:val="13"/>
          <w:szCs w:val="13"/>
          <w:b w:val="1"/>
          <w:bCs w:val="1"/>
          <w:color w:val="auto"/>
        </w:rPr>
        <w:t>6.</w:t>
      </w:r>
      <w:r>
        <w:rPr>
          <w:sz w:val="20"/>
          <w:szCs w:val="20"/>
          <w:color w:val="auto"/>
        </w:rPr>
        <w:tab/>
      </w:r>
      <w:r>
        <w:rPr>
          <w:rFonts w:ascii="Arial" w:cs="Arial" w:eastAsia="Arial" w:hAnsi="Arial"/>
          <w:sz w:val="12"/>
          <w:szCs w:val="12"/>
          <w:b w:val="1"/>
          <w:bCs w:val="1"/>
          <w:color w:val="auto"/>
        </w:rPr>
        <w:t>Income tax expense (</w:t>
      </w:r>
      <w:r>
        <w:rPr>
          <w:rFonts w:ascii="Arial" w:cs="Arial" w:eastAsia="Arial" w:hAnsi="Arial"/>
          <w:sz w:val="12"/>
          <w:szCs w:val="12"/>
          <w:b w:val="1"/>
          <w:bCs w:val="1"/>
          <w:i w:val="1"/>
          <w:iCs w:val="1"/>
          <w:color w:val="auto"/>
        </w:rPr>
        <w:t>continued</w:t>
      </w:r>
      <w:r>
        <w:rPr>
          <w:rFonts w:ascii="Arial" w:cs="Arial" w:eastAsia="Arial" w:hAnsi="Arial"/>
          <w:sz w:val="12"/>
          <w:szCs w:val="12"/>
          <w:b w:val="1"/>
          <w:bCs w:val="1"/>
          <w:color w:val="auto"/>
        </w:rPr>
        <w:t>)</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40" w:type="dxa"/>
            <w:vAlign w:val="bottom"/>
            <w:shd w:val="clear" w:color="auto" w:fill="CCEEFF"/>
          </w:tcPr>
          <w:p>
            <w:pPr>
              <w:spacing w:after="0"/>
              <w:rPr>
                <w:sz w:val="13"/>
                <w:szCs w:val="13"/>
                <w:color w:val="auto"/>
              </w:rPr>
            </w:pPr>
          </w:p>
        </w:tc>
        <w:tc>
          <w:tcPr>
            <w:tcW w:w="464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 xml:space="preserve">Year ended 31 </w:t>
            </w:r>
            <w:r>
              <w:rPr>
                <w:rFonts w:ascii="Arial" w:cs="Arial" w:eastAsia="Arial" w:hAnsi="Arial"/>
                <w:sz w:val="13"/>
                <w:szCs w:val="13"/>
                <w:color w:val="auto"/>
              </w:rPr>
              <w:t>Year ended 31 December</w:t>
            </w:r>
          </w:p>
        </w:tc>
      </w:tr>
      <w:tr>
        <w:trPr>
          <w:trHeight w:val="170"/>
        </w:trPr>
        <w:tc>
          <w:tcPr>
            <w:tcW w:w="6640" w:type="dxa"/>
            <w:vAlign w:val="bottom"/>
            <w:tcBorders>
              <w:bottom w:val="single" w:sz="8" w:color="auto"/>
            </w:tcBorders>
            <w:shd w:val="clear" w:color="auto" w:fill="CCEEFF"/>
          </w:tcPr>
          <w:p>
            <w:pPr>
              <w:spacing w:after="0"/>
              <w:rPr>
                <w:sz w:val="14"/>
                <w:szCs w:val="14"/>
                <w:color w:val="auto"/>
              </w:rPr>
            </w:pPr>
          </w:p>
        </w:tc>
        <w:tc>
          <w:tcPr>
            <w:tcW w:w="364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December 2021</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2020</w:t>
            </w:r>
          </w:p>
        </w:tc>
      </w:tr>
      <w:tr>
        <w:trPr>
          <w:trHeight w:val="160"/>
        </w:trPr>
        <w:tc>
          <w:tcPr>
            <w:tcW w:w="6640" w:type="dxa"/>
            <w:vAlign w:val="bottom"/>
          </w:tcPr>
          <w:p>
            <w:pPr>
              <w:ind w:left="20"/>
              <w:spacing w:after="0"/>
              <w:rPr>
                <w:sz w:val="20"/>
                <w:szCs w:val="20"/>
                <w:color w:val="auto"/>
              </w:rPr>
            </w:pPr>
            <w:r>
              <w:rPr>
                <w:rFonts w:ascii="Arial" w:cs="Arial" w:eastAsia="Arial" w:hAnsi="Arial"/>
                <w:sz w:val="13"/>
                <w:szCs w:val="13"/>
                <w:b w:val="1"/>
                <w:bCs w:val="1"/>
                <w:color w:val="auto"/>
              </w:rPr>
              <w:t>Deferred taxation liabilities</w:t>
            </w:r>
          </w:p>
        </w:tc>
        <w:tc>
          <w:tcPr>
            <w:tcW w:w="3640" w:type="dxa"/>
            <w:vAlign w:val="bottom"/>
          </w:tcPr>
          <w:p>
            <w:pPr>
              <w:jc w:val="right"/>
              <w:ind w:right="436"/>
              <w:spacing w:after="0"/>
              <w:rPr>
                <w:sz w:val="20"/>
                <w:szCs w:val="20"/>
                <w:color w:val="auto"/>
              </w:rPr>
            </w:pPr>
            <w:r>
              <w:rPr>
                <w:rFonts w:ascii="Arial" w:cs="Arial" w:eastAsia="Arial" w:hAnsi="Arial"/>
                <w:sz w:val="13"/>
                <w:szCs w:val="13"/>
                <w:b w:val="1"/>
                <w:bCs w:val="1"/>
                <w:color w:val="auto"/>
              </w:rPr>
              <w:t>$’000</w:t>
            </w:r>
          </w:p>
        </w:tc>
        <w:tc>
          <w:tcPr>
            <w:tcW w:w="100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6640" w:type="dxa"/>
            <w:vAlign w:val="bottom"/>
            <w:shd w:val="clear" w:color="auto" w:fill="CCEEFF"/>
          </w:tcPr>
          <w:p>
            <w:pPr>
              <w:spacing w:after="0"/>
              <w:rPr>
                <w:sz w:val="14"/>
                <w:szCs w:val="14"/>
                <w:color w:val="auto"/>
              </w:rPr>
            </w:pPr>
          </w:p>
        </w:tc>
        <w:tc>
          <w:tcPr>
            <w:tcW w:w="36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70"/>
        </w:trPr>
        <w:tc>
          <w:tcPr>
            <w:tcW w:w="6640" w:type="dxa"/>
            <w:vAlign w:val="bottom"/>
          </w:tcPr>
          <w:p>
            <w:pPr>
              <w:ind w:left="20"/>
              <w:spacing w:after="0"/>
              <w:rPr>
                <w:sz w:val="20"/>
                <w:szCs w:val="20"/>
                <w:color w:val="auto"/>
              </w:rPr>
            </w:pPr>
            <w:r>
              <w:rPr>
                <w:rFonts w:ascii="Arial" w:cs="Arial" w:eastAsia="Arial" w:hAnsi="Arial"/>
                <w:sz w:val="13"/>
                <w:szCs w:val="13"/>
                <w:color w:val="auto"/>
              </w:rPr>
              <w:t>Property, plant and equipment</w:t>
            </w:r>
          </w:p>
        </w:tc>
        <w:tc>
          <w:tcPr>
            <w:tcW w:w="3640" w:type="dxa"/>
            <w:vAlign w:val="bottom"/>
          </w:tcPr>
          <w:p>
            <w:pPr>
              <w:jc w:val="right"/>
              <w:ind w:right="476"/>
              <w:spacing w:after="0"/>
              <w:rPr>
                <w:sz w:val="20"/>
                <w:szCs w:val="20"/>
                <w:color w:val="auto"/>
              </w:rPr>
            </w:pPr>
            <w:r>
              <w:rPr>
                <w:rFonts w:ascii="Arial" w:cs="Arial" w:eastAsia="Arial" w:hAnsi="Arial"/>
                <w:sz w:val="13"/>
                <w:szCs w:val="13"/>
                <w:b w:val="1"/>
                <w:bCs w:val="1"/>
                <w:color w:val="auto"/>
              </w:rPr>
              <w:t>19,606</w:t>
            </w:r>
          </w:p>
        </w:tc>
        <w:tc>
          <w:tcPr>
            <w:tcW w:w="1000" w:type="dxa"/>
            <w:vAlign w:val="bottom"/>
          </w:tcPr>
          <w:p>
            <w:pPr>
              <w:jc w:val="right"/>
              <w:spacing w:after="0"/>
              <w:rPr>
                <w:sz w:val="20"/>
                <w:szCs w:val="20"/>
                <w:color w:val="auto"/>
              </w:rPr>
            </w:pPr>
            <w:r>
              <w:rPr>
                <w:rFonts w:ascii="Arial" w:cs="Arial" w:eastAsia="Arial" w:hAnsi="Arial"/>
                <w:sz w:val="13"/>
                <w:szCs w:val="13"/>
                <w:color w:val="auto"/>
              </w:rPr>
              <w:t>1,359</w:t>
            </w:r>
          </w:p>
        </w:tc>
      </w:tr>
      <w:tr>
        <w:trPr>
          <w:trHeight w:val="170"/>
        </w:trPr>
        <w:tc>
          <w:tcPr>
            <w:tcW w:w="6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Goodwill and related assets</w:t>
            </w:r>
          </w:p>
        </w:tc>
        <w:tc>
          <w:tcPr>
            <w:tcW w:w="3640" w:type="dxa"/>
            <w:vAlign w:val="bottom"/>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33,354</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31,629</w:t>
            </w:r>
          </w:p>
        </w:tc>
      </w:tr>
      <w:tr>
        <w:trPr>
          <w:trHeight w:val="170"/>
        </w:trPr>
        <w:tc>
          <w:tcPr>
            <w:tcW w:w="6640" w:type="dxa"/>
            <w:vAlign w:val="bottom"/>
          </w:tcPr>
          <w:p>
            <w:pPr>
              <w:ind w:left="20"/>
              <w:spacing w:after="0"/>
              <w:rPr>
                <w:sz w:val="20"/>
                <w:szCs w:val="20"/>
                <w:color w:val="auto"/>
              </w:rPr>
            </w:pPr>
            <w:r>
              <w:rPr>
                <w:rFonts w:ascii="Arial" w:cs="Arial" w:eastAsia="Arial" w:hAnsi="Arial"/>
                <w:sz w:val="13"/>
                <w:szCs w:val="13"/>
                <w:color w:val="auto"/>
              </w:rPr>
              <w:t>Other intangible assets</w:t>
            </w:r>
          </w:p>
        </w:tc>
        <w:tc>
          <w:tcPr>
            <w:tcW w:w="3640" w:type="dxa"/>
            <w:vAlign w:val="bottom"/>
          </w:tcPr>
          <w:p>
            <w:pPr>
              <w:jc w:val="right"/>
              <w:ind w:right="476"/>
              <w:spacing w:after="0"/>
              <w:rPr>
                <w:sz w:val="20"/>
                <w:szCs w:val="20"/>
                <w:color w:val="auto"/>
              </w:rPr>
            </w:pPr>
            <w:r>
              <w:rPr>
                <w:rFonts w:ascii="Arial" w:cs="Arial" w:eastAsia="Arial" w:hAnsi="Arial"/>
                <w:sz w:val="13"/>
                <w:szCs w:val="13"/>
                <w:b w:val="1"/>
                <w:bCs w:val="1"/>
                <w:color w:val="auto"/>
              </w:rPr>
              <w:t>1,201,086</w:t>
            </w:r>
          </w:p>
        </w:tc>
        <w:tc>
          <w:tcPr>
            <w:tcW w:w="1000" w:type="dxa"/>
            <w:vAlign w:val="bottom"/>
          </w:tcPr>
          <w:p>
            <w:pPr>
              <w:jc w:val="right"/>
              <w:spacing w:after="0"/>
              <w:rPr>
                <w:sz w:val="20"/>
                <w:szCs w:val="20"/>
                <w:color w:val="auto"/>
              </w:rPr>
            </w:pPr>
            <w:r>
              <w:rPr>
                <w:rFonts w:ascii="Arial" w:cs="Arial" w:eastAsia="Arial" w:hAnsi="Arial"/>
                <w:sz w:val="13"/>
                <w:szCs w:val="13"/>
                <w:color w:val="auto"/>
              </w:rPr>
              <w:t>13,398</w:t>
            </w:r>
          </w:p>
        </w:tc>
      </w:tr>
      <w:tr>
        <w:trPr>
          <w:trHeight w:val="170"/>
        </w:trPr>
        <w:tc>
          <w:tcPr>
            <w:tcW w:w="6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364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1,760</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1,009</w:t>
            </w:r>
          </w:p>
        </w:tc>
      </w:tr>
      <w:tr>
        <w:trPr>
          <w:trHeight w:val="160"/>
        </w:trPr>
        <w:tc>
          <w:tcPr>
            <w:tcW w:w="6640" w:type="dxa"/>
            <w:vAlign w:val="bottom"/>
          </w:tcPr>
          <w:p>
            <w:pPr>
              <w:ind w:left="20"/>
              <w:spacing w:after="0"/>
              <w:rPr>
                <w:sz w:val="20"/>
                <w:szCs w:val="20"/>
                <w:color w:val="auto"/>
              </w:rPr>
            </w:pPr>
            <w:r>
              <w:rPr>
                <w:rFonts w:ascii="Arial" w:cs="Arial" w:eastAsia="Arial" w:hAnsi="Arial"/>
                <w:sz w:val="13"/>
                <w:szCs w:val="13"/>
                <w:color w:val="auto"/>
              </w:rPr>
              <w:t>Total deferred taxation liabilities</w:t>
            </w:r>
          </w:p>
        </w:tc>
        <w:tc>
          <w:tcPr>
            <w:tcW w:w="3640" w:type="dxa"/>
            <w:vAlign w:val="bottom"/>
          </w:tcPr>
          <w:p>
            <w:pPr>
              <w:jc w:val="right"/>
              <w:ind w:right="476"/>
              <w:spacing w:after="0"/>
              <w:rPr>
                <w:sz w:val="20"/>
                <w:szCs w:val="20"/>
                <w:color w:val="auto"/>
              </w:rPr>
            </w:pPr>
            <w:r>
              <w:rPr>
                <w:rFonts w:ascii="Arial" w:cs="Arial" w:eastAsia="Arial" w:hAnsi="Arial"/>
                <w:sz w:val="13"/>
                <w:szCs w:val="13"/>
                <w:b w:val="1"/>
                <w:bCs w:val="1"/>
                <w:color w:val="auto"/>
              </w:rPr>
              <w:t>1,255,806</w:t>
            </w:r>
          </w:p>
        </w:tc>
        <w:tc>
          <w:tcPr>
            <w:tcW w:w="1000" w:type="dxa"/>
            <w:vAlign w:val="bottom"/>
          </w:tcPr>
          <w:p>
            <w:pPr>
              <w:jc w:val="right"/>
              <w:spacing w:after="0"/>
              <w:rPr>
                <w:sz w:val="20"/>
                <w:szCs w:val="20"/>
                <w:color w:val="auto"/>
              </w:rPr>
            </w:pPr>
            <w:r>
              <w:rPr>
                <w:rFonts w:ascii="Arial" w:cs="Arial" w:eastAsia="Arial" w:hAnsi="Arial"/>
                <w:sz w:val="13"/>
                <w:szCs w:val="13"/>
                <w:color w:val="auto"/>
              </w:rPr>
              <w:t>47,395</w:t>
            </w:r>
          </w:p>
        </w:tc>
      </w:tr>
      <w:tr>
        <w:trPr>
          <w:trHeight w:val="170"/>
        </w:trPr>
        <w:tc>
          <w:tcPr>
            <w:tcW w:w="6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Less: offset against deferred tax assets</w:t>
            </w:r>
          </w:p>
        </w:tc>
        <w:tc>
          <w:tcPr>
            <w:tcW w:w="364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(170,064)</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(37,229)</w:t>
            </w:r>
          </w:p>
        </w:tc>
      </w:tr>
      <w:tr>
        <w:trPr>
          <w:trHeight w:val="150"/>
        </w:trPr>
        <w:tc>
          <w:tcPr>
            <w:tcW w:w="664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70"/>
        </w:trPr>
        <w:tc>
          <w:tcPr>
            <w:tcW w:w="6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Deferred tax liability disclosed on Consolidated Statement of Financial Position</w:t>
            </w:r>
          </w:p>
        </w:tc>
        <w:tc>
          <w:tcPr>
            <w:tcW w:w="364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1,085,742</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10,166</w:t>
            </w:r>
          </w:p>
        </w:tc>
      </w:tr>
      <w:tr>
        <w:trPr>
          <w:trHeight w:val="150"/>
        </w:trPr>
        <w:tc>
          <w:tcPr>
            <w:tcW w:w="664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71"/>
        </w:trPr>
        <w:tc>
          <w:tcPr>
            <w:tcW w:w="6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Net deferred taxation asset</w:t>
            </w:r>
          </w:p>
        </w:tc>
        <w:tc>
          <w:tcPr>
            <w:tcW w:w="364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(982,788)</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20,204</w:t>
            </w:r>
          </w:p>
        </w:tc>
      </w:tr>
    </w:tbl>
    <w:p>
      <w:pPr>
        <w:spacing w:after="0" w:line="244" w:lineRule="exact"/>
        <w:rPr>
          <w:sz w:val="20"/>
          <w:szCs w:val="20"/>
          <w:color w:val="auto"/>
        </w:rPr>
      </w:pPr>
    </w:p>
    <w:p>
      <w:pPr>
        <w:spacing w:after="0"/>
        <w:rPr>
          <w:sz w:val="20"/>
          <w:szCs w:val="20"/>
          <w:color w:val="auto"/>
        </w:rPr>
      </w:pPr>
      <w:r>
        <w:rPr>
          <w:rFonts w:ascii="Arial" w:cs="Arial" w:eastAsia="Arial" w:hAnsi="Arial"/>
          <w:sz w:val="13"/>
          <w:szCs w:val="13"/>
          <w:color w:val="auto"/>
        </w:rPr>
        <w:t>The movement in temporary differences during the year ended 31 December 2021 was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2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Balance 1 January</w:t>
            </w:r>
          </w:p>
        </w:tc>
        <w:tc>
          <w:tcPr>
            <w:tcW w:w="1620" w:type="dxa"/>
            <w:vAlign w:val="bottom"/>
            <w:vMerge w:val="restart"/>
            <w:shd w:val="clear" w:color="auto" w:fill="CCEEFF"/>
          </w:tcPr>
          <w:p>
            <w:pPr>
              <w:jc w:val="right"/>
              <w:ind w:right="156"/>
              <w:spacing w:after="0"/>
              <w:rPr>
                <w:sz w:val="20"/>
                <w:szCs w:val="20"/>
                <w:color w:val="auto"/>
              </w:rPr>
            </w:pPr>
            <w:r>
              <w:rPr>
                <w:rFonts w:ascii="Arial" w:cs="Arial" w:eastAsia="Arial" w:hAnsi="Arial"/>
                <w:sz w:val="13"/>
                <w:szCs w:val="13"/>
                <w:b w:val="1"/>
                <w:bCs w:val="1"/>
                <w:color w:val="auto"/>
                <w:w w:val="99"/>
              </w:rPr>
              <w:t>Recognised in Income</w:t>
            </w:r>
          </w:p>
        </w:tc>
        <w:tc>
          <w:tcPr>
            <w:tcW w:w="128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Recognised on</w:t>
            </w:r>
          </w:p>
        </w:tc>
        <w:tc>
          <w:tcPr>
            <w:tcW w:w="2000" w:type="dxa"/>
            <w:vAlign w:val="bottom"/>
            <w:shd w:val="clear" w:color="auto" w:fill="CCEEFF"/>
          </w:tcPr>
          <w:p>
            <w:pPr>
              <w:jc w:val="right"/>
              <w:ind w:right="376"/>
              <w:spacing w:after="0"/>
              <w:rPr>
                <w:sz w:val="20"/>
                <w:szCs w:val="20"/>
                <w:color w:val="auto"/>
              </w:rPr>
            </w:pPr>
            <w:r>
              <w:rPr>
                <w:rFonts w:ascii="Arial" w:cs="Arial" w:eastAsia="Arial" w:hAnsi="Arial"/>
                <w:sz w:val="13"/>
                <w:szCs w:val="13"/>
                <w:b w:val="1"/>
                <w:bCs w:val="1"/>
                <w:color w:val="auto"/>
              </w:rPr>
              <w:t>Recognised in Other</w:t>
            </w:r>
          </w:p>
        </w:tc>
        <w:tc>
          <w:tcPr>
            <w:tcW w:w="8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Balance 31</w:t>
            </w:r>
          </w:p>
        </w:tc>
        <w:tc>
          <w:tcPr>
            <w:tcW w:w="0" w:type="dxa"/>
            <w:vAlign w:val="bottom"/>
          </w:tcPr>
          <w:p>
            <w:pPr>
              <w:spacing w:after="0"/>
              <w:rPr>
                <w:sz w:val="1"/>
                <w:szCs w:val="1"/>
                <w:color w:val="auto"/>
              </w:rPr>
            </w:pPr>
          </w:p>
        </w:tc>
      </w:tr>
      <w:tr>
        <w:trPr>
          <w:trHeight w:val="170"/>
        </w:trPr>
        <w:tc>
          <w:tcPr>
            <w:tcW w:w="262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2021</w:t>
            </w:r>
          </w:p>
        </w:tc>
        <w:tc>
          <w:tcPr>
            <w:tcW w:w="1620" w:type="dxa"/>
            <w:vAlign w:val="bottom"/>
            <w:tcBorders>
              <w:bottom w:val="single" w:sz="8" w:color="auto"/>
            </w:tcBorders>
            <w:vMerge w:val="continue"/>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Acquisition</w:t>
            </w:r>
          </w:p>
        </w:tc>
        <w:tc>
          <w:tcPr>
            <w:tcW w:w="3080" w:type="dxa"/>
            <w:vAlign w:val="bottom"/>
            <w:tcBorders>
              <w:bottom w:val="single" w:sz="8" w:color="auto"/>
            </w:tcBorders>
            <w:gridSpan w:val="3"/>
            <w:shd w:val="clear" w:color="auto" w:fill="CCEEFF"/>
          </w:tcPr>
          <w:p>
            <w:pPr>
              <w:ind w:left="120"/>
              <w:spacing w:after="0"/>
              <w:rPr>
                <w:sz w:val="20"/>
                <w:szCs w:val="20"/>
                <w:color w:val="auto"/>
              </w:rPr>
            </w:pPr>
            <w:r>
              <w:rPr>
                <w:rFonts w:ascii="Arial" w:cs="Arial" w:eastAsia="Arial" w:hAnsi="Arial"/>
                <w:sz w:val="13"/>
                <w:szCs w:val="13"/>
                <w:b w:val="1"/>
                <w:bCs w:val="1"/>
                <w:color w:val="auto"/>
              </w:rPr>
              <w:t>Comprehensive Income Recognised in Equity</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December 2021</w:t>
            </w:r>
          </w:p>
        </w:tc>
        <w:tc>
          <w:tcPr>
            <w:tcW w:w="0" w:type="dxa"/>
            <w:vAlign w:val="bottom"/>
          </w:tcPr>
          <w:p>
            <w:pPr>
              <w:spacing w:after="0"/>
              <w:rPr>
                <w:sz w:val="1"/>
                <w:szCs w:val="1"/>
                <w:color w:val="auto"/>
              </w:rPr>
            </w:pPr>
          </w:p>
        </w:tc>
      </w:tr>
      <w:tr>
        <w:trPr>
          <w:trHeight w:val="160"/>
        </w:trPr>
        <w:tc>
          <w:tcPr>
            <w:tcW w:w="262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1620" w:type="dxa"/>
            <w:vAlign w:val="bottom"/>
          </w:tcPr>
          <w:p>
            <w:pPr>
              <w:jc w:val="right"/>
              <w:ind w:right="156"/>
              <w:spacing w:after="0"/>
              <w:rPr>
                <w:sz w:val="20"/>
                <w:szCs w:val="20"/>
                <w:color w:val="auto"/>
              </w:rPr>
            </w:pPr>
            <w:r>
              <w:rPr>
                <w:rFonts w:ascii="Arial" w:cs="Arial" w:eastAsia="Arial" w:hAnsi="Arial"/>
                <w:sz w:val="13"/>
                <w:szCs w:val="13"/>
                <w:b w:val="1"/>
                <w:bCs w:val="1"/>
                <w:color w:val="auto"/>
              </w:rPr>
              <w:t>$’000</w:t>
            </w:r>
          </w:p>
        </w:tc>
        <w:tc>
          <w:tcPr>
            <w:tcW w:w="1280" w:type="dxa"/>
            <w:vAlign w:val="bottom"/>
          </w:tcPr>
          <w:p>
            <w:pPr>
              <w:jc w:val="right"/>
              <w:ind w:right="56"/>
              <w:spacing w:after="0"/>
              <w:rPr>
                <w:sz w:val="20"/>
                <w:szCs w:val="20"/>
                <w:color w:val="auto"/>
              </w:rPr>
            </w:pPr>
            <w:r>
              <w:rPr>
                <w:rFonts w:ascii="Arial" w:cs="Arial" w:eastAsia="Arial" w:hAnsi="Arial"/>
                <w:sz w:val="13"/>
                <w:szCs w:val="13"/>
                <w:b w:val="1"/>
                <w:bCs w:val="1"/>
                <w:color w:val="auto"/>
              </w:rPr>
              <w:t>$’000</w:t>
            </w:r>
          </w:p>
        </w:tc>
        <w:tc>
          <w:tcPr>
            <w:tcW w:w="2000" w:type="dxa"/>
            <w:vAlign w:val="bottom"/>
          </w:tcPr>
          <w:p>
            <w:pPr>
              <w:jc w:val="right"/>
              <w:ind w:right="376"/>
              <w:spacing w:after="0"/>
              <w:rPr>
                <w:sz w:val="20"/>
                <w:szCs w:val="20"/>
                <w:color w:val="auto"/>
              </w:rPr>
            </w:pPr>
            <w:r>
              <w:rPr>
                <w:rFonts w:ascii="Arial" w:cs="Arial" w:eastAsia="Arial" w:hAnsi="Arial"/>
                <w:sz w:val="13"/>
                <w:szCs w:val="13"/>
                <w:b w:val="1"/>
                <w:bCs w:val="1"/>
                <w:color w:val="auto"/>
              </w:rPr>
              <w:t>$’000</w:t>
            </w:r>
          </w:p>
        </w:tc>
        <w:tc>
          <w:tcPr>
            <w:tcW w:w="1080" w:type="dxa"/>
            <w:vAlign w:val="bottom"/>
            <w:gridSpan w:val="2"/>
          </w:tcPr>
          <w:p>
            <w:pPr>
              <w:jc w:val="right"/>
              <w:ind w:right="96"/>
              <w:spacing w:after="0"/>
              <w:rPr>
                <w:sz w:val="20"/>
                <w:szCs w:val="20"/>
                <w:color w:val="auto"/>
              </w:rPr>
            </w:pPr>
            <w:r>
              <w:rPr>
                <w:rFonts w:ascii="Arial" w:cs="Arial" w:eastAsia="Arial" w:hAnsi="Arial"/>
                <w:sz w:val="13"/>
                <w:szCs w:val="13"/>
                <w:b w:val="1"/>
                <w:bCs w:val="1"/>
                <w:color w:val="auto"/>
              </w:rPr>
              <w:t>$’000</w:t>
            </w: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0" w:type="dxa"/>
            <w:vAlign w:val="bottom"/>
          </w:tcPr>
          <w:p>
            <w:pPr>
              <w:spacing w:after="0"/>
              <w:rPr>
                <w:sz w:val="1"/>
                <w:szCs w:val="1"/>
                <w:color w:val="auto"/>
              </w:rPr>
            </w:pPr>
          </w:p>
        </w:tc>
      </w:tr>
      <w:tr>
        <w:trPr>
          <w:trHeight w:val="170"/>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Deferred taxation assets</w:t>
            </w:r>
          </w:p>
        </w:tc>
        <w:tc>
          <w:tcPr>
            <w:tcW w:w="156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0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620" w:type="dxa"/>
            <w:vAlign w:val="bottom"/>
          </w:tcPr>
          <w:p>
            <w:pPr>
              <w:ind w:left="20"/>
              <w:spacing w:after="0"/>
              <w:rPr>
                <w:sz w:val="20"/>
                <w:szCs w:val="20"/>
                <w:color w:val="auto"/>
              </w:rPr>
            </w:pPr>
            <w:r>
              <w:rPr>
                <w:rFonts w:ascii="Arial" w:cs="Arial" w:eastAsia="Arial" w:hAnsi="Arial"/>
                <w:sz w:val="13"/>
                <w:szCs w:val="13"/>
                <w:color w:val="auto"/>
              </w:rPr>
              <w:t>Net operating loss carry forwards</w:t>
            </w:r>
          </w:p>
        </w:tc>
        <w:tc>
          <w:tcPr>
            <w:tcW w:w="1560" w:type="dxa"/>
            <w:vAlign w:val="bottom"/>
          </w:tcPr>
          <w:p>
            <w:pPr>
              <w:jc w:val="right"/>
              <w:ind w:right="16"/>
              <w:spacing w:after="0"/>
              <w:rPr>
                <w:sz w:val="20"/>
                <w:szCs w:val="20"/>
                <w:color w:val="auto"/>
              </w:rPr>
            </w:pPr>
            <w:r>
              <w:rPr>
                <w:rFonts w:ascii="Arial" w:cs="Arial" w:eastAsia="Arial" w:hAnsi="Arial"/>
                <w:sz w:val="13"/>
                <w:szCs w:val="13"/>
                <w:b w:val="1"/>
                <w:bCs w:val="1"/>
                <w:color w:val="auto"/>
              </w:rPr>
              <w:t>12,412</w:t>
            </w:r>
          </w:p>
        </w:tc>
        <w:tc>
          <w:tcPr>
            <w:tcW w:w="1620" w:type="dxa"/>
            <w:vAlign w:val="bottom"/>
          </w:tcPr>
          <w:p>
            <w:pPr>
              <w:jc w:val="right"/>
              <w:ind w:right="216"/>
              <w:spacing w:after="0"/>
              <w:rPr>
                <w:sz w:val="20"/>
                <w:szCs w:val="20"/>
                <w:color w:val="auto"/>
              </w:rPr>
            </w:pPr>
            <w:r>
              <w:rPr>
                <w:rFonts w:ascii="Arial" w:cs="Arial" w:eastAsia="Arial" w:hAnsi="Arial"/>
                <w:sz w:val="13"/>
                <w:szCs w:val="13"/>
                <w:color w:val="auto"/>
              </w:rPr>
              <w:t>13,532</w:t>
            </w:r>
          </w:p>
        </w:tc>
        <w:tc>
          <w:tcPr>
            <w:tcW w:w="1280" w:type="dxa"/>
            <w:vAlign w:val="bottom"/>
          </w:tcPr>
          <w:p>
            <w:pPr>
              <w:jc w:val="right"/>
              <w:ind w:right="116"/>
              <w:spacing w:after="0"/>
              <w:rPr>
                <w:sz w:val="20"/>
                <w:szCs w:val="20"/>
                <w:color w:val="auto"/>
              </w:rPr>
            </w:pPr>
            <w:r>
              <w:rPr>
                <w:rFonts w:ascii="Arial" w:cs="Arial" w:eastAsia="Arial" w:hAnsi="Arial"/>
                <w:sz w:val="13"/>
                <w:szCs w:val="13"/>
                <w:color w:val="auto"/>
              </w:rPr>
              <w:t>17,507</w:t>
            </w:r>
          </w:p>
        </w:tc>
        <w:tc>
          <w:tcPr>
            <w:tcW w:w="2000" w:type="dxa"/>
            <w:vAlign w:val="bottom"/>
          </w:tcPr>
          <w:p>
            <w:pPr>
              <w:ind w:left="138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43,451</w:t>
            </w:r>
          </w:p>
        </w:tc>
        <w:tc>
          <w:tcPr>
            <w:tcW w:w="0" w:type="dxa"/>
            <w:vAlign w:val="bottom"/>
          </w:tcPr>
          <w:p>
            <w:pPr>
              <w:spacing w:after="0"/>
              <w:rPr>
                <w:sz w:val="1"/>
                <w:szCs w:val="1"/>
                <w:color w:val="auto"/>
              </w:rPr>
            </w:pPr>
          </w:p>
        </w:tc>
      </w:tr>
      <w:tr>
        <w:trPr>
          <w:trHeight w:val="170"/>
        </w:trPr>
        <w:tc>
          <w:tcPr>
            <w:tcW w:w="2620" w:type="dxa"/>
            <w:vAlign w:val="bottom"/>
            <w:shd w:val="clear" w:color="auto" w:fill="CCEEFF"/>
          </w:tcPr>
          <w:p>
            <w:pPr>
              <w:ind w:left="60"/>
              <w:spacing w:after="0"/>
              <w:rPr>
                <w:sz w:val="20"/>
                <w:szCs w:val="20"/>
                <w:color w:val="auto"/>
              </w:rPr>
            </w:pPr>
            <w:r>
              <w:rPr>
                <w:rFonts w:ascii="Arial" w:cs="Arial" w:eastAsia="Arial" w:hAnsi="Arial"/>
                <w:sz w:val="13"/>
                <w:szCs w:val="13"/>
                <w:color w:val="auto"/>
              </w:rPr>
              <w:t>Accrued expenses</w:t>
            </w:r>
          </w:p>
        </w:tc>
        <w:tc>
          <w:tcPr>
            <w:tcW w:w="156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22,076</w:t>
            </w:r>
          </w:p>
        </w:tc>
        <w:tc>
          <w:tcPr>
            <w:tcW w:w="162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10,996</w:t>
            </w:r>
          </w:p>
        </w:tc>
        <w:tc>
          <w:tcPr>
            <w:tcW w:w="12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34,332</w:t>
            </w:r>
          </w:p>
        </w:tc>
        <w:tc>
          <w:tcPr>
            <w:tcW w:w="2000" w:type="dxa"/>
            <w:vAlign w:val="bottom"/>
            <w:shd w:val="clear" w:color="auto" w:fill="CCEEFF"/>
          </w:tcPr>
          <w:p>
            <w:pPr>
              <w:ind w:left="138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67,404</w:t>
            </w:r>
          </w:p>
        </w:tc>
        <w:tc>
          <w:tcPr>
            <w:tcW w:w="0" w:type="dxa"/>
            <w:vAlign w:val="bottom"/>
          </w:tcPr>
          <w:p>
            <w:pPr>
              <w:spacing w:after="0"/>
              <w:rPr>
                <w:sz w:val="1"/>
                <w:szCs w:val="1"/>
                <w:color w:val="auto"/>
              </w:rPr>
            </w:pPr>
          </w:p>
        </w:tc>
      </w:tr>
      <w:tr>
        <w:trPr>
          <w:trHeight w:val="170"/>
        </w:trPr>
        <w:tc>
          <w:tcPr>
            <w:tcW w:w="2620" w:type="dxa"/>
            <w:vAlign w:val="bottom"/>
          </w:tcPr>
          <w:p>
            <w:pPr>
              <w:ind w:left="60"/>
              <w:spacing w:after="0"/>
              <w:rPr>
                <w:sz w:val="20"/>
                <w:szCs w:val="20"/>
                <w:color w:val="auto"/>
              </w:rPr>
            </w:pPr>
            <w:r>
              <w:rPr>
                <w:rFonts w:ascii="Arial" w:cs="Arial" w:eastAsia="Arial" w:hAnsi="Arial"/>
                <w:sz w:val="13"/>
                <w:szCs w:val="13"/>
                <w:color w:val="auto"/>
              </w:rPr>
              <w:t>Property, plant and equipment</w:t>
            </w:r>
          </w:p>
        </w:tc>
        <w:tc>
          <w:tcPr>
            <w:tcW w:w="1560" w:type="dxa"/>
            <w:vAlign w:val="bottom"/>
          </w:tcPr>
          <w:p>
            <w:pPr>
              <w:jc w:val="right"/>
              <w:ind w:right="16"/>
              <w:spacing w:after="0"/>
              <w:rPr>
                <w:sz w:val="20"/>
                <w:szCs w:val="20"/>
                <w:color w:val="auto"/>
              </w:rPr>
            </w:pPr>
            <w:r>
              <w:rPr>
                <w:rFonts w:ascii="Arial" w:cs="Arial" w:eastAsia="Arial" w:hAnsi="Arial"/>
                <w:sz w:val="13"/>
                <w:szCs w:val="13"/>
                <w:b w:val="1"/>
                <w:bCs w:val="1"/>
                <w:color w:val="auto"/>
              </w:rPr>
              <w:t>5,974</w:t>
            </w:r>
          </w:p>
        </w:tc>
        <w:tc>
          <w:tcPr>
            <w:tcW w:w="1620" w:type="dxa"/>
            <w:vAlign w:val="bottom"/>
          </w:tcPr>
          <w:p>
            <w:pPr>
              <w:jc w:val="right"/>
              <w:ind w:right="176"/>
              <w:spacing w:after="0"/>
              <w:rPr>
                <w:sz w:val="20"/>
                <w:szCs w:val="20"/>
                <w:color w:val="auto"/>
              </w:rPr>
            </w:pPr>
            <w:r>
              <w:rPr>
                <w:rFonts w:ascii="Arial" w:cs="Arial" w:eastAsia="Arial" w:hAnsi="Arial"/>
                <w:sz w:val="13"/>
                <w:szCs w:val="13"/>
                <w:color w:val="auto"/>
              </w:rPr>
              <w:t>(355)</w:t>
            </w:r>
          </w:p>
        </w:tc>
        <w:tc>
          <w:tcPr>
            <w:tcW w:w="128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2000" w:type="dxa"/>
            <w:vAlign w:val="bottom"/>
          </w:tcPr>
          <w:p>
            <w:pPr>
              <w:ind w:left="138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5,619</w:t>
            </w:r>
          </w:p>
        </w:tc>
        <w:tc>
          <w:tcPr>
            <w:tcW w:w="0" w:type="dxa"/>
            <w:vAlign w:val="bottom"/>
          </w:tcPr>
          <w:p>
            <w:pPr>
              <w:spacing w:after="0"/>
              <w:rPr>
                <w:sz w:val="1"/>
                <w:szCs w:val="1"/>
                <w:color w:val="auto"/>
              </w:rPr>
            </w:pPr>
          </w:p>
        </w:tc>
      </w:tr>
      <w:tr>
        <w:trPr>
          <w:trHeight w:val="170"/>
        </w:trPr>
        <w:tc>
          <w:tcPr>
            <w:tcW w:w="2620" w:type="dxa"/>
            <w:vAlign w:val="bottom"/>
            <w:shd w:val="clear" w:color="auto" w:fill="CCEEFF"/>
          </w:tcPr>
          <w:p>
            <w:pPr>
              <w:ind w:left="60"/>
              <w:spacing w:after="0"/>
              <w:rPr>
                <w:sz w:val="20"/>
                <w:szCs w:val="20"/>
                <w:color w:val="auto"/>
              </w:rPr>
            </w:pPr>
            <w:r>
              <w:rPr>
                <w:rFonts w:ascii="Arial" w:cs="Arial" w:eastAsia="Arial" w:hAnsi="Arial"/>
                <w:sz w:val="13"/>
                <w:szCs w:val="13"/>
                <w:color w:val="auto"/>
              </w:rPr>
              <w:t>Deferred compensation</w:t>
            </w:r>
          </w:p>
        </w:tc>
        <w:tc>
          <w:tcPr>
            <w:tcW w:w="156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3,184</w:t>
            </w:r>
          </w:p>
        </w:tc>
        <w:tc>
          <w:tcPr>
            <w:tcW w:w="162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261</w:t>
            </w:r>
          </w:p>
        </w:tc>
        <w:tc>
          <w:tcPr>
            <w:tcW w:w="12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2000" w:type="dxa"/>
            <w:vAlign w:val="bottom"/>
            <w:shd w:val="clear" w:color="auto" w:fill="CCEEFF"/>
          </w:tcPr>
          <w:p>
            <w:pPr>
              <w:ind w:left="138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3,445</w:t>
            </w:r>
          </w:p>
        </w:tc>
        <w:tc>
          <w:tcPr>
            <w:tcW w:w="0" w:type="dxa"/>
            <w:vAlign w:val="bottom"/>
          </w:tcPr>
          <w:p>
            <w:pPr>
              <w:spacing w:after="0"/>
              <w:rPr>
                <w:sz w:val="1"/>
                <w:szCs w:val="1"/>
                <w:color w:val="auto"/>
              </w:rPr>
            </w:pPr>
          </w:p>
        </w:tc>
      </w:tr>
      <w:tr>
        <w:trPr>
          <w:trHeight w:val="170"/>
        </w:trPr>
        <w:tc>
          <w:tcPr>
            <w:tcW w:w="2620" w:type="dxa"/>
            <w:vAlign w:val="bottom"/>
          </w:tcPr>
          <w:p>
            <w:pPr>
              <w:ind w:left="60"/>
              <w:spacing w:after="0"/>
              <w:rPr>
                <w:sz w:val="20"/>
                <w:szCs w:val="20"/>
                <w:color w:val="auto"/>
              </w:rPr>
            </w:pPr>
            <w:r>
              <w:rPr>
                <w:rFonts w:ascii="Arial" w:cs="Arial" w:eastAsia="Arial" w:hAnsi="Arial"/>
                <w:sz w:val="13"/>
                <w:szCs w:val="13"/>
                <w:color w:val="auto"/>
              </w:rPr>
              <w:t>Share-based payment</w:t>
            </w:r>
          </w:p>
        </w:tc>
        <w:tc>
          <w:tcPr>
            <w:tcW w:w="1560" w:type="dxa"/>
            <w:vAlign w:val="bottom"/>
          </w:tcPr>
          <w:p>
            <w:pPr>
              <w:jc w:val="right"/>
              <w:ind w:right="16"/>
              <w:spacing w:after="0"/>
              <w:rPr>
                <w:sz w:val="20"/>
                <w:szCs w:val="20"/>
                <w:color w:val="auto"/>
              </w:rPr>
            </w:pPr>
            <w:r>
              <w:rPr>
                <w:rFonts w:ascii="Arial" w:cs="Arial" w:eastAsia="Arial" w:hAnsi="Arial"/>
                <w:sz w:val="13"/>
                <w:szCs w:val="13"/>
                <w:b w:val="1"/>
                <w:bCs w:val="1"/>
                <w:color w:val="auto"/>
              </w:rPr>
              <w:t>21,338</w:t>
            </w:r>
          </w:p>
        </w:tc>
        <w:tc>
          <w:tcPr>
            <w:tcW w:w="1620" w:type="dxa"/>
            <w:vAlign w:val="bottom"/>
          </w:tcPr>
          <w:p>
            <w:pPr>
              <w:jc w:val="right"/>
              <w:ind w:right="176"/>
              <w:spacing w:after="0"/>
              <w:rPr>
                <w:sz w:val="20"/>
                <w:szCs w:val="20"/>
                <w:color w:val="auto"/>
              </w:rPr>
            </w:pPr>
            <w:r>
              <w:rPr>
                <w:rFonts w:ascii="Arial" w:cs="Arial" w:eastAsia="Arial" w:hAnsi="Arial"/>
                <w:sz w:val="13"/>
                <w:szCs w:val="13"/>
                <w:color w:val="auto"/>
              </w:rPr>
              <w:t>(6,049)</w:t>
            </w:r>
          </w:p>
        </w:tc>
        <w:tc>
          <w:tcPr>
            <w:tcW w:w="1280" w:type="dxa"/>
            <w:vAlign w:val="bottom"/>
          </w:tcPr>
          <w:p>
            <w:pPr>
              <w:jc w:val="right"/>
              <w:ind w:right="116"/>
              <w:spacing w:after="0"/>
              <w:rPr>
                <w:sz w:val="20"/>
                <w:szCs w:val="20"/>
                <w:color w:val="auto"/>
              </w:rPr>
            </w:pPr>
            <w:r>
              <w:rPr>
                <w:rFonts w:ascii="Arial" w:cs="Arial" w:eastAsia="Arial" w:hAnsi="Arial"/>
                <w:sz w:val="13"/>
                <w:szCs w:val="13"/>
                <w:color w:val="auto"/>
              </w:rPr>
              <w:t>44,099</w:t>
            </w:r>
          </w:p>
        </w:tc>
        <w:tc>
          <w:tcPr>
            <w:tcW w:w="2000" w:type="dxa"/>
            <w:vAlign w:val="bottom"/>
          </w:tcPr>
          <w:p>
            <w:pPr>
              <w:ind w:left="138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22,515</w:t>
            </w:r>
          </w:p>
        </w:tc>
        <w:tc>
          <w:tcPr>
            <w:tcW w:w="2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81,903</w:t>
            </w:r>
          </w:p>
        </w:tc>
        <w:tc>
          <w:tcPr>
            <w:tcW w:w="0" w:type="dxa"/>
            <w:vAlign w:val="bottom"/>
          </w:tcPr>
          <w:p>
            <w:pPr>
              <w:spacing w:after="0"/>
              <w:rPr>
                <w:sz w:val="1"/>
                <w:szCs w:val="1"/>
                <w:color w:val="auto"/>
              </w:rPr>
            </w:pPr>
          </w:p>
        </w:tc>
      </w:tr>
      <w:tr>
        <w:trPr>
          <w:trHeight w:val="170"/>
        </w:trPr>
        <w:tc>
          <w:tcPr>
            <w:tcW w:w="2620" w:type="dxa"/>
            <w:vAlign w:val="bottom"/>
            <w:shd w:val="clear" w:color="auto" w:fill="CCEEFF"/>
          </w:tcPr>
          <w:p>
            <w:pPr>
              <w:ind w:left="60"/>
              <w:spacing w:after="0"/>
              <w:rPr>
                <w:sz w:val="20"/>
                <w:szCs w:val="20"/>
                <w:color w:val="auto"/>
              </w:rPr>
            </w:pPr>
            <w:r>
              <w:rPr>
                <w:rFonts w:ascii="Arial" w:cs="Arial" w:eastAsia="Arial" w:hAnsi="Arial"/>
                <w:sz w:val="13"/>
                <w:szCs w:val="13"/>
                <w:color w:val="auto"/>
              </w:rPr>
              <w:t>Deferred revenue</w:t>
            </w:r>
          </w:p>
        </w:tc>
        <w:tc>
          <w:tcPr>
            <w:tcW w:w="156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2,257</w:t>
            </w:r>
          </w:p>
        </w:tc>
        <w:tc>
          <w:tcPr>
            <w:tcW w:w="16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(11,662)</w:t>
            </w:r>
          </w:p>
        </w:tc>
        <w:tc>
          <w:tcPr>
            <w:tcW w:w="12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72,276</w:t>
            </w:r>
          </w:p>
        </w:tc>
        <w:tc>
          <w:tcPr>
            <w:tcW w:w="2000" w:type="dxa"/>
            <w:vAlign w:val="bottom"/>
            <w:shd w:val="clear" w:color="auto" w:fill="CCEEFF"/>
          </w:tcPr>
          <w:p>
            <w:pPr>
              <w:ind w:left="138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62,871</w:t>
            </w:r>
          </w:p>
        </w:tc>
        <w:tc>
          <w:tcPr>
            <w:tcW w:w="0" w:type="dxa"/>
            <w:vAlign w:val="bottom"/>
          </w:tcPr>
          <w:p>
            <w:pPr>
              <w:spacing w:after="0"/>
              <w:rPr>
                <w:sz w:val="1"/>
                <w:szCs w:val="1"/>
                <w:color w:val="auto"/>
              </w:rPr>
            </w:pPr>
          </w:p>
        </w:tc>
      </w:tr>
      <w:tr>
        <w:trPr>
          <w:trHeight w:val="170"/>
        </w:trPr>
        <w:tc>
          <w:tcPr>
            <w:tcW w:w="262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Other</w:t>
            </w:r>
          </w:p>
        </w:tc>
        <w:tc>
          <w:tcPr>
            <w:tcW w:w="15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358</w:t>
            </w:r>
          </w:p>
        </w:tc>
        <w:tc>
          <w:tcPr>
            <w:tcW w:w="162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rPr>
              <w:t>2,015</w:t>
            </w:r>
          </w:p>
        </w:tc>
        <w:tc>
          <w:tcPr>
            <w:tcW w:w="12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5,952</w:t>
            </w:r>
          </w:p>
        </w:tc>
        <w:tc>
          <w:tcPr>
            <w:tcW w:w="2000" w:type="dxa"/>
            <w:vAlign w:val="bottom"/>
            <w:tcBorders>
              <w:bottom w:val="single" w:sz="8" w:color="auto"/>
            </w:tcBorders>
          </w:tcPr>
          <w:p>
            <w:pPr>
              <w:ind w:left="138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8,325</w:t>
            </w:r>
          </w:p>
        </w:tc>
        <w:tc>
          <w:tcPr>
            <w:tcW w:w="0" w:type="dxa"/>
            <w:vAlign w:val="bottom"/>
          </w:tcPr>
          <w:p>
            <w:pPr>
              <w:spacing w:after="0"/>
              <w:rPr>
                <w:sz w:val="1"/>
                <w:szCs w:val="1"/>
                <w:color w:val="auto"/>
              </w:rPr>
            </w:pPr>
          </w:p>
        </w:tc>
      </w:tr>
      <w:tr>
        <w:trPr>
          <w:trHeight w:val="150"/>
        </w:trPr>
        <w:tc>
          <w:tcPr>
            <w:tcW w:w="262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deferred taxation assets</w:t>
            </w:r>
          </w:p>
        </w:tc>
        <w:tc>
          <w:tcPr>
            <w:tcW w:w="15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67,599</w:t>
            </w:r>
          </w:p>
        </w:tc>
        <w:tc>
          <w:tcPr>
            <w:tcW w:w="162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8,738</w:t>
            </w:r>
          </w:p>
        </w:tc>
        <w:tc>
          <w:tcPr>
            <w:tcW w:w="12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174,166</w:t>
            </w:r>
          </w:p>
        </w:tc>
        <w:tc>
          <w:tcPr>
            <w:tcW w:w="2000" w:type="dxa"/>
            <w:vAlign w:val="bottom"/>
            <w:tcBorders>
              <w:bottom w:val="single" w:sz="8" w:color="auto"/>
            </w:tcBorders>
          </w:tcPr>
          <w:p>
            <w:pPr>
              <w:ind w:left="1380"/>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22,515</w:t>
            </w: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273,018</w:t>
            </w:r>
          </w:p>
        </w:tc>
        <w:tc>
          <w:tcPr>
            <w:tcW w:w="0" w:type="dxa"/>
            <w:vAlign w:val="bottom"/>
          </w:tcPr>
          <w:p>
            <w:pPr>
              <w:spacing w:after="0"/>
              <w:rPr>
                <w:sz w:val="1"/>
                <w:szCs w:val="1"/>
                <w:color w:val="auto"/>
              </w:rPr>
            </w:pPr>
          </w:p>
        </w:tc>
      </w:tr>
      <w:tr>
        <w:trPr>
          <w:trHeight w:val="150"/>
        </w:trPr>
        <w:tc>
          <w:tcPr>
            <w:tcW w:w="262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620" w:type="dxa"/>
            <w:vAlign w:val="bottom"/>
          </w:tcPr>
          <w:p>
            <w:pPr>
              <w:ind w:left="20"/>
              <w:spacing w:after="0"/>
              <w:rPr>
                <w:sz w:val="20"/>
                <w:szCs w:val="20"/>
                <w:color w:val="auto"/>
              </w:rPr>
            </w:pPr>
            <w:r>
              <w:rPr>
                <w:rFonts w:ascii="Arial" w:cs="Arial" w:eastAsia="Arial" w:hAnsi="Arial"/>
                <w:sz w:val="13"/>
                <w:szCs w:val="13"/>
                <w:b w:val="1"/>
                <w:bCs w:val="1"/>
                <w:color w:val="auto"/>
              </w:rPr>
              <w:t>Deferred taxation liabilities</w:t>
            </w:r>
          </w:p>
        </w:tc>
        <w:tc>
          <w:tcPr>
            <w:tcW w:w="15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Property, plant and equipment</w:t>
            </w:r>
          </w:p>
        </w:tc>
        <w:tc>
          <w:tcPr>
            <w:tcW w:w="156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1,359</w:t>
            </w:r>
          </w:p>
        </w:tc>
        <w:tc>
          <w:tcPr>
            <w:tcW w:w="162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1,990</w:t>
            </w:r>
          </w:p>
        </w:tc>
        <w:tc>
          <w:tcPr>
            <w:tcW w:w="12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16,257</w:t>
            </w:r>
          </w:p>
        </w:tc>
        <w:tc>
          <w:tcPr>
            <w:tcW w:w="2000" w:type="dxa"/>
            <w:vAlign w:val="bottom"/>
            <w:shd w:val="clear" w:color="auto" w:fill="CCEEFF"/>
          </w:tcPr>
          <w:p>
            <w:pPr>
              <w:ind w:left="138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19,606</w:t>
            </w:r>
          </w:p>
        </w:tc>
        <w:tc>
          <w:tcPr>
            <w:tcW w:w="0" w:type="dxa"/>
            <w:vAlign w:val="bottom"/>
          </w:tcPr>
          <w:p>
            <w:pPr>
              <w:spacing w:after="0"/>
              <w:rPr>
                <w:sz w:val="1"/>
                <w:szCs w:val="1"/>
                <w:color w:val="auto"/>
              </w:rPr>
            </w:pPr>
          </w:p>
        </w:tc>
      </w:tr>
      <w:tr>
        <w:trPr>
          <w:trHeight w:val="170"/>
        </w:trPr>
        <w:tc>
          <w:tcPr>
            <w:tcW w:w="2620" w:type="dxa"/>
            <w:vAlign w:val="bottom"/>
          </w:tcPr>
          <w:p>
            <w:pPr>
              <w:ind w:left="20"/>
              <w:spacing w:after="0"/>
              <w:rPr>
                <w:sz w:val="20"/>
                <w:szCs w:val="20"/>
                <w:color w:val="auto"/>
              </w:rPr>
            </w:pPr>
            <w:r>
              <w:rPr>
                <w:rFonts w:ascii="Arial" w:cs="Arial" w:eastAsia="Arial" w:hAnsi="Arial"/>
                <w:sz w:val="13"/>
                <w:szCs w:val="13"/>
                <w:color w:val="auto"/>
              </w:rPr>
              <w:t>Goodwill on acquisition</w:t>
            </w:r>
          </w:p>
        </w:tc>
        <w:tc>
          <w:tcPr>
            <w:tcW w:w="1560" w:type="dxa"/>
            <w:vAlign w:val="bottom"/>
          </w:tcPr>
          <w:p>
            <w:pPr>
              <w:jc w:val="right"/>
              <w:ind w:right="16"/>
              <w:spacing w:after="0"/>
              <w:rPr>
                <w:sz w:val="20"/>
                <w:szCs w:val="20"/>
                <w:color w:val="auto"/>
              </w:rPr>
            </w:pPr>
            <w:r>
              <w:rPr>
                <w:rFonts w:ascii="Arial" w:cs="Arial" w:eastAsia="Arial" w:hAnsi="Arial"/>
                <w:sz w:val="13"/>
                <w:szCs w:val="13"/>
                <w:b w:val="1"/>
                <w:bCs w:val="1"/>
                <w:color w:val="auto"/>
              </w:rPr>
              <w:t>31,629</w:t>
            </w:r>
          </w:p>
        </w:tc>
        <w:tc>
          <w:tcPr>
            <w:tcW w:w="1620" w:type="dxa"/>
            <w:vAlign w:val="bottom"/>
          </w:tcPr>
          <w:p>
            <w:pPr>
              <w:jc w:val="right"/>
              <w:ind w:right="216"/>
              <w:spacing w:after="0"/>
              <w:rPr>
                <w:sz w:val="20"/>
                <w:szCs w:val="20"/>
                <w:color w:val="auto"/>
              </w:rPr>
            </w:pPr>
            <w:r>
              <w:rPr>
                <w:rFonts w:ascii="Arial" w:cs="Arial" w:eastAsia="Arial" w:hAnsi="Arial"/>
                <w:sz w:val="13"/>
                <w:szCs w:val="13"/>
                <w:color w:val="auto"/>
              </w:rPr>
              <w:t>1,725</w:t>
            </w:r>
          </w:p>
        </w:tc>
        <w:tc>
          <w:tcPr>
            <w:tcW w:w="128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2000" w:type="dxa"/>
            <w:vAlign w:val="bottom"/>
          </w:tcPr>
          <w:p>
            <w:pPr>
              <w:ind w:left="138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33,354</w:t>
            </w:r>
          </w:p>
        </w:tc>
        <w:tc>
          <w:tcPr>
            <w:tcW w:w="0" w:type="dxa"/>
            <w:vAlign w:val="bottom"/>
          </w:tcPr>
          <w:p>
            <w:pPr>
              <w:spacing w:after="0"/>
              <w:rPr>
                <w:sz w:val="1"/>
                <w:szCs w:val="1"/>
                <w:color w:val="auto"/>
              </w:rPr>
            </w:pPr>
          </w:p>
        </w:tc>
      </w:tr>
      <w:tr>
        <w:trPr>
          <w:trHeight w:val="170"/>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156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1,009</w:t>
            </w:r>
          </w:p>
        </w:tc>
        <w:tc>
          <w:tcPr>
            <w:tcW w:w="16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(902)</w:t>
            </w:r>
          </w:p>
        </w:tc>
        <w:tc>
          <w:tcPr>
            <w:tcW w:w="12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2000" w:type="dxa"/>
            <w:vAlign w:val="bottom"/>
            <w:shd w:val="clear" w:color="auto" w:fill="CCEEFF"/>
          </w:tcPr>
          <w:p>
            <w:pPr>
              <w:ind w:left="138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1,653</w:t>
            </w: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1,760</w:t>
            </w:r>
          </w:p>
        </w:tc>
        <w:tc>
          <w:tcPr>
            <w:tcW w:w="0" w:type="dxa"/>
            <w:vAlign w:val="bottom"/>
          </w:tcPr>
          <w:p>
            <w:pPr>
              <w:spacing w:after="0"/>
              <w:rPr>
                <w:sz w:val="1"/>
                <w:szCs w:val="1"/>
                <w:color w:val="auto"/>
              </w:rPr>
            </w:pPr>
          </w:p>
        </w:tc>
      </w:tr>
      <w:tr>
        <w:trPr>
          <w:trHeight w:val="170"/>
        </w:trPr>
        <w:tc>
          <w:tcPr>
            <w:tcW w:w="262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Other intangible assets</w:t>
            </w:r>
          </w:p>
        </w:tc>
        <w:tc>
          <w:tcPr>
            <w:tcW w:w="15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13,398</w:t>
            </w:r>
          </w:p>
        </w:tc>
        <w:tc>
          <w:tcPr>
            <w:tcW w:w="16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rPr>
              <w:t>(65,669)</w:t>
            </w:r>
          </w:p>
        </w:tc>
        <w:tc>
          <w:tcPr>
            <w:tcW w:w="12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1,253,357</w:t>
            </w:r>
          </w:p>
        </w:tc>
        <w:tc>
          <w:tcPr>
            <w:tcW w:w="2000" w:type="dxa"/>
            <w:vAlign w:val="bottom"/>
            <w:tcBorders>
              <w:bottom w:val="single" w:sz="8" w:color="auto"/>
            </w:tcBorders>
          </w:tcPr>
          <w:p>
            <w:pPr>
              <w:ind w:left="138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1,201,086</w:t>
            </w:r>
          </w:p>
        </w:tc>
        <w:tc>
          <w:tcPr>
            <w:tcW w:w="0" w:type="dxa"/>
            <w:vAlign w:val="bottom"/>
          </w:tcPr>
          <w:p>
            <w:pPr>
              <w:spacing w:after="0"/>
              <w:rPr>
                <w:sz w:val="1"/>
                <w:szCs w:val="1"/>
                <w:color w:val="auto"/>
              </w:rPr>
            </w:pPr>
          </w:p>
        </w:tc>
      </w:tr>
      <w:tr>
        <w:trPr>
          <w:trHeight w:val="150"/>
        </w:trPr>
        <w:tc>
          <w:tcPr>
            <w:tcW w:w="262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deferred taxation liabilities</w:t>
            </w:r>
          </w:p>
        </w:tc>
        <w:tc>
          <w:tcPr>
            <w:tcW w:w="15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47,395</w:t>
            </w:r>
          </w:p>
        </w:tc>
        <w:tc>
          <w:tcPr>
            <w:tcW w:w="16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(62,856)</w:t>
            </w:r>
          </w:p>
        </w:tc>
        <w:tc>
          <w:tcPr>
            <w:tcW w:w="12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1,269,614</w:t>
            </w:r>
          </w:p>
        </w:tc>
        <w:tc>
          <w:tcPr>
            <w:tcW w:w="2000" w:type="dxa"/>
            <w:vAlign w:val="bottom"/>
            <w:tcBorders>
              <w:bottom w:val="single" w:sz="8" w:color="auto"/>
            </w:tcBorders>
          </w:tcPr>
          <w:p>
            <w:pPr>
              <w:ind w:left="1380"/>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1,653</w:t>
            </w: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1,255,806</w:t>
            </w:r>
          </w:p>
        </w:tc>
        <w:tc>
          <w:tcPr>
            <w:tcW w:w="0" w:type="dxa"/>
            <w:vAlign w:val="bottom"/>
          </w:tcPr>
          <w:p>
            <w:pPr>
              <w:spacing w:after="0"/>
              <w:rPr>
                <w:sz w:val="1"/>
                <w:szCs w:val="1"/>
                <w:color w:val="auto"/>
              </w:rPr>
            </w:pPr>
          </w:p>
        </w:tc>
      </w:tr>
      <w:tr>
        <w:trPr>
          <w:trHeight w:val="182"/>
        </w:trPr>
        <w:tc>
          <w:tcPr>
            <w:tcW w:w="26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Net deferred taxation asset/(liability)</w:t>
            </w:r>
          </w:p>
        </w:tc>
        <w:tc>
          <w:tcPr>
            <w:tcW w:w="15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20,204</w:t>
            </w:r>
          </w:p>
        </w:tc>
        <w:tc>
          <w:tcPr>
            <w:tcW w:w="162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71,594</w:t>
            </w:r>
          </w:p>
        </w:tc>
        <w:tc>
          <w:tcPr>
            <w:tcW w:w="12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(1,095,448)</w:t>
            </w:r>
          </w:p>
        </w:tc>
        <w:tc>
          <w:tcPr>
            <w:tcW w:w="2000" w:type="dxa"/>
            <w:vAlign w:val="bottom"/>
            <w:tcBorders>
              <w:bottom w:val="single" w:sz="8" w:color="auto"/>
            </w:tcBorders>
          </w:tcPr>
          <w:p>
            <w:pPr>
              <w:ind w:left="1380"/>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20,862</w:t>
            </w: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(982,788)</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*These adjustments relate to foreign currency translation on the deferred tax liabilities.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ectPr>
          <w:pgSz w:w="11900" w:h="16838" w:orient="portrait"/>
          <w:cols w:equalWidth="0" w:num="1">
            <w:col w:w="11280"/>
          </w:cols>
          <w:pgMar w:left="300" w:top="698" w:right="319" w:bottom="1440" w:gutter="0" w:footer="0" w:header="0"/>
        </w:sectPr>
      </w:pPr>
    </w:p>
    <w:bookmarkStart w:id="78" w:name="page79"/>
    <w:bookmarkEnd w:id="78"/>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232" w:lineRule="exact"/>
        <w:rPr>
          <w:sz w:val="20"/>
          <w:szCs w:val="20"/>
          <w:color w:val="auto"/>
        </w:rPr>
      </w:pPr>
    </w:p>
    <w:p>
      <w:pPr>
        <w:ind w:left="260" w:hanging="255"/>
        <w:spacing w:after="0"/>
        <w:tabs>
          <w:tab w:leader="none" w:pos="260" w:val="left"/>
        </w:tabs>
        <w:numPr>
          <w:ilvl w:val="0"/>
          <w:numId w:val="66"/>
        </w:numPr>
        <w:rPr>
          <w:rFonts w:ascii="Arial" w:cs="Arial" w:eastAsia="Arial" w:hAnsi="Arial"/>
          <w:sz w:val="13"/>
          <w:szCs w:val="13"/>
          <w:b w:val="1"/>
          <w:bCs w:val="1"/>
          <w:color w:val="auto"/>
        </w:rPr>
      </w:pPr>
      <w:r>
        <w:rPr>
          <w:rFonts w:ascii="Arial" w:cs="Arial" w:eastAsia="Arial" w:hAnsi="Arial"/>
          <w:sz w:val="13"/>
          <w:szCs w:val="13"/>
          <w:b w:val="1"/>
          <w:bCs w:val="1"/>
          <w:color w:val="auto"/>
        </w:rPr>
        <w:t>Income tax expense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60" w:lineRule="exact"/>
        <w:rPr>
          <w:sz w:val="20"/>
          <w:szCs w:val="20"/>
          <w:color w:val="auto"/>
        </w:rPr>
      </w:pPr>
    </w:p>
    <w:p>
      <w:pPr>
        <w:spacing w:after="0"/>
        <w:rPr>
          <w:sz w:val="20"/>
          <w:szCs w:val="20"/>
          <w:color w:val="auto"/>
        </w:rPr>
      </w:pPr>
      <w:r>
        <w:rPr>
          <w:rFonts w:ascii="Arial" w:cs="Arial" w:eastAsia="Arial" w:hAnsi="Arial"/>
          <w:sz w:val="13"/>
          <w:szCs w:val="13"/>
          <w:color w:val="auto"/>
        </w:rPr>
        <w:t>The movement in temporary differences during the year ended 31 December 2020 was as follows: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80" w:type="dxa"/>
            <w:vAlign w:val="bottom"/>
            <w:shd w:val="clear" w:color="auto" w:fill="CCEEFF"/>
          </w:tcPr>
          <w:p>
            <w:pPr>
              <w:spacing w:after="0"/>
              <w:rPr>
                <w:sz w:val="13"/>
                <w:szCs w:val="13"/>
                <w:color w:val="auto"/>
              </w:rPr>
            </w:pPr>
          </w:p>
        </w:tc>
        <w:tc>
          <w:tcPr>
            <w:tcW w:w="182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Balance 1 January</w:t>
            </w:r>
          </w:p>
        </w:tc>
        <w:tc>
          <w:tcPr>
            <w:tcW w:w="1320" w:type="dxa"/>
            <w:vAlign w:val="bottom"/>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Recognised in</w:t>
            </w:r>
          </w:p>
        </w:tc>
        <w:tc>
          <w:tcPr>
            <w:tcW w:w="1240" w:type="dxa"/>
            <w:vAlign w:val="bottom"/>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Recognised on</w:t>
            </w:r>
          </w:p>
        </w:tc>
        <w:tc>
          <w:tcPr>
            <w:tcW w:w="2020" w:type="dxa"/>
            <w:vAlign w:val="bottom"/>
            <w:shd w:val="clear" w:color="auto" w:fill="CCEEFF"/>
          </w:tcPr>
          <w:p>
            <w:pPr>
              <w:jc w:val="right"/>
              <w:ind w:right="396"/>
              <w:spacing w:after="0"/>
              <w:rPr>
                <w:sz w:val="20"/>
                <w:szCs w:val="20"/>
                <w:color w:val="auto"/>
              </w:rPr>
            </w:pPr>
            <w:r>
              <w:rPr>
                <w:rFonts w:ascii="Arial" w:cs="Arial" w:eastAsia="Arial" w:hAnsi="Arial"/>
                <w:sz w:val="13"/>
                <w:szCs w:val="13"/>
                <w:b w:val="1"/>
                <w:bCs w:val="1"/>
                <w:color w:val="auto"/>
              </w:rPr>
              <w:t>Recognised in Other</w:t>
            </w:r>
          </w:p>
        </w:tc>
        <w:tc>
          <w:tcPr>
            <w:tcW w:w="106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Balance 31</w:t>
            </w:r>
          </w:p>
        </w:tc>
      </w:tr>
      <w:tr>
        <w:trPr>
          <w:trHeight w:val="170"/>
        </w:trPr>
        <w:tc>
          <w:tcPr>
            <w:tcW w:w="2680" w:type="dxa"/>
            <w:vAlign w:val="bottom"/>
            <w:tcBorders>
              <w:bottom w:val="single" w:sz="8" w:color="auto"/>
            </w:tcBorders>
            <w:shd w:val="clear" w:color="auto" w:fill="CCEEFF"/>
          </w:tcPr>
          <w:p>
            <w:pPr>
              <w:spacing w:after="0"/>
              <w:rPr>
                <w:sz w:val="14"/>
                <w:szCs w:val="14"/>
                <w:color w:val="auto"/>
              </w:rPr>
            </w:pPr>
          </w:p>
        </w:tc>
        <w:tc>
          <w:tcPr>
            <w:tcW w:w="18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2020</w:t>
            </w:r>
          </w:p>
        </w:tc>
        <w:tc>
          <w:tcPr>
            <w:tcW w:w="13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Income</w:t>
            </w:r>
          </w:p>
        </w:tc>
        <w:tc>
          <w:tcPr>
            <w:tcW w:w="12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Acquisition</w:t>
            </w:r>
          </w:p>
        </w:tc>
        <w:tc>
          <w:tcPr>
            <w:tcW w:w="3080" w:type="dxa"/>
            <w:vAlign w:val="bottom"/>
            <w:tcBorders>
              <w:bottom w:val="single" w:sz="8" w:color="auto"/>
            </w:tcBorders>
            <w:gridSpan w:val="2"/>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Comprehensive Income Recognised in Equity</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December 2020</w:t>
            </w:r>
          </w:p>
        </w:tc>
      </w:tr>
      <w:tr>
        <w:trPr>
          <w:trHeight w:val="160"/>
        </w:trPr>
        <w:tc>
          <w:tcPr>
            <w:tcW w:w="2680" w:type="dxa"/>
            <w:vAlign w:val="bottom"/>
          </w:tcPr>
          <w:p>
            <w:pPr>
              <w:spacing w:after="0"/>
              <w:rPr>
                <w:sz w:val="13"/>
                <w:szCs w:val="13"/>
                <w:color w:val="auto"/>
              </w:rPr>
            </w:pPr>
          </w:p>
        </w:tc>
        <w:tc>
          <w:tcPr>
            <w:tcW w:w="1820" w:type="dxa"/>
            <w:vAlign w:val="bottom"/>
          </w:tcPr>
          <w:p>
            <w:pPr>
              <w:jc w:val="right"/>
              <w:ind w:right="176"/>
              <w:spacing w:after="0"/>
              <w:rPr>
                <w:sz w:val="20"/>
                <w:szCs w:val="20"/>
                <w:color w:val="auto"/>
              </w:rPr>
            </w:pPr>
            <w:r>
              <w:rPr>
                <w:rFonts w:ascii="Arial" w:cs="Arial" w:eastAsia="Arial" w:hAnsi="Arial"/>
                <w:sz w:val="13"/>
                <w:szCs w:val="13"/>
                <w:b w:val="1"/>
                <w:bCs w:val="1"/>
                <w:color w:val="auto"/>
              </w:rPr>
              <w:t>$’000</w:t>
            </w:r>
          </w:p>
        </w:tc>
        <w:tc>
          <w:tcPr>
            <w:tcW w:w="1320" w:type="dxa"/>
            <w:vAlign w:val="bottom"/>
          </w:tcPr>
          <w:p>
            <w:pPr>
              <w:jc w:val="right"/>
              <w:ind w:right="136"/>
              <w:spacing w:after="0"/>
              <w:rPr>
                <w:sz w:val="20"/>
                <w:szCs w:val="20"/>
                <w:color w:val="auto"/>
              </w:rPr>
            </w:pPr>
            <w:r>
              <w:rPr>
                <w:rFonts w:ascii="Arial" w:cs="Arial" w:eastAsia="Arial" w:hAnsi="Arial"/>
                <w:sz w:val="13"/>
                <w:szCs w:val="13"/>
                <w:b w:val="1"/>
                <w:bCs w:val="1"/>
                <w:color w:val="auto"/>
              </w:rPr>
              <w:t>$’000</w:t>
            </w:r>
          </w:p>
        </w:tc>
        <w:tc>
          <w:tcPr>
            <w:tcW w:w="1240" w:type="dxa"/>
            <w:vAlign w:val="bottom"/>
          </w:tcPr>
          <w:p>
            <w:pPr>
              <w:jc w:val="right"/>
              <w:ind w:right="76"/>
              <w:spacing w:after="0"/>
              <w:rPr>
                <w:sz w:val="20"/>
                <w:szCs w:val="20"/>
                <w:color w:val="auto"/>
              </w:rPr>
            </w:pPr>
            <w:r>
              <w:rPr>
                <w:rFonts w:ascii="Arial" w:cs="Arial" w:eastAsia="Arial" w:hAnsi="Arial"/>
                <w:sz w:val="13"/>
                <w:szCs w:val="13"/>
                <w:b w:val="1"/>
                <w:bCs w:val="1"/>
                <w:color w:val="auto"/>
              </w:rPr>
              <w:t>$’000</w:t>
            </w:r>
          </w:p>
        </w:tc>
        <w:tc>
          <w:tcPr>
            <w:tcW w:w="2020" w:type="dxa"/>
            <w:vAlign w:val="bottom"/>
          </w:tcPr>
          <w:p>
            <w:pPr>
              <w:jc w:val="right"/>
              <w:ind w:right="396"/>
              <w:spacing w:after="0"/>
              <w:rPr>
                <w:sz w:val="20"/>
                <w:szCs w:val="20"/>
                <w:color w:val="auto"/>
              </w:rPr>
            </w:pPr>
            <w:r>
              <w:rPr>
                <w:rFonts w:ascii="Arial" w:cs="Arial" w:eastAsia="Arial" w:hAnsi="Arial"/>
                <w:sz w:val="13"/>
                <w:szCs w:val="13"/>
                <w:b w:val="1"/>
                <w:bCs w:val="1"/>
                <w:color w:val="auto"/>
              </w:rPr>
              <w:t>$’000</w:t>
            </w:r>
          </w:p>
        </w:tc>
        <w:tc>
          <w:tcPr>
            <w:tcW w:w="1060" w:type="dxa"/>
            <w:vAlign w:val="bottom"/>
          </w:tcPr>
          <w:p>
            <w:pPr>
              <w:jc w:val="right"/>
              <w:ind w:right="96"/>
              <w:spacing w:after="0"/>
              <w:rPr>
                <w:sz w:val="20"/>
                <w:szCs w:val="20"/>
                <w:color w:val="auto"/>
              </w:rPr>
            </w:pPr>
            <w:r>
              <w:rPr>
                <w:rFonts w:ascii="Arial" w:cs="Arial" w:eastAsia="Arial" w:hAnsi="Arial"/>
                <w:sz w:val="13"/>
                <w:szCs w:val="13"/>
                <w:b w:val="1"/>
                <w:bCs w:val="1"/>
                <w:color w:val="auto"/>
              </w:rPr>
              <w:t>$’000</w:t>
            </w: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$’000</w:t>
            </w:r>
          </w:p>
        </w:tc>
      </w:tr>
      <w:tr>
        <w:trPr>
          <w:trHeight w:val="170"/>
        </w:trPr>
        <w:tc>
          <w:tcPr>
            <w:tcW w:w="26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Deferred taxation assets</w:t>
            </w:r>
          </w:p>
        </w:tc>
        <w:tc>
          <w:tcPr>
            <w:tcW w:w="18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70"/>
        </w:trPr>
        <w:tc>
          <w:tcPr>
            <w:tcW w:w="2680" w:type="dxa"/>
            <w:vAlign w:val="bottom"/>
          </w:tcPr>
          <w:p>
            <w:pPr>
              <w:ind w:left="20"/>
              <w:spacing w:after="0"/>
              <w:rPr>
                <w:sz w:val="20"/>
                <w:szCs w:val="20"/>
                <w:color w:val="auto"/>
              </w:rPr>
            </w:pPr>
            <w:r>
              <w:rPr>
                <w:rFonts w:ascii="Arial" w:cs="Arial" w:eastAsia="Arial" w:hAnsi="Arial"/>
                <w:sz w:val="13"/>
                <w:szCs w:val="13"/>
                <w:color w:val="auto"/>
              </w:rPr>
              <w:t>Net operating loss carry forwards</w:t>
            </w:r>
          </w:p>
        </w:tc>
        <w:tc>
          <w:tcPr>
            <w:tcW w:w="1820" w:type="dxa"/>
            <w:vAlign w:val="bottom"/>
          </w:tcPr>
          <w:p>
            <w:pPr>
              <w:jc w:val="right"/>
              <w:ind w:right="216"/>
              <w:spacing w:after="0"/>
              <w:rPr>
                <w:sz w:val="20"/>
                <w:szCs w:val="20"/>
                <w:color w:val="auto"/>
              </w:rPr>
            </w:pPr>
            <w:r>
              <w:rPr>
                <w:rFonts w:ascii="Arial" w:cs="Arial" w:eastAsia="Arial" w:hAnsi="Arial"/>
                <w:sz w:val="13"/>
                <w:szCs w:val="13"/>
                <w:b w:val="1"/>
                <w:bCs w:val="1"/>
                <w:color w:val="auto"/>
              </w:rPr>
              <w:t>11,774</w:t>
            </w:r>
          </w:p>
        </w:tc>
        <w:tc>
          <w:tcPr>
            <w:tcW w:w="1320" w:type="dxa"/>
            <w:vAlign w:val="bottom"/>
          </w:tcPr>
          <w:p>
            <w:pPr>
              <w:jc w:val="right"/>
              <w:ind w:right="176"/>
              <w:spacing w:after="0"/>
              <w:rPr>
                <w:sz w:val="20"/>
                <w:szCs w:val="20"/>
                <w:color w:val="auto"/>
              </w:rPr>
            </w:pPr>
            <w:r>
              <w:rPr>
                <w:rFonts w:ascii="Arial" w:cs="Arial" w:eastAsia="Arial" w:hAnsi="Arial"/>
                <w:sz w:val="13"/>
                <w:szCs w:val="13"/>
                <w:color w:val="auto"/>
              </w:rPr>
              <w:t>638</w:t>
            </w:r>
          </w:p>
        </w:tc>
        <w:tc>
          <w:tcPr>
            <w:tcW w:w="124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2020" w:type="dxa"/>
            <w:vAlign w:val="bottom"/>
          </w:tcPr>
          <w:p>
            <w:pPr>
              <w:jc w:val="right"/>
              <w:ind w:right="436"/>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12,412</w:t>
            </w:r>
          </w:p>
        </w:tc>
      </w:tr>
      <w:tr>
        <w:trPr>
          <w:trHeight w:val="170"/>
        </w:trPr>
        <w:tc>
          <w:tcPr>
            <w:tcW w:w="2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Accrued expenses</w:t>
            </w:r>
          </w:p>
        </w:tc>
        <w:tc>
          <w:tcPr>
            <w:tcW w:w="1820" w:type="dxa"/>
            <w:vAlign w:val="bottom"/>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24,830</w:t>
            </w:r>
          </w:p>
        </w:tc>
        <w:tc>
          <w:tcPr>
            <w:tcW w:w="132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(2,570)</w:t>
            </w:r>
          </w:p>
        </w:tc>
        <w:tc>
          <w:tcPr>
            <w:tcW w:w="124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2020" w:type="dxa"/>
            <w:vAlign w:val="bottom"/>
            <w:shd w:val="clear" w:color="auto" w:fill="CCEEFF"/>
          </w:tcPr>
          <w:p>
            <w:pPr>
              <w:jc w:val="right"/>
              <w:ind w:right="396"/>
              <w:spacing w:after="0"/>
              <w:rPr>
                <w:sz w:val="20"/>
                <w:szCs w:val="20"/>
                <w:color w:val="auto"/>
              </w:rPr>
            </w:pPr>
            <w:r>
              <w:rPr>
                <w:rFonts w:ascii="Arial" w:cs="Arial" w:eastAsia="Arial" w:hAnsi="Arial"/>
                <w:sz w:val="13"/>
                <w:szCs w:val="13"/>
                <w:color w:val="auto"/>
              </w:rPr>
              <w:t>(184)</w:t>
            </w:r>
          </w:p>
        </w:tc>
        <w:tc>
          <w:tcPr>
            <w:tcW w:w="106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22,076</w:t>
            </w:r>
          </w:p>
        </w:tc>
      </w:tr>
      <w:tr>
        <w:trPr>
          <w:trHeight w:val="170"/>
        </w:trPr>
        <w:tc>
          <w:tcPr>
            <w:tcW w:w="2680" w:type="dxa"/>
            <w:vAlign w:val="bottom"/>
          </w:tcPr>
          <w:p>
            <w:pPr>
              <w:ind w:left="60"/>
              <w:spacing w:after="0"/>
              <w:rPr>
                <w:sz w:val="20"/>
                <w:szCs w:val="20"/>
                <w:color w:val="auto"/>
              </w:rPr>
            </w:pPr>
            <w:r>
              <w:rPr>
                <w:rFonts w:ascii="Arial" w:cs="Arial" w:eastAsia="Arial" w:hAnsi="Arial"/>
                <w:sz w:val="13"/>
                <w:szCs w:val="13"/>
                <w:color w:val="auto"/>
              </w:rPr>
              <w:t>Property, plant and equipment</w:t>
            </w:r>
          </w:p>
        </w:tc>
        <w:tc>
          <w:tcPr>
            <w:tcW w:w="1820" w:type="dxa"/>
            <w:vAlign w:val="bottom"/>
          </w:tcPr>
          <w:p>
            <w:pPr>
              <w:jc w:val="right"/>
              <w:ind w:right="216"/>
              <w:spacing w:after="0"/>
              <w:rPr>
                <w:sz w:val="20"/>
                <w:szCs w:val="20"/>
                <w:color w:val="auto"/>
              </w:rPr>
            </w:pPr>
            <w:r>
              <w:rPr>
                <w:rFonts w:ascii="Arial" w:cs="Arial" w:eastAsia="Arial" w:hAnsi="Arial"/>
                <w:sz w:val="13"/>
                <w:szCs w:val="13"/>
                <w:b w:val="1"/>
                <w:bCs w:val="1"/>
                <w:color w:val="auto"/>
              </w:rPr>
              <w:t>5,195</w:t>
            </w:r>
          </w:p>
        </w:tc>
        <w:tc>
          <w:tcPr>
            <w:tcW w:w="1320" w:type="dxa"/>
            <w:vAlign w:val="bottom"/>
          </w:tcPr>
          <w:p>
            <w:pPr>
              <w:jc w:val="right"/>
              <w:ind w:right="176"/>
              <w:spacing w:after="0"/>
              <w:rPr>
                <w:sz w:val="20"/>
                <w:szCs w:val="20"/>
                <w:color w:val="auto"/>
              </w:rPr>
            </w:pPr>
            <w:r>
              <w:rPr>
                <w:rFonts w:ascii="Arial" w:cs="Arial" w:eastAsia="Arial" w:hAnsi="Arial"/>
                <w:sz w:val="13"/>
                <w:szCs w:val="13"/>
                <w:color w:val="auto"/>
              </w:rPr>
              <w:t>779</w:t>
            </w:r>
          </w:p>
        </w:tc>
        <w:tc>
          <w:tcPr>
            <w:tcW w:w="124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2020" w:type="dxa"/>
            <w:vAlign w:val="bottom"/>
          </w:tcPr>
          <w:p>
            <w:pPr>
              <w:jc w:val="right"/>
              <w:ind w:right="436"/>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5,974</w:t>
            </w:r>
          </w:p>
        </w:tc>
      </w:tr>
      <w:tr>
        <w:trPr>
          <w:trHeight w:val="170"/>
        </w:trPr>
        <w:tc>
          <w:tcPr>
            <w:tcW w:w="2680" w:type="dxa"/>
            <w:vAlign w:val="bottom"/>
            <w:shd w:val="clear" w:color="auto" w:fill="CCEEFF"/>
          </w:tcPr>
          <w:p>
            <w:pPr>
              <w:ind w:left="60"/>
              <w:spacing w:after="0"/>
              <w:rPr>
                <w:sz w:val="20"/>
                <w:szCs w:val="20"/>
                <w:color w:val="auto"/>
              </w:rPr>
            </w:pPr>
            <w:r>
              <w:rPr>
                <w:rFonts w:ascii="Arial" w:cs="Arial" w:eastAsia="Arial" w:hAnsi="Arial"/>
                <w:sz w:val="13"/>
                <w:szCs w:val="13"/>
                <w:color w:val="auto"/>
              </w:rPr>
              <w:t>Deferred compensation</w:t>
            </w:r>
          </w:p>
        </w:tc>
        <w:tc>
          <w:tcPr>
            <w:tcW w:w="1820" w:type="dxa"/>
            <w:vAlign w:val="bottom"/>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2,744</w:t>
            </w:r>
          </w:p>
        </w:tc>
        <w:tc>
          <w:tcPr>
            <w:tcW w:w="1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440</w:t>
            </w:r>
          </w:p>
        </w:tc>
        <w:tc>
          <w:tcPr>
            <w:tcW w:w="124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202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3,184</w:t>
            </w:r>
          </w:p>
        </w:tc>
      </w:tr>
      <w:tr>
        <w:trPr>
          <w:trHeight w:val="170"/>
        </w:trPr>
        <w:tc>
          <w:tcPr>
            <w:tcW w:w="2680" w:type="dxa"/>
            <w:vAlign w:val="bottom"/>
          </w:tcPr>
          <w:p>
            <w:pPr>
              <w:ind w:left="60"/>
              <w:spacing w:after="0"/>
              <w:rPr>
                <w:sz w:val="20"/>
                <w:szCs w:val="20"/>
                <w:color w:val="auto"/>
              </w:rPr>
            </w:pPr>
            <w:r>
              <w:rPr>
                <w:rFonts w:ascii="Arial" w:cs="Arial" w:eastAsia="Arial" w:hAnsi="Arial"/>
                <w:sz w:val="13"/>
                <w:szCs w:val="13"/>
                <w:color w:val="auto"/>
              </w:rPr>
              <w:t>Share-based payment</w:t>
            </w:r>
          </w:p>
        </w:tc>
        <w:tc>
          <w:tcPr>
            <w:tcW w:w="1820" w:type="dxa"/>
            <w:vAlign w:val="bottom"/>
          </w:tcPr>
          <w:p>
            <w:pPr>
              <w:jc w:val="right"/>
              <w:ind w:right="216"/>
              <w:spacing w:after="0"/>
              <w:rPr>
                <w:sz w:val="20"/>
                <w:szCs w:val="20"/>
                <w:color w:val="auto"/>
              </w:rPr>
            </w:pPr>
            <w:r>
              <w:rPr>
                <w:rFonts w:ascii="Arial" w:cs="Arial" w:eastAsia="Arial" w:hAnsi="Arial"/>
                <w:sz w:val="13"/>
                <w:szCs w:val="13"/>
                <w:b w:val="1"/>
                <w:bCs w:val="1"/>
                <w:color w:val="auto"/>
              </w:rPr>
              <w:t>23,082</w:t>
            </w:r>
          </w:p>
        </w:tc>
        <w:tc>
          <w:tcPr>
            <w:tcW w:w="1320" w:type="dxa"/>
            <w:vAlign w:val="bottom"/>
          </w:tcPr>
          <w:p>
            <w:pPr>
              <w:jc w:val="right"/>
              <w:ind w:right="156"/>
              <w:spacing w:after="0"/>
              <w:rPr>
                <w:sz w:val="20"/>
                <w:szCs w:val="20"/>
                <w:color w:val="auto"/>
              </w:rPr>
            </w:pPr>
            <w:r>
              <w:rPr>
                <w:rFonts w:ascii="Arial" w:cs="Arial" w:eastAsia="Arial" w:hAnsi="Arial"/>
                <w:sz w:val="13"/>
                <w:szCs w:val="13"/>
                <w:color w:val="auto"/>
              </w:rPr>
              <w:t>(458)</w:t>
            </w:r>
          </w:p>
        </w:tc>
        <w:tc>
          <w:tcPr>
            <w:tcW w:w="124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2020" w:type="dxa"/>
            <w:vAlign w:val="bottom"/>
          </w:tcPr>
          <w:p>
            <w:pPr>
              <w:jc w:val="right"/>
              <w:ind w:right="436"/>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36"/>
              <w:spacing w:after="0"/>
              <w:rPr>
                <w:sz w:val="20"/>
                <w:szCs w:val="20"/>
                <w:color w:val="auto"/>
              </w:rPr>
            </w:pPr>
            <w:r>
              <w:rPr>
                <w:rFonts w:ascii="Arial" w:cs="Arial" w:eastAsia="Arial" w:hAnsi="Arial"/>
                <w:sz w:val="13"/>
                <w:szCs w:val="13"/>
                <w:color w:val="auto"/>
              </w:rPr>
              <w:t>(1,286)</w:t>
            </w: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21,338</w:t>
            </w:r>
          </w:p>
        </w:tc>
      </w:tr>
      <w:tr>
        <w:trPr>
          <w:trHeight w:val="170"/>
        </w:trPr>
        <w:tc>
          <w:tcPr>
            <w:tcW w:w="2680" w:type="dxa"/>
            <w:vAlign w:val="bottom"/>
            <w:shd w:val="clear" w:color="auto" w:fill="CCEEFF"/>
          </w:tcPr>
          <w:p>
            <w:pPr>
              <w:ind w:left="60"/>
              <w:spacing w:after="0"/>
              <w:rPr>
                <w:sz w:val="20"/>
                <w:szCs w:val="20"/>
                <w:color w:val="auto"/>
              </w:rPr>
            </w:pPr>
            <w:r>
              <w:rPr>
                <w:rFonts w:ascii="Arial" w:cs="Arial" w:eastAsia="Arial" w:hAnsi="Arial"/>
                <w:sz w:val="13"/>
                <w:szCs w:val="13"/>
                <w:color w:val="auto"/>
              </w:rPr>
              <w:t>Deferred revenue</w:t>
            </w:r>
          </w:p>
        </w:tc>
        <w:tc>
          <w:tcPr>
            <w:tcW w:w="1820" w:type="dxa"/>
            <w:vAlign w:val="bottom"/>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3,933</w:t>
            </w:r>
          </w:p>
        </w:tc>
        <w:tc>
          <w:tcPr>
            <w:tcW w:w="132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(1,676)</w:t>
            </w:r>
          </w:p>
        </w:tc>
        <w:tc>
          <w:tcPr>
            <w:tcW w:w="124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202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2,257</w:t>
            </w:r>
          </w:p>
        </w:tc>
      </w:tr>
      <w:tr>
        <w:trPr>
          <w:trHeight w:val="170"/>
        </w:trPr>
        <w:tc>
          <w:tcPr>
            <w:tcW w:w="268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Other</w:t>
            </w:r>
          </w:p>
        </w:tc>
        <w:tc>
          <w:tcPr>
            <w:tcW w:w="182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682</w:t>
            </w:r>
          </w:p>
        </w:tc>
        <w:tc>
          <w:tcPr>
            <w:tcW w:w="132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(324)</w:t>
            </w:r>
          </w:p>
        </w:tc>
        <w:tc>
          <w:tcPr>
            <w:tcW w:w="124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w:t>
            </w:r>
          </w:p>
        </w:tc>
        <w:tc>
          <w:tcPr>
            <w:tcW w:w="202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358</w:t>
            </w:r>
          </w:p>
        </w:tc>
      </w:tr>
      <w:tr>
        <w:trPr>
          <w:trHeight w:val="182"/>
        </w:trPr>
        <w:tc>
          <w:tcPr>
            <w:tcW w:w="26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02"/>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deferred taxation assets</w:t>
            </w:r>
          </w:p>
        </w:tc>
        <w:tc>
          <w:tcPr>
            <w:tcW w:w="182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72,240</w:t>
            </w:r>
          </w:p>
        </w:tc>
        <w:tc>
          <w:tcPr>
            <w:tcW w:w="132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(3,171)</w:t>
            </w:r>
          </w:p>
        </w:tc>
        <w:tc>
          <w:tcPr>
            <w:tcW w:w="124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w:t>
            </w:r>
          </w:p>
        </w:tc>
        <w:tc>
          <w:tcPr>
            <w:tcW w:w="202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(184)</w:t>
            </w:r>
          </w:p>
        </w:tc>
        <w:tc>
          <w:tcPr>
            <w:tcW w:w="10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(1,286)</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67,599</w:t>
            </w:r>
          </w:p>
        </w:tc>
      </w:tr>
      <w:tr>
        <w:trPr>
          <w:trHeight w:val="182"/>
        </w:trPr>
        <w:tc>
          <w:tcPr>
            <w:tcW w:w="26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70"/>
        </w:trPr>
        <w:tc>
          <w:tcPr>
            <w:tcW w:w="2680" w:type="dxa"/>
            <w:vAlign w:val="bottom"/>
          </w:tcPr>
          <w:p>
            <w:pPr>
              <w:ind w:left="20"/>
              <w:spacing w:after="0"/>
              <w:rPr>
                <w:sz w:val="20"/>
                <w:szCs w:val="20"/>
                <w:color w:val="auto"/>
              </w:rPr>
            </w:pPr>
            <w:r>
              <w:rPr>
                <w:rFonts w:ascii="Arial" w:cs="Arial" w:eastAsia="Arial" w:hAnsi="Arial"/>
                <w:sz w:val="13"/>
                <w:szCs w:val="13"/>
                <w:b w:val="1"/>
                <w:bCs w:val="1"/>
                <w:color w:val="auto"/>
              </w:rPr>
              <w:t>Deferred taxation liabilities</w:t>
            </w:r>
          </w:p>
        </w:tc>
        <w:tc>
          <w:tcPr>
            <w:tcW w:w="1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2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Property, plant and equipment</w:t>
            </w:r>
          </w:p>
        </w:tc>
        <w:tc>
          <w:tcPr>
            <w:tcW w:w="1820" w:type="dxa"/>
            <w:vAlign w:val="bottom"/>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1,102</w:t>
            </w:r>
          </w:p>
        </w:tc>
        <w:tc>
          <w:tcPr>
            <w:tcW w:w="1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257</w:t>
            </w:r>
          </w:p>
        </w:tc>
        <w:tc>
          <w:tcPr>
            <w:tcW w:w="124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202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1,359</w:t>
            </w:r>
          </w:p>
        </w:tc>
      </w:tr>
      <w:tr>
        <w:trPr>
          <w:trHeight w:val="170"/>
        </w:trPr>
        <w:tc>
          <w:tcPr>
            <w:tcW w:w="2680" w:type="dxa"/>
            <w:vAlign w:val="bottom"/>
          </w:tcPr>
          <w:p>
            <w:pPr>
              <w:ind w:left="20"/>
              <w:spacing w:after="0"/>
              <w:rPr>
                <w:sz w:val="20"/>
                <w:szCs w:val="20"/>
                <w:color w:val="auto"/>
              </w:rPr>
            </w:pPr>
            <w:r>
              <w:rPr>
                <w:rFonts w:ascii="Arial" w:cs="Arial" w:eastAsia="Arial" w:hAnsi="Arial"/>
                <w:sz w:val="13"/>
                <w:szCs w:val="13"/>
                <w:color w:val="auto"/>
              </w:rPr>
              <w:t>Goodwill on acquisition</w:t>
            </w:r>
          </w:p>
        </w:tc>
        <w:tc>
          <w:tcPr>
            <w:tcW w:w="1820" w:type="dxa"/>
            <w:vAlign w:val="bottom"/>
          </w:tcPr>
          <w:p>
            <w:pPr>
              <w:jc w:val="right"/>
              <w:ind w:right="216"/>
              <w:spacing w:after="0"/>
              <w:rPr>
                <w:sz w:val="20"/>
                <w:szCs w:val="20"/>
                <w:color w:val="auto"/>
              </w:rPr>
            </w:pPr>
            <w:r>
              <w:rPr>
                <w:rFonts w:ascii="Arial" w:cs="Arial" w:eastAsia="Arial" w:hAnsi="Arial"/>
                <w:sz w:val="13"/>
                <w:szCs w:val="13"/>
                <w:b w:val="1"/>
                <w:bCs w:val="1"/>
                <w:color w:val="auto"/>
              </w:rPr>
              <w:t>27,590</w:t>
            </w:r>
          </w:p>
        </w:tc>
        <w:tc>
          <w:tcPr>
            <w:tcW w:w="1320" w:type="dxa"/>
            <w:vAlign w:val="bottom"/>
          </w:tcPr>
          <w:p>
            <w:pPr>
              <w:jc w:val="right"/>
              <w:ind w:right="176"/>
              <w:spacing w:after="0"/>
              <w:rPr>
                <w:sz w:val="20"/>
                <w:szCs w:val="20"/>
                <w:color w:val="auto"/>
              </w:rPr>
            </w:pPr>
            <w:r>
              <w:rPr>
                <w:rFonts w:ascii="Arial" w:cs="Arial" w:eastAsia="Arial" w:hAnsi="Arial"/>
                <w:sz w:val="13"/>
                <w:szCs w:val="13"/>
                <w:color w:val="auto"/>
              </w:rPr>
              <w:t>4,039</w:t>
            </w:r>
          </w:p>
        </w:tc>
        <w:tc>
          <w:tcPr>
            <w:tcW w:w="124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2020" w:type="dxa"/>
            <w:vAlign w:val="bottom"/>
          </w:tcPr>
          <w:p>
            <w:pPr>
              <w:jc w:val="right"/>
              <w:ind w:right="436"/>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31,629</w:t>
            </w:r>
          </w:p>
        </w:tc>
      </w:tr>
      <w:tr>
        <w:trPr>
          <w:trHeight w:val="170"/>
        </w:trPr>
        <w:tc>
          <w:tcPr>
            <w:tcW w:w="2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1820" w:type="dxa"/>
            <w:vAlign w:val="bottom"/>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6,284</w:t>
            </w:r>
          </w:p>
        </w:tc>
        <w:tc>
          <w:tcPr>
            <w:tcW w:w="132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(5,044)</w:t>
            </w:r>
          </w:p>
        </w:tc>
        <w:tc>
          <w:tcPr>
            <w:tcW w:w="124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202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(231)*</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1,009</w:t>
            </w:r>
          </w:p>
        </w:tc>
      </w:tr>
      <w:tr>
        <w:trPr>
          <w:trHeight w:val="170"/>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Other intangible assets</w:t>
            </w:r>
          </w:p>
        </w:tc>
        <w:tc>
          <w:tcPr>
            <w:tcW w:w="182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11,805</w:t>
            </w:r>
          </w:p>
        </w:tc>
        <w:tc>
          <w:tcPr>
            <w:tcW w:w="132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(2,617)</w:t>
            </w:r>
          </w:p>
        </w:tc>
        <w:tc>
          <w:tcPr>
            <w:tcW w:w="124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4,210</w:t>
            </w:r>
          </w:p>
        </w:tc>
        <w:tc>
          <w:tcPr>
            <w:tcW w:w="202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13,398</w:t>
            </w:r>
          </w:p>
        </w:tc>
      </w:tr>
      <w:tr>
        <w:trPr>
          <w:trHeight w:val="182"/>
        </w:trPr>
        <w:tc>
          <w:tcPr>
            <w:tcW w:w="26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02"/>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deferred taxation liabilities</w:t>
            </w:r>
          </w:p>
        </w:tc>
        <w:tc>
          <w:tcPr>
            <w:tcW w:w="182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46,781</w:t>
            </w:r>
          </w:p>
        </w:tc>
        <w:tc>
          <w:tcPr>
            <w:tcW w:w="132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(3,365)</w:t>
            </w:r>
          </w:p>
        </w:tc>
        <w:tc>
          <w:tcPr>
            <w:tcW w:w="124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4,210</w:t>
            </w:r>
          </w:p>
        </w:tc>
        <w:tc>
          <w:tcPr>
            <w:tcW w:w="202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w:t>
            </w:r>
          </w:p>
        </w:tc>
        <w:tc>
          <w:tcPr>
            <w:tcW w:w="10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(231)</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47,395</w:t>
            </w:r>
          </w:p>
        </w:tc>
      </w:tr>
      <w:tr>
        <w:trPr>
          <w:trHeight w:val="182"/>
        </w:trPr>
        <w:tc>
          <w:tcPr>
            <w:tcW w:w="26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71"/>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Net deferred taxation asset/(liability)</w:t>
            </w:r>
          </w:p>
        </w:tc>
        <w:tc>
          <w:tcPr>
            <w:tcW w:w="182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25,459</w:t>
            </w:r>
          </w:p>
        </w:tc>
        <w:tc>
          <w:tcPr>
            <w:tcW w:w="1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194</w:t>
            </w:r>
          </w:p>
        </w:tc>
        <w:tc>
          <w:tcPr>
            <w:tcW w:w="12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(4,210)</w:t>
            </w:r>
          </w:p>
        </w:tc>
        <w:tc>
          <w:tcPr>
            <w:tcW w:w="202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(184)</w:t>
            </w:r>
          </w:p>
        </w:tc>
        <w:tc>
          <w:tcPr>
            <w:tcW w:w="10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(1,055)</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20,204</w:t>
            </w: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*These adjustments relate to foreign currency translation on the deferred tax liabilities.</w:t>
      </w:r>
    </w:p>
    <w:p>
      <w:pPr>
        <w:spacing w:after="0" w:line="20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Unrecognised deferred tax assets</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Deferred tax assets relating to the following net operating losses have not been recognised to the extent that it is considered unlikely that a benefit will be received in the future.</w:t>
      </w:r>
    </w:p>
    <w:p>
      <w:pPr>
        <w:spacing w:after="0" w:line="19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At 31 December 2021, non-US subsidiaries had operating loss carry-forwards for income tax purposes that may be carried forward indefinitely, available to offset against future taxable income, if any, of approximately $42.3 million (31 December 2020: $40.1 million). At 31 December 2021, non–US subsidiaries also had additional operating loss carry forwards of $19.9 million which are due to expire between 2022 and 2028 and operating loss carry forwards of $19.9 million which are due to expire between 2029 and 2038.</w:t>
      </w:r>
    </w:p>
    <w:p>
      <w:pPr>
        <w:spacing w:after="0" w:line="17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In total, the Company has unrecognised deferred tax assets of $45.5 million at 31 December 2021 and $34.0 million at 31 December 2020. The Company has not recognised these remaining deferred tax assets because it believes that it is more likely than not that the losses and other deferred tax assets will not be utilised given their history of operating losses.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ectPr>
          <w:pgSz w:w="11900" w:h="16838" w:orient="portrait"/>
          <w:cols w:equalWidth="0" w:num="1">
            <w:col w:w="11280"/>
          </w:cols>
          <w:pgMar w:left="300" w:top="698" w:right="319" w:bottom="1440" w:gutter="0" w:footer="0" w:header="0"/>
        </w:sectPr>
      </w:pPr>
    </w:p>
    <w:bookmarkStart w:id="79" w:name="page80"/>
    <w:bookmarkEnd w:id="79"/>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232" w:lineRule="exact"/>
        <w:rPr>
          <w:sz w:val="20"/>
          <w:szCs w:val="20"/>
          <w:color w:val="auto"/>
        </w:rPr>
      </w:pPr>
    </w:p>
    <w:p>
      <w:pPr>
        <w:ind w:left="260" w:hanging="255"/>
        <w:spacing w:after="0"/>
        <w:tabs>
          <w:tab w:leader="none" w:pos="260" w:val="left"/>
        </w:tabs>
        <w:numPr>
          <w:ilvl w:val="0"/>
          <w:numId w:val="67"/>
        </w:numPr>
        <w:rPr>
          <w:rFonts w:ascii="Arial" w:cs="Arial" w:eastAsia="Arial" w:hAnsi="Arial"/>
          <w:sz w:val="13"/>
          <w:szCs w:val="13"/>
          <w:b w:val="1"/>
          <w:bCs w:val="1"/>
          <w:color w:val="auto"/>
        </w:rPr>
      </w:pPr>
      <w:r>
        <w:rPr>
          <w:rFonts w:ascii="Arial" w:cs="Arial" w:eastAsia="Arial" w:hAnsi="Arial"/>
          <w:sz w:val="13"/>
          <w:szCs w:val="13"/>
          <w:b w:val="1"/>
          <w:bCs w:val="1"/>
          <w:color w:val="auto"/>
        </w:rPr>
        <w:t>Income tax expense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6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Unrecognised deferred tax liabilities</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The Company has recognised a deferred tax liability of $0.8 million (2020: $0.9 million) for investments in foreign subsidiaries where the Company does not consider the earnings to be indefinitely reinvested. For the deferred tax liability not recognised in respect of temporary differences related to investments in foreign subsidiaries which are considered to be indefinitely reinvested, it is not practicable to calculate the exact unrecognised deferred tax liability, however, it is not expected to be material as Ireland allows a tax credit in respect of distributions from foreign subsidiaries at the statutory tax rate in the jurisdiction of the subsidiary so that no material tax liability would be expected to arise in Ireland in the event these earnings were ever remitted. In addition, withholding taxes applicable to remittances from foreign subsidiaries would not be expected to be material given Ireland’s tax treaty network and the EU parent subsidiary directive.</w:t>
      </w:r>
    </w:p>
    <w:p>
      <w:pPr>
        <w:spacing w:after="0" w:line="355" w:lineRule="exact"/>
        <w:rPr>
          <w:sz w:val="20"/>
          <w:szCs w:val="20"/>
          <w:color w:val="auto"/>
        </w:rPr>
      </w:pPr>
    </w:p>
    <w:p>
      <w:pPr>
        <w:ind w:left="260" w:hanging="255"/>
        <w:spacing w:after="0"/>
        <w:tabs>
          <w:tab w:leader="none" w:pos="260" w:val="left"/>
        </w:tabs>
        <w:numPr>
          <w:ilvl w:val="0"/>
          <w:numId w:val="68"/>
        </w:numPr>
        <w:rPr>
          <w:rFonts w:ascii="Arial" w:cs="Arial" w:eastAsia="Arial" w:hAnsi="Arial"/>
          <w:sz w:val="13"/>
          <w:szCs w:val="13"/>
          <w:b w:val="1"/>
          <w:bCs w:val="1"/>
          <w:color w:val="auto"/>
        </w:rPr>
      </w:pPr>
      <w:r>
        <w:rPr>
          <w:rFonts w:ascii="Arial" w:cs="Arial" w:eastAsia="Arial" w:hAnsi="Arial"/>
          <w:sz w:val="13"/>
          <w:szCs w:val="13"/>
          <w:b w:val="1"/>
          <w:bCs w:val="1"/>
          <w:color w:val="auto"/>
        </w:rPr>
        <w:t>Earnings per share</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sets forth the computation for basic and diluted net earnings per share for the year ended 31 December 2021:</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0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31 December 2021</w:t>
            </w:r>
          </w:p>
        </w:tc>
        <w:tc>
          <w:tcPr>
            <w:tcW w:w="12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31 December 2021</w:t>
            </w:r>
          </w:p>
        </w:tc>
        <w:tc>
          <w:tcPr>
            <w:tcW w:w="13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31 December 2021</w:t>
            </w:r>
          </w:p>
        </w:tc>
        <w:tc>
          <w:tcPr>
            <w:tcW w:w="12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31 December 2020</w:t>
            </w:r>
          </w:p>
        </w:tc>
        <w:tc>
          <w:tcPr>
            <w:tcW w:w="13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31 December 2020</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 December 2020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500" w:type="dxa"/>
            <w:vAlign w:val="bottom"/>
          </w:tcPr>
          <w:p>
            <w:pPr>
              <w:spacing w:after="0"/>
              <w:rPr>
                <w:sz w:val="13"/>
                <w:szCs w:val="13"/>
                <w:color w:val="auto"/>
              </w:rPr>
            </w:pPr>
          </w:p>
        </w:tc>
        <w:tc>
          <w:tcPr>
            <w:tcW w:w="1340" w:type="dxa"/>
            <w:vAlign w:val="bottom"/>
          </w:tcPr>
          <w:p>
            <w:pPr>
              <w:jc w:val="right"/>
              <w:ind w:right="36"/>
              <w:spacing w:after="0"/>
              <w:rPr>
                <w:sz w:val="20"/>
                <w:szCs w:val="20"/>
                <w:color w:val="auto"/>
              </w:rPr>
            </w:pPr>
            <w:r>
              <w:rPr>
                <w:rFonts w:ascii="Arial" w:cs="Arial" w:eastAsia="Arial" w:hAnsi="Arial"/>
                <w:sz w:val="13"/>
                <w:szCs w:val="13"/>
                <w:b w:val="1"/>
                <w:bCs w:val="1"/>
                <w:color w:val="auto"/>
              </w:rPr>
              <w:t>$’000</w:t>
            </w:r>
          </w:p>
        </w:tc>
        <w:tc>
          <w:tcPr>
            <w:tcW w:w="1280" w:type="dxa"/>
            <w:vAlign w:val="bottom"/>
          </w:tcPr>
          <w:p>
            <w:pPr>
              <w:ind w:left="860"/>
              <w:spacing w:after="0"/>
              <w:rPr>
                <w:sz w:val="20"/>
                <w:szCs w:val="20"/>
                <w:color w:val="auto"/>
              </w:rPr>
            </w:pPr>
            <w:r>
              <w:rPr>
                <w:rFonts w:ascii="Arial" w:cs="Arial" w:eastAsia="Arial" w:hAnsi="Arial"/>
                <w:sz w:val="13"/>
                <w:szCs w:val="13"/>
                <w:b w:val="1"/>
                <w:bCs w:val="1"/>
                <w:color w:val="auto"/>
              </w:rPr>
              <w:t>$’000</w:t>
            </w:r>
          </w:p>
        </w:tc>
        <w:tc>
          <w:tcPr>
            <w:tcW w:w="1300" w:type="dxa"/>
            <w:vAlign w:val="bottom"/>
          </w:tcPr>
          <w:p>
            <w:pPr>
              <w:jc w:val="right"/>
              <w:ind w:right="36"/>
              <w:spacing w:after="0"/>
              <w:rPr>
                <w:sz w:val="20"/>
                <w:szCs w:val="20"/>
                <w:color w:val="auto"/>
              </w:rPr>
            </w:pPr>
            <w:r>
              <w:rPr>
                <w:rFonts w:ascii="Arial" w:cs="Arial" w:eastAsia="Arial" w:hAnsi="Arial"/>
                <w:sz w:val="13"/>
                <w:szCs w:val="13"/>
                <w:b w:val="1"/>
                <w:bCs w:val="1"/>
                <w:color w:val="auto"/>
              </w:rPr>
              <w:t>$’000</w:t>
            </w:r>
          </w:p>
        </w:tc>
        <w:tc>
          <w:tcPr>
            <w:tcW w:w="1280" w:type="dxa"/>
            <w:vAlign w:val="bottom"/>
          </w:tcPr>
          <w:p>
            <w:pPr>
              <w:jc w:val="right"/>
              <w:ind w:right="36"/>
              <w:spacing w:after="0"/>
              <w:rPr>
                <w:sz w:val="20"/>
                <w:szCs w:val="20"/>
                <w:color w:val="auto"/>
              </w:rPr>
            </w:pPr>
            <w:r>
              <w:rPr>
                <w:rFonts w:ascii="Arial" w:cs="Arial" w:eastAsia="Arial" w:hAnsi="Arial"/>
                <w:sz w:val="13"/>
                <w:szCs w:val="13"/>
                <w:color w:val="auto"/>
              </w:rPr>
              <w:t>$’000</w:t>
            </w:r>
          </w:p>
        </w:tc>
        <w:tc>
          <w:tcPr>
            <w:tcW w:w="1300" w:type="dxa"/>
            <w:vAlign w:val="bottom"/>
          </w:tcPr>
          <w:p>
            <w:pPr>
              <w:jc w:val="right"/>
              <w:ind w:right="56"/>
              <w:spacing w:after="0"/>
              <w:rPr>
                <w:sz w:val="20"/>
                <w:szCs w:val="20"/>
                <w:color w:val="auto"/>
              </w:rPr>
            </w:pPr>
            <w:r>
              <w:rPr>
                <w:rFonts w:ascii="Arial" w:cs="Arial" w:eastAsia="Arial" w:hAnsi="Arial"/>
                <w:sz w:val="13"/>
                <w:szCs w:val="13"/>
                <w:color w:val="auto"/>
              </w:rPr>
              <w:t>$’000</w:t>
            </w:r>
          </w:p>
        </w:tc>
        <w:tc>
          <w:tcPr>
            <w:tcW w:w="1200" w:type="dxa"/>
            <w:vAlign w:val="bottom"/>
            <w:gridSpan w:val="2"/>
          </w:tcPr>
          <w:p>
            <w:pPr>
              <w:jc w:val="right"/>
              <w:ind w:right="40"/>
              <w:spacing w:after="0"/>
              <w:rPr>
                <w:sz w:val="20"/>
                <w:szCs w:val="20"/>
                <w:color w:val="auto"/>
              </w:rPr>
            </w:pPr>
            <w:r>
              <w:rPr>
                <w:rFonts w:ascii="Arial" w:cs="Arial" w:eastAsia="Arial" w:hAnsi="Arial"/>
                <w:sz w:val="13"/>
                <w:szCs w:val="13"/>
                <w:color w:val="auto"/>
              </w:rPr>
              <w:t>$’000</w:t>
            </w:r>
          </w:p>
        </w:tc>
        <w:tc>
          <w:tcPr>
            <w:tcW w:w="0" w:type="dxa"/>
            <w:vAlign w:val="bottom"/>
          </w:tcPr>
          <w:p>
            <w:pPr>
              <w:spacing w:after="0"/>
              <w:rPr>
                <w:sz w:val="1"/>
                <w:szCs w:val="1"/>
                <w:color w:val="auto"/>
              </w:rPr>
            </w:pPr>
          </w:p>
        </w:tc>
      </w:tr>
      <w:tr>
        <w:trPr>
          <w:trHeight w:val="127"/>
        </w:trPr>
        <w:tc>
          <w:tcPr>
            <w:tcW w:w="3500" w:type="dxa"/>
            <w:vAlign w:val="bottom"/>
            <w:shd w:val="clear" w:color="auto" w:fill="CCEEFF"/>
          </w:tcPr>
          <w:p>
            <w:pPr>
              <w:spacing w:after="0"/>
              <w:rPr>
                <w:sz w:val="11"/>
                <w:szCs w:val="11"/>
                <w:color w:val="auto"/>
              </w:rPr>
            </w:pPr>
          </w:p>
        </w:tc>
        <w:tc>
          <w:tcPr>
            <w:tcW w:w="1340" w:type="dxa"/>
            <w:vAlign w:val="bottom"/>
            <w:shd w:val="clear" w:color="auto" w:fill="CCEEFF"/>
          </w:tcPr>
          <w:p>
            <w:pPr>
              <w:jc w:val="right"/>
              <w:ind w:right="36"/>
              <w:spacing w:after="0" w:line="128" w:lineRule="exact"/>
              <w:rPr>
                <w:sz w:val="20"/>
                <w:szCs w:val="20"/>
                <w:color w:val="auto"/>
              </w:rPr>
            </w:pPr>
            <w:r>
              <w:rPr>
                <w:rFonts w:ascii="Arial" w:cs="Arial" w:eastAsia="Arial" w:hAnsi="Arial"/>
                <w:sz w:val="13"/>
                <w:szCs w:val="13"/>
                <w:b w:val="1"/>
                <w:bCs w:val="1"/>
                <w:color w:val="auto"/>
              </w:rPr>
              <w:t>Excluding</w:t>
            </w:r>
          </w:p>
        </w:tc>
        <w:tc>
          <w:tcPr>
            <w:tcW w:w="1280" w:type="dxa"/>
            <w:vAlign w:val="bottom"/>
            <w:shd w:val="clear" w:color="auto" w:fill="CCEEFF"/>
          </w:tcPr>
          <w:p>
            <w:pPr>
              <w:jc w:val="right"/>
              <w:ind w:right="36"/>
              <w:spacing w:after="0" w:line="128" w:lineRule="exact"/>
              <w:rPr>
                <w:sz w:val="20"/>
                <w:szCs w:val="20"/>
                <w:color w:val="auto"/>
              </w:rPr>
            </w:pPr>
            <w:r>
              <w:rPr>
                <w:rFonts w:ascii="Arial" w:cs="Arial" w:eastAsia="Arial" w:hAnsi="Arial"/>
                <w:sz w:val="13"/>
                <w:szCs w:val="13"/>
                <w:b w:val="1"/>
                <w:bCs w:val="1"/>
                <w:color w:val="auto"/>
              </w:rPr>
              <w:t>Exceptional items</w:t>
            </w:r>
          </w:p>
        </w:tc>
        <w:tc>
          <w:tcPr>
            <w:tcW w:w="1300" w:type="dxa"/>
            <w:vAlign w:val="bottom"/>
            <w:shd w:val="clear" w:color="auto" w:fill="CCEEFF"/>
          </w:tcPr>
          <w:p>
            <w:pPr>
              <w:jc w:val="right"/>
              <w:ind w:right="36"/>
              <w:spacing w:after="0" w:line="128" w:lineRule="exact"/>
              <w:rPr>
                <w:sz w:val="20"/>
                <w:szCs w:val="20"/>
                <w:color w:val="auto"/>
              </w:rPr>
            </w:pPr>
            <w:r>
              <w:rPr>
                <w:rFonts w:ascii="Arial" w:cs="Arial" w:eastAsia="Arial" w:hAnsi="Arial"/>
                <w:sz w:val="13"/>
                <w:szCs w:val="13"/>
                <w:b w:val="1"/>
                <w:bCs w:val="1"/>
                <w:color w:val="auto"/>
              </w:rPr>
              <w:t>Including</w:t>
            </w:r>
          </w:p>
        </w:tc>
        <w:tc>
          <w:tcPr>
            <w:tcW w:w="1280" w:type="dxa"/>
            <w:vAlign w:val="bottom"/>
            <w:shd w:val="clear" w:color="auto" w:fill="CCEEFF"/>
          </w:tcPr>
          <w:p>
            <w:pPr>
              <w:jc w:val="right"/>
              <w:ind w:right="36"/>
              <w:spacing w:after="0" w:line="128" w:lineRule="exact"/>
              <w:rPr>
                <w:sz w:val="20"/>
                <w:szCs w:val="20"/>
                <w:color w:val="auto"/>
              </w:rPr>
            </w:pPr>
            <w:r>
              <w:rPr>
                <w:rFonts w:ascii="Arial" w:cs="Arial" w:eastAsia="Arial" w:hAnsi="Arial"/>
                <w:sz w:val="13"/>
                <w:szCs w:val="13"/>
                <w:color w:val="auto"/>
              </w:rPr>
              <w:t>Excluding</w:t>
            </w:r>
          </w:p>
        </w:tc>
        <w:tc>
          <w:tcPr>
            <w:tcW w:w="1300" w:type="dxa"/>
            <w:vAlign w:val="bottom"/>
            <w:shd w:val="clear" w:color="auto" w:fill="CCEEFF"/>
          </w:tcPr>
          <w:p>
            <w:pPr>
              <w:jc w:val="right"/>
              <w:ind w:right="56"/>
              <w:spacing w:after="0" w:line="128" w:lineRule="exact"/>
              <w:rPr>
                <w:sz w:val="20"/>
                <w:szCs w:val="20"/>
                <w:color w:val="auto"/>
              </w:rPr>
            </w:pPr>
            <w:r>
              <w:rPr>
                <w:rFonts w:ascii="Arial" w:cs="Arial" w:eastAsia="Arial" w:hAnsi="Arial"/>
                <w:sz w:val="13"/>
                <w:szCs w:val="13"/>
                <w:color w:val="auto"/>
              </w:rPr>
              <w:t>Exceptional items</w:t>
            </w:r>
          </w:p>
        </w:tc>
        <w:tc>
          <w:tcPr>
            <w:tcW w:w="118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Including</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350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Exceptional items</w:t>
            </w:r>
          </w:p>
        </w:tc>
        <w:tc>
          <w:tcPr>
            <w:tcW w:w="128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Exceptional items</w:t>
            </w:r>
          </w:p>
        </w:tc>
        <w:tc>
          <w:tcPr>
            <w:tcW w:w="12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Exceptional items</w:t>
            </w:r>
          </w:p>
        </w:tc>
        <w:tc>
          <w:tcPr>
            <w:tcW w:w="130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Exceptional items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500" w:type="dxa"/>
            <w:vAlign w:val="bottom"/>
          </w:tcPr>
          <w:p>
            <w:pPr>
              <w:ind w:left="20"/>
              <w:spacing w:after="0"/>
              <w:rPr>
                <w:sz w:val="20"/>
                <w:szCs w:val="20"/>
                <w:color w:val="auto"/>
              </w:rPr>
            </w:pPr>
            <w:r>
              <w:rPr>
                <w:rFonts w:ascii="Arial" w:cs="Arial" w:eastAsia="Arial" w:hAnsi="Arial"/>
                <w:sz w:val="13"/>
                <w:szCs w:val="13"/>
                <w:b w:val="1"/>
                <w:bCs w:val="1"/>
                <w:color w:val="auto"/>
              </w:rPr>
              <w:t>Numerator computations</w:t>
            </w:r>
          </w:p>
        </w:tc>
        <w:tc>
          <w:tcPr>
            <w:tcW w:w="13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50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Basic and diluted earnings per share</w:t>
            </w:r>
          </w:p>
        </w:tc>
        <w:tc>
          <w:tcPr>
            <w:tcW w:w="13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Profit for the period</w:t>
            </w:r>
          </w:p>
        </w:tc>
        <w:tc>
          <w:tcPr>
            <w:tcW w:w="13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440,720</w:t>
            </w:r>
          </w:p>
        </w:tc>
        <w:tc>
          <w:tcPr>
            <w:tcW w:w="12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(266,268)</w:t>
            </w:r>
          </w:p>
        </w:tc>
        <w:tc>
          <w:tcPr>
            <w:tcW w:w="1300" w:type="dxa"/>
            <w:vAlign w:val="bottom"/>
            <w:tcBorders>
              <w:bottom w:val="single" w:sz="8" w:color="auto"/>
            </w:tcBorders>
          </w:tcPr>
          <w:p>
            <w:pPr>
              <w:ind w:left="680"/>
              <w:spacing w:after="0"/>
              <w:rPr>
                <w:sz w:val="20"/>
                <w:szCs w:val="20"/>
                <w:color w:val="auto"/>
              </w:rPr>
            </w:pPr>
            <w:r>
              <w:rPr>
                <w:rFonts w:ascii="Arial" w:cs="Arial" w:eastAsia="Arial" w:hAnsi="Arial"/>
                <w:sz w:val="13"/>
                <w:szCs w:val="13"/>
                <w:b w:val="1"/>
                <w:bCs w:val="1"/>
                <w:color w:val="auto"/>
              </w:rPr>
              <w:t>174,452</w:t>
            </w:r>
          </w:p>
        </w:tc>
        <w:tc>
          <w:tcPr>
            <w:tcW w:w="12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347,253</w:t>
            </w:r>
          </w:p>
        </w:tc>
        <w:tc>
          <w:tcPr>
            <w:tcW w:w="13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(15,828)</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331,425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Profit attributable to equity holders</w:t>
            </w:r>
          </w:p>
        </w:tc>
        <w:tc>
          <w:tcPr>
            <w:tcW w:w="13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440,720</w:t>
            </w:r>
          </w:p>
        </w:tc>
        <w:tc>
          <w:tcPr>
            <w:tcW w:w="12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(266,268)</w:t>
            </w:r>
          </w:p>
        </w:tc>
        <w:tc>
          <w:tcPr>
            <w:tcW w:w="130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3"/>
                <w:szCs w:val="13"/>
                <w:b w:val="1"/>
                <w:bCs w:val="1"/>
                <w:color w:val="auto"/>
              </w:rPr>
              <w:t>174,452</w:t>
            </w:r>
          </w:p>
        </w:tc>
        <w:tc>
          <w:tcPr>
            <w:tcW w:w="12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347,253</w:t>
            </w:r>
          </w:p>
        </w:tc>
        <w:tc>
          <w:tcPr>
            <w:tcW w:w="13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(15,828)</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331,425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5"/>
        </w:trPr>
        <w:tc>
          <w:tcPr>
            <w:tcW w:w="35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580" w:type="dxa"/>
            <w:vAlign w:val="bottom"/>
            <w:gridSpan w:val="2"/>
          </w:tcPr>
          <w:p>
            <w:pPr>
              <w:spacing w:after="0"/>
              <w:rPr>
                <w:sz w:val="7"/>
                <w:szCs w:val="7"/>
                <w:color w:val="auto"/>
              </w:rPr>
            </w:pPr>
          </w:p>
        </w:tc>
        <w:tc>
          <w:tcPr>
            <w:tcW w:w="13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3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Denominator computations</w:t>
            </w:r>
          </w:p>
        </w:tc>
        <w:tc>
          <w:tcPr>
            <w:tcW w:w="134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spacing w:after="0"/>
              <w:rPr>
                <w:sz w:val="14"/>
                <w:szCs w:val="14"/>
                <w:color w:val="auto"/>
              </w:rPr>
            </w:pPr>
          </w:p>
        </w:tc>
        <w:tc>
          <w:tcPr>
            <w:tcW w:w="2580" w:type="dxa"/>
            <w:vAlign w:val="bottom"/>
            <w:tcBorders>
              <w:bottom w:val="single" w:sz="8" w:color="auto"/>
            </w:tcBorders>
            <w:gridSpan w:val="2"/>
            <w:shd w:val="clear" w:color="auto" w:fill="CCEEFF"/>
          </w:tcPr>
          <w:p>
            <w:pPr>
              <w:ind w:left="680"/>
              <w:spacing w:after="0"/>
              <w:rPr>
                <w:sz w:val="20"/>
                <w:szCs w:val="20"/>
                <w:color w:val="auto"/>
              </w:rPr>
            </w:pPr>
            <w:r>
              <w:rPr>
                <w:rFonts w:ascii="Arial" w:cs="Arial" w:eastAsia="Arial" w:hAnsi="Arial"/>
                <w:sz w:val="13"/>
                <w:szCs w:val="13"/>
                <w:b w:val="1"/>
                <w:bCs w:val="1"/>
                <w:color w:val="auto"/>
              </w:rPr>
              <w:t>Number of Shares</w:t>
            </w:r>
          </w:p>
        </w:tc>
        <w:tc>
          <w:tcPr>
            <w:tcW w:w="130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3500" w:type="dxa"/>
            <w:vAlign w:val="bottom"/>
          </w:tcPr>
          <w:p>
            <w:pPr>
              <w:ind w:left="20"/>
              <w:spacing w:after="0" w:line="118" w:lineRule="exact"/>
              <w:rPr>
                <w:sz w:val="20"/>
                <w:szCs w:val="20"/>
                <w:color w:val="auto"/>
              </w:rPr>
            </w:pPr>
            <w:r>
              <w:rPr>
                <w:rFonts w:ascii="Arial" w:cs="Arial" w:eastAsia="Arial" w:hAnsi="Arial"/>
                <w:sz w:val="13"/>
                <w:szCs w:val="13"/>
                <w:color w:val="auto"/>
              </w:rPr>
              <w:t>Weighted average number of ordinary shares outstanding –</w:t>
            </w:r>
          </w:p>
        </w:tc>
        <w:tc>
          <w:tcPr>
            <w:tcW w:w="1340" w:type="dxa"/>
            <w:vAlign w:val="bottom"/>
            <w:vMerge w:val="restart"/>
          </w:tcPr>
          <w:p>
            <w:pPr>
              <w:jc w:val="right"/>
              <w:ind w:right="36"/>
              <w:spacing w:after="0"/>
              <w:rPr>
                <w:sz w:val="20"/>
                <w:szCs w:val="20"/>
                <w:color w:val="auto"/>
              </w:rPr>
            </w:pPr>
            <w:r>
              <w:rPr>
                <w:rFonts w:ascii="Arial" w:cs="Arial" w:eastAsia="Arial" w:hAnsi="Arial"/>
                <w:sz w:val="13"/>
                <w:szCs w:val="13"/>
                <w:b w:val="1"/>
                <w:bCs w:val="1"/>
                <w:color w:val="auto"/>
              </w:rPr>
              <w:t>67,110,186</w:t>
            </w:r>
          </w:p>
        </w:tc>
        <w:tc>
          <w:tcPr>
            <w:tcW w:w="1280" w:type="dxa"/>
            <w:vAlign w:val="bottom"/>
            <w:vMerge w:val="restart"/>
          </w:tcPr>
          <w:p>
            <w:pPr>
              <w:jc w:val="right"/>
              <w:ind w:right="36"/>
              <w:spacing w:after="0"/>
              <w:rPr>
                <w:sz w:val="20"/>
                <w:szCs w:val="20"/>
                <w:color w:val="auto"/>
              </w:rPr>
            </w:pPr>
            <w:r>
              <w:rPr>
                <w:rFonts w:ascii="Arial" w:cs="Arial" w:eastAsia="Arial" w:hAnsi="Arial"/>
                <w:sz w:val="13"/>
                <w:szCs w:val="13"/>
                <w:b w:val="1"/>
                <w:bCs w:val="1"/>
                <w:color w:val="auto"/>
              </w:rPr>
              <w:t>67,110,186</w:t>
            </w:r>
          </w:p>
        </w:tc>
        <w:tc>
          <w:tcPr>
            <w:tcW w:w="1300" w:type="dxa"/>
            <w:vAlign w:val="bottom"/>
            <w:vMerge w:val="restart"/>
          </w:tcPr>
          <w:p>
            <w:pPr>
              <w:jc w:val="right"/>
              <w:ind w:right="56"/>
              <w:spacing w:after="0"/>
              <w:rPr>
                <w:sz w:val="20"/>
                <w:szCs w:val="20"/>
                <w:color w:val="auto"/>
              </w:rPr>
            </w:pPr>
            <w:r>
              <w:rPr>
                <w:rFonts w:ascii="Arial" w:cs="Arial" w:eastAsia="Arial" w:hAnsi="Arial"/>
                <w:sz w:val="13"/>
                <w:szCs w:val="13"/>
                <w:b w:val="1"/>
                <w:bCs w:val="1"/>
                <w:color w:val="auto"/>
              </w:rPr>
              <w:t>67,110,186</w:t>
            </w:r>
          </w:p>
        </w:tc>
        <w:tc>
          <w:tcPr>
            <w:tcW w:w="1280" w:type="dxa"/>
            <w:vAlign w:val="bottom"/>
            <w:vMerge w:val="restart"/>
          </w:tcPr>
          <w:p>
            <w:pPr>
              <w:jc w:val="right"/>
              <w:ind w:right="56"/>
              <w:spacing w:after="0"/>
              <w:rPr>
                <w:sz w:val="20"/>
                <w:szCs w:val="20"/>
                <w:color w:val="auto"/>
              </w:rPr>
            </w:pPr>
            <w:r>
              <w:rPr>
                <w:rFonts w:ascii="Arial" w:cs="Arial" w:eastAsia="Arial" w:hAnsi="Arial"/>
                <w:sz w:val="13"/>
                <w:szCs w:val="13"/>
                <w:color w:val="auto"/>
              </w:rPr>
              <w:t>52,859,911</w:t>
            </w:r>
          </w:p>
        </w:tc>
        <w:tc>
          <w:tcPr>
            <w:tcW w:w="1300" w:type="dxa"/>
            <w:vAlign w:val="bottom"/>
            <w:vMerge w:val="restart"/>
          </w:tcPr>
          <w:p>
            <w:pPr>
              <w:jc w:val="right"/>
              <w:ind w:right="76"/>
              <w:spacing w:after="0"/>
              <w:rPr>
                <w:sz w:val="20"/>
                <w:szCs w:val="20"/>
                <w:color w:val="auto"/>
              </w:rPr>
            </w:pPr>
            <w:r>
              <w:rPr>
                <w:rFonts w:ascii="Arial" w:cs="Arial" w:eastAsia="Arial" w:hAnsi="Arial"/>
                <w:sz w:val="13"/>
                <w:szCs w:val="13"/>
                <w:color w:val="auto"/>
              </w:rPr>
              <w:t>52,859,911</w:t>
            </w:r>
          </w:p>
        </w:tc>
        <w:tc>
          <w:tcPr>
            <w:tcW w:w="1180" w:type="dxa"/>
            <w:vAlign w:val="bottom"/>
            <w:vMerge w:val="restart"/>
          </w:tcPr>
          <w:p>
            <w:pPr>
              <w:jc w:val="right"/>
              <w:spacing w:after="0"/>
              <w:rPr>
                <w:sz w:val="20"/>
                <w:szCs w:val="20"/>
                <w:color w:val="auto"/>
              </w:rPr>
            </w:pPr>
            <w:r>
              <w:rPr>
                <w:rFonts w:ascii="Arial" w:cs="Arial" w:eastAsia="Arial" w:hAnsi="Arial"/>
                <w:sz w:val="13"/>
                <w:szCs w:val="13"/>
                <w:color w:val="auto"/>
              </w:rPr>
              <w:t>52,859,911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3500" w:type="dxa"/>
            <w:vAlign w:val="bottom"/>
          </w:tcPr>
          <w:p>
            <w:pPr>
              <w:ind w:left="20"/>
              <w:spacing w:after="0"/>
              <w:rPr>
                <w:sz w:val="20"/>
                <w:szCs w:val="20"/>
                <w:color w:val="auto"/>
              </w:rPr>
            </w:pPr>
            <w:r>
              <w:rPr>
                <w:rFonts w:ascii="Arial" w:cs="Arial" w:eastAsia="Arial" w:hAnsi="Arial"/>
                <w:sz w:val="13"/>
                <w:szCs w:val="13"/>
                <w:color w:val="auto"/>
              </w:rPr>
              <w:t>basic</w:t>
            </w:r>
          </w:p>
        </w:tc>
        <w:tc>
          <w:tcPr>
            <w:tcW w:w="134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Effect of dilutive potential ordinary shares</w:t>
            </w:r>
          </w:p>
        </w:tc>
        <w:tc>
          <w:tcPr>
            <w:tcW w:w="13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872,613</w:t>
            </w:r>
          </w:p>
        </w:tc>
        <w:tc>
          <w:tcPr>
            <w:tcW w:w="12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872,613</w:t>
            </w:r>
          </w:p>
        </w:tc>
        <w:tc>
          <w:tcPr>
            <w:tcW w:w="13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872,613</w:t>
            </w:r>
          </w:p>
        </w:tc>
        <w:tc>
          <w:tcPr>
            <w:tcW w:w="12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404,837</w:t>
            </w:r>
          </w:p>
        </w:tc>
        <w:tc>
          <w:tcPr>
            <w:tcW w:w="13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404,837</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404,837</w:t>
            </w:r>
          </w:p>
        </w:tc>
        <w:tc>
          <w:tcPr>
            <w:tcW w:w="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3500" w:type="dxa"/>
            <w:vAlign w:val="bottom"/>
          </w:tcPr>
          <w:p>
            <w:pPr>
              <w:ind w:left="20"/>
              <w:spacing w:after="0" w:line="118" w:lineRule="exact"/>
              <w:rPr>
                <w:sz w:val="20"/>
                <w:szCs w:val="20"/>
                <w:color w:val="auto"/>
              </w:rPr>
            </w:pPr>
            <w:r>
              <w:rPr>
                <w:rFonts w:ascii="Arial" w:cs="Arial" w:eastAsia="Arial" w:hAnsi="Arial"/>
                <w:sz w:val="13"/>
                <w:szCs w:val="13"/>
                <w:color w:val="auto"/>
              </w:rPr>
              <w:t>Weighted average number of ordinary shares outstanding -</w:t>
            </w:r>
          </w:p>
        </w:tc>
        <w:tc>
          <w:tcPr>
            <w:tcW w:w="1340" w:type="dxa"/>
            <w:vAlign w:val="bottom"/>
            <w:vMerge w:val="restart"/>
          </w:tcPr>
          <w:p>
            <w:pPr>
              <w:jc w:val="right"/>
              <w:ind w:right="36"/>
              <w:spacing w:after="0"/>
              <w:rPr>
                <w:sz w:val="20"/>
                <w:szCs w:val="20"/>
                <w:color w:val="auto"/>
              </w:rPr>
            </w:pPr>
            <w:r>
              <w:rPr>
                <w:rFonts w:ascii="Arial" w:cs="Arial" w:eastAsia="Arial" w:hAnsi="Arial"/>
                <w:sz w:val="13"/>
                <w:szCs w:val="13"/>
                <w:b w:val="1"/>
                <w:bCs w:val="1"/>
                <w:color w:val="auto"/>
              </w:rPr>
              <w:t>67,982,799</w:t>
            </w:r>
          </w:p>
        </w:tc>
        <w:tc>
          <w:tcPr>
            <w:tcW w:w="1280" w:type="dxa"/>
            <w:vAlign w:val="bottom"/>
            <w:vMerge w:val="restart"/>
          </w:tcPr>
          <w:p>
            <w:pPr>
              <w:jc w:val="right"/>
              <w:ind w:right="36"/>
              <w:spacing w:after="0"/>
              <w:rPr>
                <w:sz w:val="20"/>
                <w:szCs w:val="20"/>
                <w:color w:val="auto"/>
              </w:rPr>
            </w:pPr>
            <w:r>
              <w:rPr>
                <w:rFonts w:ascii="Arial" w:cs="Arial" w:eastAsia="Arial" w:hAnsi="Arial"/>
                <w:sz w:val="13"/>
                <w:szCs w:val="13"/>
                <w:b w:val="1"/>
                <w:bCs w:val="1"/>
                <w:color w:val="auto"/>
              </w:rPr>
              <w:t>67,982,799</w:t>
            </w:r>
          </w:p>
        </w:tc>
        <w:tc>
          <w:tcPr>
            <w:tcW w:w="1300" w:type="dxa"/>
            <w:vAlign w:val="bottom"/>
            <w:vMerge w:val="restart"/>
          </w:tcPr>
          <w:p>
            <w:pPr>
              <w:jc w:val="right"/>
              <w:ind w:right="56"/>
              <w:spacing w:after="0"/>
              <w:rPr>
                <w:sz w:val="20"/>
                <w:szCs w:val="20"/>
                <w:color w:val="auto"/>
              </w:rPr>
            </w:pPr>
            <w:r>
              <w:rPr>
                <w:rFonts w:ascii="Arial" w:cs="Arial" w:eastAsia="Arial" w:hAnsi="Arial"/>
                <w:sz w:val="13"/>
                <w:szCs w:val="13"/>
                <w:b w:val="1"/>
                <w:bCs w:val="1"/>
                <w:color w:val="auto"/>
              </w:rPr>
              <w:t>67,982,799</w:t>
            </w:r>
          </w:p>
        </w:tc>
        <w:tc>
          <w:tcPr>
            <w:tcW w:w="1280" w:type="dxa"/>
            <w:vAlign w:val="bottom"/>
            <w:vMerge w:val="restart"/>
          </w:tcPr>
          <w:p>
            <w:pPr>
              <w:jc w:val="right"/>
              <w:ind w:right="56"/>
              <w:spacing w:after="0"/>
              <w:rPr>
                <w:sz w:val="20"/>
                <w:szCs w:val="20"/>
                <w:color w:val="auto"/>
              </w:rPr>
            </w:pPr>
            <w:r>
              <w:rPr>
                <w:rFonts w:ascii="Arial" w:cs="Arial" w:eastAsia="Arial" w:hAnsi="Arial"/>
                <w:sz w:val="13"/>
                <w:szCs w:val="13"/>
                <w:color w:val="auto"/>
              </w:rPr>
              <w:t>53,264,748</w:t>
            </w:r>
          </w:p>
        </w:tc>
        <w:tc>
          <w:tcPr>
            <w:tcW w:w="1300" w:type="dxa"/>
            <w:vAlign w:val="bottom"/>
            <w:vMerge w:val="restart"/>
          </w:tcPr>
          <w:p>
            <w:pPr>
              <w:jc w:val="right"/>
              <w:ind w:right="76"/>
              <w:spacing w:after="0"/>
              <w:rPr>
                <w:sz w:val="20"/>
                <w:szCs w:val="20"/>
                <w:color w:val="auto"/>
              </w:rPr>
            </w:pPr>
            <w:r>
              <w:rPr>
                <w:rFonts w:ascii="Arial" w:cs="Arial" w:eastAsia="Arial" w:hAnsi="Arial"/>
                <w:sz w:val="13"/>
                <w:szCs w:val="13"/>
                <w:color w:val="auto"/>
              </w:rPr>
              <w:t>53,264,748</w:t>
            </w:r>
          </w:p>
        </w:tc>
        <w:tc>
          <w:tcPr>
            <w:tcW w:w="1180" w:type="dxa"/>
            <w:vAlign w:val="bottom"/>
            <w:vMerge w:val="restart"/>
          </w:tcPr>
          <w:p>
            <w:pPr>
              <w:jc w:val="right"/>
              <w:spacing w:after="0"/>
              <w:rPr>
                <w:sz w:val="20"/>
                <w:szCs w:val="20"/>
                <w:color w:val="auto"/>
              </w:rPr>
            </w:pPr>
            <w:r>
              <w:rPr>
                <w:rFonts w:ascii="Arial" w:cs="Arial" w:eastAsia="Arial" w:hAnsi="Arial"/>
                <w:sz w:val="13"/>
                <w:szCs w:val="13"/>
                <w:color w:val="auto"/>
              </w:rPr>
              <w:t>53,264,748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diluted</w:t>
            </w:r>
          </w:p>
        </w:tc>
        <w:tc>
          <w:tcPr>
            <w:tcW w:w="1340" w:type="dxa"/>
            <w:vAlign w:val="bottom"/>
            <w:tcBorders>
              <w:bottom w:val="single" w:sz="8" w:color="auto"/>
            </w:tcBorders>
            <w:vMerge w:val="continue"/>
          </w:tcPr>
          <w:p>
            <w:pPr>
              <w:spacing w:after="0"/>
              <w:rPr>
                <w:sz w:val="14"/>
                <w:szCs w:val="14"/>
                <w:color w:val="auto"/>
              </w:rPr>
            </w:pPr>
          </w:p>
        </w:tc>
        <w:tc>
          <w:tcPr>
            <w:tcW w:w="1280" w:type="dxa"/>
            <w:vAlign w:val="bottom"/>
            <w:tcBorders>
              <w:bottom w:val="single" w:sz="8" w:color="auto"/>
            </w:tcBorders>
            <w:vMerge w:val="continue"/>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1280" w:type="dxa"/>
            <w:vAlign w:val="bottom"/>
            <w:tcBorders>
              <w:bottom w:val="single" w:sz="8" w:color="auto"/>
            </w:tcBorders>
            <w:vMerge w:val="continue"/>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35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20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3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Earnings per Share</w:t>
            </w:r>
          </w:p>
        </w:tc>
        <w:tc>
          <w:tcPr>
            <w:tcW w:w="13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w:t>
            </w:r>
          </w:p>
        </w:tc>
        <w:tc>
          <w:tcPr>
            <w:tcW w:w="12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w:t>
            </w:r>
          </w:p>
        </w:tc>
        <w:tc>
          <w:tcPr>
            <w:tcW w:w="13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w:t>
            </w:r>
          </w:p>
        </w:tc>
        <w:tc>
          <w:tcPr>
            <w:tcW w:w="12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3500" w:type="dxa"/>
            <w:vAlign w:val="bottom"/>
          </w:tcPr>
          <w:p>
            <w:pPr>
              <w:ind w:left="20"/>
              <w:spacing w:after="0"/>
              <w:rPr>
                <w:sz w:val="20"/>
                <w:szCs w:val="20"/>
                <w:color w:val="auto"/>
              </w:rPr>
            </w:pPr>
            <w:r>
              <w:rPr>
                <w:rFonts w:ascii="Arial" w:cs="Arial" w:eastAsia="Arial" w:hAnsi="Arial"/>
                <w:sz w:val="13"/>
                <w:szCs w:val="13"/>
                <w:color w:val="auto"/>
              </w:rPr>
              <w:t>Basic earnings per ordinary share</w:t>
            </w:r>
          </w:p>
        </w:tc>
        <w:tc>
          <w:tcPr>
            <w:tcW w:w="1340" w:type="dxa"/>
            <w:vAlign w:val="bottom"/>
          </w:tcPr>
          <w:p>
            <w:pPr>
              <w:jc w:val="right"/>
              <w:ind w:right="56"/>
              <w:spacing w:after="0"/>
              <w:rPr>
                <w:sz w:val="20"/>
                <w:szCs w:val="20"/>
                <w:color w:val="auto"/>
              </w:rPr>
            </w:pPr>
            <w:r>
              <w:rPr>
                <w:rFonts w:ascii="Arial" w:cs="Arial" w:eastAsia="Arial" w:hAnsi="Arial"/>
                <w:sz w:val="13"/>
                <w:szCs w:val="13"/>
                <w:b w:val="1"/>
                <w:bCs w:val="1"/>
                <w:color w:val="auto"/>
              </w:rPr>
              <w:t>6.57</w:t>
            </w:r>
          </w:p>
        </w:tc>
        <w:tc>
          <w:tcPr>
            <w:tcW w:w="1280" w:type="dxa"/>
            <w:vAlign w:val="bottom"/>
          </w:tcPr>
          <w:p>
            <w:pPr>
              <w:ind w:left="860"/>
              <w:spacing w:after="0"/>
              <w:rPr>
                <w:sz w:val="20"/>
                <w:szCs w:val="20"/>
                <w:color w:val="auto"/>
              </w:rPr>
            </w:pPr>
            <w:r>
              <w:rPr>
                <w:rFonts w:ascii="Arial" w:cs="Arial" w:eastAsia="Arial" w:hAnsi="Arial"/>
                <w:sz w:val="13"/>
                <w:szCs w:val="13"/>
                <w:b w:val="1"/>
                <w:bCs w:val="1"/>
                <w:color w:val="auto"/>
              </w:rPr>
              <w:t>(3.97)</w:t>
            </w:r>
          </w:p>
        </w:tc>
        <w:tc>
          <w:tcPr>
            <w:tcW w:w="1300" w:type="dxa"/>
            <w:vAlign w:val="bottom"/>
          </w:tcPr>
          <w:p>
            <w:pPr>
              <w:jc w:val="right"/>
              <w:ind w:right="56"/>
              <w:spacing w:after="0"/>
              <w:rPr>
                <w:sz w:val="20"/>
                <w:szCs w:val="20"/>
                <w:color w:val="auto"/>
              </w:rPr>
            </w:pPr>
            <w:r>
              <w:rPr>
                <w:rFonts w:ascii="Arial" w:cs="Arial" w:eastAsia="Arial" w:hAnsi="Arial"/>
                <w:sz w:val="13"/>
                <w:szCs w:val="13"/>
                <w:b w:val="1"/>
                <w:bCs w:val="1"/>
                <w:color w:val="auto"/>
              </w:rPr>
              <w:t>2.60</w:t>
            </w:r>
          </w:p>
        </w:tc>
        <w:tc>
          <w:tcPr>
            <w:tcW w:w="1280" w:type="dxa"/>
            <w:vAlign w:val="bottom"/>
          </w:tcPr>
          <w:p>
            <w:pPr>
              <w:jc w:val="right"/>
              <w:ind w:right="56"/>
              <w:spacing w:after="0"/>
              <w:rPr>
                <w:sz w:val="20"/>
                <w:szCs w:val="20"/>
                <w:color w:val="auto"/>
              </w:rPr>
            </w:pPr>
            <w:r>
              <w:rPr>
                <w:rFonts w:ascii="Arial" w:cs="Arial" w:eastAsia="Arial" w:hAnsi="Arial"/>
                <w:sz w:val="13"/>
                <w:szCs w:val="13"/>
                <w:color w:val="auto"/>
              </w:rPr>
              <w:t>6.57</w:t>
            </w:r>
          </w:p>
        </w:tc>
        <w:tc>
          <w:tcPr>
            <w:tcW w:w="1300" w:type="dxa"/>
            <w:vAlign w:val="bottom"/>
          </w:tcPr>
          <w:p>
            <w:pPr>
              <w:jc w:val="right"/>
              <w:ind w:right="36"/>
              <w:spacing w:after="0"/>
              <w:rPr>
                <w:sz w:val="20"/>
                <w:szCs w:val="20"/>
                <w:color w:val="auto"/>
              </w:rPr>
            </w:pPr>
            <w:r>
              <w:rPr>
                <w:rFonts w:ascii="Arial" w:cs="Arial" w:eastAsia="Arial" w:hAnsi="Arial"/>
                <w:sz w:val="13"/>
                <w:szCs w:val="13"/>
                <w:color w:val="auto"/>
              </w:rPr>
              <w:t>(0.30)</w:t>
            </w:r>
          </w:p>
        </w:tc>
        <w:tc>
          <w:tcPr>
            <w:tcW w:w="1180" w:type="dxa"/>
            <w:vAlign w:val="bottom"/>
          </w:tcPr>
          <w:p>
            <w:pPr>
              <w:jc w:val="right"/>
              <w:spacing w:after="0"/>
              <w:rPr>
                <w:sz w:val="20"/>
                <w:szCs w:val="20"/>
                <w:color w:val="auto"/>
              </w:rPr>
            </w:pPr>
            <w:r>
              <w:rPr>
                <w:rFonts w:ascii="Arial" w:cs="Arial" w:eastAsia="Arial" w:hAnsi="Arial"/>
                <w:sz w:val="13"/>
                <w:szCs w:val="13"/>
                <w:color w:val="auto"/>
              </w:rPr>
              <w:t>6.27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Diluted earnings per ordinary share</w:t>
            </w:r>
          </w:p>
        </w:tc>
        <w:tc>
          <w:tcPr>
            <w:tcW w:w="13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6.49</w:t>
            </w:r>
          </w:p>
        </w:tc>
        <w:tc>
          <w:tcPr>
            <w:tcW w:w="128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3"/>
                <w:szCs w:val="13"/>
                <w:b w:val="1"/>
                <w:bCs w:val="1"/>
                <w:color w:val="auto"/>
              </w:rPr>
              <w:t>(3.92)</w:t>
            </w:r>
          </w:p>
        </w:tc>
        <w:tc>
          <w:tcPr>
            <w:tcW w:w="13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2.57</w:t>
            </w:r>
          </w:p>
        </w:tc>
        <w:tc>
          <w:tcPr>
            <w:tcW w:w="12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6.53</w:t>
            </w:r>
          </w:p>
        </w:tc>
        <w:tc>
          <w:tcPr>
            <w:tcW w:w="13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(0.30)</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6.22</w:t>
            </w:r>
          </w:p>
        </w:tc>
        <w:tc>
          <w:tcPr>
            <w:tcW w:w="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13"/>
          <w:szCs w:val="13"/>
          <w:color w:val="auto"/>
        </w:rPr>
        <w:t>The Company had 34,303 anti-dilutive shares in issue at 31 December 2021 comprised of 5,012 options and 26,933 PSUs and 2,358 RSUs (31 December 2020: 144,275).</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ectPr>
          <w:pgSz w:w="11900" w:h="16838" w:orient="portrait"/>
          <w:cols w:equalWidth="0" w:num="1">
            <w:col w:w="11280"/>
          </w:cols>
          <w:pgMar w:left="300" w:top="698" w:right="319" w:bottom="1440" w:gutter="0" w:footer="0" w:header="0"/>
        </w:sectPr>
      </w:pPr>
    </w:p>
    <w:bookmarkStart w:id="80" w:name="page81"/>
    <w:bookmarkEnd w:id="80"/>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190" w:lineRule="exact"/>
        <w:rPr>
          <w:sz w:val="20"/>
          <w:szCs w:val="20"/>
          <w:color w:val="auto"/>
        </w:rPr>
      </w:pPr>
    </w:p>
    <w:p>
      <w:pPr>
        <w:spacing w:after="0"/>
        <w:tabs>
          <w:tab w:leader="none" w:pos="240" w:val="left"/>
        </w:tabs>
        <w:rPr>
          <w:sz w:val="20"/>
          <w:szCs w:val="20"/>
          <w:color w:val="auto"/>
        </w:rPr>
      </w:pPr>
      <w:r>
        <w:rPr>
          <w:rFonts w:ascii="Arial" w:cs="Arial" w:eastAsia="Arial" w:hAnsi="Arial"/>
          <w:sz w:val="13"/>
          <w:szCs w:val="13"/>
          <w:b w:val="1"/>
          <w:bCs w:val="1"/>
          <w:color w:val="auto"/>
        </w:rPr>
        <w:t>8.</w:t>
      </w:r>
      <w:r>
        <w:rPr>
          <w:sz w:val="20"/>
          <w:szCs w:val="20"/>
          <w:color w:val="auto"/>
        </w:rPr>
        <w:tab/>
      </w:r>
      <w:r>
        <w:rPr>
          <w:rFonts w:ascii="Arial" w:cs="Arial" w:eastAsia="Arial" w:hAnsi="Arial"/>
          <w:sz w:val="12"/>
          <w:szCs w:val="12"/>
          <w:b w:val="1"/>
          <w:bCs w:val="1"/>
          <w:color w:val="auto"/>
        </w:rPr>
        <w:t>Exceptional items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300" w:type="dxa"/>
            <w:vAlign w:val="bottom"/>
          </w:tcPr>
          <w:p>
            <w:pPr>
              <w:spacing w:after="0"/>
              <w:rPr>
                <w:sz w:val="20"/>
                <w:szCs w:val="20"/>
                <w:color w:val="auto"/>
              </w:rPr>
            </w:pPr>
            <w:r>
              <w:rPr>
                <w:rFonts w:ascii="Arial" w:cs="Arial" w:eastAsia="Arial" w:hAnsi="Arial"/>
                <w:sz w:val="13"/>
                <w:szCs w:val="13"/>
                <w:color w:val="auto"/>
              </w:rPr>
              <w:t>Exceptional items are comprised of transaction and integration related, restructuring and financing expenses.</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04"/>
        </w:trPr>
        <w:tc>
          <w:tcPr>
            <w:tcW w:w="8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gridSpan w:val="2"/>
          </w:tcPr>
          <w:p>
            <w:pPr>
              <w:spacing w:after="0"/>
              <w:rPr>
                <w:sz w:val="17"/>
                <w:szCs w:val="17"/>
                <w:color w:val="auto"/>
              </w:rPr>
            </w:pPr>
          </w:p>
        </w:tc>
        <w:tc>
          <w:tcPr>
            <w:tcW w:w="1140" w:type="dxa"/>
            <w:vAlign w:val="bottom"/>
          </w:tcPr>
          <w:p>
            <w:pPr>
              <w:spacing w:after="0"/>
              <w:rPr>
                <w:sz w:val="17"/>
                <w:szCs w:val="17"/>
                <w:color w:val="auto"/>
              </w:rPr>
            </w:pPr>
          </w:p>
        </w:tc>
      </w:tr>
      <w:tr>
        <w:trPr>
          <w:trHeight w:val="170"/>
        </w:trPr>
        <w:tc>
          <w:tcPr>
            <w:tcW w:w="83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Year Ended</w:t>
            </w:r>
          </w:p>
        </w:tc>
        <w:tc>
          <w:tcPr>
            <w:tcW w:w="1140" w:type="dxa"/>
            <w:vAlign w:val="bottom"/>
            <w:tcBorders>
              <w:bottom w:val="single" w:sz="8" w:color="auto"/>
            </w:tcBorders>
            <w:shd w:val="clear" w:color="auto" w:fill="CCEEFF"/>
          </w:tcPr>
          <w:p>
            <w:pPr>
              <w:spacing w:after="0"/>
              <w:rPr>
                <w:sz w:val="14"/>
                <w:szCs w:val="14"/>
                <w:color w:val="auto"/>
              </w:rPr>
            </w:pPr>
          </w:p>
        </w:tc>
      </w:tr>
      <w:tr>
        <w:trPr>
          <w:trHeight w:val="160"/>
        </w:trPr>
        <w:tc>
          <w:tcPr>
            <w:tcW w:w="83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31 December 2021</w:t>
            </w: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6"/>
              </w:rPr>
              <w:t>31 December 2020</w:t>
            </w:r>
          </w:p>
        </w:tc>
      </w:tr>
      <w:tr>
        <w:trPr>
          <w:trHeight w:val="160"/>
        </w:trPr>
        <w:tc>
          <w:tcPr>
            <w:tcW w:w="83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740" w:type="dxa"/>
            <w:vAlign w:val="bottom"/>
            <w:gridSpan w:val="3"/>
            <w:shd w:val="clear" w:color="auto" w:fill="CCEEFF"/>
          </w:tcPr>
          <w:p>
            <w:pPr>
              <w:jc w:val="right"/>
              <w:ind w:right="976"/>
              <w:spacing w:after="0"/>
              <w:rPr>
                <w:sz w:val="20"/>
                <w:szCs w:val="20"/>
                <w:color w:val="auto"/>
              </w:rPr>
            </w:pPr>
            <w:r>
              <w:rPr>
                <w:rFonts w:ascii="Arial" w:cs="Arial" w:eastAsia="Arial" w:hAnsi="Arial"/>
                <w:sz w:val="13"/>
                <w:szCs w:val="13"/>
                <w:b w:val="1"/>
                <w:bCs w:val="1"/>
                <w:color w:val="auto"/>
              </w:rPr>
              <w:t>(in thousands)</w:t>
            </w:r>
          </w:p>
        </w:tc>
      </w:tr>
      <w:tr>
        <w:trPr>
          <w:trHeight w:val="170"/>
        </w:trPr>
        <w:tc>
          <w:tcPr>
            <w:tcW w:w="8300" w:type="dxa"/>
            <w:vAlign w:val="bottom"/>
          </w:tcPr>
          <w:p>
            <w:pPr>
              <w:ind w:left="20"/>
              <w:spacing w:after="0"/>
              <w:rPr>
                <w:sz w:val="20"/>
                <w:szCs w:val="20"/>
                <w:color w:val="auto"/>
              </w:rPr>
            </w:pPr>
            <w:r>
              <w:rPr>
                <w:rFonts w:ascii="Arial" w:cs="Arial" w:eastAsia="Arial" w:hAnsi="Arial"/>
                <w:sz w:val="13"/>
                <w:szCs w:val="13"/>
                <w:color w:val="auto"/>
              </w:rPr>
              <w:t>Transaction and integration related</w:t>
            </w:r>
          </w:p>
        </w:tc>
        <w:tc>
          <w:tcPr>
            <w:tcW w:w="220" w:type="dxa"/>
            <w:vAlign w:val="bottom"/>
          </w:tcPr>
          <w:p>
            <w:pPr>
              <w:jc w:val="right"/>
              <w:ind w:right="76"/>
              <w:spacing w:after="0"/>
              <w:rPr>
                <w:sz w:val="20"/>
                <w:szCs w:val="20"/>
                <w:color w:val="auto"/>
              </w:rPr>
            </w:pPr>
            <w:r>
              <w:rPr>
                <w:rFonts w:ascii="Arial" w:cs="Arial" w:eastAsia="Arial" w:hAnsi="Arial"/>
                <w:sz w:val="13"/>
                <w:szCs w:val="13"/>
                <w:b w:val="1"/>
                <w:bCs w:val="1"/>
                <w:color w:val="auto"/>
                <w:w w:val="82"/>
              </w:rPr>
              <w:t>$</w:t>
            </w:r>
          </w:p>
        </w:tc>
        <w:tc>
          <w:tcPr>
            <w:tcW w:w="1260" w:type="dxa"/>
            <w:vAlign w:val="bottom"/>
          </w:tcPr>
          <w:p>
            <w:pPr>
              <w:jc w:val="right"/>
              <w:spacing w:after="0"/>
              <w:rPr>
                <w:sz w:val="20"/>
                <w:szCs w:val="20"/>
                <w:color w:val="auto"/>
              </w:rPr>
            </w:pPr>
            <w:r>
              <w:rPr>
                <w:rFonts w:ascii="Arial" w:cs="Arial" w:eastAsia="Arial" w:hAnsi="Arial"/>
                <w:sz w:val="13"/>
                <w:szCs w:val="13"/>
                <w:b w:val="1"/>
                <w:bCs w:val="1"/>
                <w:color w:val="auto"/>
              </w:rPr>
              <w:t>124,427</w:t>
            </w: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(759)</w:t>
            </w:r>
          </w:p>
        </w:tc>
      </w:tr>
      <w:tr>
        <w:trPr>
          <w:trHeight w:val="170"/>
        </w:trPr>
        <w:tc>
          <w:tcPr>
            <w:tcW w:w="8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Accelerated stock compensation charge</w:t>
            </w: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b w:val="1"/>
                <w:bCs w:val="1"/>
                <w:color w:val="auto"/>
                <w:w w:val="82"/>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46,187</w:t>
            </w: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83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Restructuring charges</w:t>
            </w: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w w:val="82"/>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31,105</w:t>
            </w:r>
          </w:p>
        </w:tc>
        <w:tc>
          <w:tcPr>
            <w:tcW w:w="3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18,089</w:t>
            </w:r>
          </w:p>
        </w:tc>
      </w:tr>
      <w:tr>
        <w:trPr>
          <w:trHeight w:val="170"/>
        </w:trPr>
        <w:tc>
          <w:tcPr>
            <w:tcW w:w="8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operating expenses</w:t>
            </w: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b w:val="1"/>
                <w:bCs w:val="1"/>
                <w:color w:val="auto"/>
                <w:w w:val="82"/>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201,719</w:t>
            </w: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17,330</w:t>
            </w:r>
          </w:p>
        </w:tc>
      </w:tr>
      <w:tr>
        <w:trPr>
          <w:trHeight w:val="171"/>
        </w:trPr>
        <w:tc>
          <w:tcPr>
            <w:tcW w:w="83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Financing expense</w:t>
            </w: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w w:val="82"/>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75,391</w:t>
            </w:r>
          </w:p>
        </w:tc>
        <w:tc>
          <w:tcPr>
            <w:tcW w:w="3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8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Profit before tax</w:t>
            </w: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b w:val="1"/>
                <w:bCs w:val="1"/>
                <w:color w:val="auto"/>
                <w:w w:val="82"/>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277,110</w:t>
            </w: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17,330</w:t>
            </w:r>
          </w:p>
        </w:tc>
      </w:tr>
      <w:tr>
        <w:trPr>
          <w:trHeight w:val="171"/>
        </w:trPr>
        <w:tc>
          <w:tcPr>
            <w:tcW w:w="83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Income tax expense</w:t>
            </w: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w w:val="82"/>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(10,842)</w:t>
            </w:r>
          </w:p>
        </w:tc>
        <w:tc>
          <w:tcPr>
            <w:tcW w:w="3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(2,261)</w:t>
            </w:r>
          </w:p>
        </w:tc>
      </w:tr>
      <w:tr>
        <w:trPr>
          <w:trHeight w:val="195"/>
        </w:trPr>
        <w:tc>
          <w:tcPr>
            <w:tcW w:w="8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Exceptional items (net)</w:t>
            </w: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w w:val="82"/>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266,268</w:t>
            </w: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15,069</w:t>
            </w:r>
          </w:p>
        </w:tc>
      </w:tr>
      <w:tr>
        <w:trPr>
          <w:trHeight w:val="20"/>
        </w:trPr>
        <w:tc>
          <w:tcPr>
            <w:tcW w:w="83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5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Transaction and integration related</w:t>
      </w:r>
    </w:p>
    <w:p>
      <w:pPr>
        <w:spacing w:after="0" w:line="9"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In the year ended 31 December 2021, the Company incurred $124.4 million of Merger-related expenses which were accounted for separately from the business combination and expensed as incurred within the “Other operating expenses” line item of the Consolidated Statement of Profit and Loss. These costs consist primarily of investment banker fees, advisory fees, legal costs, accounting and consulting fees, and employee retention bonuses. Included in the $124.4 million of transaction and integration costs are acquisition related costs $57.1 million. These costs include finders fees; advisory, legal, accounting, valuation, and other professional or consulting fees.</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Accelerated stock compensation charge</w:t>
      </w:r>
    </w:p>
    <w:p>
      <w:pPr>
        <w:spacing w:after="0" w:line="9"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In the year ended 31 December 2021, the Company charged $46.2 million of one time stock compensation expense. This one time charge related to the post combination portion of the accelerated vesting of awards following the completion of the Merger.</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Restructuring charges</w:t>
      </w:r>
    </w:p>
    <w:p>
      <w:pPr>
        <w:spacing w:after="0" w:line="9"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A restructuring charge of $31.1 million was recognised during the year ended 31 December 2021 under a restructuring plan adopted following a review of operations and are included within the “Other operating expenses” line item of the Consolidated Statement of Profit and Loss. The restructuring plan reflected resource rationalisation across the business to improve employee utilisation and an office consolidation programme to optimise the Company's office footprint. The restructuring plan resulted in a charge of $4.8 million relating to workforce reductions, an impairment of ROU assets of $15.6 million, associated unavoidable costs totalling $6.3 million and fixed asset impairment of $4.4 million.</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Financing expense</w:t>
      </w:r>
    </w:p>
    <w:p>
      <w:pPr>
        <w:spacing w:after="0" w:line="9"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The Company also incurred approximately $75.4 million of Merger-related financing fees which are included in the “Financing expense” line item in the Consolidated Statement of Profit and Loss for the year ended 31 December 2021.</w:t>
      </w:r>
    </w:p>
    <w:p>
      <w:pPr>
        <w:spacing w:after="0" w:line="158"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At 31 December 2021, a total liability of $28.4 million was included in the Consolidated Statement of Financial Position relating to restructuring activities. The total liability included $23.2 million from lease and lease related liabilities of which $8.2 million is recorded in Accrued and other liabilities, $2.2 million is recorded in Provisions, $9.9 million is recorded in Non-current lease liabilities and $2.9 million is recorded in Non-current provisions. The remaining provision of $5.2 million relates to workforce reduction and is included within Provisions.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2660" w:type="dxa"/>
            <w:vAlign w:val="bottom"/>
            <w:tcBorders>
              <w:bottom w:val="single" w:sz="8" w:color="auto"/>
            </w:tcBorders>
            <w:gridSpan w:val="3"/>
            <w:shd w:val="clear" w:color="auto" w:fill="CCEEFF"/>
          </w:tcPr>
          <w:p>
            <w:pPr>
              <w:ind w:left="900"/>
              <w:spacing w:after="0"/>
              <w:rPr>
                <w:sz w:val="20"/>
                <w:szCs w:val="20"/>
                <w:color w:val="auto"/>
              </w:rPr>
            </w:pPr>
            <w:r>
              <w:rPr>
                <w:rFonts w:ascii="Arial" w:cs="Arial" w:eastAsia="Arial" w:hAnsi="Arial"/>
                <w:sz w:val="13"/>
                <w:szCs w:val="13"/>
                <w:b w:val="1"/>
                <w:bCs w:val="1"/>
                <w:color w:val="auto"/>
              </w:rPr>
              <w:t>Year Ended</w:t>
            </w:r>
          </w:p>
        </w:tc>
      </w:tr>
      <w:tr>
        <w:trPr>
          <w:trHeight w:val="160"/>
        </w:trPr>
        <w:tc>
          <w:tcPr>
            <w:tcW w:w="84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w w:val="96"/>
              </w:rPr>
              <w:t>31 December 2021</w:t>
            </w:r>
          </w:p>
        </w:tc>
        <w:tc>
          <w:tcPr>
            <w:tcW w:w="2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31 December 2020</w:t>
            </w:r>
          </w:p>
        </w:tc>
      </w:tr>
      <w:tr>
        <w:trPr>
          <w:trHeight w:val="160"/>
        </w:trPr>
        <w:tc>
          <w:tcPr>
            <w:tcW w:w="84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60" w:type="dxa"/>
            <w:vAlign w:val="bottom"/>
            <w:gridSpan w:val="3"/>
            <w:shd w:val="clear" w:color="auto" w:fill="CCEEFF"/>
          </w:tcPr>
          <w:p>
            <w:pPr>
              <w:ind w:left="800"/>
              <w:spacing w:after="0"/>
              <w:rPr>
                <w:sz w:val="20"/>
                <w:szCs w:val="20"/>
                <w:color w:val="auto"/>
              </w:rPr>
            </w:pPr>
            <w:r>
              <w:rPr>
                <w:rFonts w:ascii="Arial" w:cs="Arial" w:eastAsia="Arial" w:hAnsi="Arial"/>
                <w:sz w:val="13"/>
                <w:szCs w:val="13"/>
                <w:b w:val="1"/>
                <w:bCs w:val="1"/>
                <w:color w:val="auto"/>
              </w:rPr>
              <w:t>(in thousands)</w:t>
            </w:r>
          </w:p>
        </w:tc>
      </w:tr>
      <w:tr>
        <w:trPr>
          <w:trHeight w:val="212"/>
        </w:trPr>
        <w:tc>
          <w:tcPr>
            <w:tcW w:w="8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170"/>
        </w:trPr>
        <w:tc>
          <w:tcPr>
            <w:tcW w:w="8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Opening liability</w:t>
            </w: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b w:val="1"/>
                <w:bCs w:val="1"/>
                <w:color w:val="auto"/>
                <w:w w:val="82"/>
              </w:rPr>
              <w:t>$</w:t>
            </w:r>
          </w:p>
        </w:tc>
        <w:tc>
          <w:tcPr>
            <w:tcW w:w="1240" w:type="dxa"/>
            <w:vAlign w:val="bottom"/>
            <w:shd w:val="clear" w:color="auto" w:fill="CCEEFF"/>
          </w:tcPr>
          <w:p>
            <w:pPr>
              <w:ind w:left="800"/>
              <w:spacing w:after="0"/>
              <w:rPr>
                <w:sz w:val="20"/>
                <w:szCs w:val="20"/>
                <w:color w:val="auto"/>
              </w:rPr>
            </w:pPr>
            <w:r>
              <w:rPr>
                <w:rFonts w:ascii="Arial" w:cs="Arial" w:eastAsia="Arial" w:hAnsi="Arial"/>
                <w:sz w:val="13"/>
                <w:szCs w:val="13"/>
                <w:b w:val="1"/>
                <w:bCs w:val="1"/>
                <w:color w:val="auto"/>
              </w:rPr>
              <w:t>10,748</w:t>
            </w: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1,637</w:t>
            </w:r>
          </w:p>
        </w:tc>
      </w:tr>
      <w:tr>
        <w:trPr>
          <w:trHeight w:val="170"/>
        </w:trPr>
        <w:tc>
          <w:tcPr>
            <w:tcW w:w="8420" w:type="dxa"/>
            <w:vAlign w:val="bottom"/>
          </w:tcPr>
          <w:p>
            <w:pPr>
              <w:ind w:left="20"/>
              <w:spacing w:after="0"/>
              <w:rPr>
                <w:sz w:val="20"/>
                <w:szCs w:val="20"/>
                <w:color w:val="auto"/>
              </w:rPr>
            </w:pPr>
            <w:r>
              <w:rPr>
                <w:rFonts w:ascii="Arial" w:cs="Arial" w:eastAsia="Arial" w:hAnsi="Arial"/>
                <w:sz w:val="13"/>
                <w:szCs w:val="13"/>
                <w:color w:val="auto"/>
              </w:rPr>
              <w:t>Additional charges in the year</w:t>
            </w:r>
          </w:p>
        </w:tc>
        <w:tc>
          <w:tcPr>
            <w:tcW w:w="180" w:type="dxa"/>
            <w:vAlign w:val="bottom"/>
          </w:tcPr>
          <w:p>
            <w:pPr>
              <w:spacing w:after="0"/>
              <w:rPr>
                <w:sz w:val="14"/>
                <w:szCs w:val="14"/>
                <w:color w:val="auto"/>
              </w:rPr>
            </w:pPr>
          </w:p>
        </w:tc>
        <w:tc>
          <w:tcPr>
            <w:tcW w:w="1240" w:type="dxa"/>
            <w:vAlign w:val="bottom"/>
          </w:tcPr>
          <w:p>
            <w:pPr>
              <w:ind w:left="800"/>
              <w:spacing w:after="0"/>
              <w:rPr>
                <w:sz w:val="20"/>
                <w:szCs w:val="20"/>
                <w:color w:val="auto"/>
              </w:rPr>
            </w:pPr>
            <w:r>
              <w:rPr>
                <w:rFonts w:ascii="Arial" w:cs="Arial" w:eastAsia="Arial" w:hAnsi="Arial"/>
                <w:sz w:val="13"/>
                <w:szCs w:val="13"/>
                <w:b w:val="1"/>
                <w:bCs w:val="1"/>
                <w:color w:val="auto"/>
              </w:rPr>
              <w:t>26,674</w:t>
            </w:r>
          </w:p>
        </w:tc>
        <w:tc>
          <w:tcPr>
            <w:tcW w:w="2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18,089</w:t>
            </w:r>
          </w:p>
        </w:tc>
      </w:tr>
      <w:tr>
        <w:trPr>
          <w:trHeight w:val="171"/>
        </w:trPr>
        <w:tc>
          <w:tcPr>
            <w:tcW w:w="8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Utilisation</w:t>
            </w:r>
          </w:p>
        </w:tc>
        <w:tc>
          <w:tcPr>
            <w:tcW w:w="18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3"/>
                <w:szCs w:val="13"/>
                <w:b w:val="1"/>
                <w:bCs w:val="1"/>
                <w:color w:val="auto"/>
                <w:w w:val="97"/>
              </w:rPr>
              <w:t>(9,069)</w:t>
            </w:r>
          </w:p>
        </w:tc>
        <w:tc>
          <w:tcPr>
            <w:tcW w:w="20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(8,978)</w:t>
            </w:r>
          </w:p>
        </w:tc>
      </w:tr>
      <w:tr>
        <w:trPr>
          <w:trHeight w:val="170"/>
        </w:trPr>
        <w:tc>
          <w:tcPr>
            <w:tcW w:w="84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Ending liability</w:t>
            </w:r>
          </w:p>
        </w:tc>
        <w:tc>
          <w:tcPr>
            <w:tcW w:w="1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w w:val="82"/>
              </w:rPr>
              <w:t>$</w:t>
            </w:r>
          </w:p>
        </w:tc>
        <w:tc>
          <w:tcPr>
            <w:tcW w:w="1240" w:type="dxa"/>
            <w:vAlign w:val="bottom"/>
            <w:tcBorders>
              <w:bottom w:val="single" w:sz="8" w:color="auto"/>
            </w:tcBorders>
          </w:tcPr>
          <w:p>
            <w:pPr>
              <w:ind w:left="800"/>
              <w:spacing w:after="0"/>
              <w:rPr>
                <w:sz w:val="20"/>
                <w:szCs w:val="20"/>
                <w:color w:val="auto"/>
              </w:rPr>
            </w:pPr>
            <w:r>
              <w:rPr>
                <w:rFonts w:ascii="Arial" w:cs="Arial" w:eastAsia="Arial" w:hAnsi="Arial"/>
                <w:sz w:val="13"/>
                <w:szCs w:val="13"/>
                <w:b w:val="1"/>
                <w:bCs w:val="1"/>
                <w:color w:val="auto"/>
              </w:rPr>
              <w:t>28,353</w:t>
            </w:r>
          </w:p>
        </w:tc>
        <w:tc>
          <w:tcPr>
            <w:tcW w:w="2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10,748</w:t>
            </w:r>
          </w:p>
        </w:tc>
      </w:tr>
      <w:tr>
        <w:trPr>
          <w:trHeight w:val="20"/>
        </w:trPr>
        <w:tc>
          <w:tcPr>
            <w:tcW w:w="8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ectPr>
          <w:pgSz w:w="11900" w:h="16838" w:orient="portrait"/>
          <w:cols w:equalWidth="0" w:num="1">
            <w:col w:w="11280"/>
          </w:cols>
          <w:pgMar w:left="300" w:top="698" w:right="319" w:bottom="1440" w:gutter="0" w:footer="0" w:header="0"/>
        </w:sectPr>
      </w:pPr>
    </w:p>
    <w:bookmarkStart w:id="81" w:name="page82"/>
    <w:bookmarkEnd w:id="81"/>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190" w:lineRule="exact"/>
        <w:rPr>
          <w:sz w:val="20"/>
          <w:szCs w:val="20"/>
          <w:color w:val="auto"/>
        </w:rPr>
      </w:pPr>
    </w:p>
    <w:p>
      <w:pPr>
        <w:spacing w:after="0"/>
        <w:tabs>
          <w:tab w:leader="none" w:pos="240" w:val="left"/>
        </w:tabs>
        <w:rPr>
          <w:sz w:val="20"/>
          <w:szCs w:val="20"/>
          <w:color w:val="auto"/>
        </w:rPr>
      </w:pPr>
      <w:r>
        <w:rPr>
          <w:rFonts w:ascii="Arial" w:cs="Arial" w:eastAsia="Arial" w:hAnsi="Arial"/>
          <w:sz w:val="13"/>
          <w:szCs w:val="13"/>
          <w:b w:val="1"/>
          <w:bCs w:val="1"/>
          <w:color w:val="auto"/>
        </w:rPr>
        <w:t>9.</w:t>
      </w:r>
      <w:r>
        <w:rPr>
          <w:sz w:val="20"/>
          <w:szCs w:val="20"/>
          <w:color w:val="auto"/>
        </w:rPr>
        <w:tab/>
      </w:r>
      <w:r>
        <w:rPr>
          <w:rFonts w:ascii="Arial" w:cs="Arial" w:eastAsia="Arial" w:hAnsi="Arial"/>
          <w:sz w:val="12"/>
          <w:szCs w:val="12"/>
          <w:b w:val="1"/>
          <w:bCs w:val="1"/>
          <w:color w:val="auto"/>
        </w:rPr>
        <w:t>Payroll and related benefits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Payroll costs</w:t>
      </w:r>
    </w:p>
    <w:p>
      <w:pPr>
        <w:spacing w:after="0" w:line="199" w:lineRule="exact"/>
        <w:rPr>
          <w:sz w:val="20"/>
          <w:szCs w:val="20"/>
          <w:color w:val="auto"/>
        </w:rPr>
      </w:pPr>
    </w:p>
    <w:p>
      <w:pPr>
        <w:spacing w:after="0"/>
        <w:rPr>
          <w:sz w:val="20"/>
          <w:szCs w:val="20"/>
          <w:color w:val="auto"/>
        </w:rPr>
      </w:pPr>
      <w:r>
        <w:rPr>
          <w:rFonts w:ascii="Arial" w:cs="Arial" w:eastAsia="Arial" w:hAnsi="Arial"/>
          <w:sz w:val="13"/>
          <w:szCs w:val="13"/>
          <w:color w:val="auto"/>
        </w:rPr>
        <w:t>The aggregate payroll costs of employees of the Group for the year ended 31 December 2021 were as follows: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20" w:type="dxa"/>
            <w:vAlign w:val="bottom"/>
            <w:shd w:val="clear" w:color="auto" w:fill="CCEEFF"/>
          </w:tcPr>
          <w:p>
            <w:pPr>
              <w:spacing w:after="0"/>
              <w:rPr>
                <w:sz w:val="13"/>
                <w:szCs w:val="13"/>
                <w:color w:val="auto"/>
              </w:rPr>
            </w:pPr>
          </w:p>
        </w:tc>
        <w:tc>
          <w:tcPr>
            <w:tcW w:w="2940" w:type="dxa"/>
            <w:vAlign w:val="bottom"/>
            <w:vMerge w:val="restart"/>
            <w:shd w:val="clear" w:color="auto" w:fill="CCEEFF"/>
          </w:tcPr>
          <w:p>
            <w:pPr>
              <w:jc w:val="right"/>
              <w:ind w:right="216"/>
              <w:spacing w:after="0"/>
              <w:rPr>
                <w:sz w:val="20"/>
                <w:szCs w:val="20"/>
                <w:color w:val="auto"/>
              </w:rPr>
            </w:pPr>
            <w:r>
              <w:rPr>
                <w:rFonts w:ascii="Arial" w:cs="Arial" w:eastAsia="Arial" w:hAnsi="Arial"/>
                <w:sz w:val="13"/>
                <w:szCs w:val="13"/>
                <w:b w:val="1"/>
                <w:bCs w:val="1"/>
                <w:i w:val="1"/>
                <w:iCs w:val="1"/>
                <w:color w:val="auto"/>
              </w:rPr>
              <w:t>Note</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 xml:space="preserve">Year ended 31 </w:t>
            </w:r>
            <w:r>
              <w:rPr>
                <w:rFonts w:ascii="Arial" w:cs="Arial" w:eastAsia="Arial" w:hAnsi="Arial"/>
                <w:sz w:val="13"/>
                <w:szCs w:val="13"/>
                <w:color w:val="auto"/>
              </w:rPr>
              <w:t>Year ended 31 December</w:t>
            </w:r>
          </w:p>
        </w:tc>
        <w:tc>
          <w:tcPr>
            <w:tcW w:w="0" w:type="dxa"/>
            <w:vAlign w:val="bottom"/>
          </w:tcPr>
          <w:p>
            <w:pPr>
              <w:spacing w:after="0"/>
              <w:rPr>
                <w:sz w:val="1"/>
                <w:szCs w:val="1"/>
                <w:color w:val="auto"/>
              </w:rPr>
            </w:pPr>
          </w:p>
        </w:tc>
      </w:tr>
      <w:tr>
        <w:trPr>
          <w:trHeight w:val="170"/>
        </w:trPr>
        <w:tc>
          <w:tcPr>
            <w:tcW w:w="5620" w:type="dxa"/>
            <w:vAlign w:val="bottom"/>
            <w:tcBorders>
              <w:bottom w:val="single" w:sz="8" w:color="auto"/>
            </w:tcBorders>
            <w:shd w:val="clear" w:color="auto" w:fill="CCEEFF"/>
          </w:tcPr>
          <w:p>
            <w:pPr>
              <w:spacing w:after="0"/>
              <w:rPr>
                <w:sz w:val="14"/>
                <w:szCs w:val="14"/>
                <w:color w:val="auto"/>
              </w:rPr>
            </w:pPr>
          </w:p>
        </w:tc>
        <w:tc>
          <w:tcPr>
            <w:tcW w:w="2940" w:type="dxa"/>
            <w:vAlign w:val="bottom"/>
            <w:tcBorders>
              <w:bottom w:val="single" w:sz="8" w:color="auto"/>
            </w:tcBorders>
            <w:vMerge w:val="continue"/>
            <w:shd w:val="clear" w:color="auto" w:fill="CCEEFF"/>
          </w:tcPr>
          <w:p>
            <w:pPr>
              <w:spacing w:after="0"/>
              <w:rPr>
                <w:sz w:val="14"/>
                <w:szCs w:val="14"/>
                <w:color w:val="auto"/>
              </w:rPr>
            </w:pPr>
          </w:p>
        </w:tc>
        <w:tc>
          <w:tcPr>
            <w:tcW w:w="166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b w:val="1"/>
                <w:bCs w:val="1"/>
                <w:color w:val="auto"/>
              </w:rPr>
              <w:t>December 2021</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2020</w:t>
            </w:r>
          </w:p>
        </w:tc>
        <w:tc>
          <w:tcPr>
            <w:tcW w:w="0" w:type="dxa"/>
            <w:vAlign w:val="bottom"/>
          </w:tcPr>
          <w:p>
            <w:pPr>
              <w:spacing w:after="0"/>
              <w:rPr>
                <w:sz w:val="1"/>
                <w:szCs w:val="1"/>
                <w:color w:val="auto"/>
              </w:rPr>
            </w:pPr>
          </w:p>
        </w:tc>
      </w:tr>
      <w:tr>
        <w:trPr>
          <w:trHeight w:val="160"/>
        </w:trPr>
        <w:tc>
          <w:tcPr>
            <w:tcW w:w="56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660" w:type="dxa"/>
            <w:vAlign w:val="bottom"/>
          </w:tcPr>
          <w:p>
            <w:pPr>
              <w:jc w:val="right"/>
              <w:ind w:right="376"/>
              <w:spacing w:after="0"/>
              <w:rPr>
                <w:sz w:val="20"/>
                <w:szCs w:val="20"/>
                <w:color w:val="auto"/>
              </w:rPr>
            </w:pPr>
            <w:r>
              <w:rPr>
                <w:rFonts w:ascii="Arial" w:cs="Arial" w:eastAsia="Arial" w:hAnsi="Arial"/>
                <w:sz w:val="13"/>
                <w:szCs w:val="13"/>
                <w:b w:val="1"/>
                <w:bCs w:val="1"/>
                <w:color w:val="auto"/>
              </w:rPr>
              <w:t>$’000</w:t>
            </w:r>
          </w:p>
        </w:tc>
        <w:tc>
          <w:tcPr>
            <w:tcW w:w="1060" w:type="dxa"/>
            <w:vAlign w:val="bottom"/>
          </w:tcPr>
          <w:p>
            <w:pPr>
              <w:jc w:val="right"/>
              <w:spacing w:after="0"/>
              <w:rPr>
                <w:sz w:val="20"/>
                <w:szCs w:val="20"/>
                <w:color w:val="auto"/>
              </w:rPr>
            </w:pPr>
            <w:r>
              <w:rPr>
                <w:rFonts w:ascii="Arial" w:cs="Arial" w:eastAsia="Arial" w:hAnsi="Arial"/>
                <w:sz w:val="13"/>
                <w:szCs w:val="13"/>
                <w:color w:val="auto"/>
              </w:rPr>
              <w:t>$’000</w:t>
            </w:r>
          </w:p>
        </w:tc>
        <w:tc>
          <w:tcPr>
            <w:tcW w:w="0" w:type="dxa"/>
            <w:vAlign w:val="bottom"/>
          </w:tcPr>
          <w:p>
            <w:pPr>
              <w:spacing w:after="0"/>
              <w:rPr>
                <w:sz w:val="1"/>
                <w:szCs w:val="1"/>
                <w:color w:val="auto"/>
              </w:rPr>
            </w:pPr>
          </w:p>
        </w:tc>
      </w:tr>
      <w:tr>
        <w:trPr>
          <w:trHeight w:val="202"/>
        </w:trPr>
        <w:tc>
          <w:tcPr>
            <w:tcW w:w="5620" w:type="dxa"/>
            <w:vAlign w:val="bottom"/>
            <w:shd w:val="clear" w:color="auto" w:fill="CCEEFF"/>
          </w:tcPr>
          <w:p>
            <w:pPr>
              <w:spacing w:after="0"/>
              <w:rPr>
                <w:sz w:val="17"/>
                <w:szCs w:val="17"/>
                <w:color w:val="auto"/>
              </w:rPr>
            </w:pPr>
          </w:p>
        </w:tc>
        <w:tc>
          <w:tcPr>
            <w:tcW w:w="29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5620" w:type="dxa"/>
            <w:vAlign w:val="bottom"/>
          </w:tcPr>
          <w:p>
            <w:pPr>
              <w:ind w:left="20"/>
              <w:spacing w:after="0"/>
              <w:rPr>
                <w:sz w:val="20"/>
                <w:szCs w:val="20"/>
                <w:color w:val="auto"/>
              </w:rPr>
            </w:pPr>
            <w:r>
              <w:rPr>
                <w:rFonts w:ascii="Arial" w:cs="Arial" w:eastAsia="Arial" w:hAnsi="Arial"/>
                <w:sz w:val="13"/>
                <w:szCs w:val="13"/>
                <w:color w:val="auto"/>
              </w:rPr>
              <w:t>Wages and salaries</w:t>
            </w:r>
          </w:p>
        </w:tc>
        <w:tc>
          <w:tcPr>
            <w:tcW w:w="2940" w:type="dxa"/>
            <w:vAlign w:val="bottom"/>
          </w:tcPr>
          <w:p>
            <w:pPr>
              <w:spacing w:after="0"/>
              <w:rPr>
                <w:sz w:val="14"/>
                <w:szCs w:val="14"/>
                <w:color w:val="auto"/>
              </w:rPr>
            </w:pPr>
          </w:p>
        </w:tc>
        <w:tc>
          <w:tcPr>
            <w:tcW w:w="1660" w:type="dxa"/>
            <w:vAlign w:val="bottom"/>
          </w:tcPr>
          <w:p>
            <w:pPr>
              <w:jc w:val="right"/>
              <w:ind w:right="416"/>
              <w:spacing w:after="0"/>
              <w:rPr>
                <w:sz w:val="20"/>
                <w:szCs w:val="20"/>
                <w:color w:val="auto"/>
              </w:rPr>
            </w:pPr>
            <w:r>
              <w:rPr>
                <w:rFonts w:ascii="Arial" w:cs="Arial" w:eastAsia="Arial" w:hAnsi="Arial"/>
                <w:sz w:val="13"/>
                <w:szCs w:val="13"/>
                <w:b w:val="1"/>
                <w:bCs w:val="1"/>
                <w:color w:val="auto"/>
              </w:rPr>
              <w:t>2,282,082</w:t>
            </w:r>
          </w:p>
        </w:tc>
        <w:tc>
          <w:tcPr>
            <w:tcW w:w="1060" w:type="dxa"/>
            <w:vAlign w:val="bottom"/>
          </w:tcPr>
          <w:p>
            <w:pPr>
              <w:jc w:val="right"/>
              <w:spacing w:after="0"/>
              <w:rPr>
                <w:sz w:val="20"/>
                <w:szCs w:val="20"/>
                <w:color w:val="auto"/>
              </w:rPr>
            </w:pPr>
            <w:r>
              <w:rPr>
                <w:rFonts w:ascii="Arial" w:cs="Arial" w:eastAsia="Arial" w:hAnsi="Arial"/>
                <w:sz w:val="13"/>
                <w:szCs w:val="13"/>
                <w:color w:val="auto"/>
              </w:rPr>
              <w:t>1,117,473</w:t>
            </w:r>
          </w:p>
        </w:tc>
        <w:tc>
          <w:tcPr>
            <w:tcW w:w="0" w:type="dxa"/>
            <w:vAlign w:val="bottom"/>
          </w:tcPr>
          <w:p>
            <w:pPr>
              <w:spacing w:after="0"/>
              <w:rPr>
                <w:sz w:val="1"/>
                <w:szCs w:val="1"/>
                <w:color w:val="auto"/>
              </w:rPr>
            </w:pPr>
          </w:p>
        </w:tc>
      </w:tr>
      <w:tr>
        <w:trPr>
          <w:trHeight w:val="170"/>
        </w:trPr>
        <w:tc>
          <w:tcPr>
            <w:tcW w:w="5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Social welfare costs</w:t>
            </w:r>
          </w:p>
        </w:tc>
        <w:tc>
          <w:tcPr>
            <w:tcW w:w="2940" w:type="dxa"/>
            <w:vAlign w:val="bottom"/>
            <w:shd w:val="clear" w:color="auto" w:fill="CCEEFF"/>
          </w:tcPr>
          <w:p>
            <w:pPr>
              <w:spacing w:after="0"/>
              <w:rPr>
                <w:sz w:val="14"/>
                <w:szCs w:val="14"/>
                <w:color w:val="auto"/>
              </w:rPr>
            </w:pPr>
          </w:p>
        </w:tc>
        <w:tc>
          <w:tcPr>
            <w:tcW w:w="1660" w:type="dxa"/>
            <w:vAlign w:val="bottom"/>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351,333</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160,015</w:t>
            </w:r>
          </w:p>
        </w:tc>
        <w:tc>
          <w:tcPr>
            <w:tcW w:w="0" w:type="dxa"/>
            <w:vAlign w:val="bottom"/>
          </w:tcPr>
          <w:p>
            <w:pPr>
              <w:spacing w:after="0"/>
              <w:rPr>
                <w:sz w:val="1"/>
                <w:szCs w:val="1"/>
                <w:color w:val="auto"/>
              </w:rPr>
            </w:pPr>
          </w:p>
        </w:tc>
      </w:tr>
      <w:tr>
        <w:trPr>
          <w:trHeight w:val="170"/>
        </w:trPr>
        <w:tc>
          <w:tcPr>
            <w:tcW w:w="5620" w:type="dxa"/>
            <w:vAlign w:val="bottom"/>
          </w:tcPr>
          <w:p>
            <w:pPr>
              <w:ind w:left="20"/>
              <w:spacing w:after="0"/>
              <w:rPr>
                <w:sz w:val="20"/>
                <w:szCs w:val="20"/>
                <w:color w:val="auto"/>
              </w:rPr>
            </w:pPr>
            <w:r>
              <w:rPr>
                <w:rFonts w:ascii="Arial" w:cs="Arial" w:eastAsia="Arial" w:hAnsi="Arial"/>
                <w:sz w:val="13"/>
                <w:szCs w:val="13"/>
                <w:color w:val="auto"/>
              </w:rPr>
              <w:t>Pension costs for defined contribution pension schemes</w:t>
            </w:r>
          </w:p>
        </w:tc>
        <w:tc>
          <w:tcPr>
            <w:tcW w:w="2940" w:type="dxa"/>
            <w:vAlign w:val="bottom"/>
          </w:tcPr>
          <w:p>
            <w:pPr>
              <w:jc w:val="right"/>
              <w:ind w:right="216"/>
              <w:spacing w:after="0"/>
              <w:rPr>
                <w:sz w:val="20"/>
                <w:szCs w:val="20"/>
                <w:color w:val="auto"/>
              </w:rPr>
            </w:pPr>
            <w:r>
              <w:rPr>
                <w:rFonts w:ascii="Arial" w:cs="Arial" w:eastAsia="Arial" w:hAnsi="Arial"/>
                <w:sz w:val="13"/>
                <w:szCs w:val="13"/>
                <w:i w:val="1"/>
                <w:iCs w:val="1"/>
                <w:color w:val="auto"/>
              </w:rPr>
              <w:t>10</w:t>
            </w:r>
          </w:p>
        </w:tc>
        <w:tc>
          <w:tcPr>
            <w:tcW w:w="1660" w:type="dxa"/>
            <w:vAlign w:val="bottom"/>
          </w:tcPr>
          <w:p>
            <w:pPr>
              <w:jc w:val="right"/>
              <w:ind w:right="416"/>
              <w:spacing w:after="0"/>
              <w:rPr>
                <w:sz w:val="20"/>
                <w:szCs w:val="20"/>
                <w:color w:val="auto"/>
              </w:rPr>
            </w:pPr>
            <w:r>
              <w:rPr>
                <w:rFonts w:ascii="Arial" w:cs="Arial" w:eastAsia="Arial" w:hAnsi="Arial"/>
                <w:sz w:val="13"/>
                <w:szCs w:val="13"/>
                <w:b w:val="1"/>
                <w:bCs w:val="1"/>
                <w:color w:val="auto"/>
              </w:rPr>
              <w:t>53,898</w:t>
            </w:r>
          </w:p>
        </w:tc>
        <w:tc>
          <w:tcPr>
            <w:tcW w:w="1060" w:type="dxa"/>
            <w:vAlign w:val="bottom"/>
          </w:tcPr>
          <w:p>
            <w:pPr>
              <w:jc w:val="right"/>
              <w:spacing w:after="0"/>
              <w:rPr>
                <w:sz w:val="20"/>
                <w:szCs w:val="20"/>
                <w:color w:val="auto"/>
              </w:rPr>
            </w:pPr>
            <w:r>
              <w:rPr>
                <w:rFonts w:ascii="Arial" w:cs="Arial" w:eastAsia="Arial" w:hAnsi="Arial"/>
                <w:sz w:val="13"/>
                <w:szCs w:val="13"/>
                <w:color w:val="auto"/>
              </w:rPr>
              <w:t>45,084</w:t>
            </w:r>
          </w:p>
        </w:tc>
        <w:tc>
          <w:tcPr>
            <w:tcW w:w="0" w:type="dxa"/>
            <w:vAlign w:val="bottom"/>
          </w:tcPr>
          <w:p>
            <w:pPr>
              <w:spacing w:after="0"/>
              <w:rPr>
                <w:sz w:val="1"/>
                <w:szCs w:val="1"/>
                <w:color w:val="auto"/>
              </w:rPr>
            </w:pPr>
          </w:p>
        </w:tc>
      </w:tr>
      <w:tr>
        <w:trPr>
          <w:trHeight w:val="170"/>
        </w:trPr>
        <w:tc>
          <w:tcPr>
            <w:tcW w:w="5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Pension costs for defined benefit pension schemes</w:t>
            </w:r>
          </w:p>
        </w:tc>
        <w:tc>
          <w:tcPr>
            <w:tcW w:w="2940" w:type="dxa"/>
            <w:vAlign w:val="bottom"/>
            <w:shd w:val="clear" w:color="auto" w:fill="CCEEFF"/>
          </w:tcPr>
          <w:p>
            <w:pPr>
              <w:jc w:val="right"/>
              <w:ind w:right="216"/>
              <w:spacing w:after="0"/>
              <w:rPr>
                <w:sz w:val="20"/>
                <w:szCs w:val="20"/>
                <w:color w:val="auto"/>
              </w:rPr>
            </w:pPr>
            <w:r>
              <w:rPr>
                <w:rFonts w:ascii="Arial" w:cs="Arial" w:eastAsia="Arial" w:hAnsi="Arial"/>
                <w:sz w:val="13"/>
                <w:szCs w:val="13"/>
                <w:i w:val="1"/>
                <w:iCs w:val="1"/>
                <w:color w:val="auto"/>
              </w:rPr>
              <w:t>10</w:t>
            </w:r>
          </w:p>
        </w:tc>
        <w:tc>
          <w:tcPr>
            <w:tcW w:w="1660" w:type="dxa"/>
            <w:vAlign w:val="bottom"/>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561</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321</w:t>
            </w:r>
          </w:p>
        </w:tc>
        <w:tc>
          <w:tcPr>
            <w:tcW w:w="0" w:type="dxa"/>
            <w:vAlign w:val="bottom"/>
          </w:tcPr>
          <w:p>
            <w:pPr>
              <w:spacing w:after="0"/>
              <w:rPr>
                <w:sz w:val="1"/>
                <w:szCs w:val="1"/>
                <w:color w:val="auto"/>
              </w:rPr>
            </w:pPr>
          </w:p>
        </w:tc>
      </w:tr>
      <w:tr>
        <w:trPr>
          <w:trHeight w:val="170"/>
        </w:trPr>
        <w:tc>
          <w:tcPr>
            <w:tcW w:w="5620" w:type="dxa"/>
            <w:vAlign w:val="bottom"/>
          </w:tcPr>
          <w:p>
            <w:pPr>
              <w:ind w:left="20"/>
              <w:spacing w:after="0"/>
              <w:rPr>
                <w:sz w:val="20"/>
                <w:szCs w:val="20"/>
                <w:color w:val="auto"/>
              </w:rPr>
            </w:pPr>
            <w:r>
              <w:rPr>
                <w:rFonts w:ascii="Arial" w:cs="Arial" w:eastAsia="Arial" w:hAnsi="Arial"/>
                <w:sz w:val="13"/>
                <w:szCs w:val="13"/>
                <w:color w:val="auto"/>
              </w:rPr>
              <w:t>Termination benefits</w:t>
            </w:r>
          </w:p>
        </w:tc>
        <w:tc>
          <w:tcPr>
            <w:tcW w:w="2940" w:type="dxa"/>
            <w:vAlign w:val="bottom"/>
          </w:tcPr>
          <w:p>
            <w:pPr>
              <w:jc w:val="right"/>
              <w:ind w:right="216"/>
              <w:spacing w:after="0"/>
              <w:rPr>
                <w:sz w:val="20"/>
                <w:szCs w:val="20"/>
                <w:color w:val="auto"/>
              </w:rPr>
            </w:pPr>
            <w:r>
              <w:rPr>
                <w:rFonts w:ascii="Arial" w:cs="Arial" w:eastAsia="Arial" w:hAnsi="Arial"/>
                <w:sz w:val="13"/>
                <w:szCs w:val="13"/>
                <w:i w:val="1"/>
                <w:iCs w:val="1"/>
                <w:color w:val="auto"/>
              </w:rPr>
              <w:t>8</w:t>
            </w:r>
          </w:p>
        </w:tc>
        <w:tc>
          <w:tcPr>
            <w:tcW w:w="1660" w:type="dxa"/>
            <w:vAlign w:val="bottom"/>
          </w:tcPr>
          <w:p>
            <w:pPr>
              <w:jc w:val="right"/>
              <w:ind w:right="416"/>
              <w:spacing w:after="0"/>
              <w:rPr>
                <w:sz w:val="20"/>
                <w:szCs w:val="20"/>
                <w:color w:val="auto"/>
              </w:rPr>
            </w:pPr>
            <w:r>
              <w:rPr>
                <w:rFonts w:ascii="Arial" w:cs="Arial" w:eastAsia="Arial" w:hAnsi="Arial"/>
                <w:sz w:val="13"/>
                <w:szCs w:val="13"/>
                <w:b w:val="1"/>
                <w:bCs w:val="1"/>
                <w:color w:val="auto"/>
              </w:rPr>
              <w:t>4,758</w:t>
            </w:r>
          </w:p>
        </w:tc>
        <w:tc>
          <w:tcPr>
            <w:tcW w:w="1060" w:type="dxa"/>
            <w:vAlign w:val="bottom"/>
          </w:tcPr>
          <w:p>
            <w:pPr>
              <w:jc w:val="right"/>
              <w:spacing w:after="0"/>
              <w:rPr>
                <w:sz w:val="20"/>
                <w:szCs w:val="20"/>
                <w:color w:val="auto"/>
              </w:rPr>
            </w:pPr>
            <w:r>
              <w:rPr>
                <w:rFonts w:ascii="Arial" w:cs="Arial" w:eastAsia="Arial" w:hAnsi="Arial"/>
                <w:sz w:val="13"/>
                <w:szCs w:val="13"/>
                <w:color w:val="auto"/>
              </w:rPr>
              <w:t>11,391</w:t>
            </w:r>
          </w:p>
        </w:tc>
        <w:tc>
          <w:tcPr>
            <w:tcW w:w="0" w:type="dxa"/>
            <w:vAlign w:val="bottom"/>
          </w:tcPr>
          <w:p>
            <w:pPr>
              <w:spacing w:after="0"/>
              <w:rPr>
                <w:sz w:val="1"/>
                <w:szCs w:val="1"/>
                <w:color w:val="auto"/>
              </w:rPr>
            </w:pPr>
          </w:p>
        </w:tc>
      </w:tr>
      <w:tr>
        <w:trPr>
          <w:trHeight w:val="170"/>
        </w:trPr>
        <w:tc>
          <w:tcPr>
            <w:tcW w:w="5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Share-based payment*</w:t>
            </w:r>
          </w:p>
        </w:tc>
        <w:tc>
          <w:tcPr>
            <w:tcW w:w="294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i w:val="1"/>
                <w:iCs w:val="1"/>
                <w:color w:val="auto"/>
              </w:rPr>
              <w:t>11</w:t>
            </w:r>
          </w:p>
        </w:tc>
        <w:tc>
          <w:tcPr>
            <w:tcW w:w="166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105,859</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26,597</w:t>
            </w:r>
          </w:p>
        </w:tc>
        <w:tc>
          <w:tcPr>
            <w:tcW w:w="0" w:type="dxa"/>
            <w:vAlign w:val="bottom"/>
          </w:tcPr>
          <w:p>
            <w:pPr>
              <w:spacing w:after="0"/>
              <w:rPr>
                <w:sz w:val="1"/>
                <w:szCs w:val="1"/>
                <w:color w:val="auto"/>
              </w:rPr>
            </w:pPr>
          </w:p>
        </w:tc>
      </w:tr>
      <w:tr>
        <w:trPr>
          <w:trHeight w:val="160"/>
        </w:trPr>
        <w:tc>
          <w:tcPr>
            <w:tcW w:w="5620" w:type="dxa"/>
            <w:vAlign w:val="bottom"/>
          </w:tcPr>
          <w:p>
            <w:pPr>
              <w:ind w:left="20"/>
              <w:spacing w:after="0"/>
              <w:rPr>
                <w:sz w:val="20"/>
                <w:szCs w:val="20"/>
                <w:color w:val="auto"/>
              </w:rPr>
            </w:pPr>
            <w:r>
              <w:rPr>
                <w:rFonts w:ascii="Arial" w:cs="Arial" w:eastAsia="Arial" w:hAnsi="Arial"/>
                <w:sz w:val="13"/>
                <w:szCs w:val="13"/>
                <w:b w:val="1"/>
                <w:bCs w:val="1"/>
                <w:color w:val="auto"/>
              </w:rPr>
              <w:t>Total charge to income</w:t>
            </w:r>
          </w:p>
        </w:tc>
        <w:tc>
          <w:tcPr>
            <w:tcW w:w="2940" w:type="dxa"/>
            <w:vAlign w:val="bottom"/>
          </w:tcPr>
          <w:p>
            <w:pPr>
              <w:spacing w:after="0"/>
              <w:rPr>
                <w:sz w:val="13"/>
                <w:szCs w:val="13"/>
                <w:color w:val="auto"/>
              </w:rPr>
            </w:pPr>
          </w:p>
        </w:tc>
        <w:tc>
          <w:tcPr>
            <w:tcW w:w="1660" w:type="dxa"/>
            <w:vAlign w:val="bottom"/>
          </w:tcPr>
          <w:p>
            <w:pPr>
              <w:jc w:val="right"/>
              <w:ind w:right="416"/>
              <w:spacing w:after="0"/>
              <w:rPr>
                <w:sz w:val="20"/>
                <w:szCs w:val="20"/>
                <w:color w:val="auto"/>
              </w:rPr>
            </w:pPr>
            <w:r>
              <w:rPr>
                <w:rFonts w:ascii="Arial" w:cs="Arial" w:eastAsia="Arial" w:hAnsi="Arial"/>
                <w:sz w:val="13"/>
                <w:szCs w:val="13"/>
                <w:b w:val="1"/>
                <w:bCs w:val="1"/>
                <w:color w:val="auto"/>
              </w:rPr>
              <w:t>2,798,491</w:t>
            </w:r>
          </w:p>
        </w:tc>
        <w:tc>
          <w:tcPr>
            <w:tcW w:w="1060" w:type="dxa"/>
            <w:vAlign w:val="bottom"/>
          </w:tcPr>
          <w:p>
            <w:pPr>
              <w:jc w:val="right"/>
              <w:spacing w:after="0"/>
              <w:rPr>
                <w:sz w:val="20"/>
                <w:szCs w:val="20"/>
                <w:color w:val="auto"/>
              </w:rPr>
            </w:pPr>
            <w:r>
              <w:rPr>
                <w:rFonts w:ascii="Arial" w:cs="Arial" w:eastAsia="Arial" w:hAnsi="Arial"/>
                <w:sz w:val="13"/>
                <w:szCs w:val="13"/>
                <w:color w:val="auto"/>
              </w:rPr>
              <w:t>1,360,881</w:t>
            </w:r>
          </w:p>
        </w:tc>
        <w:tc>
          <w:tcPr>
            <w:tcW w:w="0" w:type="dxa"/>
            <w:vAlign w:val="bottom"/>
          </w:tcPr>
          <w:p>
            <w:pPr>
              <w:spacing w:after="0"/>
              <w:rPr>
                <w:sz w:val="1"/>
                <w:szCs w:val="1"/>
                <w:color w:val="auto"/>
              </w:rPr>
            </w:pPr>
          </w:p>
        </w:tc>
      </w:tr>
      <w:tr>
        <w:trPr>
          <w:trHeight w:val="170"/>
        </w:trPr>
        <w:tc>
          <w:tcPr>
            <w:tcW w:w="5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Re-measurement of post-employment benefit obligations</w:t>
            </w:r>
          </w:p>
        </w:tc>
        <w:tc>
          <w:tcPr>
            <w:tcW w:w="294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i w:val="1"/>
                <w:iCs w:val="1"/>
                <w:color w:val="auto"/>
              </w:rPr>
              <w:t>10</w:t>
            </w:r>
          </w:p>
        </w:tc>
        <w:tc>
          <w:tcPr>
            <w:tcW w:w="166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b w:val="1"/>
                <w:bCs w:val="1"/>
                <w:color w:val="auto"/>
              </w:rPr>
              <w:t>(4,175)</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3,730</w:t>
            </w:r>
          </w:p>
        </w:tc>
        <w:tc>
          <w:tcPr>
            <w:tcW w:w="0" w:type="dxa"/>
            <w:vAlign w:val="bottom"/>
          </w:tcPr>
          <w:p>
            <w:pPr>
              <w:spacing w:after="0"/>
              <w:rPr>
                <w:sz w:val="1"/>
                <w:szCs w:val="1"/>
                <w:color w:val="auto"/>
              </w:rPr>
            </w:pPr>
          </w:p>
        </w:tc>
      </w:tr>
      <w:tr>
        <w:trPr>
          <w:trHeight w:val="182"/>
        </w:trPr>
        <w:tc>
          <w:tcPr>
            <w:tcW w:w="56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payroll and related benefit costs</w:t>
            </w:r>
          </w:p>
        </w:tc>
        <w:tc>
          <w:tcPr>
            <w:tcW w:w="2940" w:type="dxa"/>
            <w:vAlign w:val="bottom"/>
            <w:tcBorders>
              <w:bottom w:val="single" w:sz="8" w:color="auto"/>
            </w:tcBorders>
            <w:shd w:val="clear" w:color="auto" w:fill="CCEEFF"/>
          </w:tcPr>
          <w:p>
            <w:pPr>
              <w:spacing w:after="0"/>
              <w:rPr>
                <w:sz w:val="14"/>
                <w:szCs w:val="14"/>
                <w:color w:val="auto"/>
              </w:rPr>
            </w:pPr>
          </w:p>
        </w:tc>
        <w:tc>
          <w:tcPr>
            <w:tcW w:w="166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2,794,316</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1,364,611</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80" w:hanging="75"/>
        <w:spacing w:after="0"/>
        <w:tabs>
          <w:tab w:leader="none" w:pos="80" w:val="left"/>
        </w:tabs>
        <w:numPr>
          <w:ilvl w:val="0"/>
          <w:numId w:val="69"/>
        </w:numPr>
        <w:rPr>
          <w:rFonts w:ascii="Arial" w:cs="Arial" w:eastAsia="Arial" w:hAnsi="Arial"/>
          <w:sz w:val="11"/>
          <w:szCs w:val="11"/>
          <w:color w:val="auto"/>
        </w:rPr>
      </w:pPr>
      <w:r>
        <w:rPr>
          <w:rFonts w:ascii="Arial" w:cs="Arial" w:eastAsia="Arial" w:hAnsi="Arial"/>
          <w:sz w:val="11"/>
          <w:szCs w:val="11"/>
          <w:i w:val="1"/>
          <w:iCs w:val="1"/>
          <w:color w:val="auto"/>
        </w:rPr>
        <w:t>IFRS 2 requires that the fair value of share options, restricted share units or performance share units is amortised over the vesting period of the award.</w:t>
      </w:r>
    </w:p>
    <w:p>
      <w:pPr>
        <w:spacing w:after="0" w:line="20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Average employee numbers</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The average number of employees, including executive Directors, employed by the Group during the year ended 31 December 2021 was as follows: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40" w:type="dxa"/>
            <w:vAlign w:val="bottom"/>
            <w:shd w:val="clear" w:color="auto" w:fill="CCEEFF"/>
          </w:tcPr>
          <w:p>
            <w:pPr>
              <w:spacing w:after="0"/>
              <w:rPr>
                <w:sz w:val="13"/>
                <w:szCs w:val="13"/>
                <w:color w:val="auto"/>
              </w:rPr>
            </w:pPr>
          </w:p>
        </w:tc>
        <w:tc>
          <w:tcPr>
            <w:tcW w:w="614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 xml:space="preserve">Year ended 31 </w:t>
            </w:r>
            <w:r>
              <w:rPr>
                <w:rFonts w:ascii="Arial" w:cs="Arial" w:eastAsia="Arial" w:hAnsi="Arial"/>
                <w:sz w:val="13"/>
                <w:szCs w:val="13"/>
                <w:color w:val="auto"/>
              </w:rPr>
              <w:t>Year ended 31 December</w:t>
            </w:r>
          </w:p>
        </w:tc>
      </w:tr>
      <w:tr>
        <w:trPr>
          <w:trHeight w:val="170"/>
        </w:trPr>
        <w:tc>
          <w:tcPr>
            <w:tcW w:w="5140" w:type="dxa"/>
            <w:vAlign w:val="bottom"/>
            <w:tcBorders>
              <w:bottom w:val="single" w:sz="8" w:color="auto"/>
            </w:tcBorders>
            <w:shd w:val="clear" w:color="auto" w:fill="CCEEFF"/>
          </w:tcPr>
          <w:p>
            <w:pPr>
              <w:spacing w:after="0"/>
              <w:rPr>
                <w:sz w:val="14"/>
                <w:szCs w:val="14"/>
                <w:color w:val="auto"/>
              </w:rPr>
            </w:pPr>
          </w:p>
        </w:tc>
        <w:tc>
          <w:tcPr>
            <w:tcW w:w="516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December 2021</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2020</w:t>
            </w:r>
          </w:p>
        </w:tc>
      </w:tr>
      <w:tr>
        <w:trPr>
          <w:trHeight w:val="150"/>
        </w:trPr>
        <w:tc>
          <w:tcPr>
            <w:tcW w:w="514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82"/>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Marketing</w:t>
            </w:r>
          </w:p>
        </w:tc>
        <w:tc>
          <w:tcPr>
            <w:tcW w:w="5160" w:type="dxa"/>
            <w:vAlign w:val="bottom"/>
            <w:tcBorders>
              <w:bottom w:val="single" w:sz="8" w:color="CCEEFF"/>
            </w:tcBorders>
            <w:shd w:val="clear" w:color="auto" w:fill="CCEEFF"/>
          </w:tcPr>
          <w:p>
            <w:pPr>
              <w:jc w:val="right"/>
              <w:ind w:right="496"/>
              <w:spacing w:after="0"/>
              <w:rPr>
                <w:sz w:val="20"/>
                <w:szCs w:val="20"/>
                <w:color w:val="auto"/>
              </w:rPr>
            </w:pPr>
            <w:r>
              <w:rPr>
                <w:rFonts w:ascii="Arial" w:cs="Arial" w:eastAsia="Arial" w:hAnsi="Arial"/>
                <w:sz w:val="13"/>
                <w:szCs w:val="13"/>
                <w:b w:val="1"/>
                <w:bCs w:val="1"/>
                <w:color w:val="auto"/>
              </w:rPr>
              <w:t>358</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209</w:t>
            </w:r>
          </w:p>
        </w:tc>
      </w:tr>
      <w:tr>
        <w:trPr>
          <w:trHeight w:val="170"/>
        </w:trPr>
        <w:tc>
          <w:tcPr>
            <w:tcW w:w="5140" w:type="dxa"/>
            <w:vAlign w:val="bottom"/>
          </w:tcPr>
          <w:p>
            <w:pPr>
              <w:ind w:left="20"/>
              <w:spacing w:after="0"/>
              <w:rPr>
                <w:sz w:val="20"/>
                <w:szCs w:val="20"/>
                <w:color w:val="auto"/>
              </w:rPr>
            </w:pPr>
            <w:r>
              <w:rPr>
                <w:rFonts w:ascii="Arial" w:cs="Arial" w:eastAsia="Arial" w:hAnsi="Arial"/>
                <w:sz w:val="13"/>
                <w:szCs w:val="13"/>
                <w:color w:val="auto"/>
              </w:rPr>
              <w:t>Administration</w:t>
            </w:r>
          </w:p>
        </w:tc>
        <w:tc>
          <w:tcPr>
            <w:tcW w:w="5160" w:type="dxa"/>
            <w:vAlign w:val="bottom"/>
          </w:tcPr>
          <w:p>
            <w:pPr>
              <w:jc w:val="right"/>
              <w:ind w:right="496"/>
              <w:spacing w:after="0"/>
              <w:rPr>
                <w:sz w:val="20"/>
                <w:szCs w:val="20"/>
                <w:color w:val="auto"/>
              </w:rPr>
            </w:pPr>
            <w:r>
              <w:rPr>
                <w:rFonts w:ascii="Arial" w:cs="Arial" w:eastAsia="Arial" w:hAnsi="Arial"/>
                <w:sz w:val="13"/>
                <w:szCs w:val="13"/>
                <w:b w:val="1"/>
                <w:bCs w:val="1"/>
                <w:color w:val="auto"/>
              </w:rPr>
              <w:t>2,623</w:t>
            </w:r>
          </w:p>
        </w:tc>
        <w:tc>
          <w:tcPr>
            <w:tcW w:w="980" w:type="dxa"/>
            <w:vAlign w:val="bottom"/>
          </w:tcPr>
          <w:p>
            <w:pPr>
              <w:jc w:val="right"/>
              <w:spacing w:after="0"/>
              <w:rPr>
                <w:sz w:val="20"/>
                <w:szCs w:val="20"/>
                <w:color w:val="auto"/>
              </w:rPr>
            </w:pPr>
            <w:r>
              <w:rPr>
                <w:rFonts w:ascii="Arial" w:cs="Arial" w:eastAsia="Arial" w:hAnsi="Arial"/>
                <w:sz w:val="13"/>
                <w:szCs w:val="13"/>
                <w:color w:val="auto"/>
              </w:rPr>
              <w:t>1,780</w:t>
            </w:r>
          </w:p>
        </w:tc>
      </w:tr>
      <w:tr>
        <w:trPr>
          <w:trHeight w:val="170"/>
        </w:trPr>
        <w:tc>
          <w:tcPr>
            <w:tcW w:w="5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Clinical research</w:t>
            </w:r>
          </w:p>
        </w:tc>
        <w:tc>
          <w:tcPr>
            <w:tcW w:w="5160" w:type="dxa"/>
            <w:vAlign w:val="bottom"/>
            <w:shd w:val="clear" w:color="auto" w:fill="CCEEFF"/>
          </w:tcPr>
          <w:p>
            <w:pPr>
              <w:jc w:val="right"/>
              <w:ind w:right="496"/>
              <w:spacing w:after="0"/>
              <w:rPr>
                <w:sz w:val="20"/>
                <w:szCs w:val="20"/>
                <w:color w:val="auto"/>
              </w:rPr>
            </w:pPr>
            <w:r>
              <w:rPr>
                <w:rFonts w:ascii="Arial" w:cs="Arial" w:eastAsia="Arial" w:hAnsi="Arial"/>
                <w:sz w:val="13"/>
                <w:szCs w:val="13"/>
                <w:b w:val="1"/>
                <w:bCs w:val="1"/>
                <w:color w:val="auto"/>
              </w:rPr>
              <w:t>22,392</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12,455</w:t>
            </w:r>
          </w:p>
        </w:tc>
      </w:tr>
      <w:tr>
        <w:trPr>
          <w:trHeight w:val="170"/>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Laboratory</w:t>
            </w:r>
          </w:p>
        </w:tc>
        <w:tc>
          <w:tcPr>
            <w:tcW w:w="516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996</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730</w:t>
            </w:r>
          </w:p>
        </w:tc>
      </w:tr>
      <w:tr>
        <w:trPr>
          <w:trHeight w:val="150"/>
        </w:trPr>
        <w:tc>
          <w:tcPr>
            <w:tcW w:w="5140" w:type="dxa"/>
            <w:vAlign w:val="bottom"/>
            <w:shd w:val="clear" w:color="auto" w:fill="CCEEFF"/>
          </w:tcPr>
          <w:p>
            <w:pPr>
              <w:spacing w:after="0"/>
              <w:rPr>
                <w:sz w:val="13"/>
                <w:szCs w:val="13"/>
                <w:color w:val="auto"/>
              </w:rPr>
            </w:pPr>
          </w:p>
        </w:tc>
        <w:tc>
          <w:tcPr>
            <w:tcW w:w="5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171"/>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w:t>
            </w:r>
          </w:p>
        </w:tc>
        <w:tc>
          <w:tcPr>
            <w:tcW w:w="516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26,369</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15,174</w:t>
            </w:r>
          </w:p>
        </w:tc>
      </w:tr>
      <w:tr>
        <w:trPr>
          <w:trHeight w:val="428"/>
        </w:trPr>
        <w:tc>
          <w:tcPr>
            <w:tcW w:w="5140" w:type="dxa"/>
            <w:vAlign w:val="bottom"/>
          </w:tcPr>
          <w:p>
            <w:pPr>
              <w:spacing w:after="0"/>
              <w:rPr>
                <w:sz w:val="20"/>
                <w:szCs w:val="20"/>
                <w:color w:val="auto"/>
              </w:rPr>
            </w:pPr>
            <w:r>
              <w:rPr>
                <w:rFonts w:ascii="Arial" w:cs="Arial" w:eastAsia="Arial" w:hAnsi="Arial"/>
                <w:sz w:val="13"/>
                <w:szCs w:val="13"/>
                <w:b w:val="1"/>
                <w:bCs w:val="1"/>
                <w:color w:val="auto"/>
              </w:rPr>
              <w:t>Directors’ remuneration</w:t>
            </w:r>
          </w:p>
        </w:tc>
        <w:tc>
          <w:tcPr>
            <w:tcW w:w="51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34"/>
        </w:trPr>
        <w:tc>
          <w:tcPr>
            <w:tcW w:w="5140" w:type="dxa"/>
            <w:vAlign w:val="bottom"/>
          </w:tcPr>
          <w:p>
            <w:pPr>
              <w:spacing w:after="0"/>
              <w:rPr>
                <w:sz w:val="20"/>
                <w:szCs w:val="20"/>
                <w:color w:val="auto"/>
              </w:rPr>
            </w:pPr>
            <w:r>
              <w:rPr>
                <w:rFonts w:ascii="Arial" w:cs="Arial" w:eastAsia="Arial" w:hAnsi="Arial"/>
                <w:sz w:val="13"/>
                <w:szCs w:val="13"/>
                <w:i w:val="1"/>
                <w:iCs w:val="1"/>
                <w:color w:val="auto"/>
              </w:rPr>
              <w:t>Remuneration policy</w:t>
            </w:r>
          </w:p>
        </w:tc>
        <w:tc>
          <w:tcPr>
            <w:tcW w:w="516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pacing w:after="0" w:line="183"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Compensation and Organisation Committee seeks to achieve the following goals with the Company’s executive compensation programmes: to attract, motivate and retain key executives and to reward executives for value creation. The Committee seeks to foster a performance-oriented environment by ensuring that a significant portion of each executive’s cash and equity compensation is based on the achievement of performance targets that are important to the Company, its shareholders and other stakeholders.</w:t>
      </w:r>
    </w:p>
    <w:p>
      <w:pPr>
        <w:spacing w:after="0" w:line="159"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Company’s executive compensation programme has three main elements: base salary, a bonus plan and equity incentives in the form of share related awards granted under the Company’s equity incentive plans. All elements of key executives’ compensation are determined by the Compensation and Organisation Committee based on the achievement of the Group’s and individual performance objectives.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ectPr>
          <w:pgSz w:w="11900" w:h="16838" w:orient="portrait"/>
          <w:cols w:equalWidth="0" w:num="1">
            <w:col w:w="11280"/>
          </w:cols>
          <w:pgMar w:left="300" w:top="698" w:right="319" w:bottom="1440" w:gutter="0" w:footer="0" w:header="0"/>
        </w:sectPr>
      </w:pPr>
    </w:p>
    <w:bookmarkStart w:id="82" w:name="page83"/>
    <w:bookmarkEnd w:id="82"/>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190" w:lineRule="exact"/>
        <w:rPr>
          <w:sz w:val="20"/>
          <w:szCs w:val="20"/>
          <w:color w:val="auto"/>
        </w:rPr>
      </w:pPr>
    </w:p>
    <w:p>
      <w:pPr>
        <w:ind w:left="260" w:hanging="255"/>
        <w:spacing w:after="0"/>
        <w:tabs>
          <w:tab w:leader="none" w:pos="260" w:val="left"/>
        </w:tabs>
        <w:numPr>
          <w:ilvl w:val="0"/>
          <w:numId w:val="70"/>
        </w:numPr>
        <w:rPr>
          <w:rFonts w:ascii="Arial" w:cs="Arial" w:eastAsia="Arial" w:hAnsi="Arial"/>
          <w:sz w:val="13"/>
          <w:szCs w:val="13"/>
          <w:b w:val="1"/>
          <w:bCs w:val="1"/>
          <w:color w:val="auto"/>
        </w:rPr>
      </w:pPr>
      <w:r>
        <w:rPr>
          <w:rFonts w:ascii="Arial" w:cs="Arial" w:eastAsia="Arial" w:hAnsi="Arial"/>
          <w:sz w:val="13"/>
          <w:szCs w:val="13"/>
          <w:b w:val="1"/>
          <w:bCs w:val="1"/>
          <w:color w:val="auto"/>
        </w:rPr>
        <w:t>Payroll and related benefits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Non-Executive Directors’ remuneration</w:t>
      </w:r>
    </w:p>
    <w:p>
      <w:pPr>
        <w:spacing w:after="0" w:line="188"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Non-Executive Directors are remunerated by way of Directors’ fees and are also eligible for participation in the share equity incentive schemes. Up to 1 July 2021, each Non-Executive Director (excluding the Board Chair) was paid an annual retainer of $65,000 and additional fees for Board Committee service. With effect from 1 July 2021, the annual retainer was increased to $90,000.</w:t>
      </w:r>
    </w:p>
    <w:p>
      <w:pPr>
        <w:spacing w:after="0" w:line="167"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Mr. Ciaran Murray’s Executive Chair term expired on 12 May 2018 and he transitioned to the role of Non-Executive Chair. Up to 1 July 2021, the arrangements with the Chair of the Board provide for payment of €300,000 (translated at average rate for the year: $356,244) annually. With effect from 1 July 2021, the Chair fee increased to €330,000 (translated at average rate for the year: $392,244) annually.</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Mr. Rónán Murphy was appointed as Lead Independent Director with effect from 1 January 2019 and receives an additional fee of $25,000 for this role.</w:t>
      </w:r>
    </w:p>
    <w:p>
      <w:pPr>
        <w:spacing w:after="0" w:line="190"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Non-Executive Directors are not eligible for performance related cash bonuses and no pension contributions are made on their behalf. The Compensation and Organisation Committee sets non-Executive remuneration.</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Executive Directors’ and Key Executive Officers’ remuneration</w:t>
      </w:r>
    </w:p>
    <w:p>
      <w:pPr>
        <w:spacing w:after="0" w:line="199"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Total cash compensation is divided into a base salary portion and a bonus incentive portion. The Committee targets total cash compensation with regard to healthcare/ biopharmaceutical companies of similar market capitalisation and peer CRO companies, adjusted upward or downward based on individual performance and experience and level of responsibility. The Compensation and Organisation Committee believes that the higher the executive’s level of responsibility within the Company, the greater the percentage of the executive’s compensation that should be tied to the Company’s performance. Target bonus incentive for executive officers range between 60% and 200% with actual pay outs for 2021 ranging from 60% to 200%, of salary, based on group and individual performance.</w:t>
      </w:r>
    </w:p>
    <w:p>
      <w:pPr>
        <w:spacing w:after="0" w:line="169"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A total bonus of $3.2 million was awarded to the following individuals; Dr. Steve Cutler, Chief Executive Officer ($2.3 million) and Mr. Brendan Brennan, Chief Financial Officer ($0.9 million) to reflect their contribution to the performance of the Company during 2021. These amounts were approved by the Compensation and Organisation Committee and will be paid during the year ended 31 December 2022.</w:t>
      </w:r>
    </w:p>
    <w:p>
      <w:pPr>
        <w:spacing w:after="0" w:line="170"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The Company’s executives are eligible to receive equity incentives, including stock options, restricted share units and performance share units, granted under the Company’s equity incentive plans. If executives receive equity incentive grants, they are normally approved annually at the first scheduled meeting of the Committee in the fiscal year. The grant date is determined by the Committee, and grants are awarded at the closing price on the day of grant. Newly hired executives may receive sign-on grants. In addition, the Committee may, in its discretion, issue additional equity incentive awards to executives if the Committee determines such awards are necessary to ensure appropriate incentives are in place. The equity awards granted to each participant is determined primarily by the Committee at the start of each year based on peer groups and advice from independent compensation consultants.</w:t>
      </w:r>
    </w:p>
    <w:p>
      <w:pPr>
        <w:spacing w:after="0" w:line="179"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All executive officers are eligible to participate in pension plans. The Company’s contributions are generally a fixed percentage of their annual compensation, supplementing contributions by the executive. The Company has the discretion to make additional contributions if deemed appropriate by the Committee. Contributions to this plan are recorded as an expense in the Consolidated Statement of Profit and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ectPr>
          <w:pgSz w:w="11900" w:h="16838" w:orient="portrait"/>
          <w:cols w:equalWidth="0" w:num="1">
            <w:col w:w="11280"/>
          </w:cols>
          <w:pgMar w:left="300" w:top="698" w:right="319"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190" w:lineRule="exact"/>
        <w:rPr>
          <w:sz w:val="20"/>
          <w:szCs w:val="20"/>
          <w:color w:val="auto"/>
        </w:rPr>
      </w:pPr>
    </w:p>
    <w:p>
      <w:pPr>
        <w:ind w:left="260" w:hanging="255"/>
        <w:spacing w:after="0"/>
        <w:tabs>
          <w:tab w:leader="none" w:pos="260" w:val="left"/>
        </w:tabs>
        <w:numPr>
          <w:ilvl w:val="0"/>
          <w:numId w:val="71"/>
        </w:numPr>
        <w:rPr>
          <w:rFonts w:ascii="Arial" w:cs="Arial" w:eastAsia="Arial" w:hAnsi="Arial"/>
          <w:sz w:val="13"/>
          <w:szCs w:val="13"/>
          <w:b w:val="1"/>
          <w:bCs w:val="1"/>
          <w:color w:val="auto"/>
        </w:rPr>
      </w:pPr>
      <w:r>
        <w:rPr>
          <w:rFonts w:ascii="Arial" w:cs="Arial" w:eastAsia="Arial" w:hAnsi="Arial"/>
          <w:sz w:val="13"/>
          <w:szCs w:val="13"/>
          <w:b w:val="1"/>
          <w:bCs w:val="1"/>
          <w:color w:val="auto"/>
        </w:rPr>
        <w:t>Payroll and related benefits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2"/>
          <w:szCs w:val="12"/>
          <w:color w:val="auto"/>
        </w:rPr>
        <w:t>The Directors, Executive Officers and Company Secretary have the following interests, all of which are beneficial, other than as stated, in the shares and share options of the Company or other Group</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60" w:type="dxa"/>
            <w:vAlign w:val="bottom"/>
          </w:tcPr>
          <w:p>
            <w:pPr>
              <w:spacing w:after="0"/>
              <w:rPr>
                <w:sz w:val="20"/>
                <w:szCs w:val="20"/>
                <w:color w:val="auto"/>
              </w:rPr>
            </w:pPr>
            <w:r>
              <w:rPr>
                <w:rFonts w:ascii="Arial" w:cs="Arial" w:eastAsia="Arial" w:hAnsi="Arial"/>
                <w:sz w:val="13"/>
                <w:szCs w:val="13"/>
                <w:color w:val="auto"/>
              </w:rPr>
              <w:t>companies</w:t>
            </w:r>
          </w:p>
        </w:tc>
        <w:tc>
          <w:tcPr>
            <w:tcW w:w="2740" w:type="dxa"/>
            <w:vAlign w:val="bottom"/>
          </w:tcPr>
          <w:p>
            <w:pPr>
              <w:ind w:left="940"/>
              <w:spacing w:after="0"/>
              <w:rPr>
                <w:sz w:val="20"/>
                <w:szCs w:val="20"/>
                <w:color w:val="auto"/>
              </w:rPr>
            </w:pPr>
            <w:r>
              <w:rPr>
                <w:rFonts w:ascii="Arial" w:cs="Arial" w:eastAsia="Arial" w:hAnsi="Arial"/>
                <w:sz w:val="13"/>
                <w:szCs w:val="13"/>
                <w:color w:val="auto"/>
              </w:rPr>
              <w:t>at</w:t>
            </w:r>
          </w:p>
        </w:tc>
        <w:tc>
          <w:tcPr>
            <w:tcW w:w="1280" w:type="dxa"/>
            <w:vAlign w:val="bottom"/>
          </w:tcPr>
          <w:p>
            <w:pPr>
              <w:ind w:left="700"/>
              <w:spacing w:after="0"/>
              <w:rPr>
                <w:sz w:val="20"/>
                <w:szCs w:val="20"/>
                <w:color w:val="auto"/>
              </w:rPr>
            </w:pPr>
            <w:r>
              <w:rPr>
                <w:rFonts w:ascii="Arial" w:cs="Arial" w:eastAsia="Arial" w:hAnsi="Arial"/>
                <w:sz w:val="13"/>
                <w:szCs w:val="13"/>
                <w:color w:val="auto"/>
              </w:rPr>
              <w:t>the</w:t>
            </w:r>
          </w:p>
        </w:tc>
        <w:tc>
          <w:tcPr>
            <w:tcW w:w="1900" w:type="dxa"/>
            <w:vAlign w:val="bottom"/>
          </w:tcPr>
          <w:p>
            <w:pPr>
              <w:spacing w:after="0"/>
              <w:rPr>
                <w:sz w:val="14"/>
                <w:szCs w:val="14"/>
                <w:color w:val="auto"/>
              </w:rPr>
            </w:pPr>
          </w:p>
        </w:tc>
        <w:tc>
          <w:tcPr>
            <w:tcW w:w="900" w:type="dxa"/>
            <w:vAlign w:val="bottom"/>
          </w:tcPr>
          <w:p>
            <w:pPr>
              <w:jc w:val="right"/>
              <w:ind w:right="276"/>
              <w:spacing w:after="0"/>
              <w:rPr>
                <w:sz w:val="20"/>
                <w:szCs w:val="20"/>
                <w:color w:val="auto"/>
              </w:rPr>
            </w:pPr>
            <w:r>
              <w:rPr>
                <w:rFonts w:ascii="Arial" w:cs="Arial" w:eastAsia="Arial" w:hAnsi="Arial"/>
                <w:sz w:val="13"/>
                <w:szCs w:val="13"/>
                <w:color w:val="auto"/>
              </w:rPr>
              <w:t>following</w:t>
            </w:r>
          </w:p>
        </w:tc>
        <w:tc>
          <w:tcPr>
            <w:tcW w:w="15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dates:</w:t>
            </w:r>
          </w:p>
        </w:tc>
      </w:tr>
      <w:tr>
        <w:trPr>
          <w:trHeight w:val="202"/>
        </w:trPr>
        <w:tc>
          <w:tcPr>
            <w:tcW w:w="2060" w:type="dxa"/>
            <w:vAlign w:val="bottom"/>
            <w:shd w:val="clear" w:color="auto" w:fill="CCEEFF"/>
          </w:tcPr>
          <w:p>
            <w:pPr>
              <w:spacing w:after="0"/>
              <w:rPr>
                <w:sz w:val="17"/>
                <w:szCs w:val="17"/>
                <w:color w:val="auto"/>
              </w:rPr>
            </w:pPr>
          </w:p>
        </w:tc>
        <w:tc>
          <w:tcPr>
            <w:tcW w:w="27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Interest at</w:t>
            </w:r>
          </w:p>
        </w:tc>
        <w:tc>
          <w:tcPr>
            <w:tcW w:w="9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Interest at</w:t>
            </w:r>
          </w:p>
        </w:tc>
        <w:tc>
          <w:tcPr>
            <w:tcW w:w="880" w:type="dxa"/>
            <w:vAlign w:val="bottom"/>
            <w:shd w:val="clear" w:color="auto" w:fill="CCEEFF"/>
          </w:tcPr>
          <w:p>
            <w:pPr>
              <w:spacing w:after="0"/>
              <w:rPr>
                <w:sz w:val="17"/>
                <w:szCs w:val="17"/>
                <w:color w:val="auto"/>
              </w:rPr>
            </w:pPr>
          </w:p>
        </w:tc>
      </w:tr>
      <w:tr>
        <w:trPr>
          <w:trHeight w:val="170"/>
        </w:trPr>
        <w:tc>
          <w:tcPr>
            <w:tcW w:w="206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2"/>
          </w:tcPr>
          <w:p>
            <w:pPr>
              <w:jc w:val="right"/>
              <w:ind w:right="616"/>
              <w:spacing w:after="0"/>
              <w:rPr>
                <w:sz w:val="20"/>
                <w:szCs w:val="20"/>
                <w:color w:val="auto"/>
              </w:rPr>
            </w:pPr>
            <w:r>
              <w:rPr>
                <w:rFonts w:ascii="Arial" w:cs="Arial" w:eastAsia="Arial" w:hAnsi="Arial"/>
                <w:sz w:val="13"/>
                <w:szCs w:val="13"/>
                <w:b w:val="1"/>
                <w:bCs w:val="1"/>
                <w:color w:val="auto"/>
              </w:rPr>
              <w:t>31 December 2021</w:t>
            </w:r>
          </w:p>
        </w:tc>
        <w:tc>
          <w:tcPr>
            <w:tcW w:w="2400" w:type="dxa"/>
            <w:vAlign w:val="bottom"/>
            <w:tcBorders>
              <w:bottom w:val="single" w:sz="8" w:color="auto"/>
            </w:tcBorders>
            <w:gridSpan w:val="2"/>
          </w:tcPr>
          <w:p>
            <w:pPr>
              <w:jc w:val="right"/>
              <w:ind w:right="616"/>
              <w:spacing w:after="0"/>
              <w:rPr>
                <w:sz w:val="20"/>
                <w:szCs w:val="20"/>
                <w:color w:val="auto"/>
              </w:rPr>
            </w:pPr>
            <w:r>
              <w:rPr>
                <w:rFonts w:ascii="Arial" w:cs="Arial" w:eastAsia="Arial" w:hAnsi="Arial"/>
                <w:sz w:val="13"/>
                <w:szCs w:val="13"/>
                <w:color w:val="auto"/>
              </w:rPr>
              <w:t>31 December 2020</w:t>
            </w:r>
          </w:p>
        </w:tc>
      </w:tr>
      <w:tr>
        <w:trPr>
          <w:trHeight w:val="383"/>
        </w:trPr>
        <w:tc>
          <w:tcPr>
            <w:tcW w:w="2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4020" w:type="dxa"/>
            <w:vAlign w:val="bottom"/>
            <w:tcBorders>
              <w:bottom w:val="single" w:sz="8" w:color="auto"/>
            </w:tcBorders>
            <w:gridSpan w:val="2"/>
            <w:shd w:val="clear" w:color="auto" w:fill="CCEEFF"/>
          </w:tcPr>
          <w:p>
            <w:pPr>
              <w:ind w:left="780"/>
              <w:spacing w:after="0"/>
              <w:rPr>
                <w:sz w:val="20"/>
                <w:szCs w:val="20"/>
                <w:color w:val="auto"/>
              </w:rPr>
            </w:pPr>
            <w:r>
              <w:rPr>
                <w:rFonts w:ascii="Arial" w:cs="Arial" w:eastAsia="Arial" w:hAnsi="Arial"/>
                <w:sz w:val="13"/>
                <w:szCs w:val="13"/>
                <w:b w:val="1"/>
                <w:bCs w:val="1"/>
                <w:color w:val="auto"/>
              </w:rPr>
              <w:t>Name of company and description of shares</w:t>
            </w:r>
          </w:p>
        </w:tc>
        <w:tc>
          <w:tcPr>
            <w:tcW w:w="190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Number of shares</w:t>
            </w:r>
          </w:p>
        </w:tc>
        <w:tc>
          <w:tcPr>
            <w:tcW w:w="90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w w:val="97"/>
              </w:rPr>
              <w:t>Options</w:t>
            </w:r>
          </w:p>
        </w:tc>
        <w:tc>
          <w:tcPr>
            <w:tcW w:w="152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color w:val="auto"/>
              </w:rPr>
              <w:t>Number of shares</w:t>
            </w:r>
          </w:p>
        </w:tc>
        <w:tc>
          <w:tcPr>
            <w:tcW w:w="88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color w:val="auto"/>
              </w:rPr>
              <w:t>Options</w:t>
            </w:r>
          </w:p>
        </w:tc>
      </w:tr>
      <w:tr>
        <w:trPr>
          <w:trHeight w:val="182"/>
        </w:trPr>
        <w:tc>
          <w:tcPr>
            <w:tcW w:w="206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0"/>
        </w:trPr>
        <w:tc>
          <w:tcPr>
            <w:tcW w:w="2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Ciaran Murray</w:t>
            </w:r>
          </w:p>
        </w:tc>
        <w:tc>
          <w:tcPr>
            <w:tcW w:w="2740" w:type="dxa"/>
            <w:vAlign w:val="bottom"/>
            <w:shd w:val="clear" w:color="auto" w:fill="CCEEFF"/>
          </w:tcPr>
          <w:p>
            <w:pPr>
              <w:ind w:left="780"/>
              <w:spacing w:after="0"/>
              <w:rPr>
                <w:sz w:val="20"/>
                <w:szCs w:val="20"/>
                <w:color w:val="auto"/>
              </w:rPr>
            </w:pPr>
            <w:r>
              <w:rPr>
                <w:rFonts w:ascii="Arial" w:cs="Arial" w:eastAsia="Arial" w:hAnsi="Arial"/>
                <w:sz w:val="13"/>
                <w:szCs w:val="13"/>
                <w:color w:val="auto"/>
              </w:rPr>
              <w:t>ICON plc</w:t>
            </w:r>
          </w:p>
        </w:tc>
        <w:tc>
          <w:tcPr>
            <w:tcW w:w="128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70"/>
        </w:trPr>
        <w:tc>
          <w:tcPr>
            <w:tcW w:w="206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tcPr>
          <w:p>
            <w:pPr>
              <w:ind w:left="780"/>
              <w:spacing w:after="0"/>
              <w:rPr>
                <w:sz w:val="20"/>
                <w:szCs w:val="20"/>
                <w:color w:val="auto"/>
              </w:rPr>
            </w:pPr>
            <w:r>
              <w:rPr>
                <w:rFonts w:ascii="Arial" w:cs="Arial" w:eastAsia="Arial" w:hAnsi="Arial"/>
                <w:sz w:val="13"/>
                <w:szCs w:val="13"/>
                <w:color w:val="auto"/>
              </w:rPr>
              <w:t>Ordinary Shares €0.06</w:t>
            </w:r>
          </w:p>
        </w:tc>
        <w:tc>
          <w:tcPr>
            <w:tcW w:w="12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1,274</w:t>
            </w:r>
          </w:p>
        </w:tc>
        <w:tc>
          <w:tcPr>
            <w:tcW w:w="9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58,646</w:t>
            </w:r>
          </w:p>
        </w:tc>
        <w:tc>
          <w:tcPr>
            <w:tcW w:w="152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710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58,646</w:t>
            </w:r>
          </w:p>
        </w:tc>
      </w:tr>
      <w:tr>
        <w:trPr>
          <w:trHeight w:val="182"/>
        </w:trPr>
        <w:tc>
          <w:tcPr>
            <w:tcW w:w="2060" w:type="dxa"/>
            <w:vAlign w:val="bottom"/>
            <w:shd w:val="clear" w:color="auto" w:fill="CCEEFF"/>
          </w:tcPr>
          <w:p>
            <w:pPr>
              <w:spacing w:after="0"/>
              <w:rPr>
                <w:sz w:val="15"/>
                <w:szCs w:val="15"/>
                <w:color w:val="auto"/>
              </w:rPr>
            </w:pPr>
          </w:p>
        </w:tc>
        <w:tc>
          <w:tcPr>
            <w:tcW w:w="27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78"/>
        </w:trPr>
        <w:tc>
          <w:tcPr>
            <w:tcW w:w="2060" w:type="dxa"/>
            <w:vAlign w:val="bottom"/>
          </w:tcPr>
          <w:p>
            <w:pPr>
              <w:ind w:left="20"/>
              <w:spacing w:after="0"/>
              <w:rPr>
                <w:sz w:val="20"/>
                <w:szCs w:val="20"/>
                <w:color w:val="auto"/>
              </w:rPr>
            </w:pPr>
            <w:r>
              <w:rPr>
                <w:rFonts w:ascii="Arial" w:cs="Arial" w:eastAsia="Arial" w:hAnsi="Arial"/>
                <w:sz w:val="13"/>
                <w:szCs w:val="13"/>
                <w:color w:val="auto"/>
              </w:rPr>
              <w:t>Dr. Steve Cutler</w:t>
            </w:r>
          </w:p>
        </w:tc>
        <w:tc>
          <w:tcPr>
            <w:tcW w:w="2740" w:type="dxa"/>
            <w:vAlign w:val="bottom"/>
          </w:tcPr>
          <w:p>
            <w:pPr>
              <w:ind w:left="780"/>
              <w:spacing w:after="0"/>
              <w:rPr>
                <w:sz w:val="20"/>
                <w:szCs w:val="20"/>
                <w:color w:val="auto"/>
              </w:rPr>
            </w:pPr>
            <w:r>
              <w:rPr>
                <w:rFonts w:ascii="Arial" w:cs="Arial" w:eastAsia="Arial" w:hAnsi="Arial"/>
                <w:sz w:val="13"/>
                <w:szCs w:val="13"/>
                <w:color w:val="auto"/>
              </w:rPr>
              <w:t>ICON plc</w:t>
            </w:r>
          </w:p>
        </w:tc>
        <w:tc>
          <w:tcPr>
            <w:tcW w:w="12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4"/>
        </w:trPr>
        <w:tc>
          <w:tcPr>
            <w:tcW w:w="20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70"/>
        </w:trPr>
        <w:tc>
          <w:tcPr>
            <w:tcW w:w="2060" w:type="dxa"/>
            <w:vAlign w:val="bottom"/>
            <w:tcBorders>
              <w:bottom w:val="single" w:sz="8" w:color="auto"/>
            </w:tcBorders>
            <w:shd w:val="clear" w:color="auto" w:fill="CCEEFF"/>
          </w:tcPr>
          <w:p>
            <w:pPr>
              <w:spacing w:after="0"/>
              <w:rPr>
                <w:sz w:val="14"/>
                <w:szCs w:val="14"/>
                <w:color w:val="auto"/>
              </w:rPr>
            </w:pPr>
          </w:p>
        </w:tc>
        <w:tc>
          <w:tcPr>
            <w:tcW w:w="274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3"/>
                <w:szCs w:val="13"/>
                <w:color w:val="auto"/>
              </w:rPr>
              <w:t>Ordinary Shares €0.06</w:t>
            </w:r>
          </w:p>
        </w:tc>
        <w:tc>
          <w:tcPr>
            <w:tcW w:w="1280" w:type="dxa"/>
            <w:vAlign w:val="bottom"/>
            <w:tcBorders>
              <w:bottom w:val="single" w:sz="8" w:color="auto"/>
            </w:tcBorders>
            <w:shd w:val="clear" w:color="auto" w:fill="CCEEFF"/>
          </w:tcPr>
          <w:p>
            <w:pPr>
              <w:spacing w:after="0"/>
              <w:rPr>
                <w:sz w:val="14"/>
                <w:szCs w:val="14"/>
                <w:color w:val="auto"/>
              </w:rPr>
            </w:pPr>
          </w:p>
        </w:tc>
        <w:tc>
          <w:tcPr>
            <w:tcW w:w="190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24,640</w:t>
            </w:r>
          </w:p>
        </w:tc>
        <w:tc>
          <w:tcPr>
            <w:tcW w:w="9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173,016</w:t>
            </w:r>
          </w:p>
        </w:tc>
        <w:tc>
          <w:tcPr>
            <w:tcW w:w="15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26,601</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135,555</w:t>
            </w:r>
          </w:p>
        </w:tc>
      </w:tr>
      <w:tr>
        <w:trPr>
          <w:trHeight w:val="182"/>
        </w:trPr>
        <w:tc>
          <w:tcPr>
            <w:tcW w:w="206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2"/>
        </w:trPr>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Brendan Brennan</w:t>
            </w:r>
          </w:p>
        </w:tc>
        <w:tc>
          <w:tcPr>
            <w:tcW w:w="274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3"/>
                <w:szCs w:val="13"/>
                <w:color w:val="auto"/>
              </w:rPr>
              <w:t>ICON plc</w:t>
            </w:r>
          </w:p>
        </w:tc>
        <w:tc>
          <w:tcPr>
            <w:tcW w:w="1280" w:type="dxa"/>
            <w:vAlign w:val="bottom"/>
            <w:tcBorders>
              <w:bottom w:val="single" w:sz="8" w:color="CCEEFF"/>
            </w:tcBorders>
            <w:shd w:val="clear" w:color="auto" w:fill="CCEEFF"/>
          </w:tcPr>
          <w:p>
            <w:pPr>
              <w:spacing w:after="0"/>
              <w:rPr>
                <w:sz w:val="15"/>
                <w:szCs w:val="15"/>
                <w:color w:val="auto"/>
              </w:rPr>
            </w:pPr>
          </w:p>
        </w:tc>
        <w:tc>
          <w:tcPr>
            <w:tcW w:w="19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r>
      <w:tr>
        <w:trPr>
          <w:trHeight w:val="170"/>
        </w:trPr>
        <w:tc>
          <w:tcPr>
            <w:tcW w:w="206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tcPr>
          <w:p>
            <w:pPr>
              <w:ind w:left="780"/>
              <w:spacing w:after="0"/>
              <w:rPr>
                <w:sz w:val="20"/>
                <w:szCs w:val="20"/>
                <w:color w:val="auto"/>
              </w:rPr>
            </w:pPr>
            <w:r>
              <w:rPr>
                <w:rFonts w:ascii="Arial" w:cs="Arial" w:eastAsia="Arial" w:hAnsi="Arial"/>
                <w:sz w:val="13"/>
                <w:szCs w:val="13"/>
                <w:color w:val="auto"/>
              </w:rPr>
              <w:t>Ordinary Shares €0.06</w:t>
            </w:r>
          </w:p>
        </w:tc>
        <w:tc>
          <w:tcPr>
            <w:tcW w:w="12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21,621</w:t>
            </w:r>
          </w:p>
        </w:tc>
        <w:tc>
          <w:tcPr>
            <w:tcW w:w="9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64,215</w:t>
            </w:r>
          </w:p>
        </w:tc>
        <w:tc>
          <w:tcPr>
            <w:tcW w:w="152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19,472</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55,373</w:t>
            </w:r>
          </w:p>
        </w:tc>
      </w:tr>
      <w:tr>
        <w:trPr>
          <w:trHeight w:val="182"/>
        </w:trPr>
        <w:tc>
          <w:tcPr>
            <w:tcW w:w="2060" w:type="dxa"/>
            <w:vAlign w:val="bottom"/>
            <w:shd w:val="clear" w:color="auto" w:fill="CCEEFF"/>
          </w:tcPr>
          <w:p>
            <w:pPr>
              <w:spacing w:after="0"/>
              <w:rPr>
                <w:sz w:val="15"/>
                <w:szCs w:val="15"/>
                <w:color w:val="auto"/>
              </w:rPr>
            </w:pPr>
          </w:p>
        </w:tc>
        <w:tc>
          <w:tcPr>
            <w:tcW w:w="27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69"/>
        </w:trPr>
        <w:tc>
          <w:tcPr>
            <w:tcW w:w="2060" w:type="dxa"/>
            <w:vAlign w:val="bottom"/>
          </w:tcPr>
          <w:p>
            <w:pPr>
              <w:ind w:left="20"/>
              <w:spacing w:after="0"/>
              <w:rPr>
                <w:sz w:val="20"/>
                <w:szCs w:val="20"/>
                <w:color w:val="auto"/>
              </w:rPr>
            </w:pPr>
            <w:r>
              <w:rPr>
                <w:rFonts w:ascii="Arial" w:cs="Arial" w:eastAsia="Arial" w:hAnsi="Arial"/>
                <w:sz w:val="13"/>
                <w:szCs w:val="13"/>
                <w:color w:val="auto"/>
              </w:rPr>
              <w:t>Rónán Murphy</w:t>
            </w:r>
          </w:p>
        </w:tc>
        <w:tc>
          <w:tcPr>
            <w:tcW w:w="2740" w:type="dxa"/>
            <w:vAlign w:val="bottom"/>
          </w:tcPr>
          <w:p>
            <w:pPr>
              <w:ind w:left="780"/>
              <w:spacing w:after="0"/>
              <w:rPr>
                <w:sz w:val="20"/>
                <w:szCs w:val="20"/>
                <w:color w:val="auto"/>
              </w:rPr>
            </w:pPr>
            <w:r>
              <w:rPr>
                <w:rFonts w:ascii="Arial" w:cs="Arial" w:eastAsia="Arial" w:hAnsi="Arial"/>
                <w:sz w:val="13"/>
                <w:szCs w:val="13"/>
                <w:color w:val="auto"/>
              </w:rPr>
              <w:t>ICON plc</w:t>
            </w:r>
          </w:p>
        </w:tc>
        <w:tc>
          <w:tcPr>
            <w:tcW w:w="12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2060" w:type="dxa"/>
            <w:vAlign w:val="bottom"/>
            <w:tcBorders>
              <w:bottom w:val="single" w:sz="8" w:color="auto"/>
            </w:tcBorders>
            <w:shd w:val="clear" w:color="auto" w:fill="CCEEFF"/>
          </w:tcPr>
          <w:p>
            <w:pPr>
              <w:spacing w:after="0"/>
              <w:rPr>
                <w:sz w:val="14"/>
                <w:szCs w:val="14"/>
                <w:color w:val="auto"/>
              </w:rPr>
            </w:pPr>
          </w:p>
        </w:tc>
        <w:tc>
          <w:tcPr>
            <w:tcW w:w="274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3"/>
                <w:szCs w:val="13"/>
                <w:color w:val="auto"/>
              </w:rPr>
              <w:t>Ordinary Shares €0.06</w:t>
            </w:r>
          </w:p>
        </w:tc>
        <w:tc>
          <w:tcPr>
            <w:tcW w:w="1280" w:type="dxa"/>
            <w:vAlign w:val="bottom"/>
            <w:tcBorders>
              <w:bottom w:val="single" w:sz="8" w:color="auto"/>
            </w:tcBorders>
            <w:shd w:val="clear" w:color="auto" w:fill="CCEEFF"/>
          </w:tcPr>
          <w:p>
            <w:pPr>
              <w:spacing w:after="0"/>
              <w:rPr>
                <w:sz w:val="14"/>
                <w:szCs w:val="14"/>
                <w:color w:val="auto"/>
              </w:rPr>
            </w:pPr>
          </w:p>
        </w:tc>
        <w:tc>
          <w:tcPr>
            <w:tcW w:w="190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1,274</w:t>
            </w:r>
          </w:p>
        </w:tc>
        <w:tc>
          <w:tcPr>
            <w:tcW w:w="9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9,622</w:t>
            </w:r>
          </w:p>
        </w:tc>
        <w:tc>
          <w:tcPr>
            <w:tcW w:w="15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710</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9,622</w:t>
            </w:r>
          </w:p>
        </w:tc>
      </w:tr>
      <w:tr>
        <w:trPr>
          <w:trHeight w:val="182"/>
        </w:trPr>
        <w:tc>
          <w:tcPr>
            <w:tcW w:w="206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0"/>
        </w:trPr>
        <w:tc>
          <w:tcPr>
            <w:tcW w:w="2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Professor Hugh Brady</w:t>
            </w:r>
          </w:p>
        </w:tc>
        <w:tc>
          <w:tcPr>
            <w:tcW w:w="2740" w:type="dxa"/>
            <w:vAlign w:val="bottom"/>
            <w:shd w:val="clear" w:color="auto" w:fill="CCEEFF"/>
          </w:tcPr>
          <w:p>
            <w:pPr>
              <w:ind w:left="780"/>
              <w:spacing w:after="0"/>
              <w:rPr>
                <w:sz w:val="20"/>
                <w:szCs w:val="20"/>
                <w:color w:val="auto"/>
              </w:rPr>
            </w:pPr>
            <w:r>
              <w:rPr>
                <w:rFonts w:ascii="Arial" w:cs="Arial" w:eastAsia="Arial" w:hAnsi="Arial"/>
                <w:sz w:val="13"/>
                <w:szCs w:val="13"/>
                <w:color w:val="auto"/>
              </w:rPr>
              <w:t>ICON plc</w:t>
            </w:r>
          </w:p>
        </w:tc>
        <w:tc>
          <w:tcPr>
            <w:tcW w:w="128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70"/>
        </w:trPr>
        <w:tc>
          <w:tcPr>
            <w:tcW w:w="206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tcPr>
          <w:p>
            <w:pPr>
              <w:ind w:left="780"/>
              <w:spacing w:after="0"/>
              <w:rPr>
                <w:sz w:val="20"/>
                <w:szCs w:val="20"/>
                <w:color w:val="auto"/>
              </w:rPr>
            </w:pPr>
            <w:r>
              <w:rPr>
                <w:rFonts w:ascii="Arial" w:cs="Arial" w:eastAsia="Arial" w:hAnsi="Arial"/>
                <w:sz w:val="13"/>
                <w:szCs w:val="13"/>
                <w:color w:val="auto"/>
              </w:rPr>
              <w:t>Ordinary Shares €0.06</w:t>
            </w:r>
          </w:p>
        </w:tc>
        <w:tc>
          <w:tcPr>
            <w:tcW w:w="12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589</w:t>
            </w:r>
          </w:p>
        </w:tc>
        <w:tc>
          <w:tcPr>
            <w:tcW w:w="9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5,192</w:t>
            </w:r>
          </w:p>
        </w:tc>
        <w:tc>
          <w:tcPr>
            <w:tcW w:w="152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5,192</w:t>
            </w:r>
          </w:p>
        </w:tc>
      </w:tr>
      <w:tr>
        <w:trPr>
          <w:trHeight w:val="182"/>
        </w:trPr>
        <w:tc>
          <w:tcPr>
            <w:tcW w:w="2060" w:type="dxa"/>
            <w:vAlign w:val="bottom"/>
            <w:shd w:val="clear" w:color="auto" w:fill="CCEEFF"/>
          </w:tcPr>
          <w:p>
            <w:pPr>
              <w:spacing w:after="0"/>
              <w:rPr>
                <w:sz w:val="15"/>
                <w:szCs w:val="15"/>
                <w:color w:val="auto"/>
              </w:rPr>
            </w:pPr>
          </w:p>
        </w:tc>
        <w:tc>
          <w:tcPr>
            <w:tcW w:w="27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69"/>
        </w:trPr>
        <w:tc>
          <w:tcPr>
            <w:tcW w:w="2060" w:type="dxa"/>
            <w:vAlign w:val="bottom"/>
          </w:tcPr>
          <w:p>
            <w:pPr>
              <w:ind w:left="20"/>
              <w:spacing w:after="0"/>
              <w:rPr>
                <w:sz w:val="20"/>
                <w:szCs w:val="20"/>
                <w:color w:val="auto"/>
              </w:rPr>
            </w:pPr>
            <w:r>
              <w:rPr>
                <w:rFonts w:ascii="Arial" w:cs="Arial" w:eastAsia="Arial" w:hAnsi="Arial"/>
                <w:sz w:val="13"/>
                <w:szCs w:val="13"/>
                <w:color w:val="auto"/>
              </w:rPr>
              <w:t>Dr. John Climax</w:t>
            </w:r>
          </w:p>
        </w:tc>
        <w:tc>
          <w:tcPr>
            <w:tcW w:w="2740" w:type="dxa"/>
            <w:vAlign w:val="bottom"/>
          </w:tcPr>
          <w:p>
            <w:pPr>
              <w:ind w:left="780"/>
              <w:spacing w:after="0"/>
              <w:rPr>
                <w:sz w:val="20"/>
                <w:szCs w:val="20"/>
                <w:color w:val="auto"/>
              </w:rPr>
            </w:pPr>
            <w:r>
              <w:rPr>
                <w:rFonts w:ascii="Arial" w:cs="Arial" w:eastAsia="Arial" w:hAnsi="Arial"/>
                <w:sz w:val="13"/>
                <w:szCs w:val="13"/>
                <w:color w:val="auto"/>
              </w:rPr>
              <w:t>ICON plc</w:t>
            </w:r>
          </w:p>
        </w:tc>
        <w:tc>
          <w:tcPr>
            <w:tcW w:w="12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2060" w:type="dxa"/>
            <w:vAlign w:val="bottom"/>
            <w:tcBorders>
              <w:bottom w:val="single" w:sz="8" w:color="auto"/>
            </w:tcBorders>
            <w:shd w:val="clear" w:color="auto" w:fill="CCEEFF"/>
          </w:tcPr>
          <w:p>
            <w:pPr>
              <w:spacing w:after="0"/>
              <w:rPr>
                <w:sz w:val="14"/>
                <w:szCs w:val="14"/>
                <w:color w:val="auto"/>
              </w:rPr>
            </w:pPr>
          </w:p>
        </w:tc>
        <w:tc>
          <w:tcPr>
            <w:tcW w:w="274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3"/>
                <w:szCs w:val="13"/>
                <w:color w:val="auto"/>
              </w:rPr>
              <w:t>Ordinary Shares €0.06</w:t>
            </w:r>
          </w:p>
        </w:tc>
        <w:tc>
          <w:tcPr>
            <w:tcW w:w="1280" w:type="dxa"/>
            <w:vAlign w:val="bottom"/>
            <w:tcBorders>
              <w:bottom w:val="single" w:sz="8" w:color="auto"/>
            </w:tcBorders>
            <w:shd w:val="clear" w:color="auto" w:fill="CCEEFF"/>
          </w:tcPr>
          <w:p>
            <w:pPr>
              <w:spacing w:after="0"/>
              <w:rPr>
                <w:sz w:val="14"/>
                <w:szCs w:val="14"/>
                <w:color w:val="auto"/>
              </w:rPr>
            </w:pPr>
          </w:p>
        </w:tc>
        <w:tc>
          <w:tcPr>
            <w:tcW w:w="190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508,891</w:t>
            </w:r>
          </w:p>
        </w:tc>
        <w:tc>
          <w:tcPr>
            <w:tcW w:w="9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43,255</w:t>
            </w:r>
          </w:p>
        </w:tc>
        <w:tc>
          <w:tcPr>
            <w:tcW w:w="15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563,278</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45,755</w:t>
            </w:r>
          </w:p>
        </w:tc>
      </w:tr>
      <w:tr>
        <w:trPr>
          <w:trHeight w:val="182"/>
        </w:trPr>
        <w:tc>
          <w:tcPr>
            <w:tcW w:w="206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0"/>
        </w:trPr>
        <w:tc>
          <w:tcPr>
            <w:tcW w:w="2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Joan Garahy</w:t>
            </w:r>
          </w:p>
        </w:tc>
        <w:tc>
          <w:tcPr>
            <w:tcW w:w="2740" w:type="dxa"/>
            <w:vAlign w:val="bottom"/>
            <w:shd w:val="clear" w:color="auto" w:fill="CCEEFF"/>
          </w:tcPr>
          <w:p>
            <w:pPr>
              <w:ind w:left="780"/>
              <w:spacing w:after="0"/>
              <w:rPr>
                <w:sz w:val="20"/>
                <w:szCs w:val="20"/>
                <w:color w:val="auto"/>
              </w:rPr>
            </w:pPr>
            <w:r>
              <w:rPr>
                <w:rFonts w:ascii="Arial" w:cs="Arial" w:eastAsia="Arial" w:hAnsi="Arial"/>
                <w:sz w:val="13"/>
                <w:szCs w:val="13"/>
                <w:color w:val="auto"/>
              </w:rPr>
              <w:t>ICON plc</w:t>
            </w:r>
          </w:p>
        </w:tc>
        <w:tc>
          <w:tcPr>
            <w:tcW w:w="128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70"/>
        </w:trPr>
        <w:tc>
          <w:tcPr>
            <w:tcW w:w="206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tcPr>
          <w:p>
            <w:pPr>
              <w:ind w:left="780"/>
              <w:spacing w:after="0"/>
              <w:rPr>
                <w:sz w:val="20"/>
                <w:szCs w:val="20"/>
                <w:color w:val="auto"/>
              </w:rPr>
            </w:pPr>
            <w:r>
              <w:rPr>
                <w:rFonts w:ascii="Arial" w:cs="Arial" w:eastAsia="Arial" w:hAnsi="Arial"/>
                <w:sz w:val="13"/>
                <w:szCs w:val="13"/>
                <w:color w:val="auto"/>
              </w:rPr>
              <w:t>Ordinary Shares €0.06</w:t>
            </w:r>
          </w:p>
        </w:tc>
        <w:tc>
          <w:tcPr>
            <w:tcW w:w="12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1,274</w:t>
            </w:r>
          </w:p>
        </w:tc>
        <w:tc>
          <w:tcPr>
            <w:tcW w:w="9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5,005</w:t>
            </w:r>
          </w:p>
        </w:tc>
        <w:tc>
          <w:tcPr>
            <w:tcW w:w="152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710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5,005</w:t>
            </w:r>
          </w:p>
        </w:tc>
      </w:tr>
      <w:tr>
        <w:trPr>
          <w:trHeight w:val="182"/>
        </w:trPr>
        <w:tc>
          <w:tcPr>
            <w:tcW w:w="2060" w:type="dxa"/>
            <w:vAlign w:val="bottom"/>
            <w:shd w:val="clear" w:color="auto" w:fill="CCEEFF"/>
          </w:tcPr>
          <w:p>
            <w:pPr>
              <w:spacing w:after="0"/>
              <w:rPr>
                <w:sz w:val="15"/>
                <w:szCs w:val="15"/>
                <w:color w:val="auto"/>
              </w:rPr>
            </w:pPr>
          </w:p>
        </w:tc>
        <w:tc>
          <w:tcPr>
            <w:tcW w:w="27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69"/>
        </w:trPr>
        <w:tc>
          <w:tcPr>
            <w:tcW w:w="2060" w:type="dxa"/>
            <w:vAlign w:val="bottom"/>
          </w:tcPr>
          <w:p>
            <w:pPr>
              <w:ind w:left="20"/>
              <w:spacing w:after="0"/>
              <w:rPr>
                <w:sz w:val="20"/>
                <w:szCs w:val="20"/>
                <w:color w:val="auto"/>
              </w:rPr>
            </w:pPr>
            <w:r>
              <w:rPr>
                <w:rFonts w:ascii="Arial" w:cs="Arial" w:eastAsia="Arial" w:hAnsi="Arial"/>
                <w:sz w:val="13"/>
                <w:szCs w:val="13"/>
                <w:color w:val="auto"/>
              </w:rPr>
              <w:t>Professor William Hall</w:t>
            </w:r>
          </w:p>
        </w:tc>
        <w:tc>
          <w:tcPr>
            <w:tcW w:w="2740" w:type="dxa"/>
            <w:vAlign w:val="bottom"/>
          </w:tcPr>
          <w:p>
            <w:pPr>
              <w:ind w:left="780"/>
              <w:spacing w:after="0"/>
              <w:rPr>
                <w:sz w:val="20"/>
                <w:szCs w:val="20"/>
                <w:color w:val="auto"/>
              </w:rPr>
            </w:pPr>
            <w:r>
              <w:rPr>
                <w:rFonts w:ascii="Arial" w:cs="Arial" w:eastAsia="Arial" w:hAnsi="Arial"/>
                <w:sz w:val="13"/>
                <w:szCs w:val="13"/>
                <w:color w:val="auto"/>
              </w:rPr>
              <w:t>ICON plc</w:t>
            </w:r>
          </w:p>
        </w:tc>
        <w:tc>
          <w:tcPr>
            <w:tcW w:w="12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2060" w:type="dxa"/>
            <w:vAlign w:val="bottom"/>
            <w:tcBorders>
              <w:bottom w:val="single" w:sz="8" w:color="auto"/>
            </w:tcBorders>
            <w:shd w:val="clear" w:color="auto" w:fill="CCEEFF"/>
          </w:tcPr>
          <w:p>
            <w:pPr>
              <w:spacing w:after="0"/>
              <w:rPr>
                <w:sz w:val="14"/>
                <w:szCs w:val="14"/>
                <w:color w:val="auto"/>
              </w:rPr>
            </w:pPr>
          </w:p>
        </w:tc>
        <w:tc>
          <w:tcPr>
            <w:tcW w:w="274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3"/>
                <w:szCs w:val="13"/>
                <w:color w:val="auto"/>
              </w:rPr>
              <w:t>Ordinary Shares €0.06</w:t>
            </w:r>
          </w:p>
        </w:tc>
        <w:tc>
          <w:tcPr>
            <w:tcW w:w="1280" w:type="dxa"/>
            <w:vAlign w:val="bottom"/>
            <w:tcBorders>
              <w:bottom w:val="single" w:sz="8" w:color="auto"/>
            </w:tcBorders>
            <w:shd w:val="clear" w:color="auto" w:fill="CCEEFF"/>
          </w:tcPr>
          <w:p>
            <w:pPr>
              <w:spacing w:after="0"/>
              <w:rPr>
                <w:sz w:val="14"/>
                <w:szCs w:val="14"/>
                <w:color w:val="auto"/>
              </w:rPr>
            </w:pPr>
          </w:p>
        </w:tc>
        <w:tc>
          <w:tcPr>
            <w:tcW w:w="190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w:t>
            </w:r>
          </w:p>
        </w:tc>
        <w:tc>
          <w:tcPr>
            <w:tcW w:w="9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1,541</w:t>
            </w:r>
          </w:p>
        </w:tc>
        <w:tc>
          <w:tcPr>
            <w:tcW w:w="15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5,192</w:t>
            </w:r>
          </w:p>
        </w:tc>
      </w:tr>
      <w:tr>
        <w:trPr>
          <w:trHeight w:val="182"/>
        </w:trPr>
        <w:tc>
          <w:tcPr>
            <w:tcW w:w="206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0"/>
        </w:trPr>
        <w:tc>
          <w:tcPr>
            <w:tcW w:w="2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Eugene McCague</w:t>
            </w:r>
          </w:p>
        </w:tc>
        <w:tc>
          <w:tcPr>
            <w:tcW w:w="2740" w:type="dxa"/>
            <w:vAlign w:val="bottom"/>
            <w:shd w:val="clear" w:color="auto" w:fill="CCEEFF"/>
          </w:tcPr>
          <w:p>
            <w:pPr>
              <w:ind w:left="780"/>
              <w:spacing w:after="0"/>
              <w:rPr>
                <w:sz w:val="20"/>
                <w:szCs w:val="20"/>
                <w:color w:val="auto"/>
              </w:rPr>
            </w:pPr>
            <w:r>
              <w:rPr>
                <w:rFonts w:ascii="Arial" w:cs="Arial" w:eastAsia="Arial" w:hAnsi="Arial"/>
                <w:sz w:val="13"/>
                <w:szCs w:val="13"/>
                <w:color w:val="auto"/>
              </w:rPr>
              <w:t>ICON plc</w:t>
            </w:r>
          </w:p>
        </w:tc>
        <w:tc>
          <w:tcPr>
            <w:tcW w:w="128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70"/>
        </w:trPr>
        <w:tc>
          <w:tcPr>
            <w:tcW w:w="206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tcPr>
          <w:p>
            <w:pPr>
              <w:ind w:left="780"/>
              <w:spacing w:after="0"/>
              <w:rPr>
                <w:sz w:val="20"/>
                <w:szCs w:val="20"/>
                <w:color w:val="auto"/>
              </w:rPr>
            </w:pPr>
            <w:r>
              <w:rPr>
                <w:rFonts w:ascii="Arial" w:cs="Arial" w:eastAsia="Arial" w:hAnsi="Arial"/>
                <w:sz w:val="13"/>
                <w:szCs w:val="13"/>
                <w:color w:val="auto"/>
              </w:rPr>
              <w:t>Ordinary Shares €0.06</w:t>
            </w:r>
          </w:p>
        </w:tc>
        <w:tc>
          <w:tcPr>
            <w:tcW w:w="12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1,274</w:t>
            </w:r>
          </w:p>
        </w:tc>
        <w:tc>
          <w:tcPr>
            <w:tcW w:w="9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5,005</w:t>
            </w:r>
          </w:p>
        </w:tc>
        <w:tc>
          <w:tcPr>
            <w:tcW w:w="152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710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5,005</w:t>
            </w:r>
          </w:p>
        </w:tc>
      </w:tr>
      <w:tr>
        <w:trPr>
          <w:trHeight w:val="182"/>
        </w:trPr>
        <w:tc>
          <w:tcPr>
            <w:tcW w:w="2060" w:type="dxa"/>
            <w:vAlign w:val="bottom"/>
            <w:shd w:val="clear" w:color="auto" w:fill="CCEEFF"/>
          </w:tcPr>
          <w:p>
            <w:pPr>
              <w:spacing w:after="0"/>
              <w:rPr>
                <w:sz w:val="15"/>
                <w:szCs w:val="15"/>
                <w:color w:val="auto"/>
              </w:rPr>
            </w:pPr>
          </w:p>
        </w:tc>
        <w:tc>
          <w:tcPr>
            <w:tcW w:w="27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69"/>
        </w:trPr>
        <w:tc>
          <w:tcPr>
            <w:tcW w:w="2060" w:type="dxa"/>
            <w:vAlign w:val="bottom"/>
          </w:tcPr>
          <w:p>
            <w:pPr>
              <w:ind w:left="20"/>
              <w:spacing w:after="0"/>
              <w:rPr>
                <w:sz w:val="20"/>
                <w:szCs w:val="20"/>
                <w:color w:val="auto"/>
              </w:rPr>
            </w:pPr>
            <w:r>
              <w:rPr>
                <w:rFonts w:ascii="Arial" w:cs="Arial" w:eastAsia="Arial" w:hAnsi="Arial"/>
                <w:sz w:val="13"/>
                <w:szCs w:val="13"/>
                <w:color w:val="auto"/>
              </w:rPr>
              <w:t>Julie O'Neill</w:t>
            </w:r>
          </w:p>
        </w:tc>
        <w:tc>
          <w:tcPr>
            <w:tcW w:w="2740" w:type="dxa"/>
            <w:vAlign w:val="bottom"/>
          </w:tcPr>
          <w:p>
            <w:pPr>
              <w:ind w:left="780"/>
              <w:spacing w:after="0"/>
              <w:rPr>
                <w:sz w:val="20"/>
                <w:szCs w:val="20"/>
                <w:color w:val="auto"/>
              </w:rPr>
            </w:pPr>
            <w:r>
              <w:rPr>
                <w:rFonts w:ascii="Arial" w:cs="Arial" w:eastAsia="Arial" w:hAnsi="Arial"/>
                <w:sz w:val="13"/>
                <w:szCs w:val="13"/>
                <w:color w:val="auto"/>
              </w:rPr>
              <w:t>ICON plc</w:t>
            </w:r>
          </w:p>
        </w:tc>
        <w:tc>
          <w:tcPr>
            <w:tcW w:w="12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2060" w:type="dxa"/>
            <w:vAlign w:val="bottom"/>
            <w:tcBorders>
              <w:bottom w:val="single" w:sz="8" w:color="auto"/>
            </w:tcBorders>
            <w:shd w:val="clear" w:color="auto" w:fill="CCEEFF"/>
          </w:tcPr>
          <w:p>
            <w:pPr>
              <w:spacing w:after="0"/>
              <w:rPr>
                <w:sz w:val="14"/>
                <w:szCs w:val="14"/>
                <w:color w:val="auto"/>
              </w:rPr>
            </w:pPr>
          </w:p>
        </w:tc>
        <w:tc>
          <w:tcPr>
            <w:tcW w:w="274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3"/>
                <w:szCs w:val="13"/>
                <w:color w:val="auto"/>
              </w:rPr>
              <w:t>Ordinary Shares €0.06</w:t>
            </w:r>
          </w:p>
        </w:tc>
        <w:tc>
          <w:tcPr>
            <w:tcW w:w="1280" w:type="dxa"/>
            <w:vAlign w:val="bottom"/>
            <w:tcBorders>
              <w:bottom w:val="single" w:sz="8" w:color="auto"/>
            </w:tcBorders>
            <w:shd w:val="clear" w:color="auto" w:fill="CCEEFF"/>
          </w:tcPr>
          <w:p>
            <w:pPr>
              <w:spacing w:after="0"/>
              <w:rPr>
                <w:sz w:val="14"/>
                <w:szCs w:val="14"/>
                <w:color w:val="auto"/>
              </w:rPr>
            </w:pPr>
          </w:p>
        </w:tc>
        <w:tc>
          <w:tcPr>
            <w:tcW w:w="190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1,084</w:t>
            </w:r>
          </w:p>
        </w:tc>
        <w:tc>
          <w:tcPr>
            <w:tcW w:w="9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w:t>
            </w:r>
          </w:p>
        </w:tc>
        <w:tc>
          <w:tcPr>
            <w:tcW w:w="15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520</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r>
      <w:tr>
        <w:trPr>
          <w:trHeight w:val="182"/>
        </w:trPr>
        <w:tc>
          <w:tcPr>
            <w:tcW w:w="206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0"/>
        </w:trPr>
        <w:tc>
          <w:tcPr>
            <w:tcW w:w="2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Mary Pendergast</w:t>
            </w:r>
          </w:p>
        </w:tc>
        <w:tc>
          <w:tcPr>
            <w:tcW w:w="2740" w:type="dxa"/>
            <w:vAlign w:val="bottom"/>
            <w:shd w:val="clear" w:color="auto" w:fill="CCEEFF"/>
          </w:tcPr>
          <w:p>
            <w:pPr>
              <w:ind w:left="780"/>
              <w:spacing w:after="0"/>
              <w:rPr>
                <w:sz w:val="20"/>
                <w:szCs w:val="20"/>
                <w:color w:val="auto"/>
              </w:rPr>
            </w:pPr>
            <w:r>
              <w:rPr>
                <w:rFonts w:ascii="Arial" w:cs="Arial" w:eastAsia="Arial" w:hAnsi="Arial"/>
                <w:sz w:val="13"/>
                <w:szCs w:val="13"/>
                <w:color w:val="auto"/>
              </w:rPr>
              <w:t>ICON plc</w:t>
            </w:r>
          </w:p>
        </w:tc>
        <w:tc>
          <w:tcPr>
            <w:tcW w:w="128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70"/>
        </w:trPr>
        <w:tc>
          <w:tcPr>
            <w:tcW w:w="206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tcPr>
          <w:p>
            <w:pPr>
              <w:ind w:left="780"/>
              <w:spacing w:after="0"/>
              <w:rPr>
                <w:sz w:val="20"/>
                <w:szCs w:val="20"/>
                <w:color w:val="auto"/>
              </w:rPr>
            </w:pPr>
            <w:r>
              <w:rPr>
                <w:rFonts w:ascii="Arial" w:cs="Arial" w:eastAsia="Arial" w:hAnsi="Arial"/>
                <w:sz w:val="13"/>
                <w:szCs w:val="13"/>
                <w:color w:val="auto"/>
              </w:rPr>
              <w:t>Ordinary Shares €0.06</w:t>
            </w:r>
          </w:p>
        </w:tc>
        <w:tc>
          <w:tcPr>
            <w:tcW w:w="12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1,380</w:t>
            </w:r>
          </w:p>
        </w:tc>
        <w:tc>
          <w:tcPr>
            <w:tcW w:w="9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43,255</w:t>
            </w:r>
          </w:p>
        </w:tc>
        <w:tc>
          <w:tcPr>
            <w:tcW w:w="152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767</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43,255</w:t>
            </w:r>
          </w:p>
        </w:tc>
      </w:tr>
      <w:tr>
        <w:trPr>
          <w:trHeight w:val="182"/>
        </w:trPr>
        <w:tc>
          <w:tcPr>
            <w:tcW w:w="2060" w:type="dxa"/>
            <w:vAlign w:val="bottom"/>
            <w:shd w:val="clear" w:color="auto" w:fill="CCEEFF"/>
          </w:tcPr>
          <w:p>
            <w:pPr>
              <w:spacing w:after="0"/>
              <w:rPr>
                <w:sz w:val="15"/>
                <w:szCs w:val="15"/>
                <w:color w:val="auto"/>
              </w:rPr>
            </w:pPr>
          </w:p>
        </w:tc>
        <w:tc>
          <w:tcPr>
            <w:tcW w:w="27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69"/>
        </w:trPr>
        <w:tc>
          <w:tcPr>
            <w:tcW w:w="2060" w:type="dxa"/>
            <w:vAlign w:val="bottom"/>
          </w:tcPr>
          <w:p>
            <w:pPr>
              <w:ind w:left="20"/>
              <w:spacing w:after="0"/>
              <w:rPr>
                <w:sz w:val="20"/>
                <w:szCs w:val="20"/>
                <w:color w:val="auto"/>
              </w:rPr>
            </w:pPr>
            <w:r>
              <w:rPr>
                <w:rFonts w:ascii="Arial" w:cs="Arial" w:eastAsia="Arial" w:hAnsi="Arial"/>
                <w:sz w:val="13"/>
                <w:szCs w:val="13"/>
                <w:color w:val="auto"/>
              </w:rPr>
              <w:t>Colin Shannon</w:t>
            </w:r>
          </w:p>
        </w:tc>
        <w:tc>
          <w:tcPr>
            <w:tcW w:w="2740" w:type="dxa"/>
            <w:vAlign w:val="bottom"/>
          </w:tcPr>
          <w:p>
            <w:pPr>
              <w:ind w:left="780"/>
              <w:spacing w:after="0"/>
              <w:rPr>
                <w:sz w:val="20"/>
                <w:szCs w:val="20"/>
                <w:color w:val="auto"/>
              </w:rPr>
            </w:pPr>
            <w:r>
              <w:rPr>
                <w:rFonts w:ascii="Arial" w:cs="Arial" w:eastAsia="Arial" w:hAnsi="Arial"/>
                <w:sz w:val="13"/>
                <w:szCs w:val="13"/>
                <w:color w:val="auto"/>
              </w:rPr>
              <w:t>ICON plc</w:t>
            </w:r>
          </w:p>
        </w:tc>
        <w:tc>
          <w:tcPr>
            <w:tcW w:w="12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2060" w:type="dxa"/>
            <w:vAlign w:val="bottom"/>
            <w:tcBorders>
              <w:bottom w:val="single" w:sz="8" w:color="auto"/>
            </w:tcBorders>
            <w:shd w:val="clear" w:color="auto" w:fill="CCEEFF"/>
          </w:tcPr>
          <w:p>
            <w:pPr>
              <w:spacing w:after="0"/>
              <w:rPr>
                <w:sz w:val="14"/>
                <w:szCs w:val="14"/>
                <w:color w:val="auto"/>
              </w:rPr>
            </w:pPr>
          </w:p>
        </w:tc>
        <w:tc>
          <w:tcPr>
            <w:tcW w:w="274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3"/>
                <w:szCs w:val="13"/>
                <w:color w:val="auto"/>
              </w:rPr>
              <w:t>Ordinary Shares €0.06</w:t>
            </w:r>
          </w:p>
        </w:tc>
        <w:tc>
          <w:tcPr>
            <w:tcW w:w="1280" w:type="dxa"/>
            <w:vAlign w:val="bottom"/>
            <w:tcBorders>
              <w:bottom w:val="single" w:sz="8" w:color="auto"/>
            </w:tcBorders>
            <w:shd w:val="clear" w:color="auto" w:fill="CCEEFF"/>
          </w:tcPr>
          <w:p>
            <w:pPr>
              <w:spacing w:after="0"/>
              <w:rPr>
                <w:sz w:val="14"/>
                <w:szCs w:val="14"/>
                <w:color w:val="auto"/>
              </w:rPr>
            </w:pPr>
          </w:p>
        </w:tc>
        <w:tc>
          <w:tcPr>
            <w:tcW w:w="190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w:t>
            </w:r>
          </w:p>
        </w:tc>
        <w:tc>
          <w:tcPr>
            <w:tcW w:w="9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w:t>
            </w:r>
          </w:p>
        </w:tc>
        <w:tc>
          <w:tcPr>
            <w:tcW w:w="15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r>
      <w:tr>
        <w:trPr>
          <w:trHeight w:val="182"/>
        </w:trPr>
        <w:tc>
          <w:tcPr>
            <w:tcW w:w="206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0"/>
        </w:trPr>
        <w:tc>
          <w:tcPr>
            <w:tcW w:w="2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Dr. Linda Grais</w:t>
            </w:r>
          </w:p>
        </w:tc>
        <w:tc>
          <w:tcPr>
            <w:tcW w:w="2740" w:type="dxa"/>
            <w:vAlign w:val="bottom"/>
            <w:shd w:val="clear" w:color="auto" w:fill="CCEEFF"/>
          </w:tcPr>
          <w:p>
            <w:pPr>
              <w:ind w:left="780"/>
              <w:spacing w:after="0"/>
              <w:rPr>
                <w:sz w:val="20"/>
                <w:szCs w:val="20"/>
                <w:color w:val="auto"/>
              </w:rPr>
            </w:pPr>
            <w:r>
              <w:rPr>
                <w:rFonts w:ascii="Arial" w:cs="Arial" w:eastAsia="Arial" w:hAnsi="Arial"/>
                <w:sz w:val="13"/>
                <w:szCs w:val="13"/>
                <w:color w:val="auto"/>
              </w:rPr>
              <w:t>ICON plc</w:t>
            </w:r>
          </w:p>
        </w:tc>
        <w:tc>
          <w:tcPr>
            <w:tcW w:w="128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70"/>
        </w:trPr>
        <w:tc>
          <w:tcPr>
            <w:tcW w:w="206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tcPr>
          <w:p>
            <w:pPr>
              <w:ind w:left="780"/>
              <w:spacing w:after="0"/>
              <w:rPr>
                <w:sz w:val="20"/>
                <w:szCs w:val="20"/>
                <w:color w:val="auto"/>
              </w:rPr>
            </w:pPr>
            <w:r>
              <w:rPr>
                <w:rFonts w:ascii="Arial" w:cs="Arial" w:eastAsia="Arial" w:hAnsi="Arial"/>
                <w:sz w:val="13"/>
                <w:szCs w:val="13"/>
                <w:color w:val="auto"/>
              </w:rPr>
              <w:t>Ordinary Shares €0.06</w:t>
            </w:r>
          </w:p>
        </w:tc>
        <w:tc>
          <w:tcPr>
            <w:tcW w:w="12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3,994</w:t>
            </w:r>
          </w:p>
        </w:tc>
        <w:tc>
          <w:tcPr>
            <w:tcW w:w="9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w:t>
            </w:r>
          </w:p>
        </w:tc>
        <w:tc>
          <w:tcPr>
            <w:tcW w:w="152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r>
      <w:tr>
        <w:trPr>
          <w:trHeight w:val="182"/>
        </w:trPr>
        <w:tc>
          <w:tcPr>
            <w:tcW w:w="2060" w:type="dxa"/>
            <w:vAlign w:val="bottom"/>
            <w:shd w:val="clear" w:color="auto" w:fill="CCEEFF"/>
          </w:tcPr>
          <w:p>
            <w:pPr>
              <w:spacing w:after="0"/>
              <w:rPr>
                <w:sz w:val="15"/>
                <w:szCs w:val="15"/>
                <w:color w:val="auto"/>
              </w:rPr>
            </w:pPr>
          </w:p>
        </w:tc>
        <w:tc>
          <w:tcPr>
            <w:tcW w:w="27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69"/>
        </w:trPr>
        <w:tc>
          <w:tcPr>
            <w:tcW w:w="2060" w:type="dxa"/>
            <w:vAlign w:val="bottom"/>
          </w:tcPr>
          <w:p>
            <w:pPr>
              <w:ind w:left="20"/>
              <w:spacing w:after="0"/>
              <w:rPr>
                <w:sz w:val="20"/>
                <w:szCs w:val="20"/>
                <w:color w:val="auto"/>
              </w:rPr>
            </w:pPr>
            <w:r>
              <w:rPr>
                <w:rFonts w:ascii="Arial" w:cs="Arial" w:eastAsia="Arial" w:hAnsi="Arial"/>
                <w:sz w:val="13"/>
                <w:szCs w:val="13"/>
                <w:color w:val="auto"/>
              </w:rPr>
              <w:t>Diarmaid Cunningham</w:t>
            </w:r>
          </w:p>
        </w:tc>
        <w:tc>
          <w:tcPr>
            <w:tcW w:w="2740" w:type="dxa"/>
            <w:vAlign w:val="bottom"/>
          </w:tcPr>
          <w:p>
            <w:pPr>
              <w:ind w:left="780"/>
              <w:spacing w:after="0"/>
              <w:rPr>
                <w:sz w:val="20"/>
                <w:szCs w:val="20"/>
                <w:color w:val="auto"/>
              </w:rPr>
            </w:pPr>
            <w:r>
              <w:rPr>
                <w:rFonts w:ascii="Arial" w:cs="Arial" w:eastAsia="Arial" w:hAnsi="Arial"/>
                <w:sz w:val="13"/>
                <w:szCs w:val="13"/>
                <w:color w:val="auto"/>
              </w:rPr>
              <w:t>ICON plc</w:t>
            </w:r>
          </w:p>
        </w:tc>
        <w:tc>
          <w:tcPr>
            <w:tcW w:w="12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2060" w:type="dxa"/>
            <w:vAlign w:val="bottom"/>
            <w:tcBorders>
              <w:bottom w:val="single" w:sz="8" w:color="auto"/>
            </w:tcBorders>
            <w:shd w:val="clear" w:color="auto" w:fill="CCEEFF"/>
          </w:tcPr>
          <w:p>
            <w:pPr>
              <w:spacing w:after="0"/>
              <w:rPr>
                <w:sz w:val="14"/>
                <w:szCs w:val="14"/>
                <w:color w:val="auto"/>
              </w:rPr>
            </w:pPr>
          </w:p>
        </w:tc>
        <w:tc>
          <w:tcPr>
            <w:tcW w:w="274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3"/>
                <w:szCs w:val="13"/>
                <w:color w:val="auto"/>
              </w:rPr>
              <w:t>Ordinary Shares €0.06</w:t>
            </w:r>
          </w:p>
        </w:tc>
        <w:tc>
          <w:tcPr>
            <w:tcW w:w="1280" w:type="dxa"/>
            <w:vAlign w:val="bottom"/>
            <w:tcBorders>
              <w:bottom w:val="single" w:sz="8" w:color="auto"/>
            </w:tcBorders>
            <w:shd w:val="clear" w:color="auto" w:fill="CCEEFF"/>
          </w:tcPr>
          <w:p>
            <w:pPr>
              <w:spacing w:after="0"/>
              <w:rPr>
                <w:sz w:val="14"/>
                <w:szCs w:val="14"/>
                <w:color w:val="auto"/>
              </w:rPr>
            </w:pPr>
          </w:p>
        </w:tc>
        <w:tc>
          <w:tcPr>
            <w:tcW w:w="190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5,546</w:t>
            </w:r>
          </w:p>
        </w:tc>
        <w:tc>
          <w:tcPr>
            <w:tcW w:w="9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21,699</w:t>
            </w:r>
          </w:p>
        </w:tc>
        <w:tc>
          <w:tcPr>
            <w:tcW w:w="15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3,389</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21,500</w:t>
            </w:r>
          </w:p>
        </w:tc>
      </w:tr>
    </w:tbl>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ectPr>
          <w:pgSz w:w="11900" w:h="16838" w:orient="portrait"/>
          <w:cols w:equalWidth="0" w:num="1">
            <w:col w:w="11280"/>
          </w:cols>
          <w:pgMar w:left="300" w:top="698" w:right="31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190" w:lineRule="exact"/>
        <w:rPr>
          <w:sz w:val="20"/>
          <w:szCs w:val="20"/>
          <w:color w:val="auto"/>
        </w:rPr>
      </w:pPr>
    </w:p>
    <w:p>
      <w:pPr>
        <w:spacing w:after="0"/>
        <w:tabs>
          <w:tab w:leader="none" w:pos="240" w:val="left"/>
        </w:tabs>
        <w:rPr>
          <w:sz w:val="20"/>
          <w:szCs w:val="20"/>
          <w:color w:val="auto"/>
        </w:rPr>
      </w:pPr>
      <w:r>
        <w:rPr>
          <w:rFonts w:ascii="Arial" w:cs="Arial" w:eastAsia="Arial" w:hAnsi="Arial"/>
          <w:sz w:val="13"/>
          <w:szCs w:val="13"/>
          <w:b w:val="1"/>
          <w:bCs w:val="1"/>
          <w:color w:val="auto"/>
        </w:rPr>
        <w:t>9.</w:t>
      </w:r>
      <w:r>
        <w:rPr>
          <w:sz w:val="20"/>
          <w:szCs w:val="20"/>
          <w:color w:val="auto"/>
        </w:rPr>
        <w:tab/>
      </w:r>
      <w:r>
        <w:rPr>
          <w:rFonts w:ascii="Arial" w:cs="Arial" w:eastAsia="Arial" w:hAnsi="Arial"/>
          <w:sz w:val="12"/>
          <w:szCs w:val="12"/>
          <w:b w:val="1"/>
          <w:bCs w:val="1"/>
          <w:color w:val="auto"/>
        </w:rPr>
        <w:t>Payroll and related benefits (</w:t>
      </w:r>
      <w:r>
        <w:rPr>
          <w:rFonts w:ascii="Arial" w:cs="Arial" w:eastAsia="Arial" w:hAnsi="Arial"/>
          <w:sz w:val="12"/>
          <w:szCs w:val="12"/>
          <w:b w:val="1"/>
          <w:bCs w:val="1"/>
          <w:i w:val="1"/>
          <w:iCs w:val="1"/>
          <w:color w:val="auto"/>
        </w:rPr>
        <w:t>continued</w:t>
      </w:r>
      <w:r>
        <w:rPr>
          <w:rFonts w:ascii="Arial" w:cs="Arial" w:eastAsia="Arial" w:hAnsi="Arial"/>
          <w:sz w:val="12"/>
          <w:szCs w:val="12"/>
          <w:b w:val="1"/>
          <w:bCs w:val="1"/>
          <w:color w:val="auto"/>
        </w:rPr>
        <w:t>)</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Further details regarding the above share options are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389"/>
        </w:trPr>
        <w:tc>
          <w:tcPr>
            <w:tcW w:w="2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21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Options</w:t>
            </w:r>
          </w:p>
        </w:tc>
        <w:tc>
          <w:tcPr>
            <w:tcW w:w="2220" w:type="dxa"/>
            <w:vAlign w:val="bottom"/>
            <w:tcBorders>
              <w:bottom w:val="single" w:sz="8" w:color="auto"/>
            </w:tcBorders>
            <w:shd w:val="clear" w:color="auto" w:fill="CCEEFF"/>
          </w:tcPr>
          <w:p>
            <w:pPr>
              <w:jc w:val="right"/>
              <w:ind w:right="1056"/>
              <w:spacing w:after="0"/>
              <w:rPr>
                <w:sz w:val="20"/>
                <w:szCs w:val="20"/>
                <w:color w:val="auto"/>
              </w:rPr>
            </w:pPr>
            <w:r>
              <w:rPr>
                <w:rFonts w:ascii="Arial" w:cs="Arial" w:eastAsia="Arial" w:hAnsi="Arial"/>
                <w:sz w:val="13"/>
                <w:szCs w:val="13"/>
                <w:b w:val="1"/>
                <w:bCs w:val="1"/>
                <w:color w:val="auto"/>
              </w:rPr>
              <w:t>Exercise price</w:t>
            </w:r>
          </w:p>
        </w:tc>
        <w:tc>
          <w:tcPr>
            <w:tcW w:w="128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ind w:right="596"/>
              <w:spacing w:after="0"/>
              <w:rPr>
                <w:sz w:val="20"/>
                <w:szCs w:val="20"/>
                <w:color w:val="auto"/>
              </w:rPr>
            </w:pPr>
            <w:r>
              <w:rPr>
                <w:rFonts w:ascii="Arial" w:cs="Arial" w:eastAsia="Arial" w:hAnsi="Arial"/>
                <w:sz w:val="13"/>
                <w:szCs w:val="13"/>
                <w:b w:val="1"/>
                <w:bCs w:val="1"/>
                <w:color w:val="auto"/>
              </w:rPr>
              <w:t>Grant date</w:t>
            </w:r>
          </w:p>
        </w:tc>
        <w:tc>
          <w:tcPr>
            <w:tcW w:w="84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94"/>
              </w:rPr>
              <w:t>Expiry date</w:t>
            </w:r>
          </w:p>
        </w:tc>
      </w:tr>
      <w:tr>
        <w:trPr>
          <w:trHeight w:val="143"/>
        </w:trPr>
        <w:tc>
          <w:tcPr>
            <w:tcW w:w="27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70"/>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Ciaran Murray</w:t>
            </w:r>
          </w:p>
        </w:tc>
        <w:tc>
          <w:tcPr>
            <w:tcW w:w="21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45,948</w:t>
            </w:r>
          </w:p>
        </w:tc>
        <w:tc>
          <w:tcPr>
            <w:tcW w:w="2220" w:type="dxa"/>
            <w:vAlign w:val="bottom"/>
            <w:shd w:val="clear" w:color="auto" w:fill="CCEEFF"/>
          </w:tcPr>
          <w:p>
            <w:pPr>
              <w:jc w:val="right"/>
              <w:ind w:right="1096"/>
              <w:spacing w:after="0"/>
              <w:rPr>
                <w:sz w:val="20"/>
                <w:szCs w:val="20"/>
                <w:color w:val="auto"/>
              </w:rPr>
            </w:pPr>
            <w:r>
              <w:rPr>
                <w:rFonts w:ascii="Arial" w:cs="Arial" w:eastAsia="Arial" w:hAnsi="Arial"/>
                <w:sz w:val="13"/>
                <w:szCs w:val="13"/>
                <w:color w:val="auto"/>
              </w:rPr>
              <w:t>$71.95</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360" w:type="dxa"/>
            <w:vAlign w:val="bottom"/>
            <w:shd w:val="clear" w:color="auto" w:fill="CCEEFF"/>
          </w:tcPr>
          <w:p>
            <w:pPr>
              <w:jc w:val="right"/>
              <w:ind w:right="596"/>
              <w:spacing w:after="0"/>
              <w:rPr>
                <w:sz w:val="20"/>
                <w:szCs w:val="20"/>
                <w:color w:val="auto"/>
              </w:rPr>
            </w:pPr>
            <w:r>
              <w:rPr>
                <w:rFonts w:ascii="Arial" w:cs="Arial" w:eastAsia="Arial" w:hAnsi="Arial"/>
                <w:sz w:val="13"/>
                <w:szCs w:val="13"/>
                <w:color w:val="auto"/>
                <w:w w:val="98"/>
              </w:rPr>
              <w:t>March 2016</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March 2024</w:t>
            </w:r>
          </w:p>
        </w:tc>
      </w:tr>
      <w:tr>
        <w:trPr>
          <w:trHeight w:val="169"/>
        </w:trPr>
        <w:tc>
          <w:tcPr>
            <w:tcW w:w="2720" w:type="dxa"/>
            <w:vAlign w:val="bottom"/>
          </w:tcPr>
          <w:p>
            <w:pPr>
              <w:spacing w:after="0"/>
              <w:rPr>
                <w:sz w:val="14"/>
                <w:szCs w:val="14"/>
                <w:color w:val="auto"/>
              </w:rPr>
            </w:pPr>
          </w:p>
        </w:tc>
        <w:tc>
          <w:tcPr>
            <w:tcW w:w="2140" w:type="dxa"/>
            <w:vAlign w:val="bottom"/>
          </w:tcPr>
          <w:p>
            <w:pPr>
              <w:jc w:val="right"/>
              <w:ind w:right="196"/>
              <w:spacing w:after="0"/>
              <w:rPr>
                <w:sz w:val="20"/>
                <w:szCs w:val="20"/>
                <w:color w:val="auto"/>
              </w:rPr>
            </w:pPr>
            <w:r>
              <w:rPr>
                <w:rFonts w:ascii="Arial" w:cs="Arial" w:eastAsia="Arial" w:hAnsi="Arial"/>
                <w:sz w:val="13"/>
                <w:szCs w:val="13"/>
                <w:color w:val="auto"/>
              </w:rPr>
              <w:t>7,693</w:t>
            </w:r>
          </w:p>
        </w:tc>
        <w:tc>
          <w:tcPr>
            <w:tcW w:w="2220" w:type="dxa"/>
            <w:vAlign w:val="bottom"/>
          </w:tcPr>
          <w:p>
            <w:pPr>
              <w:jc w:val="right"/>
              <w:ind w:right="1096"/>
              <w:spacing w:after="0"/>
              <w:rPr>
                <w:sz w:val="20"/>
                <w:szCs w:val="20"/>
                <w:color w:val="auto"/>
              </w:rPr>
            </w:pPr>
            <w:r>
              <w:rPr>
                <w:rFonts w:ascii="Arial" w:cs="Arial" w:eastAsia="Arial" w:hAnsi="Arial"/>
                <w:sz w:val="13"/>
                <w:szCs w:val="13"/>
                <w:color w:val="auto"/>
              </w:rPr>
              <w:t>$90.03</w:t>
            </w:r>
          </w:p>
        </w:tc>
        <w:tc>
          <w:tcPr>
            <w:tcW w:w="2640" w:type="dxa"/>
            <w:vAlign w:val="bottom"/>
            <w:gridSpan w:val="2"/>
          </w:tcPr>
          <w:p>
            <w:pPr>
              <w:jc w:val="right"/>
              <w:ind w:right="596"/>
              <w:spacing w:after="0"/>
              <w:rPr>
                <w:sz w:val="20"/>
                <w:szCs w:val="20"/>
                <w:color w:val="auto"/>
              </w:rPr>
            </w:pPr>
            <w:r>
              <w:rPr>
                <w:rFonts w:ascii="Arial" w:cs="Arial" w:eastAsia="Arial" w:hAnsi="Arial"/>
                <w:sz w:val="13"/>
                <w:szCs w:val="13"/>
                <w:color w:val="auto"/>
              </w:rPr>
              <w:t>19 May 2017</w:t>
            </w:r>
          </w:p>
        </w:tc>
        <w:tc>
          <w:tcPr>
            <w:tcW w:w="1540" w:type="dxa"/>
            <w:vAlign w:val="bottom"/>
            <w:gridSpan w:val="2"/>
          </w:tcPr>
          <w:p>
            <w:pPr>
              <w:jc w:val="right"/>
              <w:spacing w:after="0"/>
              <w:rPr>
                <w:sz w:val="20"/>
                <w:szCs w:val="20"/>
                <w:color w:val="auto"/>
              </w:rPr>
            </w:pPr>
            <w:r>
              <w:rPr>
                <w:rFonts w:ascii="Arial" w:cs="Arial" w:eastAsia="Arial" w:hAnsi="Arial"/>
                <w:sz w:val="13"/>
                <w:szCs w:val="13"/>
                <w:color w:val="auto"/>
              </w:rPr>
              <w:t>19 May 2025</w:t>
            </w:r>
          </w:p>
        </w:tc>
      </w:tr>
      <w:tr>
        <w:trPr>
          <w:trHeight w:val="170"/>
        </w:trPr>
        <w:tc>
          <w:tcPr>
            <w:tcW w:w="2720" w:type="dxa"/>
            <w:vAlign w:val="bottom"/>
            <w:tcBorders>
              <w:bottom w:val="single" w:sz="8" w:color="auto"/>
            </w:tcBorders>
            <w:shd w:val="clear" w:color="auto" w:fill="CCEEFF"/>
          </w:tcPr>
          <w:p>
            <w:pPr>
              <w:spacing w:after="0"/>
              <w:rPr>
                <w:sz w:val="14"/>
                <w:szCs w:val="14"/>
                <w:color w:val="auto"/>
              </w:rPr>
            </w:pPr>
          </w:p>
        </w:tc>
        <w:tc>
          <w:tcPr>
            <w:tcW w:w="21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5,005</w:t>
            </w:r>
          </w:p>
        </w:tc>
        <w:tc>
          <w:tcPr>
            <w:tcW w:w="2220" w:type="dxa"/>
            <w:vAlign w:val="bottom"/>
            <w:tcBorders>
              <w:bottom w:val="single" w:sz="8" w:color="auto"/>
            </w:tcBorders>
            <w:shd w:val="clear" w:color="auto" w:fill="CCEEFF"/>
          </w:tcPr>
          <w:p>
            <w:pPr>
              <w:jc w:val="right"/>
              <w:ind w:right="1096"/>
              <w:spacing w:after="0"/>
              <w:rPr>
                <w:sz w:val="20"/>
                <w:szCs w:val="20"/>
                <w:color w:val="auto"/>
              </w:rPr>
            </w:pPr>
            <w:r>
              <w:rPr>
                <w:rFonts w:ascii="Arial" w:cs="Arial" w:eastAsia="Arial" w:hAnsi="Arial"/>
                <w:sz w:val="13"/>
                <w:szCs w:val="13"/>
                <w:color w:val="auto"/>
              </w:rPr>
              <w:t>$125.74</w:t>
            </w:r>
          </w:p>
        </w:tc>
        <w:tc>
          <w:tcPr>
            <w:tcW w:w="2640" w:type="dxa"/>
            <w:vAlign w:val="bottom"/>
            <w:tcBorders>
              <w:bottom w:val="single" w:sz="8" w:color="auto"/>
            </w:tcBorders>
            <w:gridSpan w:val="2"/>
            <w:shd w:val="clear" w:color="auto" w:fill="CCEEFF"/>
          </w:tcPr>
          <w:p>
            <w:pPr>
              <w:jc w:val="right"/>
              <w:ind w:right="596"/>
              <w:spacing w:after="0"/>
              <w:rPr>
                <w:sz w:val="20"/>
                <w:szCs w:val="20"/>
                <w:color w:val="auto"/>
              </w:rPr>
            </w:pPr>
            <w:r>
              <w:rPr>
                <w:rFonts w:ascii="Arial" w:cs="Arial" w:eastAsia="Arial" w:hAnsi="Arial"/>
                <w:sz w:val="13"/>
                <w:szCs w:val="13"/>
                <w:color w:val="auto"/>
              </w:rPr>
              <w:t>18 May 2018</w:t>
            </w:r>
          </w:p>
        </w:tc>
        <w:tc>
          <w:tcPr>
            <w:tcW w:w="1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18 May 2026</w:t>
            </w:r>
          </w:p>
        </w:tc>
      </w:tr>
      <w:tr>
        <w:trPr>
          <w:trHeight w:val="140"/>
        </w:trPr>
        <w:tc>
          <w:tcPr>
            <w:tcW w:w="27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70"/>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Dr. Steve Cutler</w:t>
            </w:r>
          </w:p>
        </w:tc>
        <w:tc>
          <w:tcPr>
            <w:tcW w:w="21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6,128</w:t>
            </w:r>
          </w:p>
        </w:tc>
        <w:tc>
          <w:tcPr>
            <w:tcW w:w="2220" w:type="dxa"/>
            <w:vAlign w:val="bottom"/>
            <w:shd w:val="clear" w:color="auto" w:fill="CCEEFF"/>
          </w:tcPr>
          <w:p>
            <w:pPr>
              <w:jc w:val="right"/>
              <w:ind w:right="1096"/>
              <w:spacing w:after="0"/>
              <w:rPr>
                <w:sz w:val="20"/>
                <w:szCs w:val="20"/>
                <w:color w:val="auto"/>
              </w:rPr>
            </w:pPr>
            <w:r>
              <w:rPr>
                <w:rFonts w:ascii="Arial" w:cs="Arial" w:eastAsia="Arial" w:hAnsi="Arial"/>
                <w:sz w:val="13"/>
                <w:szCs w:val="13"/>
                <w:color w:val="auto"/>
              </w:rPr>
              <w:t>$71.95</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360" w:type="dxa"/>
            <w:vAlign w:val="bottom"/>
            <w:shd w:val="clear" w:color="auto" w:fill="CCEEFF"/>
          </w:tcPr>
          <w:p>
            <w:pPr>
              <w:jc w:val="right"/>
              <w:ind w:right="596"/>
              <w:spacing w:after="0"/>
              <w:rPr>
                <w:sz w:val="20"/>
                <w:szCs w:val="20"/>
                <w:color w:val="auto"/>
              </w:rPr>
            </w:pPr>
            <w:r>
              <w:rPr>
                <w:rFonts w:ascii="Arial" w:cs="Arial" w:eastAsia="Arial" w:hAnsi="Arial"/>
                <w:sz w:val="13"/>
                <w:szCs w:val="13"/>
                <w:color w:val="auto"/>
                <w:w w:val="98"/>
              </w:rPr>
              <w:t>March 2016</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March 2024</w:t>
            </w:r>
          </w:p>
        </w:tc>
      </w:tr>
      <w:tr>
        <w:trPr>
          <w:trHeight w:val="169"/>
        </w:trPr>
        <w:tc>
          <w:tcPr>
            <w:tcW w:w="2720" w:type="dxa"/>
            <w:vAlign w:val="bottom"/>
          </w:tcPr>
          <w:p>
            <w:pPr>
              <w:spacing w:after="0"/>
              <w:rPr>
                <w:sz w:val="14"/>
                <w:szCs w:val="14"/>
                <w:color w:val="auto"/>
              </w:rPr>
            </w:pPr>
          </w:p>
        </w:tc>
        <w:tc>
          <w:tcPr>
            <w:tcW w:w="2140" w:type="dxa"/>
            <w:vAlign w:val="bottom"/>
          </w:tcPr>
          <w:p>
            <w:pPr>
              <w:jc w:val="right"/>
              <w:ind w:right="196"/>
              <w:spacing w:after="0"/>
              <w:rPr>
                <w:sz w:val="20"/>
                <w:szCs w:val="20"/>
                <w:color w:val="auto"/>
              </w:rPr>
            </w:pPr>
            <w:r>
              <w:rPr>
                <w:rFonts w:ascii="Arial" w:cs="Arial" w:eastAsia="Arial" w:hAnsi="Arial"/>
                <w:sz w:val="13"/>
                <w:szCs w:val="13"/>
                <w:color w:val="auto"/>
              </w:rPr>
              <w:t>25,156</w:t>
            </w:r>
          </w:p>
        </w:tc>
        <w:tc>
          <w:tcPr>
            <w:tcW w:w="2220" w:type="dxa"/>
            <w:vAlign w:val="bottom"/>
          </w:tcPr>
          <w:p>
            <w:pPr>
              <w:jc w:val="right"/>
              <w:ind w:right="1096"/>
              <w:spacing w:after="0"/>
              <w:rPr>
                <w:sz w:val="20"/>
                <w:szCs w:val="20"/>
                <w:color w:val="auto"/>
              </w:rPr>
            </w:pPr>
            <w:r>
              <w:rPr>
                <w:rFonts w:ascii="Arial" w:cs="Arial" w:eastAsia="Arial" w:hAnsi="Arial"/>
                <w:sz w:val="13"/>
                <w:szCs w:val="13"/>
                <w:color w:val="auto"/>
              </w:rPr>
              <w:t>$83.47</w:t>
            </w:r>
          </w:p>
        </w:tc>
        <w:tc>
          <w:tcPr>
            <w:tcW w:w="1280" w:type="dxa"/>
            <w:vAlign w:val="bottom"/>
          </w:tcPr>
          <w:p>
            <w:pPr>
              <w:jc w:val="right"/>
              <w:spacing w:after="0"/>
              <w:rPr>
                <w:sz w:val="20"/>
                <w:szCs w:val="20"/>
                <w:color w:val="auto"/>
              </w:rPr>
            </w:pPr>
            <w:r>
              <w:rPr>
                <w:rFonts w:ascii="Arial" w:cs="Arial" w:eastAsia="Arial" w:hAnsi="Arial"/>
                <w:sz w:val="13"/>
                <w:szCs w:val="13"/>
                <w:color w:val="auto"/>
              </w:rPr>
              <w:t>3</w:t>
            </w:r>
          </w:p>
        </w:tc>
        <w:tc>
          <w:tcPr>
            <w:tcW w:w="1360" w:type="dxa"/>
            <w:vAlign w:val="bottom"/>
          </w:tcPr>
          <w:p>
            <w:pPr>
              <w:jc w:val="right"/>
              <w:ind w:right="596"/>
              <w:spacing w:after="0"/>
              <w:rPr>
                <w:sz w:val="20"/>
                <w:szCs w:val="20"/>
                <w:color w:val="auto"/>
              </w:rPr>
            </w:pPr>
            <w:r>
              <w:rPr>
                <w:rFonts w:ascii="Arial" w:cs="Arial" w:eastAsia="Arial" w:hAnsi="Arial"/>
                <w:sz w:val="13"/>
                <w:szCs w:val="13"/>
                <w:color w:val="auto"/>
                <w:w w:val="98"/>
              </w:rPr>
              <w:t>March 2017</w:t>
            </w:r>
          </w:p>
        </w:tc>
        <w:tc>
          <w:tcPr>
            <w:tcW w:w="840" w:type="dxa"/>
            <w:vAlign w:val="bottom"/>
          </w:tcPr>
          <w:p>
            <w:pPr>
              <w:jc w:val="right"/>
              <w:spacing w:after="0"/>
              <w:rPr>
                <w:sz w:val="20"/>
                <w:szCs w:val="20"/>
                <w:color w:val="auto"/>
              </w:rPr>
            </w:pPr>
            <w:r>
              <w:rPr>
                <w:rFonts w:ascii="Arial" w:cs="Arial" w:eastAsia="Arial" w:hAnsi="Arial"/>
                <w:sz w:val="13"/>
                <w:szCs w:val="13"/>
                <w:color w:val="auto"/>
              </w:rPr>
              <w:t>3</w:t>
            </w:r>
          </w:p>
        </w:tc>
        <w:tc>
          <w:tcPr>
            <w:tcW w:w="700" w:type="dxa"/>
            <w:vAlign w:val="bottom"/>
          </w:tcPr>
          <w:p>
            <w:pPr>
              <w:jc w:val="right"/>
              <w:spacing w:after="0"/>
              <w:rPr>
                <w:sz w:val="20"/>
                <w:szCs w:val="20"/>
                <w:color w:val="auto"/>
              </w:rPr>
            </w:pPr>
            <w:r>
              <w:rPr>
                <w:rFonts w:ascii="Arial" w:cs="Arial" w:eastAsia="Arial" w:hAnsi="Arial"/>
                <w:sz w:val="13"/>
                <w:szCs w:val="13"/>
                <w:color w:val="auto"/>
                <w:w w:val="96"/>
              </w:rPr>
              <w:t>March 2025</w:t>
            </w:r>
          </w:p>
        </w:tc>
      </w:tr>
      <w:tr>
        <w:trPr>
          <w:trHeight w:val="171"/>
        </w:trPr>
        <w:tc>
          <w:tcPr>
            <w:tcW w:w="2720" w:type="dxa"/>
            <w:vAlign w:val="bottom"/>
            <w:shd w:val="clear" w:color="auto" w:fill="CCEEFF"/>
          </w:tcPr>
          <w:p>
            <w:pPr>
              <w:spacing w:after="0"/>
              <w:rPr>
                <w:sz w:val="14"/>
                <w:szCs w:val="14"/>
                <w:color w:val="auto"/>
              </w:rPr>
            </w:pPr>
          </w:p>
        </w:tc>
        <w:tc>
          <w:tcPr>
            <w:tcW w:w="21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29,613</w:t>
            </w:r>
          </w:p>
        </w:tc>
        <w:tc>
          <w:tcPr>
            <w:tcW w:w="2220" w:type="dxa"/>
            <w:vAlign w:val="bottom"/>
            <w:shd w:val="clear" w:color="auto" w:fill="CCEEFF"/>
          </w:tcPr>
          <w:p>
            <w:pPr>
              <w:jc w:val="right"/>
              <w:ind w:right="1096"/>
              <w:spacing w:after="0"/>
              <w:rPr>
                <w:sz w:val="20"/>
                <w:szCs w:val="20"/>
                <w:color w:val="auto"/>
              </w:rPr>
            </w:pPr>
            <w:r>
              <w:rPr>
                <w:rFonts w:ascii="Arial" w:cs="Arial" w:eastAsia="Arial" w:hAnsi="Arial"/>
                <w:sz w:val="13"/>
                <w:szCs w:val="13"/>
                <w:color w:val="auto"/>
              </w:rPr>
              <w:t>$115.11</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360" w:type="dxa"/>
            <w:vAlign w:val="bottom"/>
            <w:shd w:val="clear" w:color="auto" w:fill="CCEEFF"/>
          </w:tcPr>
          <w:p>
            <w:pPr>
              <w:jc w:val="right"/>
              <w:ind w:right="596"/>
              <w:spacing w:after="0"/>
              <w:rPr>
                <w:sz w:val="20"/>
                <w:szCs w:val="20"/>
                <w:color w:val="auto"/>
              </w:rPr>
            </w:pPr>
            <w:r>
              <w:rPr>
                <w:rFonts w:ascii="Arial" w:cs="Arial" w:eastAsia="Arial" w:hAnsi="Arial"/>
                <w:sz w:val="13"/>
                <w:szCs w:val="13"/>
                <w:color w:val="auto"/>
                <w:w w:val="98"/>
              </w:rPr>
              <w:t>March 2018</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March 2026</w:t>
            </w:r>
          </w:p>
        </w:tc>
      </w:tr>
      <w:tr>
        <w:trPr>
          <w:trHeight w:val="169"/>
        </w:trPr>
        <w:tc>
          <w:tcPr>
            <w:tcW w:w="2720" w:type="dxa"/>
            <w:vAlign w:val="bottom"/>
          </w:tcPr>
          <w:p>
            <w:pPr>
              <w:spacing w:after="0"/>
              <w:rPr>
                <w:sz w:val="14"/>
                <w:szCs w:val="14"/>
                <w:color w:val="auto"/>
              </w:rPr>
            </w:pPr>
          </w:p>
        </w:tc>
        <w:tc>
          <w:tcPr>
            <w:tcW w:w="2140" w:type="dxa"/>
            <w:vAlign w:val="bottom"/>
          </w:tcPr>
          <w:p>
            <w:pPr>
              <w:jc w:val="right"/>
              <w:ind w:right="196"/>
              <w:spacing w:after="0"/>
              <w:rPr>
                <w:sz w:val="20"/>
                <w:szCs w:val="20"/>
                <w:color w:val="auto"/>
              </w:rPr>
            </w:pPr>
            <w:r>
              <w:rPr>
                <w:rFonts w:ascii="Arial" w:cs="Arial" w:eastAsia="Arial" w:hAnsi="Arial"/>
                <w:sz w:val="13"/>
                <w:szCs w:val="13"/>
                <w:color w:val="auto"/>
              </w:rPr>
              <w:t>32,272</w:t>
            </w:r>
          </w:p>
        </w:tc>
        <w:tc>
          <w:tcPr>
            <w:tcW w:w="2220" w:type="dxa"/>
            <w:vAlign w:val="bottom"/>
          </w:tcPr>
          <w:p>
            <w:pPr>
              <w:jc w:val="right"/>
              <w:ind w:right="1096"/>
              <w:spacing w:after="0"/>
              <w:rPr>
                <w:sz w:val="20"/>
                <w:szCs w:val="20"/>
                <w:color w:val="auto"/>
              </w:rPr>
            </w:pPr>
            <w:r>
              <w:rPr>
                <w:rFonts w:ascii="Arial" w:cs="Arial" w:eastAsia="Arial" w:hAnsi="Arial"/>
                <w:sz w:val="13"/>
                <w:szCs w:val="13"/>
                <w:color w:val="auto"/>
              </w:rPr>
              <w:t>$140.38</w:t>
            </w:r>
          </w:p>
        </w:tc>
        <w:tc>
          <w:tcPr>
            <w:tcW w:w="1280" w:type="dxa"/>
            <w:vAlign w:val="bottom"/>
          </w:tcPr>
          <w:p>
            <w:pPr>
              <w:jc w:val="right"/>
              <w:spacing w:after="0"/>
              <w:rPr>
                <w:sz w:val="20"/>
                <w:szCs w:val="20"/>
                <w:color w:val="auto"/>
              </w:rPr>
            </w:pPr>
            <w:r>
              <w:rPr>
                <w:rFonts w:ascii="Arial" w:cs="Arial" w:eastAsia="Arial" w:hAnsi="Arial"/>
                <w:sz w:val="13"/>
                <w:szCs w:val="13"/>
                <w:color w:val="auto"/>
              </w:rPr>
              <w:t>3</w:t>
            </w:r>
          </w:p>
        </w:tc>
        <w:tc>
          <w:tcPr>
            <w:tcW w:w="1360" w:type="dxa"/>
            <w:vAlign w:val="bottom"/>
          </w:tcPr>
          <w:p>
            <w:pPr>
              <w:jc w:val="right"/>
              <w:ind w:right="596"/>
              <w:spacing w:after="0"/>
              <w:rPr>
                <w:sz w:val="20"/>
                <w:szCs w:val="20"/>
                <w:color w:val="auto"/>
              </w:rPr>
            </w:pPr>
            <w:r>
              <w:rPr>
                <w:rFonts w:ascii="Arial" w:cs="Arial" w:eastAsia="Arial" w:hAnsi="Arial"/>
                <w:sz w:val="13"/>
                <w:szCs w:val="13"/>
                <w:color w:val="auto"/>
                <w:w w:val="98"/>
              </w:rPr>
              <w:t>March 2019</w:t>
            </w:r>
          </w:p>
        </w:tc>
        <w:tc>
          <w:tcPr>
            <w:tcW w:w="840" w:type="dxa"/>
            <w:vAlign w:val="bottom"/>
          </w:tcPr>
          <w:p>
            <w:pPr>
              <w:jc w:val="right"/>
              <w:spacing w:after="0"/>
              <w:rPr>
                <w:sz w:val="20"/>
                <w:szCs w:val="20"/>
                <w:color w:val="auto"/>
              </w:rPr>
            </w:pPr>
            <w:r>
              <w:rPr>
                <w:rFonts w:ascii="Arial" w:cs="Arial" w:eastAsia="Arial" w:hAnsi="Arial"/>
                <w:sz w:val="13"/>
                <w:szCs w:val="13"/>
                <w:color w:val="auto"/>
              </w:rPr>
              <w:t>3</w:t>
            </w:r>
          </w:p>
        </w:tc>
        <w:tc>
          <w:tcPr>
            <w:tcW w:w="700" w:type="dxa"/>
            <w:vAlign w:val="bottom"/>
          </w:tcPr>
          <w:p>
            <w:pPr>
              <w:jc w:val="right"/>
              <w:spacing w:after="0"/>
              <w:rPr>
                <w:sz w:val="20"/>
                <w:szCs w:val="20"/>
                <w:color w:val="auto"/>
              </w:rPr>
            </w:pPr>
            <w:r>
              <w:rPr>
                <w:rFonts w:ascii="Arial" w:cs="Arial" w:eastAsia="Arial" w:hAnsi="Arial"/>
                <w:sz w:val="13"/>
                <w:szCs w:val="13"/>
                <w:color w:val="auto"/>
                <w:w w:val="96"/>
              </w:rPr>
              <w:t>March 2027</w:t>
            </w:r>
          </w:p>
        </w:tc>
      </w:tr>
      <w:tr>
        <w:trPr>
          <w:trHeight w:val="171"/>
        </w:trPr>
        <w:tc>
          <w:tcPr>
            <w:tcW w:w="2720" w:type="dxa"/>
            <w:vAlign w:val="bottom"/>
            <w:shd w:val="clear" w:color="auto" w:fill="CCEEFF"/>
          </w:tcPr>
          <w:p>
            <w:pPr>
              <w:spacing w:after="0"/>
              <w:rPr>
                <w:sz w:val="14"/>
                <w:szCs w:val="14"/>
                <w:color w:val="auto"/>
              </w:rPr>
            </w:pPr>
          </w:p>
        </w:tc>
        <w:tc>
          <w:tcPr>
            <w:tcW w:w="21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42,386</w:t>
            </w:r>
          </w:p>
        </w:tc>
        <w:tc>
          <w:tcPr>
            <w:tcW w:w="2220" w:type="dxa"/>
            <w:vAlign w:val="bottom"/>
            <w:shd w:val="clear" w:color="auto" w:fill="CCEEFF"/>
          </w:tcPr>
          <w:p>
            <w:pPr>
              <w:jc w:val="right"/>
              <w:ind w:right="1096"/>
              <w:spacing w:after="0"/>
              <w:rPr>
                <w:sz w:val="20"/>
                <w:szCs w:val="20"/>
                <w:color w:val="auto"/>
              </w:rPr>
            </w:pPr>
            <w:r>
              <w:rPr>
                <w:rFonts w:ascii="Arial" w:cs="Arial" w:eastAsia="Arial" w:hAnsi="Arial"/>
                <w:sz w:val="13"/>
                <w:szCs w:val="13"/>
                <w:color w:val="auto"/>
              </w:rPr>
              <w:t>$159.33</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360" w:type="dxa"/>
            <w:vAlign w:val="bottom"/>
            <w:shd w:val="clear" w:color="auto" w:fill="CCEEFF"/>
          </w:tcPr>
          <w:p>
            <w:pPr>
              <w:jc w:val="right"/>
              <w:ind w:right="596"/>
              <w:spacing w:after="0"/>
              <w:rPr>
                <w:sz w:val="20"/>
                <w:szCs w:val="20"/>
                <w:color w:val="auto"/>
              </w:rPr>
            </w:pPr>
            <w:r>
              <w:rPr>
                <w:rFonts w:ascii="Arial" w:cs="Arial" w:eastAsia="Arial" w:hAnsi="Arial"/>
                <w:sz w:val="13"/>
                <w:szCs w:val="13"/>
                <w:color w:val="auto"/>
                <w:w w:val="98"/>
              </w:rPr>
              <w:t>March 2020</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March 2028</w:t>
            </w:r>
          </w:p>
        </w:tc>
      </w:tr>
      <w:tr>
        <w:trPr>
          <w:trHeight w:val="169"/>
        </w:trPr>
        <w:tc>
          <w:tcPr>
            <w:tcW w:w="27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rPr>
              <w:t>37,461</w:t>
            </w:r>
          </w:p>
        </w:tc>
        <w:tc>
          <w:tcPr>
            <w:tcW w:w="2220" w:type="dxa"/>
            <w:vAlign w:val="bottom"/>
            <w:tcBorders>
              <w:bottom w:val="single" w:sz="8" w:color="auto"/>
            </w:tcBorders>
          </w:tcPr>
          <w:p>
            <w:pPr>
              <w:jc w:val="right"/>
              <w:ind w:right="1096"/>
              <w:spacing w:after="0"/>
              <w:rPr>
                <w:sz w:val="20"/>
                <w:szCs w:val="20"/>
                <w:color w:val="auto"/>
              </w:rPr>
            </w:pPr>
            <w:r>
              <w:rPr>
                <w:rFonts w:ascii="Arial" w:cs="Arial" w:eastAsia="Arial" w:hAnsi="Arial"/>
                <w:sz w:val="13"/>
                <w:szCs w:val="13"/>
                <w:color w:val="auto"/>
              </w:rPr>
              <w:t>$174.96</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360" w:type="dxa"/>
            <w:vAlign w:val="bottom"/>
            <w:tcBorders>
              <w:bottom w:val="single" w:sz="8" w:color="auto"/>
            </w:tcBorders>
          </w:tcPr>
          <w:p>
            <w:pPr>
              <w:jc w:val="right"/>
              <w:ind w:right="596"/>
              <w:spacing w:after="0"/>
              <w:rPr>
                <w:sz w:val="20"/>
                <w:szCs w:val="20"/>
                <w:color w:val="auto"/>
              </w:rPr>
            </w:pPr>
            <w:r>
              <w:rPr>
                <w:rFonts w:ascii="Arial" w:cs="Arial" w:eastAsia="Arial" w:hAnsi="Arial"/>
                <w:sz w:val="13"/>
                <w:szCs w:val="13"/>
                <w:color w:val="auto"/>
                <w:w w:val="98"/>
              </w:rPr>
              <w:t>March 2021</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6"/>
              </w:rPr>
              <w:t>March 2029</w:t>
            </w:r>
          </w:p>
        </w:tc>
      </w:tr>
      <w:tr>
        <w:trPr>
          <w:trHeight w:val="140"/>
        </w:trPr>
        <w:tc>
          <w:tcPr>
            <w:tcW w:w="272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r>
      <w:tr>
        <w:trPr>
          <w:trHeight w:val="200"/>
        </w:trPr>
        <w:tc>
          <w:tcPr>
            <w:tcW w:w="2720" w:type="dxa"/>
            <w:vAlign w:val="bottom"/>
          </w:tcPr>
          <w:p>
            <w:pPr>
              <w:ind w:left="20"/>
              <w:spacing w:after="0"/>
              <w:rPr>
                <w:sz w:val="20"/>
                <w:szCs w:val="20"/>
                <w:color w:val="auto"/>
              </w:rPr>
            </w:pPr>
            <w:r>
              <w:rPr>
                <w:rFonts w:ascii="Arial" w:cs="Arial" w:eastAsia="Arial" w:hAnsi="Arial"/>
                <w:sz w:val="13"/>
                <w:szCs w:val="13"/>
                <w:color w:val="auto"/>
              </w:rPr>
              <w:t>Brendan Brennan</w:t>
            </w:r>
          </w:p>
        </w:tc>
        <w:tc>
          <w:tcPr>
            <w:tcW w:w="2140" w:type="dxa"/>
            <w:vAlign w:val="bottom"/>
          </w:tcPr>
          <w:p>
            <w:pPr>
              <w:jc w:val="right"/>
              <w:ind w:right="196"/>
              <w:spacing w:after="0"/>
              <w:rPr>
                <w:sz w:val="20"/>
                <w:szCs w:val="20"/>
                <w:color w:val="auto"/>
              </w:rPr>
            </w:pPr>
            <w:r>
              <w:rPr>
                <w:rFonts w:ascii="Arial" w:cs="Arial" w:eastAsia="Arial" w:hAnsi="Arial"/>
                <w:sz w:val="13"/>
                <w:szCs w:val="13"/>
                <w:color w:val="auto"/>
              </w:rPr>
              <w:t>13,611</w:t>
            </w:r>
          </w:p>
        </w:tc>
        <w:tc>
          <w:tcPr>
            <w:tcW w:w="2220" w:type="dxa"/>
            <w:vAlign w:val="bottom"/>
          </w:tcPr>
          <w:p>
            <w:pPr>
              <w:jc w:val="right"/>
              <w:ind w:right="1096"/>
              <w:spacing w:after="0"/>
              <w:rPr>
                <w:sz w:val="20"/>
                <w:szCs w:val="20"/>
                <w:color w:val="auto"/>
              </w:rPr>
            </w:pPr>
            <w:r>
              <w:rPr>
                <w:rFonts w:ascii="Arial" w:cs="Arial" w:eastAsia="Arial" w:hAnsi="Arial"/>
                <w:sz w:val="13"/>
                <w:szCs w:val="13"/>
                <w:color w:val="auto"/>
              </w:rPr>
              <w:t>$71.95</w:t>
            </w:r>
          </w:p>
        </w:tc>
        <w:tc>
          <w:tcPr>
            <w:tcW w:w="1280" w:type="dxa"/>
            <w:vAlign w:val="bottom"/>
          </w:tcPr>
          <w:p>
            <w:pPr>
              <w:jc w:val="right"/>
              <w:spacing w:after="0"/>
              <w:rPr>
                <w:sz w:val="20"/>
                <w:szCs w:val="20"/>
                <w:color w:val="auto"/>
              </w:rPr>
            </w:pPr>
            <w:r>
              <w:rPr>
                <w:rFonts w:ascii="Arial" w:cs="Arial" w:eastAsia="Arial" w:hAnsi="Arial"/>
                <w:sz w:val="13"/>
                <w:szCs w:val="13"/>
                <w:color w:val="auto"/>
              </w:rPr>
              <w:t>4</w:t>
            </w:r>
          </w:p>
        </w:tc>
        <w:tc>
          <w:tcPr>
            <w:tcW w:w="1360" w:type="dxa"/>
            <w:vAlign w:val="bottom"/>
          </w:tcPr>
          <w:p>
            <w:pPr>
              <w:jc w:val="right"/>
              <w:ind w:right="596"/>
              <w:spacing w:after="0"/>
              <w:rPr>
                <w:sz w:val="20"/>
                <w:szCs w:val="20"/>
                <w:color w:val="auto"/>
              </w:rPr>
            </w:pPr>
            <w:r>
              <w:rPr>
                <w:rFonts w:ascii="Arial" w:cs="Arial" w:eastAsia="Arial" w:hAnsi="Arial"/>
                <w:sz w:val="13"/>
                <w:szCs w:val="13"/>
                <w:color w:val="auto"/>
                <w:w w:val="98"/>
              </w:rPr>
              <w:t>March 2016</w:t>
            </w:r>
          </w:p>
        </w:tc>
        <w:tc>
          <w:tcPr>
            <w:tcW w:w="840" w:type="dxa"/>
            <w:vAlign w:val="bottom"/>
          </w:tcPr>
          <w:p>
            <w:pPr>
              <w:jc w:val="right"/>
              <w:spacing w:after="0"/>
              <w:rPr>
                <w:sz w:val="20"/>
                <w:szCs w:val="20"/>
                <w:color w:val="auto"/>
              </w:rPr>
            </w:pPr>
            <w:r>
              <w:rPr>
                <w:rFonts w:ascii="Arial" w:cs="Arial" w:eastAsia="Arial" w:hAnsi="Arial"/>
                <w:sz w:val="13"/>
                <w:szCs w:val="13"/>
                <w:color w:val="auto"/>
              </w:rPr>
              <w:t>4</w:t>
            </w:r>
          </w:p>
        </w:tc>
        <w:tc>
          <w:tcPr>
            <w:tcW w:w="700" w:type="dxa"/>
            <w:vAlign w:val="bottom"/>
          </w:tcPr>
          <w:p>
            <w:pPr>
              <w:jc w:val="right"/>
              <w:spacing w:after="0"/>
              <w:rPr>
                <w:sz w:val="20"/>
                <w:szCs w:val="20"/>
                <w:color w:val="auto"/>
              </w:rPr>
            </w:pPr>
            <w:r>
              <w:rPr>
                <w:rFonts w:ascii="Arial" w:cs="Arial" w:eastAsia="Arial" w:hAnsi="Arial"/>
                <w:sz w:val="13"/>
                <w:szCs w:val="13"/>
                <w:color w:val="auto"/>
                <w:w w:val="96"/>
              </w:rPr>
              <w:t>March 2024</w:t>
            </w:r>
          </w:p>
        </w:tc>
      </w:tr>
      <w:tr>
        <w:trPr>
          <w:trHeight w:val="171"/>
        </w:trPr>
        <w:tc>
          <w:tcPr>
            <w:tcW w:w="2720" w:type="dxa"/>
            <w:vAlign w:val="bottom"/>
            <w:shd w:val="clear" w:color="auto" w:fill="CCEEFF"/>
          </w:tcPr>
          <w:p>
            <w:pPr>
              <w:spacing w:after="0"/>
              <w:rPr>
                <w:sz w:val="14"/>
                <w:szCs w:val="14"/>
                <w:color w:val="auto"/>
              </w:rPr>
            </w:pPr>
          </w:p>
        </w:tc>
        <w:tc>
          <w:tcPr>
            <w:tcW w:w="21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14,206</w:t>
            </w:r>
          </w:p>
        </w:tc>
        <w:tc>
          <w:tcPr>
            <w:tcW w:w="2220" w:type="dxa"/>
            <w:vAlign w:val="bottom"/>
            <w:shd w:val="clear" w:color="auto" w:fill="CCEEFF"/>
          </w:tcPr>
          <w:p>
            <w:pPr>
              <w:jc w:val="right"/>
              <w:ind w:right="1096"/>
              <w:spacing w:after="0"/>
              <w:rPr>
                <w:sz w:val="20"/>
                <w:szCs w:val="20"/>
                <w:color w:val="auto"/>
              </w:rPr>
            </w:pPr>
            <w:r>
              <w:rPr>
                <w:rFonts w:ascii="Arial" w:cs="Arial" w:eastAsia="Arial" w:hAnsi="Arial"/>
                <w:sz w:val="13"/>
                <w:szCs w:val="13"/>
                <w:color w:val="auto"/>
              </w:rPr>
              <w:t>$83.47</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360" w:type="dxa"/>
            <w:vAlign w:val="bottom"/>
            <w:shd w:val="clear" w:color="auto" w:fill="CCEEFF"/>
          </w:tcPr>
          <w:p>
            <w:pPr>
              <w:jc w:val="right"/>
              <w:ind w:right="596"/>
              <w:spacing w:after="0"/>
              <w:rPr>
                <w:sz w:val="20"/>
                <w:szCs w:val="20"/>
                <w:color w:val="auto"/>
              </w:rPr>
            </w:pPr>
            <w:r>
              <w:rPr>
                <w:rFonts w:ascii="Arial" w:cs="Arial" w:eastAsia="Arial" w:hAnsi="Arial"/>
                <w:sz w:val="13"/>
                <w:szCs w:val="13"/>
                <w:color w:val="auto"/>
                <w:w w:val="98"/>
              </w:rPr>
              <w:t>March 2017</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March 2025</w:t>
            </w:r>
          </w:p>
        </w:tc>
      </w:tr>
      <w:tr>
        <w:trPr>
          <w:trHeight w:val="169"/>
        </w:trPr>
        <w:tc>
          <w:tcPr>
            <w:tcW w:w="2720" w:type="dxa"/>
            <w:vAlign w:val="bottom"/>
          </w:tcPr>
          <w:p>
            <w:pPr>
              <w:spacing w:after="0"/>
              <w:rPr>
                <w:sz w:val="14"/>
                <w:szCs w:val="14"/>
                <w:color w:val="auto"/>
              </w:rPr>
            </w:pPr>
          </w:p>
        </w:tc>
        <w:tc>
          <w:tcPr>
            <w:tcW w:w="2140" w:type="dxa"/>
            <w:vAlign w:val="bottom"/>
          </w:tcPr>
          <w:p>
            <w:pPr>
              <w:jc w:val="right"/>
              <w:ind w:right="196"/>
              <w:spacing w:after="0"/>
              <w:rPr>
                <w:sz w:val="20"/>
                <w:szCs w:val="20"/>
                <w:color w:val="auto"/>
              </w:rPr>
            </w:pPr>
            <w:r>
              <w:rPr>
                <w:rFonts w:ascii="Arial" w:cs="Arial" w:eastAsia="Arial" w:hAnsi="Arial"/>
                <w:sz w:val="13"/>
                <w:szCs w:val="13"/>
                <w:color w:val="auto"/>
              </w:rPr>
              <w:t>9,584</w:t>
            </w:r>
          </w:p>
        </w:tc>
        <w:tc>
          <w:tcPr>
            <w:tcW w:w="2220" w:type="dxa"/>
            <w:vAlign w:val="bottom"/>
          </w:tcPr>
          <w:p>
            <w:pPr>
              <w:jc w:val="right"/>
              <w:ind w:right="1096"/>
              <w:spacing w:after="0"/>
              <w:rPr>
                <w:sz w:val="20"/>
                <w:szCs w:val="20"/>
                <w:color w:val="auto"/>
              </w:rPr>
            </w:pPr>
            <w:r>
              <w:rPr>
                <w:rFonts w:ascii="Arial" w:cs="Arial" w:eastAsia="Arial" w:hAnsi="Arial"/>
                <w:sz w:val="13"/>
                <w:szCs w:val="13"/>
                <w:color w:val="auto"/>
              </w:rPr>
              <w:t>$115.11</w:t>
            </w:r>
          </w:p>
        </w:tc>
        <w:tc>
          <w:tcPr>
            <w:tcW w:w="1280" w:type="dxa"/>
            <w:vAlign w:val="bottom"/>
          </w:tcPr>
          <w:p>
            <w:pPr>
              <w:jc w:val="right"/>
              <w:spacing w:after="0"/>
              <w:rPr>
                <w:sz w:val="20"/>
                <w:szCs w:val="20"/>
                <w:color w:val="auto"/>
              </w:rPr>
            </w:pPr>
            <w:r>
              <w:rPr>
                <w:rFonts w:ascii="Arial" w:cs="Arial" w:eastAsia="Arial" w:hAnsi="Arial"/>
                <w:sz w:val="13"/>
                <w:szCs w:val="13"/>
                <w:color w:val="auto"/>
              </w:rPr>
              <w:t>3</w:t>
            </w:r>
          </w:p>
        </w:tc>
        <w:tc>
          <w:tcPr>
            <w:tcW w:w="1360" w:type="dxa"/>
            <w:vAlign w:val="bottom"/>
          </w:tcPr>
          <w:p>
            <w:pPr>
              <w:jc w:val="right"/>
              <w:ind w:right="596"/>
              <w:spacing w:after="0"/>
              <w:rPr>
                <w:sz w:val="20"/>
                <w:szCs w:val="20"/>
                <w:color w:val="auto"/>
              </w:rPr>
            </w:pPr>
            <w:r>
              <w:rPr>
                <w:rFonts w:ascii="Arial" w:cs="Arial" w:eastAsia="Arial" w:hAnsi="Arial"/>
                <w:sz w:val="13"/>
                <w:szCs w:val="13"/>
                <w:color w:val="auto"/>
                <w:w w:val="98"/>
              </w:rPr>
              <w:t>March 2018</w:t>
            </w:r>
          </w:p>
        </w:tc>
        <w:tc>
          <w:tcPr>
            <w:tcW w:w="840" w:type="dxa"/>
            <w:vAlign w:val="bottom"/>
          </w:tcPr>
          <w:p>
            <w:pPr>
              <w:jc w:val="right"/>
              <w:spacing w:after="0"/>
              <w:rPr>
                <w:sz w:val="20"/>
                <w:szCs w:val="20"/>
                <w:color w:val="auto"/>
              </w:rPr>
            </w:pPr>
            <w:r>
              <w:rPr>
                <w:rFonts w:ascii="Arial" w:cs="Arial" w:eastAsia="Arial" w:hAnsi="Arial"/>
                <w:sz w:val="13"/>
                <w:szCs w:val="13"/>
                <w:color w:val="auto"/>
              </w:rPr>
              <w:t>3</w:t>
            </w:r>
          </w:p>
        </w:tc>
        <w:tc>
          <w:tcPr>
            <w:tcW w:w="700" w:type="dxa"/>
            <w:vAlign w:val="bottom"/>
          </w:tcPr>
          <w:p>
            <w:pPr>
              <w:jc w:val="right"/>
              <w:spacing w:after="0"/>
              <w:rPr>
                <w:sz w:val="20"/>
                <w:szCs w:val="20"/>
                <w:color w:val="auto"/>
              </w:rPr>
            </w:pPr>
            <w:r>
              <w:rPr>
                <w:rFonts w:ascii="Arial" w:cs="Arial" w:eastAsia="Arial" w:hAnsi="Arial"/>
                <w:sz w:val="13"/>
                <w:szCs w:val="13"/>
                <w:color w:val="auto"/>
                <w:w w:val="96"/>
              </w:rPr>
              <w:t>March 2026</w:t>
            </w:r>
          </w:p>
        </w:tc>
      </w:tr>
      <w:tr>
        <w:trPr>
          <w:trHeight w:val="171"/>
        </w:trPr>
        <w:tc>
          <w:tcPr>
            <w:tcW w:w="2720" w:type="dxa"/>
            <w:vAlign w:val="bottom"/>
            <w:shd w:val="clear" w:color="auto" w:fill="CCEEFF"/>
          </w:tcPr>
          <w:p>
            <w:pPr>
              <w:spacing w:after="0"/>
              <w:rPr>
                <w:sz w:val="14"/>
                <w:szCs w:val="14"/>
                <w:color w:val="auto"/>
              </w:rPr>
            </w:pPr>
          </w:p>
        </w:tc>
        <w:tc>
          <w:tcPr>
            <w:tcW w:w="21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8,796</w:t>
            </w:r>
          </w:p>
        </w:tc>
        <w:tc>
          <w:tcPr>
            <w:tcW w:w="2220" w:type="dxa"/>
            <w:vAlign w:val="bottom"/>
            <w:shd w:val="clear" w:color="auto" w:fill="CCEEFF"/>
          </w:tcPr>
          <w:p>
            <w:pPr>
              <w:jc w:val="right"/>
              <w:ind w:right="1096"/>
              <w:spacing w:after="0"/>
              <w:rPr>
                <w:sz w:val="20"/>
                <w:szCs w:val="20"/>
                <w:color w:val="auto"/>
              </w:rPr>
            </w:pPr>
            <w:r>
              <w:rPr>
                <w:rFonts w:ascii="Arial" w:cs="Arial" w:eastAsia="Arial" w:hAnsi="Arial"/>
                <w:sz w:val="13"/>
                <w:szCs w:val="13"/>
                <w:color w:val="auto"/>
              </w:rPr>
              <w:t>$140.38</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360" w:type="dxa"/>
            <w:vAlign w:val="bottom"/>
            <w:shd w:val="clear" w:color="auto" w:fill="CCEEFF"/>
          </w:tcPr>
          <w:p>
            <w:pPr>
              <w:jc w:val="right"/>
              <w:ind w:right="596"/>
              <w:spacing w:after="0"/>
              <w:rPr>
                <w:sz w:val="20"/>
                <w:szCs w:val="20"/>
                <w:color w:val="auto"/>
              </w:rPr>
            </w:pPr>
            <w:r>
              <w:rPr>
                <w:rFonts w:ascii="Arial" w:cs="Arial" w:eastAsia="Arial" w:hAnsi="Arial"/>
                <w:sz w:val="13"/>
                <w:szCs w:val="13"/>
                <w:color w:val="auto"/>
                <w:w w:val="98"/>
              </w:rPr>
              <w:t>March 2019</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March 2027</w:t>
            </w:r>
          </w:p>
        </w:tc>
      </w:tr>
      <w:tr>
        <w:trPr>
          <w:trHeight w:val="169"/>
        </w:trPr>
        <w:tc>
          <w:tcPr>
            <w:tcW w:w="2720" w:type="dxa"/>
            <w:vAlign w:val="bottom"/>
          </w:tcPr>
          <w:p>
            <w:pPr>
              <w:spacing w:after="0"/>
              <w:rPr>
                <w:sz w:val="14"/>
                <w:szCs w:val="14"/>
                <w:color w:val="auto"/>
              </w:rPr>
            </w:pPr>
          </w:p>
        </w:tc>
        <w:tc>
          <w:tcPr>
            <w:tcW w:w="2140" w:type="dxa"/>
            <w:vAlign w:val="bottom"/>
          </w:tcPr>
          <w:p>
            <w:pPr>
              <w:jc w:val="right"/>
              <w:ind w:right="196"/>
              <w:spacing w:after="0"/>
              <w:rPr>
                <w:sz w:val="20"/>
                <w:szCs w:val="20"/>
                <w:color w:val="auto"/>
              </w:rPr>
            </w:pPr>
            <w:r>
              <w:rPr>
                <w:rFonts w:ascii="Arial" w:cs="Arial" w:eastAsia="Arial" w:hAnsi="Arial"/>
                <w:sz w:val="13"/>
                <w:szCs w:val="13"/>
                <w:color w:val="auto"/>
              </w:rPr>
              <w:t>9,176</w:t>
            </w:r>
          </w:p>
        </w:tc>
        <w:tc>
          <w:tcPr>
            <w:tcW w:w="2220" w:type="dxa"/>
            <w:vAlign w:val="bottom"/>
          </w:tcPr>
          <w:p>
            <w:pPr>
              <w:jc w:val="right"/>
              <w:ind w:right="1096"/>
              <w:spacing w:after="0"/>
              <w:rPr>
                <w:sz w:val="20"/>
                <w:szCs w:val="20"/>
                <w:color w:val="auto"/>
              </w:rPr>
            </w:pPr>
            <w:r>
              <w:rPr>
                <w:rFonts w:ascii="Arial" w:cs="Arial" w:eastAsia="Arial" w:hAnsi="Arial"/>
                <w:sz w:val="13"/>
                <w:szCs w:val="13"/>
                <w:color w:val="auto"/>
              </w:rPr>
              <w:t>$159.33</w:t>
            </w:r>
          </w:p>
        </w:tc>
        <w:tc>
          <w:tcPr>
            <w:tcW w:w="1280" w:type="dxa"/>
            <w:vAlign w:val="bottom"/>
          </w:tcPr>
          <w:p>
            <w:pPr>
              <w:jc w:val="right"/>
              <w:spacing w:after="0"/>
              <w:rPr>
                <w:sz w:val="20"/>
                <w:szCs w:val="20"/>
                <w:color w:val="auto"/>
              </w:rPr>
            </w:pPr>
            <w:r>
              <w:rPr>
                <w:rFonts w:ascii="Arial" w:cs="Arial" w:eastAsia="Arial" w:hAnsi="Arial"/>
                <w:sz w:val="13"/>
                <w:szCs w:val="13"/>
                <w:color w:val="auto"/>
              </w:rPr>
              <w:t>3</w:t>
            </w:r>
          </w:p>
        </w:tc>
        <w:tc>
          <w:tcPr>
            <w:tcW w:w="1360" w:type="dxa"/>
            <w:vAlign w:val="bottom"/>
          </w:tcPr>
          <w:p>
            <w:pPr>
              <w:jc w:val="right"/>
              <w:ind w:right="596"/>
              <w:spacing w:after="0"/>
              <w:rPr>
                <w:sz w:val="20"/>
                <w:szCs w:val="20"/>
                <w:color w:val="auto"/>
              </w:rPr>
            </w:pPr>
            <w:r>
              <w:rPr>
                <w:rFonts w:ascii="Arial" w:cs="Arial" w:eastAsia="Arial" w:hAnsi="Arial"/>
                <w:sz w:val="13"/>
                <w:szCs w:val="13"/>
                <w:color w:val="auto"/>
                <w:w w:val="98"/>
              </w:rPr>
              <w:t>March 2020</w:t>
            </w:r>
          </w:p>
        </w:tc>
        <w:tc>
          <w:tcPr>
            <w:tcW w:w="840" w:type="dxa"/>
            <w:vAlign w:val="bottom"/>
          </w:tcPr>
          <w:p>
            <w:pPr>
              <w:jc w:val="right"/>
              <w:spacing w:after="0"/>
              <w:rPr>
                <w:sz w:val="20"/>
                <w:szCs w:val="20"/>
                <w:color w:val="auto"/>
              </w:rPr>
            </w:pPr>
            <w:r>
              <w:rPr>
                <w:rFonts w:ascii="Arial" w:cs="Arial" w:eastAsia="Arial" w:hAnsi="Arial"/>
                <w:sz w:val="13"/>
                <w:szCs w:val="13"/>
                <w:color w:val="auto"/>
              </w:rPr>
              <w:t>3</w:t>
            </w:r>
          </w:p>
        </w:tc>
        <w:tc>
          <w:tcPr>
            <w:tcW w:w="700" w:type="dxa"/>
            <w:vAlign w:val="bottom"/>
          </w:tcPr>
          <w:p>
            <w:pPr>
              <w:jc w:val="right"/>
              <w:spacing w:after="0"/>
              <w:rPr>
                <w:sz w:val="20"/>
                <w:szCs w:val="20"/>
                <w:color w:val="auto"/>
              </w:rPr>
            </w:pPr>
            <w:r>
              <w:rPr>
                <w:rFonts w:ascii="Arial" w:cs="Arial" w:eastAsia="Arial" w:hAnsi="Arial"/>
                <w:sz w:val="13"/>
                <w:szCs w:val="13"/>
                <w:color w:val="auto"/>
                <w:w w:val="96"/>
              </w:rPr>
              <w:t>March 2028</w:t>
            </w:r>
          </w:p>
        </w:tc>
      </w:tr>
      <w:tr>
        <w:trPr>
          <w:trHeight w:val="170"/>
        </w:trPr>
        <w:tc>
          <w:tcPr>
            <w:tcW w:w="2720" w:type="dxa"/>
            <w:vAlign w:val="bottom"/>
            <w:tcBorders>
              <w:bottom w:val="single" w:sz="8" w:color="auto"/>
            </w:tcBorders>
            <w:shd w:val="clear" w:color="auto" w:fill="CCEEFF"/>
          </w:tcPr>
          <w:p>
            <w:pPr>
              <w:spacing w:after="0"/>
              <w:rPr>
                <w:sz w:val="14"/>
                <w:szCs w:val="14"/>
                <w:color w:val="auto"/>
              </w:rPr>
            </w:pPr>
          </w:p>
        </w:tc>
        <w:tc>
          <w:tcPr>
            <w:tcW w:w="21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8,842</w:t>
            </w:r>
          </w:p>
        </w:tc>
        <w:tc>
          <w:tcPr>
            <w:tcW w:w="2220" w:type="dxa"/>
            <w:vAlign w:val="bottom"/>
            <w:tcBorders>
              <w:bottom w:val="single" w:sz="8" w:color="auto"/>
            </w:tcBorders>
            <w:shd w:val="clear" w:color="auto" w:fill="CCEEFF"/>
          </w:tcPr>
          <w:p>
            <w:pPr>
              <w:jc w:val="right"/>
              <w:ind w:right="1096"/>
              <w:spacing w:after="0"/>
              <w:rPr>
                <w:sz w:val="20"/>
                <w:szCs w:val="20"/>
                <w:color w:val="auto"/>
              </w:rPr>
            </w:pPr>
            <w:r>
              <w:rPr>
                <w:rFonts w:ascii="Arial" w:cs="Arial" w:eastAsia="Arial" w:hAnsi="Arial"/>
                <w:sz w:val="13"/>
                <w:szCs w:val="13"/>
                <w:color w:val="auto"/>
              </w:rPr>
              <w:t>$174.96</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360" w:type="dxa"/>
            <w:vAlign w:val="bottom"/>
            <w:tcBorders>
              <w:bottom w:val="single" w:sz="8" w:color="auto"/>
            </w:tcBorders>
            <w:shd w:val="clear" w:color="auto" w:fill="CCEEFF"/>
          </w:tcPr>
          <w:p>
            <w:pPr>
              <w:jc w:val="right"/>
              <w:ind w:right="596"/>
              <w:spacing w:after="0"/>
              <w:rPr>
                <w:sz w:val="20"/>
                <w:szCs w:val="20"/>
                <w:color w:val="auto"/>
              </w:rPr>
            </w:pPr>
            <w:r>
              <w:rPr>
                <w:rFonts w:ascii="Arial" w:cs="Arial" w:eastAsia="Arial" w:hAnsi="Arial"/>
                <w:sz w:val="13"/>
                <w:szCs w:val="13"/>
                <w:color w:val="auto"/>
                <w:w w:val="98"/>
              </w:rPr>
              <w:t>March 2021</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6"/>
              </w:rPr>
              <w:t>March 2029</w:t>
            </w:r>
          </w:p>
        </w:tc>
      </w:tr>
      <w:tr>
        <w:trPr>
          <w:trHeight w:val="140"/>
        </w:trPr>
        <w:tc>
          <w:tcPr>
            <w:tcW w:w="27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70"/>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Rónán Murphy</w:t>
            </w:r>
          </w:p>
        </w:tc>
        <w:tc>
          <w:tcPr>
            <w:tcW w:w="21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4,617</w:t>
            </w:r>
          </w:p>
        </w:tc>
        <w:tc>
          <w:tcPr>
            <w:tcW w:w="2220" w:type="dxa"/>
            <w:vAlign w:val="bottom"/>
            <w:shd w:val="clear" w:color="auto" w:fill="CCEEFF"/>
          </w:tcPr>
          <w:p>
            <w:pPr>
              <w:jc w:val="right"/>
              <w:ind w:right="1096"/>
              <w:spacing w:after="0"/>
              <w:rPr>
                <w:sz w:val="20"/>
                <w:szCs w:val="20"/>
                <w:color w:val="auto"/>
              </w:rPr>
            </w:pPr>
            <w:r>
              <w:rPr>
                <w:rFonts w:ascii="Arial" w:cs="Arial" w:eastAsia="Arial" w:hAnsi="Arial"/>
                <w:sz w:val="13"/>
                <w:szCs w:val="13"/>
                <w:color w:val="auto"/>
              </w:rPr>
              <w:t>$90.03</w:t>
            </w:r>
          </w:p>
        </w:tc>
        <w:tc>
          <w:tcPr>
            <w:tcW w:w="2640" w:type="dxa"/>
            <w:vAlign w:val="bottom"/>
            <w:gridSpan w:val="2"/>
            <w:shd w:val="clear" w:color="auto" w:fill="CCEEFF"/>
          </w:tcPr>
          <w:p>
            <w:pPr>
              <w:jc w:val="right"/>
              <w:ind w:right="596"/>
              <w:spacing w:after="0"/>
              <w:rPr>
                <w:sz w:val="20"/>
                <w:szCs w:val="20"/>
                <w:color w:val="auto"/>
              </w:rPr>
            </w:pPr>
            <w:r>
              <w:rPr>
                <w:rFonts w:ascii="Arial" w:cs="Arial" w:eastAsia="Arial" w:hAnsi="Arial"/>
                <w:sz w:val="13"/>
                <w:szCs w:val="13"/>
                <w:color w:val="auto"/>
              </w:rPr>
              <w:t>19 May 2017</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 May 2025</w:t>
            </w:r>
          </w:p>
        </w:tc>
      </w:tr>
      <w:tr>
        <w:trPr>
          <w:trHeight w:val="169"/>
        </w:trPr>
        <w:tc>
          <w:tcPr>
            <w:tcW w:w="27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rPr>
              <w:t>5,005</w:t>
            </w:r>
          </w:p>
        </w:tc>
        <w:tc>
          <w:tcPr>
            <w:tcW w:w="2220" w:type="dxa"/>
            <w:vAlign w:val="bottom"/>
            <w:tcBorders>
              <w:bottom w:val="single" w:sz="8" w:color="auto"/>
            </w:tcBorders>
          </w:tcPr>
          <w:p>
            <w:pPr>
              <w:jc w:val="right"/>
              <w:ind w:right="1096"/>
              <w:spacing w:after="0"/>
              <w:rPr>
                <w:sz w:val="20"/>
                <w:szCs w:val="20"/>
                <w:color w:val="auto"/>
              </w:rPr>
            </w:pPr>
            <w:r>
              <w:rPr>
                <w:rFonts w:ascii="Arial" w:cs="Arial" w:eastAsia="Arial" w:hAnsi="Arial"/>
                <w:sz w:val="13"/>
                <w:szCs w:val="13"/>
                <w:color w:val="auto"/>
              </w:rPr>
              <w:t>$125.74</w:t>
            </w:r>
          </w:p>
        </w:tc>
        <w:tc>
          <w:tcPr>
            <w:tcW w:w="2640" w:type="dxa"/>
            <w:vAlign w:val="bottom"/>
            <w:tcBorders>
              <w:bottom w:val="single" w:sz="8" w:color="auto"/>
            </w:tcBorders>
            <w:gridSpan w:val="2"/>
          </w:tcPr>
          <w:p>
            <w:pPr>
              <w:jc w:val="right"/>
              <w:ind w:right="596"/>
              <w:spacing w:after="0"/>
              <w:rPr>
                <w:sz w:val="20"/>
                <w:szCs w:val="20"/>
                <w:color w:val="auto"/>
              </w:rPr>
            </w:pPr>
            <w:r>
              <w:rPr>
                <w:rFonts w:ascii="Arial" w:cs="Arial" w:eastAsia="Arial" w:hAnsi="Arial"/>
                <w:sz w:val="13"/>
                <w:szCs w:val="13"/>
                <w:color w:val="auto"/>
              </w:rPr>
              <w:t>18 May 2018</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18 May 2026</w:t>
            </w:r>
          </w:p>
        </w:tc>
      </w:tr>
      <w:tr>
        <w:trPr>
          <w:trHeight w:val="140"/>
        </w:trPr>
        <w:tc>
          <w:tcPr>
            <w:tcW w:w="272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r>
      <w:tr>
        <w:trPr>
          <w:trHeight w:val="169"/>
        </w:trPr>
        <w:tc>
          <w:tcPr>
            <w:tcW w:w="2720" w:type="dxa"/>
            <w:vAlign w:val="bottom"/>
          </w:tcPr>
          <w:p>
            <w:pPr>
              <w:ind w:left="20"/>
              <w:spacing w:after="0"/>
              <w:rPr>
                <w:sz w:val="20"/>
                <w:szCs w:val="20"/>
                <w:color w:val="auto"/>
              </w:rPr>
            </w:pPr>
            <w:r>
              <w:rPr>
                <w:rFonts w:ascii="Arial" w:cs="Arial" w:eastAsia="Arial" w:hAnsi="Arial"/>
                <w:sz w:val="13"/>
                <w:szCs w:val="13"/>
                <w:color w:val="auto"/>
              </w:rPr>
              <w:t>Professor Hugh Brady</w:t>
            </w:r>
          </w:p>
        </w:tc>
        <w:tc>
          <w:tcPr>
            <w:tcW w:w="2140" w:type="dxa"/>
            <w:vAlign w:val="bottom"/>
          </w:tcPr>
          <w:p>
            <w:pPr>
              <w:jc w:val="right"/>
              <w:ind w:right="196"/>
              <w:spacing w:after="0"/>
              <w:rPr>
                <w:sz w:val="20"/>
                <w:szCs w:val="20"/>
                <w:color w:val="auto"/>
              </w:rPr>
            </w:pPr>
            <w:r>
              <w:rPr>
                <w:rFonts w:ascii="Arial" w:cs="Arial" w:eastAsia="Arial" w:hAnsi="Arial"/>
                <w:sz w:val="13"/>
                <w:szCs w:val="13"/>
                <w:color w:val="auto"/>
              </w:rPr>
              <w:t>2,113</w:t>
            </w:r>
          </w:p>
        </w:tc>
        <w:tc>
          <w:tcPr>
            <w:tcW w:w="2220" w:type="dxa"/>
            <w:vAlign w:val="bottom"/>
          </w:tcPr>
          <w:p>
            <w:pPr>
              <w:jc w:val="right"/>
              <w:ind w:right="1096"/>
              <w:spacing w:after="0"/>
              <w:rPr>
                <w:sz w:val="20"/>
                <w:szCs w:val="20"/>
                <w:color w:val="auto"/>
              </w:rPr>
            </w:pPr>
            <w:r>
              <w:rPr>
                <w:rFonts w:ascii="Arial" w:cs="Arial" w:eastAsia="Arial" w:hAnsi="Arial"/>
                <w:sz w:val="13"/>
                <w:szCs w:val="13"/>
                <w:color w:val="auto"/>
              </w:rPr>
              <w:t>$65.60</w:t>
            </w:r>
          </w:p>
        </w:tc>
        <w:tc>
          <w:tcPr>
            <w:tcW w:w="2640" w:type="dxa"/>
            <w:vAlign w:val="bottom"/>
            <w:gridSpan w:val="2"/>
          </w:tcPr>
          <w:p>
            <w:pPr>
              <w:jc w:val="right"/>
              <w:ind w:right="596"/>
              <w:spacing w:after="0"/>
              <w:rPr>
                <w:sz w:val="20"/>
                <w:szCs w:val="20"/>
                <w:color w:val="auto"/>
              </w:rPr>
            </w:pPr>
            <w:r>
              <w:rPr>
                <w:rFonts w:ascii="Arial" w:cs="Arial" w:eastAsia="Arial" w:hAnsi="Arial"/>
                <w:sz w:val="13"/>
                <w:szCs w:val="13"/>
                <w:color w:val="auto"/>
              </w:rPr>
              <w:t>20 May 2016</w:t>
            </w:r>
          </w:p>
        </w:tc>
        <w:tc>
          <w:tcPr>
            <w:tcW w:w="1540" w:type="dxa"/>
            <w:vAlign w:val="bottom"/>
            <w:gridSpan w:val="2"/>
          </w:tcPr>
          <w:p>
            <w:pPr>
              <w:jc w:val="right"/>
              <w:spacing w:after="0"/>
              <w:rPr>
                <w:sz w:val="20"/>
                <w:szCs w:val="20"/>
                <w:color w:val="auto"/>
              </w:rPr>
            </w:pPr>
            <w:r>
              <w:rPr>
                <w:rFonts w:ascii="Arial" w:cs="Arial" w:eastAsia="Arial" w:hAnsi="Arial"/>
                <w:sz w:val="13"/>
                <w:szCs w:val="13"/>
                <w:color w:val="auto"/>
              </w:rPr>
              <w:t>20 May 2024</w:t>
            </w:r>
          </w:p>
        </w:tc>
      </w:tr>
      <w:tr>
        <w:trPr>
          <w:trHeight w:val="170"/>
        </w:trPr>
        <w:tc>
          <w:tcPr>
            <w:tcW w:w="2720" w:type="dxa"/>
            <w:vAlign w:val="bottom"/>
            <w:tcBorders>
              <w:bottom w:val="single" w:sz="8" w:color="auto"/>
            </w:tcBorders>
            <w:shd w:val="clear" w:color="auto" w:fill="CCEEFF"/>
          </w:tcPr>
          <w:p>
            <w:pPr>
              <w:spacing w:after="0"/>
              <w:rPr>
                <w:sz w:val="14"/>
                <w:szCs w:val="14"/>
                <w:color w:val="auto"/>
              </w:rPr>
            </w:pPr>
          </w:p>
        </w:tc>
        <w:tc>
          <w:tcPr>
            <w:tcW w:w="21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3,079</w:t>
            </w:r>
          </w:p>
        </w:tc>
        <w:tc>
          <w:tcPr>
            <w:tcW w:w="2220" w:type="dxa"/>
            <w:vAlign w:val="bottom"/>
            <w:tcBorders>
              <w:bottom w:val="single" w:sz="8" w:color="auto"/>
            </w:tcBorders>
            <w:shd w:val="clear" w:color="auto" w:fill="CCEEFF"/>
          </w:tcPr>
          <w:p>
            <w:pPr>
              <w:jc w:val="right"/>
              <w:ind w:right="1096"/>
              <w:spacing w:after="0"/>
              <w:rPr>
                <w:sz w:val="20"/>
                <w:szCs w:val="20"/>
                <w:color w:val="auto"/>
              </w:rPr>
            </w:pPr>
            <w:r>
              <w:rPr>
                <w:rFonts w:ascii="Arial" w:cs="Arial" w:eastAsia="Arial" w:hAnsi="Arial"/>
                <w:sz w:val="13"/>
                <w:szCs w:val="13"/>
                <w:color w:val="auto"/>
              </w:rPr>
              <w:t>$90.03</w:t>
            </w:r>
          </w:p>
        </w:tc>
        <w:tc>
          <w:tcPr>
            <w:tcW w:w="2640" w:type="dxa"/>
            <w:vAlign w:val="bottom"/>
            <w:tcBorders>
              <w:bottom w:val="single" w:sz="8" w:color="auto"/>
            </w:tcBorders>
            <w:gridSpan w:val="2"/>
            <w:shd w:val="clear" w:color="auto" w:fill="CCEEFF"/>
          </w:tcPr>
          <w:p>
            <w:pPr>
              <w:jc w:val="right"/>
              <w:ind w:right="596"/>
              <w:spacing w:after="0"/>
              <w:rPr>
                <w:sz w:val="20"/>
                <w:szCs w:val="20"/>
                <w:color w:val="auto"/>
              </w:rPr>
            </w:pPr>
            <w:r>
              <w:rPr>
                <w:rFonts w:ascii="Arial" w:cs="Arial" w:eastAsia="Arial" w:hAnsi="Arial"/>
                <w:sz w:val="13"/>
                <w:szCs w:val="13"/>
                <w:color w:val="auto"/>
              </w:rPr>
              <w:t>19 May 2017</w:t>
            </w:r>
          </w:p>
        </w:tc>
        <w:tc>
          <w:tcPr>
            <w:tcW w:w="1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19 May 2025</w:t>
            </w:r>
          </w:p>
        </w:tc>
      </w:tr>
      <w:tr>
        <w:trPr>
          <w:trHeight w:val="140"/>
        </w:trPr>
        <w:tc>
          <w:tcPr>
            <w:tcW w:w="27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70"/>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Dr. John Climax</w:t>
            </w:r>
          </w:p>
        </w:tc>
        <w:tc>
          <w:tcPr>
            <w:tcW w:w="21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10,000</w:t>
            </w:r>
          </w:p>
        </w:tc>
        <w:tc>
          <w:tcPr>
            <w:tcW w:w="2220" w:type="dxa"/>
            <w:vAlign w:val="bottom"/>
            <w:shd w:val="clear" w:color="auto" w:fill="CCEEFF"/>
          </w:tcPr>
          <w:p>
            <w:pPr>
              <w:jc w:val="right"/>
              <w:ind w:right="1096"/>
              <w:spacing w:after="0"/>
              <w:rPr>
                <w:sz w:val="20"/>
                <w:szCs w:val="20"/>
                <w:color w:val="auto"/>
              </w:rPr>
            </w:pPr>
            <w:r>
              <w:rPr>
                <w:rFonts w:ascii="Arial" w:cs="Arial" w:eastAsia="Arial" w:hAnsi="Arial"/>
                <w:sz w:val="13"/>
                <w:szCs w:val="13"/>
                <w:color w:val="auto"/>
              </w:rPr>
              <w:t>$40.83</w:t>
            </w:r>
          </w:p>
        </w:tc>
        <w:tc>
          <w:tcPr>
            <w:tcW w:w="2640" w:type="dxa"/>
            <w:vAlign w:val="bottom"/>
            <w:gridSpan w:val="2"/>
            <w:shd w:val="clear" w:color="auto" w:fill="CCEEFF"/>
          </w:tcPr>
          <w:p>
            <w:pPr>
              <w:jc w:val="right"/>
              <w:ind w:right="596"/>
              <w:spacing w:after="0"/>
              <w:rPr>
                <w:sz w:val="20"/>
                <w:szCs w:val="20"/>
                <w:color w:val="auto"/>
              </w:rPr>
            </w:pPr>
            <w:r>
              <w:rPr>
                <w:rFonts w:ascii="Arial" w:cs="Arial" w:eastAsia="Arial" w:hAnsi="Arial"/>
                <w:sz w:val="13"/>
                <w:szCs w:val="13"/>
                <w:color w:val="auto"/>
              </w:rPr>
              <w:t>23 May 2014</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23 May 2022</w:t>
            </w:r>
          </w:p>
        </w:tc>
      </w:tr>
      <w:tr>
        <w:trPr>
          <w:trHeight w:val="169"/>
        </w:trPr>
        <w:tc>
          <w:tcPr>
            <w:tcW w:w="2720" w:type="dxa"/>
            <w:vAlign w:val="bottom"/>
          </w:tcPr>
          <w:p>
            <w:pPr>
              <w:spacing w:after="0"/>
              <w:rPr>
                <w:sz w:val="14"/>
                <w:szCs w:val="14"/>
                <w:color w:val="auto"/>
              </w:rPr>
            </w:pPr>
          </w:p>
        </w:tc>
        <w:tc>
          <w:tcPr>
            <w:tcW w:w="2140" w:type="dxa"/>
            <w:vAlign w:val="bottom"/>
          </w:tcPr>
          <w:p>
            <w:pPr>
              <w:jc w:val="right"/>
              <w:ind w:right="196"/>
              <w:spacing w:after="0"/>
              <w:rPr>
                <w:sz w:val="20"/>
                <w:szCs w:val="20"/>
                <w:color w:val="auto"/>
              </w:rPr>
            </w:pPr>
            <w:r>
              <w:rPr>
                <w:rFonts w:ascii="Arial" w:cs="Arial" w:eastAsia="Arial" w:hAnsi="Arial"/>
                <w:sz w:val="13"/>
                <w:szCs w:val="13"/>
                <w:color w:val="auto"/>
              </w:rPr>
              <w:t>10,000</w:t>
            </w:r>
          </w:p>
        </w:tc>
        <w:tc>
          <w:tcPr>
            <w:tcW w:w="2220" w:type="dxa"/>
            <w:vAlign w:val="bottom"/>
          </w:tcPr>
          <w:p>
            <w:pPr>
              <w:jc w:val="right"/>
              <w:ind w:right="1096"/>
              <w:spacing w:after="0"/>
              <w:rPr>
                <w:sz w:val="20"/>
                <w:szCs w:val="20"/>
                <w:color w:val="auto"/>
              </w:rPr>
            </w:pPr>
            <w:r>
              <w:rPr>
                <w:rFonts w:ascii="Arial" w:cs="Arial" w:eastAsia="Arial" w:hAnsi="Arial"/>
                <w:sz w:val="13"/>
                <w:szCs w:val="13"/>
                <w:color w:val="auto"/>
              </w:rPr>
              <w:t>$68.39</w:t>
            </w:r>
          </w:p>
        </w:tc>
        <w:tc>
          <w:tcPr>
            <w:tcW w:w="1280" w:type="dxa"/>
            <w:vAlign w:val="bottom"/>
          </w:tcPr>
          <w:p>
            <w:pPr>
              <w:jc w:val="right"/>
              <w:spacing w:after="0"/>
              <w:rPr>
                <w:sz w:val="20"/>
                <w:szCs w:val="20"/>
                <w:color w:val="auto"/>
              </w:rPr>
            </w:pPr>
            <w:r>
              <w:rPr>
                <w:rFonts w:ascii="Arial" w:cs="Arial" w:eastAsia="Arial" w:hAnsi="Arial"/>
                <w:sz w:val="13"/>
                <w:szCs w:val="13"/>
                <w:color w:val="auto"/>
              </w:rPr>
              <w:t>18</w:t>
            </w:r>
          </w:p>
        </w:tc>
        <w:tc>
          <w:tcPr>
            <w:tcW w:w="1360" w:type="dxa"/>
            <w:vAlign w:val="bottom"/>
          </w:tcPr>
          <w:p>
            <w:pPr>
              <w:jc w:val="right"/>
              <w:ind w:right="596"/>
              <w:spacing w:after="0"/>
              <w:rPr>
                <w:sz w:val="20"/>
                <w:szCs w:val="20"/>
                <w:color w:val="auto"/>
              </w:rPr>
            </w:pPr>
            <w:r>
              <w:rPr>
                <w:rFonts w:ascii="Arial" w:cs="Arial" w:eastAsia="Arial" w:hAnsi="Arial"/>
                <w:sz w:val="13"/>
                <w:szCs w:val="13"/>
                <w:color w:val="auto"/>
                <w:w w:val="98"/>
              </w:rPr>
              <w:t>March 2015</w:t>
            </w:r>
          </w:p>
        </w:tc>
        <w:tc>
          <w:tcPr>
            <w:tcW w:w="840" w:type="dxa"/>
            <w:vAlign w:val="bottom"/>
          </w:tcPr>
          <w:p>
            <w:pPr>
              <w:jc w:val="right"/>
              <w:spacing w:after="0"/>
              <w:rPr>
                <w:sz w:val="20"/>
                <w:szCs w:val="20"/>
                <w:color w:val="auto"/>
              </w:rPr>
            </w:pPr>
            <w:r>
              <w:rPr>
                <w:rFonts w:ascii="Arial" w:cs="Arial" w:eastAsia="Arial" w:hAnsi="Arial"/>
                <w:sz w:val="13"/>
                <w:szCs w:val="13"/>
                <w:color w:val="auto"/>
              </w:rPr>
              <w:t>18</w:t>
            </w:r>
          </w:p>
        </w:tc>
        <w:tc>
          <w:tcPr>
            <w:tcW w:w="700" w:type="dxa"/>
            <w:vAlign w:val="bottom"/>
          </w:tcPr>
          <w:p>
            <w:pPr>
              <w:jc w:val="right"/>
              <w:spacing w:after="0"/>
              <w:rPr>
                <w:sz w:val="20"/>
                <w:szCs w:val="20"/>
                <w:color w:val="auto"/>
              </w:rPr>
            </w:pPr>
            <w:r>
              <w:rPr>
                <w:rFonts w:ascii="Arial" w:cs="Arial" w:eastAsia="Arial" w:hAnsi="Arial"/>
                <w:sz w:val="13"/>
                <w:szCs w:val="13"/>
                <w:color w:val="auto"/>
                <w:w w:val="96"/>
              </w:rPr>
              <w:t>March 2023</w:t>
            </w:r>
          </w:p>
        </w:tc>
      </w:tr>
      <w:tr>
        <w:trPr>
          <w:trHeight w:val="171"/>
        </w:trPr>
        <w:tc>
          <w:tcPr>
            <w:tcW w:w="2720" w:type="dxa"/>
            <w:vAlign w:val="bottom"/>
            <w:shd w:val="clear" w:color="auto" w:fill="CCEEFF"/>
          </w:tcPr>
          <w:p>
            <w:pPr>
              <w:spacing w:after="0"/>
              <w:rPr>
                <w:sz w:val="14"/>
                <w:szCs w:val="14"/>
                <w:color w:val="auto"/>
              </w:rPr>
            </w:pPr>
          </w:p>
        </w:tc>
        <w:tc>
          <w:tcPr>
            <w:tcW w:w="21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10,557</w:t>
            </w:r>
          </w:p>
        </w:tc>
        <w:tc>
          <w:tcPr>
            <w:tcW w:w="2220" w:type="dxa"/>
            <w:vAlign w:val="bottom"/>
            <w:shd w:val="clear" w:color="auto" w:fill="CCEEFF"/>
          </w:tcPr>
          <w:p>
            <w:pPr>
              <w:jc w:val="right"/>
              <w:ind w:right="1096"/>
              <w:spacing w:after="0"/>
              <w:rPr>
                <w:sz w:val="20"/>
                <w:szCs w:val="20"/>
                <w:color w:val="auto"/>
              </w:rPr>
            </w:pPr>
            <w:r>
              <w:rPr>
                <w:rFonts w:ascii="Arial" w:cs="Arial" w:eastAsia="Arial" w:hAnsi="Arial"/>
                <w:sz w:val="13"/>
                <w:szCs w:val="13"/>
                <w:color w:val="auto"/>
              </w:rPr>
              <w:t>$65.60</w:t>
            </w:r>
          </w:p>
        </w:tc>
        <w:tc>
          <w:tcPr>
            <w:tcW w:w="2640" w:type="dxa"/>
            <w:vAlign w:val="bottom"/>
            <w:gridSpan w:val="2"/>
            <w:shd w:val="clear" w:color="auto" w:fill="CCEEFF"/>
          </w:tcPr>
          <w:p>
            <w:pPr>
              <w:jc w:val="right"/>
              <w:ind w:right="596"/>
              <w:spacing w:after="0"/>
              <w:rPr>
                <w:sz w:val="20"/>
                <w:szCs w:val="20"/>
                <w:color w:val="auto"/>
              </w:rPr>
            </w:pPr>
            <w:r>
              <w:rPr>
                <w:rFonts w:ascii="Arial" w:cs="Arial" w:eastAsia="Arial" w:hAnsi="Arial"/>
                <w:sz w:val="13"/>
                <w:szCs w:val="13"/>
                <w:color w:val="auto"/>
              </w:rPr>
              <w:t>20 May 2016</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 May 2024</w:t>
            </w:r>
          </w:p>
        </w:tc>
      </w:tr>
      <w:tr>
        <w:trPr>
          <w:trHeight w:val="169"/>
        </w:trPr>
        <w:tc>
          <w:tcPr>
            <w:tcW w:w="2720" w:type="dxa"/>
            <w:vAlign w:val="bottom"/>
          </w:tcPr>
          <w:p>
            <w:pPr>
              <w:spacing w:after="0"/>
              <w:rPr>
                <w:sz w:val="14"/>
                <w:szCs w:val="14"/>
                <w:color w:val="auto"/>
              </w:rPr>
            </w:pPr>
          </w:p>
        </w:tc>
        <w:tc>
          <w:tcPr>
            <w:tcW w:w="2140" w:type="dxa"/>
            <w:vAlign w:val="bottom"/>
          </w:tcPr>
          <w:p>
            <w:pPr>
              <w:jc w:val="right"/>
              <w:ind w:right="196"/>
              <w:spacing w:after="0"/>
              <w:rPr>
                <w:sz w:val="20"/>
                <w:szCs w:val="20"/>
                <w:color w:val="auto"/>
              </w:rPr>
            </w:pPr>
            <w:r>
              <w:rPr>
                <w:rFonts w:ascii="Arial" w:cs="Arial" w:eastAsia="Arial" w:hAnsi="Arial"/>
                <w:sz w:val="13"/>
                <w:szCs w:val="13"/>
                <w:color w:val="auto"/>
              </w:rPr>
              <w:t>7,693</w:t>
            </w:r>
          </w:p>
        </w:tc>
        <w:tc>
          <w:tcPr>
            <w:tcW w:w="2220" w:type="dxa"/>
            <w:vAlign w:val="bottom"/>
          </w:tcPr>
          <w:p>
            <w:pPr>
              <w:jc w:val="right"/>
              <w:ind w:right="1096"/>
              <w:spacing w:after="0"/>
              <w:rPr>
                <w:sz w:val="20"/>
                <w:szCs w:val="20"/>
                <w:color w:val="auto"/>
              </w:rPr>
            </w:pPr>
            <w:r>
              <w:rPr>
                <w:rFonts w:ascii="Arial" w:cs="Arial" w:eastAsia="Arial" w:hAnsi="Arial"/>
                <w:sz w:val="13"/>
                <w:szCs w:val="13"/>
                <w:color w:val="auto"/>
              </w:rPr>
              <w:t>$90.03</w:t>
            </w:r>
          </w:p>
        </w:tc>
        <w:tc>
          <w:tcPr>
            <w:tcW w:w="2640" w:type="dxa"/>
            <w:vAlign w:val="bottom"/>
            <w:gridSpan w:val="2"/>
          </w:tcPr>
          <w:p>
            <w:pPr>
              <w:jc w:val="right"/>
              <w:ind w:right="596"/>
              <w:spacing w:after="0"/>
              <w:rPr>
                <w:sz w:val="20"/>
                <w:szCs w:val="20"/>
                <w:color w:val="auto"/>
              </w:rPr>
            </w:pPr>
            <w:r>
              <w:rPr>
                <w:rFonts w:ascii="Arial" w:cs="Arial" w:eastAsia="Arial" w:hAnsi="Arial"/>
                <w:sz w:val="13"/>
                <w:szCs w:val="13"/>
                <w:color w:val="auto"/>
              </w:rPr>
              <w:t>19 May 2017</w:t>
            </w:r>
          </w:p>
        </w:tc>
        <w:tc>
          <w:tcPr>
            <w:tcW w:w="1540" w:type="dxa"/>
            <w:vAlign w:val="bottom"/>
            <w:gridSpan w:val="2"/>
          </w:tcPr>
          <w:p>
            <w:pPr>
              <w:jc w:val="right"/>
              <w:spacing w:after="0"/>
              <w:rPr>
                <w:sz w:val="20"/>
                <w:szCs w:val="20"/>
                <w:color w:val="auto"/>
              </w:rPr>
            </w:pPr>
            <w:r>
              <w:rPr>
                <w:rFonts w:ascii="Arial" w:cs="Arial" w:eastAsia="Arial" w:hAnsi="Arial"/>
                <w:sz w:val="13"/>
                <w:szCs w:val="13"/>
                <w:color w:val="auto"/>
              </w:rPr>
              <w:t>19 May 2025</w:t>
            </w:r>
          </w:p>
        </w:tc>
      </w:tr>
      <w:tr>
        <w:trPr>
          <w:trHeight w:val="170"/>
        </w:trPr>
        <w:tc>
          <w:tcPr>
            <w:tcW w:w="2720" w:type="dxa"/>
            <w:vAlign w:val="bottom"/>
            <w:tcBorders>
              <w:bottom w:val="single" w:sz="8" w:color="auto"/>
            </w:tcBorders>
            <w:shd w:val="clear" w:color="auto" w:fill="CCEEFF"/>
          </w:tcPr>
          <w:p>
            <w:pPr>
              <w:spacing w:after="0"/>
              <w:rPr>
                <w:sz w:val="14"/>
                <w:szCs w:val="14"/>
                <w:color w:val="auto"/>
              </w:rPr>
            </w:pPr>
          </w:p>
        </w:tc>
        <w:tc>
          <w:tcPr>
            <w:tcW w:w="21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5,005</w:t>
            </w:r>
          </w:p>
        </w:tc>
        <w:tc>
          <w:tcPr>
            <w:tcW w:w="2220" w:type="dxa"/>
            <w:vAlign w:val="bottom"/>
            <w:tcBorders>
              <w:bottom w:val="single" w:sz="8" w:color="auto"/>
            </w:tcBorders>
            <w:shd w:val="clear" w:color="auto" w:fill="CCEEFF"/>
          </w:tcPr>
          <w:p>
            <w:pPr>
              <w:jc w:val="right"/>
              <w:ind w:right="1096"/>
              <w:spacing w:after="0"/>
              <w:rPr>
                <w:sz w:val="20"/>
                <w:szCs w:val="20"/>
                <w:color w:val="auto"/>
              </w:rPr>
            </w:pPr>
            <w:r>
              <w:rPr>
                <w:rFonts w:ascii="Arial" w:cs="Arial" w:eastAsia="Arial" w:hAnsi="Arial"/>
                <w:sz w:val="13"/>
                <w:szCs w:val="13"/>
                <w:color w:val="auto"/>
              </w:rPr>
              <w:t>$125.74</w:t>
            </w:r>
          </w:p>
        </w:tc>
        <w:tc>
          <w:tcPr>
            <w:tcW w:w="2640" w:type="dxa"/>
            <w:vAlign w:val="bottom"/>
            <w:tcBorders>
              <w:bottom w:val="single" w:sz="8" w:color="auto"/>
            </w:tcBorders>
            <w:gridSpan w:val="2"/>
            <w:shd w:val="clear" w:color="auto" w:fill="CCEEFF"/>
          </w:tcPr>
          <w:p>
            <w:pPr>
              <w:jc w:val="right"/>
              <w:ind w:right="596"/>
              <w:spacing w:after="0"/>
              <w:rPr>
                <w:sz w:val="20"/>
                <w:szCs w:val="20"/>
                <w:color w:val="auto"/>
              </w:rPr>
            </w:pPr>
            <w:r>
              <w:rPr>
                <w:rFonts w:ascii="Arial" w:cs="Arial" w:eastAsia="Arial" w:hAnsi="Arial"/>
                <w:sz w:val="13"/>
                <w:szCs w:val="13"/>
                <w:color w:val="auto"/>
              </w:rPr>
              <w:t>18 May 2018</w:t>
            </w:r>
          </w:p>
        </w:tc>
        <w:tc>
          <w:tcPr>
            <w:tcW w:w="1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18 May 2026</w:t>
            </w:r>
          </w:p>
        </w:tc>
      </w:tr>
      <w:tr>
        <w:trPr>
          <w:trHeight w:val="140"/>
        </w:trPr>
        <w:tc>
          <w:tcPr>
            <w:tcW w:w="27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69"/>
        </w:trPr>
        <w:tc>
          <w:tcPr>
            <w:tcW w:w="2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Joan Garahy</w:t>
            </w:r>
          </w:p>
        </w:tc>
        <w:tc>
          <w:tcPr>
            <w:tcW w:w="21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5,005</w:t>
            </w:r>
          </w:p>
        </w:tc>
        <w:tc>
          <w:tcPr>
            <w:tcW w:w="2220" w:type="dxa"/>
            <w:vAlign w:val="bottom"/>
            <w:tcBorders>
              <w:bottom w:val="single" w:sz="8" w:color="auto"/>
            </w:tcBorders>
            <w:shd w:val="clear" w:color="auto" w:fill="CCEEFF"/>
          </w:tcPr>
          <w:p>
            <w:pPr>
              <w:jc w:val="right"/>
              <w:ind w:right="1096"/>
              <w:spacing w:after="0"/>
              <w:rPr>
                <w:sz w:val="20"/>
                <w:szCs w:val="20"/>
                <w:color w:val="auto"/>
              </w:rPr>
            </w:pPr>
            <w:r>
              <w:rPr>
                <w:rFonts w:ascii="Arial" w:cs="Arial" w:eastAsia="Arial" w:hAnsi="Arial"/>
                <w:sz w:val="13"/>
                <w:szCs w:val="13"/>
                <w:color w:val="auto"/>
              </w:rPr>
              <w:t>$125.74</w:t>
            </w:r>
          </w:p>
        </w:tc>
        <w:tc>
          <w:tcPr>
            <w:tcW w:w="2640" w:type="dxa"/>
            <w:vAlign w:val="bottom"/>
            <w:tcBorders>
              <w:bottom w:val="single" w:sz="8" w:color="auto"/>
            </w:tcBorders>
            <w:gridSpan w:val="2"/>
            <w:shd w:val="clear" w:color="auto" w:fill="CCEEFF"/>
          </w:tcPr>
          <w:p>
            <w:pPr>
              <w:jc w:val="right"/>
              <w:ind w:right="596"/>
              <w:spacing w:after="0"/>
              <w:rPr>
                <w:sz w:val="20"/>
                <w:szCs w:val="20"/>
                <w:color w:val="auto"/>
              </w:rPr>
            </w:pPr>
            <w:r>
              <w:rPr>
                <w:rFonts w:ascii="Arial" w:cs="Arial" w:eastAsia="Arial" w:hAnsi="Arial"/>
                <w:sz w:val="13"/>
                <w:szCs w:val="13"/>
                <w:color w:val="auto"/>
              </w:rPr>
              <w:t>18 May 2018</w:t>
            </w:r>
          </w:p>
        </w:tc>
        <w:tc>
          <w:tcPr>
            <w:tcW w:w="1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18 May 2026</w:t>
            </w:r>
          </w:p>
        </w:tc>
      </w:tr>
      <w:tr>
        <w:trPr>
          <w:trHeight w:val="140"/>
        </w:trPr>
        <w:tc>
          <w:tcPr>
            <w:tcW w:w="27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69"/>
        </w:trPr>
        <w:tc>
          <w:tcPr>
            <w:tcW w:w="2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Professor William Hall</w:t>
            </w:r>
          </w:p>
        </w:tc>
        <w:tc>
          <w:tcPr>
            <w:tcW w:w="21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1,541</w:t>
            </w:r>
          </w:p>
        </w:tc>
        <w:tc>
          <w:tcPr>
            <w:tcW w:w="2220" w:type="dxa"/>
            <w:vAlign w:val="bottom"/>
            <w:tcBorders>
              <w:bottom w:val="single" w:sz="8" w:color="auto"/>
            </w:tcBorders>
            <w:shd w:val="clear" w:color="auto" w:fill="CCEEFF"/>
          </w:tcPr>
          <w:p>
            <w:pPr>
              <w:jc w:val="right"/>
              <w:ind w:right="1096"/>
              <w:spacing w:after="0"/>
              <w:rPr>
                <w:sz w:val="20"/>
                <w:szCs w:val="20"/>
                <w:color w:val="auto"/>
              </w:rPr>
            </w:pPr>
            <w:r>
              <w:rPr>
                <w:rFonts w:ascii="Arial" w:cs="Arial" w:eastAsia="Arial" w:hAnsi="Arial"/>
                <w:sz w:val="13"/>
                <w:szCs w:val="13"/>
                <w:color w:val="auto"/>
              </w:rPr>
              <w:t>$90.03</w:t>
            </w:r>
          </w:p>
        </w:tc>
        <w:tc>
          <w:tcPr>
            <w:tcW w:w="2640" w:type="dxa"/>
            <w:vAlign w:val="bottom"/>
            <w:tcBorders>
              <w:bottom w:val="single" w:sz="8" w:color="auto"/>
            </w:tcBorders>
            <w:gridSpan w:val="2"/>
            <w:shd w:val="clear" w:color="auto" w:fill="CCEEFF"/>
          </w:tcPr>
          <w:p>
            <w:pPr>
              <w:jc w:val="right"/>
              <w:ind w:right="596"/>
              <w:spacing w:after="0"/>
              <w:rPr>
                <w:sz w:val="20"/>
                <w:szCs w:val="20"/>
                <w:color w:val="auto"/>
              </w:rPr>
            </w:pPr>
            <w:r>
              <w:rPr>
                <w:rFonts w:ascii="Arial" w:cs="Arial" w:eastAsia="Arial" w:hAnsi="Arial"/>
                <w:sz w:val="13"/>
                <w:szCs w:val="13"/>
                <w:color w:val="auto"/>
              </w:rPr>
              <w:t>19 May 2017</w:t>
            </w:r>
          </w:p>
        </w:tc>
        <w:tc>
          <w:tcPr>
            <w:tcW w:w="1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19 May 2025</w:t>
            </w:r>
          </w:p>
        </w:tc>
      </w:tr>
      <w:tr>
        <w:trPr>
          <w:trHeight w:val="140"/>
        </w:trPr>
        <w:tc>
          <w:tcPr>
            <w:tcW w:w="27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69"/>
        </w:trPr>
        <w:tc>
          <w:tcPr>
            <w:tcW w:w="2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Eugene McCague</w:t>
            </w:r>
          </w:p>
        </w:tc>
        <w:tc>
          <w:tcPr>
            <w:tcW w:w="21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5,005</w:t>
            </w:r>
          </w:p>
        </w:tc>
        <w:tc>
          <w:tcPr>
            <w:tcW w:w="2220" w:type="dxa"/>
            <w:vAlign w:val="bottom"/>
            <w:tcBorders>
              <w:bottom w:val="single" w:sz="8" w:color="auto"/>
            </w:tcBorders>
            <w:shd w:val="clear" w:color="auto" w:fill="CCEEFF"/>
          </w:tcPr>
          <w:p>
            <w:pPr>
              <w:jc w:val="right"/>
              <w:ind w:right="1096"/>
              <w:spacing w:after="0"/>
              <w:rPr>
                <w:sz w:val="20"/>
                <w:szCs w:val="20"/>
                <w:color w:val="auto"/>
              </w:rPr>
            </w:pPr>
            <w:r>
              <w:rPr>
                <w:rFonts w:ascii="Arial" w:cs="Arial" w:eastAsia="Arial" w:hAnsi="Arial"/>
                <w:sz w:val="13"/>
                <w:szCs w:val="13"/>
                <w:color w:val="auto"/>
              </w:rPr>
              <w:t>$125.74</w:t>
            </w:r>
          </w:p>
        </w:tc>
        <w:tc>
          <w:tcPr>
            <w:tcW w:w="2640" w:type="dxa"/>
            <w:vAlign w:val="bottom"/>
            <w:tcBorders>
              <w:bottom w:val="single" w:sz="8" w:color="auto"/>
            </w:tcBorders>
            <w:gridSpan w:val="2"/>
            <w:shd w:val="clear" w:color="auto" w:fill="CCEEFF"/>
          </w:tcPr>
          <w:p>
            <w:pPr>
              <w:jc w:val="right"/>
              <w:ind w:right="596"/>
              <w:spacing w:after="0"/>
              <w:rPr>
                <w:sz w:val="20"/>
                <w:szCs w:val="20"/>
                <w:color w:val="auto"/>
              </w:rPr>
            </w:pPr>
            <w:r>
              <w:rPr>
                <w:rFonts w:ascii="Arial" w:cs="Arial" w:eastAsia="Arial" w:hAnsi="Arial"/>
                <w:sz w:val="13"/>
                <w:szCs w:val="13"/>
                <w:color w:val="auto"/>
              </w:rPr>
              <w:t>18 May 2018</w:t>
            </w:r>
          </w:p>
        </w:tc>
        <w:tc>
          <w:tcPr>
            <w:tcW w:w="1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18 May 2026</w:t>
            </w:r>
          </w:p>
        </w:tc>
      </w:tr>
      <w:tr>
        <w:trPr>
          <w:trHeight w:val="140"/>
        </w:trPr>
        <w:tc>
          <w:tcPr>
            <w:tcW w:w="27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70"/>
        </w:trPr>
        <w:tc>
          <w:tcPr>
            <w:tcW w:w="2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Julie O'Neill</w:t>
            </w:r>
          </w:p>
        </w:tc>
        <w:tc>
          <w:tcPr>
            <w:tcW w:w="21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2220" w:type="dxa"/>
            <w:vAlign w:val="bottom"/>
            <w:tcBorders>
              <w:bottom w:val="single" w:sz="8" w:color="auto"/>
            </w:tcBorders>
            <w:shd w:val="clear" w:color="auto" w:fill="CCEEFF"/>
          </w:tcPr>
          <w:p>
            <w:pPr>
              <w:jc w:val="right"/>
              <w:ind w:right="1096"/>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r>
      <w:tr>
        <w:trPr>
          <w:trHeight w:val="139"/>
        </w:trPr>
        <w:tc>
          <w:tcPr>
            <w:tcW w:w="27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70"/>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Mary Pendergast</w:t>
            </w:r>
          </w:p>
        </w:tc>
        <w:tc>
          <w:tcPr>
            <w:tcW w:w="21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10,000</w:t>
            </w:r>
          </w:p>
        </w:tc>
        <w:tc>
          <w:tcPr>
            <w:tcW w:w="2220" w:type="dxa"/>
            <w:vAlign w:val="bottom"/>
            <w:shd w:val="clear" w:color="auto" w:fill="CCEEFF"/>
          </w:tcPr>
          <w:p>
            <w:pPr>
              <w:jc w:val="right"/>
              <w:ind w:right="1096"/>
              <w:spacing w:after="0"/>
              <w:rPr>
                <w:sz w:val="20"/>
                <w:szCs w:val="20"/>
                <w:color w:val="auto"/>
              </w:rPr>
            </w:pPr>
            <w:r>
              <w:rPr>
                <w:rFonts w:ascii="Arial" w:cs="Arial" w:eastAsia="Arial" w:hAnsi="Arial"/>
                <w:sz w:val="13"/>
                <w:szCs w:val="13"/>
                <w:color w:val="auto"/>
              </w:rPr>
              <w:t>$40.83</w:t>
            </w:r>
          </w:p>
        </w:tc>
        <w:tc>
          <w:tcPr>
            <w:tcW w:w="2640" w:type="dxa"/>
            <w:vAlign w:val="bottom"/>
            <w:gridSpan w:val="2"/>
            <w:shd w:val="clear" w:color="auto" w:fill="CCEEFF"/>
          </w:tcPr>
          <w:p>
            <w:pPr>
              <w:jc w:val="right"/>
              <w:ind w:right="596"/>
              <w:spacing w:after="0"/>
              <w:rPr>
                <w:sz w:val="20"/>
                <w:szCs w:val="20"/>
                <w:color w:val="auto"/>
              </w:rPr>
            </w:pPr>
            <w:r>
              <w:rPr>
                <w:rFonts w:ascii="Arial" w:cs="Arial" w:eastAsia="Arial" w:hAnsi="Arial"/>
                <w:sz w:val="13"/>
                <w:szCs w:val="13"/>
                <w:color w:val="auto"/>
              </w:rPr>
              <w:t>23 May 2014</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23 May 2022</w:t>
            </w:r>
          </w:p>
        </w:tc>
      </w:tr>
      <w:tr>
        <w:trPr>
          <w:trHeight w:val="169"/>
        </w:trPr>
        <w:tc>
          <w:tcPr>
            <w:tcW w:w="2720" w:type="dxa"/>
            <w:vAlign w:val="bottom"/>
          </w:tcPr>
          <w:p>
            <w:pPr>
              <w:spacing w:after="0"/>
              <w:rPr>
                <w:sz w:val="14"/>
                <w:szCs w:val="14"/>
                <w:color w:val="auto"/>
              </w:rPr>
            </w:pPr>
          </w:p>
        </w:tc>
        <w:tc>
          <w:tcPr>
            <w:tcW w:w="2140" w:type="dxa"/>
            <w:vAlign w:val="bottom"/>
          </w:tcPr>
          <w:p>
            <w:pPr>
              <w:jc w:val="right"/>
              <w:ind w:right="196"/>
              <w:spacing w:after="0"/>
              <w:rPr>
                <w:sz w:val="20"/>
                <w:szCs w:val="20"/>
                <w:color w:val="auto"/>
              </w:rPr>
            </w:pPr>
            <w:r>
              <w:rPr>
                <w:rFonts w:ascii="Arial" w:cs="Arial" w:eastAsia="Arial" w:hAnsi="Arial"/>
                <w:sz w:val="13"/>
                <w:szCs w:val="13"/>
                <w:color w:val="auto"/>
              </w:rPr>
              <w:t>10,000</w:t>
            </w:r>
          </w:p>
        </w:tc>
        <w:tc>
          <w:tcPr>
            <w:tcW w:w="2220" w:type="dxa"/>
            <w:vAlign w:val="bottom"/>
          </w:tcPr>
          <w:p>
            <w:pPr>
              <w:jc w:val="right"/>
              <w:ind w:right="1096"/>
              <w:spacing w:after="0"/>
              <w:rPr>
                <w:sz w:val="20"/>
                <w:szCs w:val="20"/>
                <w:color w:val="auto"/>
              </w:rPr>
            </w:pPr>
            <w:r>
              <w:rPr>
                <w:rFonts w:ascii="Arial" w:cs="Arial" w:eastAsia="Arial" w:hAnsi="Arial"/>
                <w:sz w:val="13"/>
                <w:szCs w:val="13"/>
                <w:color w:val="auto"/>
              </w:rPr>
              <w:t>$68.39</w:t>
            </w:r>
          </w:p>
        </w:tc>
        <w:tc>
          <w:tcPr>
            <w:tcW w:w="1280" w:type="dxa"/>
            <w:vAlign w:val="bottom"/>
          </w:tcPr>
          <w:p>
            <w:pPr>
              <w:jc w:val="right"/>
              <w:spacing w:after="0"/>
              <w:rPr>
                <w:sz w:val="20"/>
                <w:szCs w:val="20"/>
                <w:color w:val="auto"/>
              </w:rPr>
            </w:pPr>
            <w:r>
              <w:rPr>
                <w:rFonts w:ascii="Arial" w:cs="Arial" w:eastAsia="Arial" w:hAnsi="Arial"/>
                <w:sz w:val="13"/>
                <w:szCs w:val="13"/>
                <w:color w:val="auto"/>
              </w:rPr>
              <w:t>18</w:t>
            </w:r>
          </w:p>
        </w:tc>
        <w:tc>
          <w:tcPr>
            <w:tcW w:w="1360" w:type="dxa"/>
            <w:vAlign w:val="bottom"/>
          </w:tcPr>
          <w:p>
            <w:pPr>
              <w:jc w:val="right"/>
              <w:ind w:right="596"/>
              <w:spacing w:after="0"/>
              <w:rPr>
                <w:sz w:val="20"/>
                <w:szCs w:val="20"/>
                <w:color w:val="auto"/>
              </w:rPr>
            </w:pPr>
            <w:r>
              <w:rPr>
                <w:rFonts w:ascii="Arial" w:cs="Arial" w:eastAsia="Arial" w:hAnsi="Arial"/>
                <w:sz w:val="13"/>
                <w:szCs w:val="13"/>
                <w:color w:val="auto"/>
                <w:w w:val="98"/>
              </w:rPr>
              <w:t>March 2015</w:t>
            </w:r>
          </w:p>
        </w:tc>
        <w:tc>
          <w:tcPr>
            <w:tcW w:w="840" w:type="dxa"/>
            <w:vAlign w:val="bottom"/>
          </w:tcPr>
          <w:p>
            <w:pPr>
              <w:jc w:val="right"/>
              <w:spacing w:after="0"/>
              <w:rPr>
                <w:sz w:val="20"/>
                <w:szCs w:val="20"/>
                <w:color w:val="auto"/>
              </w:rPr>
            </w:pPr>
            <w:r>
              <w:rPr>
                <w:rFonts w:ascii="Arial" w:cs="Arial" w:eastAsia="Arial" w:hAnsi="Arial"/>
                <w:sz w:val="13"/>
                <w:szCs w:val="13"/>
                <w:color w:val="auto"/>
              </w:rPr>
              <w:t>18</w:t>
            </w:r>
          </w:p>
        </w:tc>
        <w:tc>
          <w:tcPr>
            <w:tcW w:w="700" w:type="dxa"/>
            <w:vAlign w:val="bottom"/>
          </w:tcPr>
          <w:p>
            <w:pPr>
              <w:jc w:val="right"/>
              <w:spacing w:after="0"/>
              <w:rPr>
                <w:sz w:val="20"/>
                <w:szCs w:val="20"/>
                <w:color w:val="auto"/>
              </w:rPr>
            </w:pPr>
            <w:r>
              <w:rPr>
                <w:rFonts w:ascii="Arial" w:cs="Arial" w:eastAsia="Arial" w:hAnsi="Arial"/>
                <w:sz w:val="13"/>
                <w:szCs w:val="13"/>
                <w:color w:val="auto"/>
                <w:w w:val="96"/>
              </w:rPr>
              <w:t>March 2023</w:t>
            </w:r>
          </w:p>
        </w:tc>
      </w:tr>
      <w:tr>
        <w:trPr>
          <w:trHeight w:val="171"/>
        </w:trPr>
        <w:tc>
          <w:tcPr>
            <w:tcW w:w="2720" w:type="dxa"/>
            <w:vAlign w:val="bottom"/>
            <w:shd w:val="clear" w:color="auto" w:fill="CCEEFF"/>
          </w:tcPr>
          <w:p>
            <w:pPr>
              <w:spacing w:after="0"/>
              <w:rPr>
                <w:sz w:val="14"/>
                <w:szCs w:val="14"/>
                <w:color w:val="auto"/>
              </w:rPr>
            </w:pPr>
          </w:p>
        </w:tc>
        <w:tc>
          <w:tcPr>
            <w:tcW w:w="21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10,557</w:t>
            </w:r>
          </w:p>
        </w:tc>
        <w:tc>
          <w:tcPr>
            <w:tcW w:w="2220" w:type="dxa"/>
            <w:vAlign w:val="bottom"/>
            <w:shd w:val="clear" w:color="auto" w:fill="CCEEFF"/>
          </w:tcPr>
          <w:p>
            <w:pPr>
              <w:jc w:val="right"/>
              <w:ind w:right="1096"/>
              <w:spacing w:after="0"/>
              <w:rPr>
                <w:sz w:val="20"/>
                <w:szCs w:val="20"/>
                <w:color w:val="auto"/>
              </w:rPr>
            </w:pPr>
            <w:r>
              <w:rPr>
                <w:rFonts w:ascii="Arial" w:cs="Arial" w:eastAsia="Arial" w:hAnsi="Arial"/>
                <w:sz w:val="13"/>
                <w:szCs w:val="13"/>
                <w:color w:val="auto"/>
              </w:rPr>
              <w:t>$65.60</w:t>
            </w:r>
          </w:p>
        </w:tc>
        <w:tc>
          <w:tcPr>
            <w:tcW w:w="2640" w:type="dxa"/>
            <w:vAlign w:val="bottom"/>
            <w:gridSpan w:val="2"/>
            <w:shd w:val="clear" w:color="auto" w:fill="CCEEFF"/>
          </w:tcPr>
          <w:p>
            <w:pPr>
              <w:jc w:val="right"/>
              <w:ind w:right="596"/>
              <w:spacing w:after="0"/>
              <w:rPr>
                <w:sz w:val="20"/>
                <w:szCs w:val="20"/>
                <w:color w:val="auto"/>
              </w:rPr>
            </w:pPr>
            <w:r>
              <w:rPr>
                <w:rFonts w:ascii="Arial" w:cs="Arial" w:eastAsia="Arial" w:hAnsi="Arial"/>
                <w:sz w:val="13"/>
                <w:szCs w:val="13"/>
                <w:color w:val="auto"/>
              </w:rPr>
              <w:t>20 May 2016</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 May 2024</w:t>
            </w:r>
          </w:p>
        </w:tc>
      </w:tr>
      <w:tr>
        <w:trPr>
          <w:trHeight w:val="169"/>
        </w:trPr>
        <w:tc>
          <w:tcPr>
            <w:tcW w:w="2720" w:type="dxa"/>
            <w:vAlign w:val="bottom"/>
          </w:tcPr>
          <w:p>
            <w:pPr>
              <w:spacing w:after="0"/>
              <w:rPr>
                <w:sz w:val="14"/>
                <w:szCs w:val="14"/>
                <w:color w:val="auto"/>
              </w:rPr>
            </w:pPr>
          </w:p>
        </w:tc>
        <w:tc>
          <w:tcPr>
            <w:tcW w:w="2140" w:type="dxa"/>
            <w:vAlign w:val="bottom"/>
          </w:tcPr>
          <w:p>
            <w:pPr>
              <w:jc w:val="right"/>
              <w:ind w:right="196"/>
              <w:spacing w:after="0"/>
              <w:rPr>
                <w:sz w:val="20"/>
                <w:szCs w:val="20"/>
                <w:color w:val="auto"/>
              </w:rPr>
            </w:pPr>
            <w:r>
              <w:rPr>
                <w:rFonts w:ascii="Arial" w:cs="Arial" w:eastAsia="Arial" w:hAnsi="Arial"/>
                <w:sz w:val="13"/>
                <w:szCs w:val="13"/>
                <w:color w:val="auto"/>
              </w:rPr>
              <w:t>7,693</w:t>
            </w:r>
          </w:p>
        </w:tc>
        <w:tc>
          <w:tcPr>
            <w:tcW w:w="2220" w:type="dxa"/>
            <w:vAlign w:val="bottom"/>
          </w:tcPr>
          <w:p>
            <w:pPr>
              <w:jc w:val="right"/>
              <w:ind w:right="1096"/>
              <w:spacing w:after="0"/>
              <w:rPr>
                <w:sz w:val="20"/>
                <w:szCs w:val="20"/>
                <w:color w:val="auto"/>
              </w:rPr>
            </w:pPr>
            <w:r>
              <w:rPr>
                <w:rFonts w:ascii="Arial" w:cs="Arial" w:eastAsia="Arial" w:hAnsi="Arial"/>
                <w:sz w:val="13"/>
                <w:szCs w:val="13"/>
                <w:color w:val="auto"/>
              </w:rPr>
              <w:t>$90.03</w:t>
            </w:r>
          </w:p>
        </w:tc>
        <w:tc>
          <w:tcPr>
            <w:tcW w:w="2640" w:type="dxa"/>
            <w:vAlign w:val="bottom"/>
            <w:gridSpan w:val="2"/>
          </w:tcPr>
          <w:p>
            <w:pPr>
              <w:jc w:val="right"/>
              <w:ind w:right="596"/>
              <w:spacing w:after="0"/>
              <w:rPr>
                <w:sz w:val="20"/>
                <w:szCs w:val="20"/>
                <w:color w:val="auto"/>
              </w:rPr>
            </w:pPr>
            <w:r>
              <w:rPr>
                <w:rFonts w:ascii="Arial" w:cs="Arial" w:eastAsia="Arial" w:hAnsi="Arial"/>
                <w:sz w:val="13"/>
                <w:szCs w:val="13"/>
                <w:color w:val="auto"/>
              </w:rPr>
              <w:t>19 May 2017</w:t>
            </w:r>
          </w:p>
        </w:tc>
        <w:tc>
          <w:tcPr>
            <w:tcW w:w="1540" w:type="dxa"/>
            <w:vAlign w:val="bottom"/>
            <w:gridSpan w:val="2"/>
          </w:tcPr>
          <w:p>
            <w:pPr>
              <w:jc w:val="right"/>
              <w:spacing w:after="0"/>
              <w:rPr>
                <w:sz w:val="20"/>
                <w:szCs w:val="20"/>
                <w:color w:val="auto"/>
              </w:rPr>
            </w:pPr>
            <w:r>
              <w:rPr>
                <w:rFonts w:ascii="Arial" w:cs="Arial" w:eastAsia="Arial" w:hAnsi="Arial"/>
                <w:sz w:val="13"/>
                <w:szCs w:val="13"/>
                <w:color w:val="auto"/>
              </w:rPr>
              <w:t>19 May 2025</w:t>
            </w:r>
          </w:p>
        </w:tc>
      </w:tr>
      <w:tr>
        <w:trPr>
          <w:trHeight w:val="170"/>
        </w:trPr>
        <w:tc>
          <w:tcPr>
            <w:tcW w:w="2720" w:type="dxa"/>
            <w:vAlign w:val="bottom"/>
            <w:tcBorders>
              <w:bottom w:val="single" w:sz="8" w:color="auto"/>
            </w:tcBorders>
            <w:shd w:val="clear" w:color="auto" w:fill="CCEEFF"/>
          </w:tcPr>
          <w:p>
            <w:pPr>
              <w:spacing w:after="0"/>
              <w:rPr>
                <w:sz w:val="14"/>
                <w:szCs w:val="14"/>
                <w:color w:val="auto"/>
              </w:rPr>
            </w:pPr>
          </w:p>
        </w:tc>
        <w:tc>
          <w:tcPr>
            <w:tcW w:w="21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5,005</w:t>
            </w:r>
          </w:p>
        </w:tc>
        <w:tc>
          <w:tcPr>
            <w:tcW w:w="2220" w:type="dxa"/>
            <w:vAlign w:val="bottom"/>
            <w:tcBorders>
              <w:bottom w:val="single" w:sz="8" w:color="auto"/>
            </w:tcBorders>
            <w:shd w:val="clear" w:color="auto" w:fill="CCEEFF"/>
          </w:tcPr>
          <w:p>
            <w:pPr>
              <w:jc w:val="right"/>
              <w:ind w:right="1096"/>
              <w:spacing w:after="0"/>
              <w:rPr>
                <w:sz w:val="20"/>
                <w:szCs w:val="20"/>
                <w:color w:val="auto"/>
              </w:rPr>
            </w:pPr>
            <w:r>
              <w:rPr>
                <w:rFonts w:ascii="Arial" w:cs="Arial" w:eastAsia="Arial" w:hAnsi="Arial"/>
                <w:sz w:val="13"/>
                <w:szCs w:val="13"/>
                <w:color w:val="auto"/>
              </w:rPr>
              <w:t>$125.74</w:t>
            </w:r>
          </w:p>
        </w:tc>
        <w:tc>
          <w:tcPr>
            <w:tcW w:w="2640" w:type="dxa"/>
            <w:vAlign w:val="bottom"/>
            <w:tcBorders>
              <w:bottom w:val="single" w:sz="8" w:color="auto"/>
            </w:tcBorders>
            <w:gridSpan w:val="2"/>
            <w:shd w:val="clear" w:color="auto" w:fill="CCEEFF"/>
          </w:tcPr>
          <w:p>
            <w:pPr>
              <w:jc w:val="right"/>
              <w:ind w:right="596"/>
              <w:spacing w:after="0"/>
              <w:rPr>
                <w:sz w:val="20"/>
                <w:szCs w:val="20"/>
                <w:color w:val="auto"/>
              </w:rPr>
            </w:pPr>
            <w:r>
              <w:rPr>
                <w:rFonts w:ascii="Arial" w:cs="Arial" w:eastAsia="Arial" w:hAnsi="Arial"/>
                <w:sz w:val="13"/>
                <w:szCs w:val="13"/>
                <w:color w:val="auto"/>
              </w:rPr>
              <w:t>18 May 2018</w:t>
            </w:r>
          </w:p>
        </w:tc>
        <w:tc>
          <w:tcPr>
            <w:tcW w:w="1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18 May 2026</w:t>
            </w:r>
          </w:p>
        </w:tc>
      </w:tr>
      <w:tr>
        <w:trPr>
          <w:trHeight w:val="140"/>
        </w:trPr>
        <w:tc>
          <w:tcPr>
            <w:tcW w:w="27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69"/>
        </w:trPr>
        <w:tc>
          <w:tcPr>
            <w:tcW w:w="2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Colin Shannon</w:t>
            </w:r>
          </w:p>
        </w:tc>
        <w:tc>
          <w:tcPr>
            <w:tcW w:w="21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2220" w:type="dxa"/>
            <w:vAlign w:val="bottom"/>
            <w:tcBorders>
              <w:bottom w:val="single" w:sz="8" w:color="auto"/>
            </w:tcBorders>
            <w:shd w:val="clear" w:color="auto" w:fill="CCEEFF"/>
          </w:tcPr>
          <w:p>
            <w:pPr>
              <w:jc w:val="right"/>
              <w:ind w:right="1096"/>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40"/>
        </w:trPr>
        <w:tc>
          <w:tcPr>
            <w:tcW w:w="27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69"/>
        </w:trPr>
        <w:tc>
          <w:tcPr>
            <w:tcW w:w="2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Dr. Linda Grais</w:t>
            </w:r>
          </w:p>
        </w:tc>
        <w:tc>
          <w:tcPr>
            <w:tcW w:w="21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2220" w:type="dxa"/>
            <w:vAlign w:val="bottom"/>
            <w:tcBorders>
              <w:bottom w:val="single" w:sz="8" w:color="auto"/>
            </w:tcBorders>
            <w:shd w:val="clear" w:color="auto" w:fill="CCEEFF"/>
          </w:tcPr>
          <w:p>
            <w:pPr>
              <w:jc w:val="right"/>
              <w:ind w:right="1096"/>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40"/>
        </w:trPr>
        <w:tc>
          <w:tcPr>
            <w:tcW w:w="27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70"/>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Diarmaid Cunningham</w:t>
            </w:r>
          </w:p>
        </w:tc>
        <w:tc>
          <w:tcPr>
            <w:tcW w:w="21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2,050</w:t>
            </w:r>
          </w:p>
        </w:tc>
        <w:tc>
          <w:tcPr>
            <w:tcW w:w="2220" w:type="dxa"/>
            <w:vAlign w:val="bottom"/>
            <w:shd w:val="clear" w:color="auto" w:fill="CCEEFF"/>
          </w:tcPr>
          <w:p>
            <w:pPr>
              <w:jc w:val="right"/>
              <w:ind w:right="1096"/>
              <w:spacing w:after="0"/>
              <w:rPr>
                <w:sz w:val="20"/>
                <w:szCs w:val="20"/>
                <w:color w:val="auto"/>
              </w:rPr>
            </w:pPr>
            <w:r>
              <w:rPr>
                <w:rFonts w:ascii="Arial" w:cs="Arial" w:eastAsia="Arial" w:hAnsi="Arial"/>
                <w:sz w:val="13"/>
                <w:szCs w:val="13"/>
                <w:color w:val="auto"/>
              </w:rPr>
              <w:t>$83.47</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360" w:type="dxa"/>
            <w:vAlign w:val="bottom"/>
            <w:shd w:val="clear" w:color="auto" w:fill="CCEEFF"/>
          </w:tcPr>
          <w:p>
            <w:pPr>
              <w:jc w:val="right"/>
              <w:ind w:right="596"/>
              <w:spacing w:after="0"/>
              <w:rPr>
                <w:sz w:val="20"/>
                <w:szCs w:val="20"/>
                <w:color w:val="auto"/>
              </w:rPr>
            </w:pPr>
            <w:r>
              <w:rPr>
                <w:rFonts w:ascii="Arial" w:cs="Arial" w:eastAsia="Arial" w:hAnsi="Arial"/>
                <w:sz w:val="13"/>
                <w:szCs w:val="13"/>
                <w:color w:val="auto"/>
                <w:w w:val="98"/>
              </w:rPr>
              <w:t>March 2017</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March 2025</w:t>
            </w:r>
          </w:p>
        </w:tc>
      </w:tr>
      <w:tr>
        <w:trPr>
          <w:trHeight w:val="169"/>
        </w:trPr>
        <w:tc>
          <w:tcPr>
            <w:tcW w:w="2720" w:type="dxa"/>
            <w:vAlign w:val="bottom"/>
          </w:tcPr>
          <w:p>
            <w:pPr>
              <w:spacing w:after="0"/>
              <w:rPr>
                <w:sz w:val="14"/>
                <w:szCs w:val="14"/>
                <w:color w:val="auto"/>
              </w:rPr>
            </w:pPr>
          </w:p>
        </w:tc>
        <w:tc>
          <w:tcPr>
            <w:tcW w:w="2140" w:type="dxa"/>
            <w:vAlign w:val="bottom"/>
          </w:tcPr>
          <w:p>
            <w:pPr>
              <w:jc w:val="right"/>
              <w:ind w:right="196"/>
              <w:spacing w:after="0"/>
              <w:rPr>
                <w:sz w:val="20"/>
                <w:szCs w:val="20"/>
                <w:color w:val="auto"/>
              </w:rPr>
            </w:pPr>
            <w:r>
              <w:rPr>
                <w:rFonts w:ascii="Arial" w:cs="Arial" w:eastAsia="Arial" w:hAnsi="Arial"/>
                <w:sz w:val="13"/>
                <w:szCs w:val="13"/>
                <w:color w:val="auto"/>
              </w:rPr>
              <w:t>2,885</w:t>
            </w:r>
          </w:p>
        </w:tc>
        <w:tc>
          <w:tcPr>
            <w:tcW w:w="2220" w:type="dxa"/>
            <w:vAlign w:val="bottom"/>
          </w:tcPr>
          <w:p>
            <w:pPr>
              <w:jc w:val="right"/>
              <w:ind w:right="1096"/>
              <w:spacing w:after="0"/>
              <w:rPr>
                <w:sz w:val="20"/>
                <w:szCs w:val="20"/>
                <w:color w:val="auto"/>
              </w:rPr>
            </w:pPr>
            <w:r>
              <w:rPr>
                <w:rFonts w:ascii="Arial" w:cs="Arial" w:eastAsia="Arial" w:hAnsi="Arial"/>
                <w:sz w:val="13"/>
                <w:szCs w:val="13"/>
                <w:color w:val="auto"/>
              </w:rPr>
              <w:t>$115.11</w:t>
            </w:r>
          </w:p>
        </w:tc>
        <w:tc>
          <w:tcPr>
            <w:tcW w:w="1280" w:type="dxa"/>
            <w:vAlign w:val="bottom"/>
          </w:tcPr>
          <w:p>
            <w:pPr>
              <w:jc w:val="right"/>
              <w:spacing w:after="0"/>
              <w:rPr>
                <w:sz w:val="20"/>
                <w:szCs w:val="20"/>
                <w:color w:val="auto"/>
              </w:rPr>
            </w:pPr>
            <w:r>
              <w:rPr>
                <w:rFonts w:ascii="Arial" w:cs="Arial" w:eastAsia="Arial" w:hAnsi="Arial"/>
                <w:sz w:val="13"/>
                <w:szCs w:val="13"/>
                <w:color w:val="auto"/>
              </w:rPr>
              <w:t>3</w:t>
            </w:r>
          </w:p>
        </w:tc>
        <w:tc>
          <w:tcPr>
            <w:tcW w:w="1360" w:type="dxa"/>
            <w:vAlign w:val="bottom"/>
          </w:tcPr>
          <w:p>
            <w:pPr>
              <w:jc w:val="right"/>
              <w:ind w:right="596"/>
              <w:spacing w:after="0"/>
              <w:rPr>
                <w:sz w:val="20"/>
                <w:szCs w:val="20"/>
                <w:color w:val="auto"/>
              </w:rPr>
            </w:pPr>
            <w:r>
              <w:rPr>
                <w:rFonts w:ascii="Arial" w:cs="Arial" w:eastAsia="Arial" w:hAnsi="Arial"/>
                <w:sz w:val="13"/>
                <w:szCs w:val="13"/>
                <w:color w:val="auto"/>
                <w:w w:val="98"/>
              </w:rPr>
              <w:t>March 2018</w:t>
            </w:r>
          </w:p>
        </w:tc>
        <w:tc>
          <w:tcPr>
            <w:tcW w:w="840" w:type="dxa"/>
            <w:vAlign w:val="bottom"/>
          </w:tcPr>
          <w:p>
            <w:pPr>
              <w:jc w:val="right"/>
              <w:spacing w:after="0"/>
              <w:rPr>
                <w:sz w:val="20"/>
                <w:szCs w:val="20"/>
                <w:color w:val="auto"/>
              </w:rPr>
            </w:pPr>
            <w:r>
              <w:rPr>
                <w:rFonts w:ascii="Arial" w:cs="Arial" w:eastAsia="Arial" w:hAnsi="Arial"/>
                <w:sz w:val="13"/>
                <w:szCs w:val="13"/>
                <w:color w:val="auto"/>
              </w:rPr>
              <w:t>3</w:t>
            </w:r>
          </w:p>
        </w:tc>
        <w:tc>
          <w:tcPr>
            <w:tcW w:w="700" w:type="dxa"/>
            <w:vAlign w:val="bottom"/>
          </w:tcPr>
          <w:p>
            <w:pPr>
              <w:jc w:val="right"/>
              <w:spacing w:after="0"/>
              <w:rPr>
                <w:sz w:val="20"/>
                <w:szCs w:val="20"/>
                <w:color w:val="auto"/>
              </w:rPr>
            </w:pPr>
            <w:r>
              <w:rPr>
                <w:rFonts w:ascii="Arial" w:cs="Arial" w:eastAsia="Arial" w:hAnsi="Arial"/>
                <w:sz w:val="13"/>
                <w:szCs w:val="13"/>
                <w:color w:val="auto"/>
                <w:w w:val="96"/>
              </w:rPr>
              <w:t>March 2026</w:t>
            </w:r>
          </w:p>
        </w:tc>
      </w:tr>
      <w:tr>
        <w:trPr>
          <w:trHeight w:val="171"/>
        </w:trPr>
        <w:tc>
          <w:tcPr>
            <w:tcW w:w="2720" w:type="dxa"/>
            <w:vAlign w:val="bottom"/>
            <w:shd w:val="clear" w:color="auto" w:fill="CCEEFF"/>
          </w:tcPr>
          <w:p>
            <w:pPr>
              <w:spacing w:after="0"/>
              <w:rPr>
                <w:sz w:val="14"/>
                <w:szCs w:val="14"/>
                <w:color w:val="auto"/>
              </w:rPr>
            </w:pPr>
          </w:p>
        </w:tc>
        <w:tc>
          <w:tcPr>
            <w:tcW w:w="21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5,499</w:t>
            </w:r>
          </w:p>
        </w:tc>
        <w:tc>
          <w:tcPr>
            <w:tcW w:w="2220" w:type="dxa"/>
            <w:vAlign w:val="bottom"/>
            <w:shd w:val="clear" w:color="auto" w:fill="CCEEFF"/>
          </w:tcPr>
          <w:p>
            <w:pPr>
              <w:jc w:val="right"/>
              <w:ind w:right="1096"/>
              <w:spacing w:after="0"/>
              <w:rPr>
                <w:sz w:val="20"/>
                <w:szCs w:val="20"/>
                <w:color w:val="auto"/>
              </w:rPr>
            </w:pPr>
            <w:r>
              <w:rPr>
                <w:rFonts w:ascii="Arial" w:cs="Arial" w:eastAsia="Arial" w:hAnsi="Arial"/>
                <w:sz w:val="13"/>
                <w:szCs w:val="13"/>
                <w:color w:val="auto"/>
              </w:rPr>
              <w:t>$140.38</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360" w:type="dxa"/>
            <w:vAlign w:val="bottom"/>
            <w:shd w:val="clear" w:color="auto" w:fill="CCEEFF"/>
          </w:tcPr>
          <w:p>
            <w:pPr>
              <w:jc w:val="right"/>
              <w:ind w:right="596"/>
              <w:spacing w:after="0"/>
              <w:rPr>
                <w:sz w:val="20"/>
                <w:szCs w:val="20"/>
                <w:color w:val="auto"/>
              </w:rPr>
            </w:pPr>
            <w:r>
              <w:rPr>
                <w:rFonts w:ascii="Arial" w:cs="Arial" w:eastAsia="Arial" w:hAnsi="Arial"/>
                <w:sz w:val="13"/>
                <w:szCs w:val="13"/>
                <w:color w:val="auto"/>
                <w:w w:val="98"/>
              </w:rPr>
              <w:t>March 2019</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March 2027</w:t>
            </w:r>
          </w:p>
        </w:tc>
      </w:tr>
      <w:tr>
        <w:trPr>
          <w:trHeight w:val="169"/>
        </w:trPr>
        <w:tc>
          <w:tcPr>
            <w:tcW w:w="2720" w:type="dxa"/>
            <w:vAlign w:val="bottom"/>
          </w:tcPr>
          <w:p>
            <w:pPr>
              <w:spacing w:after="0"/>
              <w:rPr>
                <w:sz w:val="14"/>
                <w:szCs w:val="14"/>
                <w:color w:val="auto"/>
              </w:rPr>
            </w:pPr>
          </w:p>
        </w:tc>
        <w:tc>
          <w:tcPr>
            <w:tcW w:w="2140" w:type="dxa"/>
            <w:vAlign w:val="bottom"/>
          </w:tcPr>
          <w:p>
            <w:pPr>
              <w:jc w:val="right"/>
              <w:ind w:right="196"/>
              <w:spacing w:after="0"/>
              <w:rPr>
                <w:sz w:val="20"/>
                <w:szCs w:val="20"/>
                <w:color w:val="auto"/>
              </w:rPr>
            </w:pPr>
            <w:r>
              <w:rPr>
                <w:rFonts w:ascii="Arial" w:cs="Arial" w:eastAsia="Arial" w:hAnsi="Arial"/>
                <w:sz w:val="13"/>
                <w:szCs w:val="13"/>
                <w:color w:val="auto"/>
              </w:rPr>
              <w:t>5,737</w:t>
            </w:r>
          </w:p>
        </w:tc>
        <w:tc>
          <w:tcPr>
            <w:tcW w:w="2220" w:type="dxa"/>
            <w:vAlign w:val="bottom"/>
          </w:tcPr>
          <w:p>
            <w:pPr>
              <w:jc w:val="right"/>
              <w:ind w:right="1096"/>
              <w:spacing w:after="0"/>
              <w:rPr>
                <w:sz w:val="20"/>
                <w:szCs w:val="20"/>
                <w:color w:val="auto"/>
              </w:rPr>
            </w:pPr>
            <w:r>
              <w:rPr>
                <w:rFonts w:ascii="Arial" w:cs="Arial" w:eastAsia="Arial" w:hAnsi="Arial"/>
                <w:sz w:val="13"/>
                <w:szCs w:val="13"/>
                <w:color w:val="auto"/>
              </w:rPr>
              <w:t>$159.33</w:t>
            </w:r>
          </w:p>
        </w:tc>
        <w:tc>
          <w:tcPr>
            <w:tcW w:w="1280" w:type="dxa"/>
            <w:vAlign w:val="bottom"/>
          </w:tcPr>
          <w:p>
            <w:pPr>
              <w:jc w:val="right"/>
              <w:spacing w:after="0"/>
              <w:rPr>
                <w:sz w:val="20"/>
                <w:szCs w:val="20"/>
                <w:color w:val="auto"/>
              </w:rPr>
            </w:pPr>
            <w:r>
              <w:rPr>
                <w:rFonts w:ascii="Arial" w:cs="Arial" w:eastAsia="Arial" w:hAnsi="Arial"/>
                <w:sz w:val="13"/>
                <w:szCs w:val="13"/>
                <w:color w:val="auto"/>
              </w:rPr>
              <w:t>3</w:t>
            </w:r>
          </w:p>
        </w:tc>
        <w:tc>
          <w:tcPr>
            <w:tcW w:w="1360" w:type="dxa"/>
            <w:vAlign w:val="bottom"/>
          </w:tcPr>
          <w:p>
            <w:pPr>
              <w:jc w:val="right"/>
              <w:ind w:right="596"/>
              <w:spacing w:after="0"/>
              <w:rPr>
                <w:sz w:val="20"/>
                <w:szCs w:val="20"/>
                <w:color w:val="auto"/>
              </w:rPr>
            </w:pPr>
            <w:r>
              <w:rPr>
                <w:rFonts w:ascii="Arial" w:cs="Arial" w:eastAsia="Arial" w:hAnsi="Arial"/>
                <w:sz w:val="13"/>
                <w:szCs w:val="13"/>
                <w:color w:val="auto"/>
                <w:w w:val="98"/>
              </w:rPr>
              <w:t>March 2020</w:t>
            </w:r>
          </w:p>
        </w:tc>
        <w:tc>
          <w:tcPr>
            <w:tcW w:w="840" w:type="dxa"/>
            <w:vAlign w:val="bottom"/>
          </w:tcPr>
          <w:p>
            <w:pPr>
              <w:jc w:val="right"/>
              <w:spacing w:after="0"/>
              <w:rPr>
                <w:sz w:val="20"/>
                <w:szCs w:val="20"/>
                <w:color w:val="auto"/>
              </w:rPr>
            </w:pPr>
            <w:r>
              <w:rPr>
                <w:rFonts w:ascii="Arial" w:cs="Arial" w:eastAsia="Arial" w:hAnsi="Arial"/>
                <w:sz w:val="13"/>
                <w:szCs w:val="13"/>
                <w:color w:val="auto"/>
              </w:rPr>
              <w:t>3</w:t>
            </w:r>
          </w:p>
        </w:tc>
        <w:tc>
          <w:tcPr>
            <w:tcW w:w="700" w:type="dxa"/>
            <w:vAlign w:val="bottom"/>
          </w:tcPr>
          <w:p>
            <w:pPr>
              <w:jc w:val="right"/>
              <w:spacing w:after="0"/>
              <w:rPr>
                <w:sz w:val="20"/>
                <w:szCs w:val="20"/>
                <w:color w:val="auto"/>
              </w:rPr>
            </w:pPr>
            <w:r>
              <w:rPr>
                <w:rFonts w:ascii="Arial" w:cs="Arial" w:eastAsia="Arial" w:hAnsi="Arial"/>
                <w:sz w:val="13"/>
                <w:szCs w:val="13"/>
                <w:color w:val="auto"/>
                <w:w w:val="96"/>
              </w:rPr>
              <w:t>March 2028</w:t>
            </w:r>
          </w:p>
        </w:tc>
      </w:tr>
      <w:tr>
        <w:trPr>
          <w:trHeight w:val="170"/>
        </w:trPr>
        <w:tc>
          <w:tcPr>
            <w:tcW w:w="2720" w:type="dxa"/>
            <w:vAlign w:val="bottom"/>
            <w:tcBorders>
              <w:bottom w:val="single" w:sz="8" w:color="auto"/>
            </w:tcBorders>
            <w:shd w:val="clear" w:color="auto" w:fill="CCEEFF"/>
          </w:tcPr>
          <w:p>
            <w:pPr>
              <w:spacing w:after="0"/>
              <w:rPr>
                <w:sz w:val="14"/>
                <w:szCs w:val="14"/>
                <w:color w:val="auto"/>
              </w:rPr>
            </w:pPr>
          </w:p>
        </w:tc>
        <w:tc>
          <w:tcPr>
            <w:tcW w:w="21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5,528</w:t>
            </w:r>
          </w:p>
        </w:tc>
        <w:tc>
          <w:tcPr>
            <w:tcW w:w="2220" w:type="dxa"/>
            <w:vAlign w:val="bottom"/>
            <w:tcBorders>
              <w:bottom w:val="single" w:sz="8" w:color="auto"/>
            </w:tcBorders>
            <w:shd w:val="clear" w:color="auto" w:fill="CCEEFF"/>
          </w:tcPr>
          <w:p>
            <w:pPr>
              <w:jc w:val="right"/>
              <w:ind w:right="1096"/>
              <w:spacing w:after="0"/>
              <w:rPr>
                <w:sz w:val="20"/>
                <w:szCs w:val="20"/>
                <w:color w:val="auto"/>
              </w:rPr>
            </w:pPr>
            <w:r>
              <w:rPr>
                <w:rFonts w:ascii="Arial" w:cs="Arial" w:eastAsia="Arial" w:hAnsi="Arial"/>
                <w:sz w:val="13"/>
                <w:szCs w:val="13"/>
                <w:color w:val="auto"/>
              </w:rPr>
              <w:t>$174.96</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360" w:type="dxa"/>
            <w:vAlign w:val="bottom"/>
            <w:tcBorders>
              <w:bottom w:val="single" w:sz="8" w:color="auto"/>
            </w:tcBorders>
            <w:shd w:val="clear" w:color="auto" w:fill="CCEEFF"/>
          </w:tcPr>
          <w:p>
            <w:pPr>
              <w:jc w:val="right"/>
              <w:ind w:right="596"/>
              <w:spacing w:after="0"/>
              <w:rPr>
                <w:sz w:val="20"/>
                <w:szCs w:val="20"/>
                <w:color w:val="auto"/>
              </w:rPr>
            </w:pPr>
            <w:r>
              <w:rPr>
                <w:rFonts w:ascii="Arial" w:cs="Arial" w:eastAsia="Arial" w:hAnsi="Arial"/>
                <w:sz w:val="13"/>
                <w:szCs w:val="13"/>
                <w:color w:val="auto"/>
                <w:w w:val="98"/>
              </w:rPr>
              <w:t>March 2021</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6"/>
              </w:rPr>
              <w:t>March 2029</w:t>
            </w:r>
          </w:p>
        </w:tc>
      </w:tr>
    </w:tbl>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68</w:t>
      </w:r>
    </w:p>
    <w:p>
      <w:pPr>
        <w:sectPr>
          <w:pgSz w:w="11900" w:h="16838" w:orient="portrait"/>
          <w:cols w:equalWidth="0" w:num="1">
            <w:col w:w="11260"/>
          </w:cols>
          <w:pgMar w:left="300" w:top="698"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190" w:lineRule="exact"/>
        <w:rPr>
          <w:sz w:val="20"/>
          <w:szCs w:val="20"/>
          <w:color w:val="auto"/>
        </w:rPr>
      </w:pPr>
    </w:p>
    <w:p>
      <w:pPr>
        <w:ind w:left="260" w:hanging="255"/>
        <w:spacing w:after="0"/>
        <w:tabs>
          <w:tab w:leader="none" w:pos="260" w:val="left"/>
        </w:tabs>
        <w:numPr>
          <w:ilvl w:val="0"/>
          <w:numId w:val="72"/>
        </w:numPr>
        <w:rPr>
          <w:rFonts w:ascii="Arial" w:cs="Arial" w:eastAsia="Arial" w:hAnsi="Arial"/>
          <w:sz w:val="13"/>
          <w:szCs w:val="13"/>
          <w:b w:val="1"/>
          <w:bCs w:val="1"/>
          <w:color w:val="auto"/>
        </w:rPr>
      </w:pPr>
      <w:r>
        <w:rPr>
          <w:rFonts w:ascii="Arial" w:cs="Arial" w:eastAsia="Arial" w:hAnsi="Arial"/>
          <w:sz w:val="13"/>
          <w:szCs w:val="13"/>
          <w:b w:val="1"/>
          <w:bCs w:val="1"/>
          <w:color w:val="auto"/>
        </w:rPr>
        <w:t>Payroll and related benefits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3"/>
          <w:szCs w:val="13"/>
          <w:color w:val="auto"/>
        </w:rPr>
        <w:t>The following Restricted Share Units (“RSUs”) and Performance Share Units (“PSUs”) have been awarded to the Directors, Executive Officer and Company Secretary:</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1620" w:type="dxa"/>
            <w:vAlign w:val="bottom"/>
            <w:tcBorders>
              <w:top w:val="single" w:sz="8" w:color="auto"/>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RSUs</w:t>
            </w:r>
          </w:p>
        </w:tc>
        <w:tc>
          <w:tcPr>
            <w:tcW w:w="1740" w:type="dxa"/>
            <w:vAlign w:val="bottom"/>
            <w:tcBorders>
              <w:top w:val="single" w:sz="8" w:color="auto"/>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Award date</w:t>
            </w:r>
          </w:p>
        </w:tc>
        <w:tc>
          <w:tcPr>
            <w:tcW w:w="1580" w:type="dxa"/>
            <w:vAlign w:val="bottom"/>
            <w:tcBorders>
              <w:top w:val="single" w:sz="8" w:color="auto"/>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Vesting Date</w:t>
            </w:r>
          </w:p>
        </w:tc>
        <w:tc>
          <w:tcPr>
            <w:tcW w:w="1240" w:type="dxa"/>
            <w:vAlign w:val="bottom"/>
            <w:tcBorders>
              <w:top w:val="single" w:sz="8" w:color="auto"/>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PSUs</w:t>
            </w:r>
            <w:r>
              <w:rPr>
                <w:rFonts w:ascii="Arial" w:cs="Arial" w:eastAsia="Arial" w:hAnsi="Arial"/>
                <w:sz w:val="16"/>
                <w:szCs w:val="16"/>
                <w:b w:val="1"/>
                <w:bCs w:val="1"/>
                <w:color w:val="auto"/>
                <w:vertAlign w:val="superscript"/>
              </w:rPr>
              <w:t>(1)</w:t>
            </w:r>
          </w:p>
        </w:tc>
        <w:tc>
          <w:tcPr>
            <w:tcW w:w="1760" w:type="dxa"/>
            <w:vAlign w:val="bottom"/>
            <w:tcBorders>
              <w:top w:val="single" w:sz="8" w:color="auto"/>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Award Date</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Vesting date</w:t>
            </w:r>
          </w:p>
        </w:tc>
      </w:tr>
      <w:tr>
        <w:trPr>
          <w:trHeight w:val="150"/>
        </w:trPr>
        <w:tc>
          <w:tcPr>
            <w:tcW w:w="20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69"/>
        </w:trPr>
        <w:tc>
          <w:tcPr>
            <w:tcW w:w="2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Ciaran Murray</w:t>
            </w:r>
          </w:p>
        </w:tc>
        <w:tc>
          <w:tcPr>
            <w:tcW w:w="162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color w:val="auto"/>
              </w:rPr>
              <w:t>865</w:t>
            </w:r>
          </w:p>
        </w:tc>
        <w:tc>
          <w:tcPr>
            <w:tcW w:w="174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color w:val="auto"/>
              </w:rPr>
              <w:t>21 May 2021</w:t>
            </w:r>
          </w:p>
        </w:tc>
        <w:tc>
          <w:tcPr>
            <w:tcW w:w="158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rPr>
              <w:t>21 May 2022</w:t>
            </w:r>
          </w:p>
        </w:tc>
        <w:tc>
          <w:tcPr>
            <w:tcW w:w="1240" w:type="dxa"/>
            <w:vAlign w:val="bottom"/>
            <w:tcBorders>
              <w:bottom w:val="single" w:sz="8" w:color="auto"/>
            </w:tcBorders>
            <w:shd w:val="clear" w:color="auto" w:fill="CCEEFF"/>
          </w:tcPr>
          <w:p>
            <w:pPr>
              <w:spacing w:after="0"/>
              <w:rPr>
                <w:sz w:val="14"/>
                <w:szCs w:val="14"/>
                <w:color w:val="auto"/>
              </w:rPr>
            </w:pPr>
          </w:p>
        </w:tc>
        <w:tc>
          <w:tcPr>
            <w:tcW w:w="176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spacing w:after="0"/>
              <w:rPr>
                <w:sz w:val="14"/>
                <w:szCs w:val="14"/>
                <w:color w:val="auto"/>
              </w:rPr>
            </w:pPr>
          </w:p>
        </w:tc>
      </w:tr>
      <w:tr>
        <w:trPr>
          <w:trHeight w:val="183"/>
        </w:trPr>
        <w:tc>
          <w:tcPr>
            <w:tcW w:w="20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0"/>
        </w:trPr>
        <w:tc>
          <w:tcPr>
            <w:tcW w:w="2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Dr. Steve Cutler</w:t>
            </w:r>
          </w:p>
        </w:tc>
        <w:tc>
          <w:tcPr>
            <w:tcW w:w="1620" w:type="dxa"/>
            <w:vAlign w:val="bottom"/>
            <w:shd w:val="clear" w:color="auto" w:fill="CCEEFF"/>
          </w:tcPr>
          <w:p>
            <w:pPr>
              <w:jc w:val="right"/>
              <w:ind w:right="476"/>
              <w:spacing w:after="0"/>
              <w:rPr>
                <w:sz w:val="20"/>
                <w:szCs w:val="20"/>
                <w:color w:val="auto"/>
              </w:rPr>
            </w:pPr>
            <w:r>
              <w:rPr>
                <w:rFonts w:ascii="Arial" w:cs="Arial" w:eastAsia="Arial" w:hAnsi="Arial"/>
                <w:sz w:val="13"/>
                <w:szCs w:val="13"/>
                <w:color w:val="auto"/>
              </w:rPr>
              <w:t>3,581</w:t>
            </w:r>
          </w:p>
        </w:tc>
        <w:tc>
          <w:tcPr>
            <w:tcW w:w="174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rPr>
              <w:t>3 March 2019</w:t>
            </w:r>
          </w:p>
        </w:tc>
        <w:tc>
          <w:tcPr>
            <w:tcW w:w="158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3 March 2022</w:t>
            </w:r>
          </w:p>
        </w:tc>
        <w:tc>
          <w:tcPr>
            <w:tcW w:w="124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rPr>
              <w:t>12,526</w:t>
            </w:r>
          </w:p>
        </w:tc>
        <w:tc>
          <w:tcPr>
            <w:tcW w:w="176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rPr>
              <w:t>3 March 2019</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 March 2022</w:t>
            </w:r>
          </w:p>
        </w:tc>
      </w:tr>
      <w:tr>
        <w:trPr>
          <w:trHeight w:val="169"/>
        </w:trPr>
        <w:tc>
          <w:tcPr>
            <w:tcW w:w="2060" w:type="dxa"/>
            <w:vAlign w:val="bottom"/>
          </w:tcPr>
          <w:p>
            <w:pPr>
              <w:spacing w:after="0"/>
              <w:rPr>
                <w:sz w:val="14"/>
                <w:szCs w:val="14"/>
                <w:color w:val="auto"/>
              </w:rPr>
            </w:pPr>
          </w:p>
        </w:tc>
        <w:tc>
          <w:tcPr>
            <w:tcW w:w="1620" w:type="dxa"/>
            <w:vAlign w:val="bottom"/>
          </w:tcPr>
          <w:p>
            <w:pPr>
              <w:jc w:val="right"/>
              <w:ind w:right="476"/>
              <w:spacing w:after="0"/>
              <w:rPr>
                <w:sz w:val="20"/>
                <w:szCs w:val="20"/>
                <w:color w:val="auto"/>
              </w:rPr>
            </w:pPr>
            <w:r>
              <w:rPr>
                <w:rFonts w:ascii="Arial" w:cs="Arial" w:eastAsia="Arial" w:hAnsi="Arial"/>
                <w:sz w:val="13"/>
                <w:szCs w:val="13"/>
                <w:color w:val="auto"/>
              </w:rPr>
              <w:t>3,200</w:t>
            </w:r>
          </w:p>
        </w:tc>
        <w:tc>
          <w:tcPr>
            <w:tcW w:w="1740" w:type="dxa"/>
            <w:vAlign w:val="bottom"/>
          </w:tcPr>
          <w:p>
            <w:pPr>
              <w:jc w:val="right"/>
              <w:ind w:right="416"/>
              <w:spacing w:after="0"/>
              <w:rPr>
                <w:sz w:val="20"/>
                <w:szCs w:val="20"/>
                <w:color w:val="auto"/>
              </w:rPr>
            </w:pPr>
            <w:r>
              <w:rPr>
                <w:rFonts w:ascii="Arial" w:cs="Arial" w:eastAsia="Arial" w:hAnsi="Arial"/>
                <w:sz w:val="13"/>
                <w:szCs w:val="13"/>
                <w:color w:val="auto"/>
              </w:rPr>
              <w:t>3 March 2020</w:t>
            </w:r>
          </w:p>
        </w:tc>
        <w:tc>
          <w:tcPr>
            <w:tcW w:w="1580" w:type="dxa"/>
            <w:vAlign w:val="bottom"/>
          </w:tcPr>
          <w:p>
            <w:pPr>
              <w:jc w:val="right"/>
              <w:ind w:right="256"/>
              <w:spacing w:after="0"/>
              <w:rPr>
                <w:sz w:val="20"/>
                <w:szCs w:val="20"/>
                <w:color w:val="auto"/>
              </w:rPr>
            </w:pPr>
            <w:r>
              <w:rPr>
                <w:rFonts w:ascii="Arial" w:cs="Arial" w:eastAsia="Arial" w:hAnsi="Arial"/>
                <w:sz w:val="13"/>
                <w:szCs w:val="13"/>
                <w:color w:val="auto"/>
              </w:rPr>
              <w:t>3 March 2022</w:t>
            </w:r>
          </w:p>
        </w:tc>
        <w:tc>
          <w:tcPr>
            <w:tcW w:w="1240" w:type="dxa"/>
            <w:vAlign w:val="bottom"/>
          </w:tcPr>
          <w:p>
            <w:pPr>
              <w:jc w:val="right"/>
              <w:ind w:right="456"/>
              <w:spacing w:after="0"/>
              <w:rPr>
                <w:sz w:val="20"/>
                <w:szCs w:val="20"/>
                <w:color w:val="auto"/>
              </w:rPr>
            </w:pPr>
            <w:r>
              <w:rPr>
                <w:rFonts w:ascii="Arial" w:cs="Arial" w:eastAsia="Arial" w:hAnsi="Arial"/>
                <w:sz w:val="13"/>
                <w:szCs w:val="13"/>
                <w:color w:val="auto"/>
              </w:rPr>
              <w:t>11,202</w:t>
            </w:r>
          </w:p>
        </w:tc>
        <w:tc>
          <w:tcPr>
            <w:tcW w:w="1760" w:type="dxa"/>
            <w:vAlign w:val="bottom"/>
          </w:tcPr>
          <w:p>
            <w:pPr>
              <w:jc w:val="right"/>
              <w:ind w:right="436"/>
              <w:spacing w:after="0"/>
              <w:rPr>
                <w:sz w:val="20"/>
                <w:szCs w:val="20"/>
                <w:color w:val="auto"/>
              </w:rPr>
            </w:pPr>
            <w:r>
              <w:rPr>
                <w:rFonts w:ascii="Arial" w:cs="Arial" w:eastAsia="Arial" w:hAnsi="Arial"/>
                <w:sz w:val="13"/>
                <w:szCs w:val="13"/>
                <w:color w:val="auto"/>
              </w:rPr>
              <w:t>3 March 2020</w:t>
            </w:r>
          </w:p>
        </w:tc>
        <w:tc>
          <w:tcPr>
            <w:tcW w:w="1280" w:type="dxa"/>
            <w:vAlign w:val="bottom"/>
          </w:tcPr>
          <w:p>
            <w:pPr>
              <w:jc w:val="right"/>
              <w:spacing w:after="0"/>
              <w:rPr>
                <w:sz w:val="20"/>
                <w:szCs w:val="20"/>
                <w:color w:val="auto"/>
              </w:rPr>
            </w:pPr>
            <w:r>
              <w:rPr>
                <w:rFonts w:ascii="Arial" w:cs="Arial" w:eastAsia="Arial" w:hAnsi="Arial"/>
                <w:sz w:val="13"/>
                <w:szCs w:val="13"/>
                <w:color w:val="auto"/>
              </w:rPr>
              <w:t>3 March 2023</w:t>
            </w:r>
          </w:p>
        </w:tc>
      </w:tr>
      <w:tr>
        <w:trPr>
          <w:trHeight w:val="171"/>
        </w:trPr>
        <w:tc>
          <w:tcPr>
            <w:tcW w:w="2060" w:type="dxa"/>
            <w:vAlign w:val="bottom"/>
            <w:shd w:val="clear" w:color="auto" w:fill="CCEEFF"/>
          </w:tcPr>
          <w:p>
            <w:pPr>
              <w:spacing w:after="0"/>
              <w:rPr>
                <w:sz w:val="14"/>
                <w:szCs w:val="14"/>
                <w:color w:val="auto"/>
              </w:rPr>
            </w:pPr>
          </w:p>
        </w:tc>
        <w:tc>
          <w:tcPr>
            <w:tcW w:w="1620" w:type="dxa"/>
            <w:vAlign w:val="bottom"/>
            <w:shd w:val="clear" w:color="auto" w:fill="CCEEFF"/>
          </w:tcPr>
          <w:p>
            <w:pPr>
              <w:jc w:val="right"/>
              <w:ind w:right="476"/>
              <w:spacing w:after="0"/>
              <w:rPr>
                <w:sz w:val="20"/>
                <w:szCs w:val="20"/>
                <w:color w:val="auto"/>
              </w:rPr>
            </w:pPr>
            <w:r>
              <w:rPr>
                <w:rFonts w:ascii="Arial" w:cs="Arial" w:eastAsia="Arial" w:hAnsi="Arial"/>
                <w:sz w:val="13"/>
                <w:szCs w:val="13"/>
                <w:color w:val="auto"/>
              </w:rPr>
              <w:t>3,201</w:t>
            </w:r>
          </w:p>
        </w:tc>
        <w:tc>
          <w:tcPr>
            <w:tcW w:w="174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rPr>
              <w:t>3 March 2020</w:t>
            </w:r>
          </w:p>
        </w:tc>
        <w:tc>
          <w:tcPr>
            <w:tcW w:w="158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3 March 2023</w:t>
            </w:r>
          </w:p>
        </w:tc>
        <w:tc>
          <w:tcPr>
            <w:tcW w:w="124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rPr>
              <w:t>10,354</w:t>
            </w:r>
          </w:p>
        </w:tc>
        <w:tc>
          <w:tcPr>
            <w:tcW w:w="176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rPr>
              <w:t>3 March 2021</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 March 2024</w:t>
            </w:r>
          </w:p>
        </w:tc>
      </w:tr>
      <w:tr>
        <w:trPr>
          <w:trHeight w:val="169"/>
        </w:trPr>
        <w:tc>
          <w:tcPr>
            <w:tcW w:w="20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color w:val="auto"/>
              </w:rPr>
              <w:t>8,875</w:t>
            </w:r>
          </w:p>
        </w:tc>
        <w:tc>
          <w:tcPr>
            <w:tcW w:w="174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color w:val="auto"/>
              </w:rPr>
              <w:t>3 March 2021</w:t>
            </w:r>
          </w:p>
        </w:tc>
        <w:tc>
          <w:tcPr>
            <w:tcW w:w="158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rPr>
              <w:t>3 March 2024</w:t>
            </w:r>
          </w:p>
        </w:tc>
        <w:tc>
          <w:tcPr>
            <w:tcW w:w="12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r>
      <w:tr>
        <w:trPr>
          <w:trHeight w:val="183"/>
        </w:trPr>
        <w:tc>
          <w:tcPr>
            <w:tcW w:w="206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169"/>
        </w:trPr>
        <w:tc>
          <w:tcPr>
            <w:tcW w:w="2060" w:type="dxa"/>
            <w:vAlign w:val="bottom"/>
          </w:tcPr>
          <w:p>
            <w:pPr>
              <w:ind w:left="20"/>
              <w:spacing w:after="0"/>
              <w:rPr>
                <w:sz w:val="20"/>
                <w:szCs w:val="20"/>
                <w:color w:val="auto"/>
              </w:rPr>
            </w:pPr>
            <w:r>
              <w:rPr>
                <w:rFonts w:ascii="Arial" w:cs="Arial" w:eastAsia="Arial" w:hAnsi="Arial"/>
                <w:sz w:val="13"/>
                <w:szCs w:val="13"/>
                <w:color w:val="auto"/>
              </w:rPr>
              <w:t>Brendan Brennan</w:t>
            </w:r>
          </w:p>
        </w:tc>
        <w:tc>
          <w:tcPr>
            <w:tcW w:w="1620" w:type="dxa"/>
            <w:vAlign w:val="bottom"/>
          </w:tcPr>
          <w:p>
            <w:pPr>
              <w:jc w:val="right"/>
              <w:ind w:right="476"/>
              <w:spacing w:after="0"/>
              <w:rPr>
                <w:sz w:val="20"/>
                <w:szCs w:val="20"/>
                <w:color w:val="auto"/>
              </w:rPr>
            </w:pPr>
            <w:r>
              <w:rPr>
                <w:rFonts w:ascii="Arial" w:cs="Arial" w:eastAsia="Arial" w:hAnsi="Arial"/>
                <w:sz w:val="13"/>
                <w:szCs w:val="13"/>
                <w:color w:val="auto"/>
              </w:rPr>
              <w:t>781</w:t>
            </w:r>
          </w:p>
        </w:tc>
        <w:tc>
          <w:tcPr>
            <w:tcW w:w="1740" w:type="dxa"/>
            <w:vAlign w:val="bottom"/>
          </w:tcPr>
          <w:p>
            <w:pPr>
              <w:jc w:val="right"/>
              <w:ind w:right="416"/>
              <w:spacing w:after="0"/>
              <w:rPr>
                <w:sz w:val="20"/>
                <w:szCs w:val="20"/>
                <w:color w:val="auto"/>
              </w:rPr>
            </w:pPr>
            <w:r>
              <w:rPr>
                <w:rFonts w:ascii="Arial" w:cs="Arial" w:eastAsia="Arial" w:hAnsi="Arial"/>
                <w:sz w:val="13"/>
                <w:szCs w:val="13"/>
                <w:color w:val="auto"/>
              </w:rPr>
              <w:t>3 March 2019</w:t>
            </w:r>
          </w:p>
        </w:tc>
        <w:tc>
          <w:tcPr>
            <w:tcW w:w="1580" w:type="dxa"/>
            <w:vAlign w:val="bottom"/>
          </w:tcPr>
          <w:p>
            <w:pPr>
              <w:jc w:val="right"/>
              <w:ind w:right="256"/>
              <w:spacing w:after="0"/>
              <w:rPr>
                <w:sz w:val="20"/>
                <w:szCs w:val="20"/>
                <w:color w:val="auto"/>
              </w:rPr>
            </w:pPr>
            <w:r>
              <w:rPr>
                <w:rFonts w:ascii="Arial" w:cs="Arial" w:eastAsia="Arial" w:hAnsi="Arial"/>
                <w:sz w:val="13"/>
                <w:szCs w:val="13"/>
                <w:color w:val="auto"/>
              </w:rPr>
              <w:t>3 March 2022</w:t>
            </w:r>
          </w:p>
        </w:tc>
        <w:tc>
          <w:tcPr>
            <w:tcW w:w="1240" w:type="dxa"/>
            <w:vAlign w:val="bottom"/>
          </w:tcPr>
          <w:p>
            <w:pPr>
              <w:jc w:val="right"/>
              <w:ind w:right="456"/>
              <w:spacing w:after="0"/>
              <w:rPr>
                <w:sz w:val="20"/>
                <w:szCs w:val="20"/>
                <w:color w:val="auto"/>
              </w:rPr>
            </w:pPr>
            <w:r>
              <w:rPr>
                <w:rFonts w:ascii="Arial" w:cs="Arial" w:eastAsia="Arial" w:hAnsi="Arial"/>
                <w:sz w:val="13"/>
                <w:szCs w:val="13"/>
                <w:color w:val="auto"/>
              </w:rPr>
              <w:t>2,731</w:t>
            </w:r>
          </w:p>
        </w:tc>
        <w:tc>
          <w:tcPr>
            <w:tcW w:w="1760" w:type="dxa"/>
            <w:vAlign w:val="bottom"/>
          </w:tcPr>
          <w:p>
            <w:pPr>
              <w:jc w:val="right"/>
              <w:ind w:right="436"/>
              <w:spacing w:after="0"/>
              <w:rPr>
                <w:sz w:val="20"/>
                <w:szCs w:val="20"/>
                <w:color w:val="auto"/>
              </w:rPr>
            </w:pPr>
            <w:r>
              <w:rPr>
                <w:rFonts w:ascii="Arial" w:cs="Arial" w:eastAsia="Arial" w:hAnsi="Arial"/>
                <w:sz w:val="13"/>
                <w:szCs w:val="13"/>
                <w:color w:val="auto"/>
              </w:rPr>
              <w:t>3 March 2019</w:t>
            </w:r>
          </w:p>
        </w:tc>
        <w:tc>
          <w:tcPr>
            <w:tcW w:w="1280" w:type="dxa"/>
            <w:vAlign w:val="bottom"/>
          </w:tcPr>
          <w:p>
            <w:pPr>
              <w:jc w:val="right"/>
              <w:spacing w:after="0"/>
              <w:rPr>
                <w:sz w:val="20"/>
                <w:szCs w:val="20"/>
                <w:color w:val="auto"/>
              </w:rPr>
            </w:pPr>
            <w:r>
              <w:rPr>
                <w:rFonts w:ascii="Arial" w:cs="Arial" w:eastAsia="Arial" w:hAnsi="Arial"/>
                <w:sz w:val="13"/>
                <w:szCs w:val="13"/>
                <w:color w:val="auto"/>
              </w:rPr>
              <w:t>3 March 2022</w:t>
            </w:r>
          </w:p>
        </w:tc>
      </w:tr>
      <w:tr>
        <w:trPr>
          <w:trHeight w:val="171"/>
        </w:trPr>
        <w:tc>
          <w:tcPr>
            <w:tcW w:w="2060" w:type="dxa"/>
            <w:vAlign w:val="bottom"/>
            <w:shd w:val="clear" w:color="auto" w:fill="CCEEFF"/>
          </w:tcPr>
          <w:p>
            <w:pPr>
              <w:spacing w:after="0"/>
              <w:rPr>
                <w:sz w:val="14"/>
                <w:szCs w:val="14"/>
                <w:color w:val="auto"/>
              </w:rPr>
            </w:pPr>
          </w:p>
        </w:tc>
        <w:tc>
          <w:tcPr>
            <w:tcW w:w="1620" w:type="dxa"/>
            <w:vAlign w:val="bottom"/>
            <w:shd w:val="clear" w:color="auto" w:fill="CCEEFF"/>
          </w:tcPr>
          <w:p>
            <w:pPr>
              <w:jc w:val="right"/>
              <w:ind w:right="476"/>
              <w:spacing w:after="0"/>
              <w:rPr>
                <w:sz w:val="20"/>
                <w:szCs w:val="20"/>
                <w:color w:val="auto"/>
              </w:rPr>
            </w:pPr>
            <w:r>
              <w:rPr>
                <w:rFonts w:ascii="Arial" w:cs="Arial" w:eastAsia="Arial" w:hAnsi="Arial"/>
                <w:sz w:val="13"/>
                <w:szCs w:val="13"/>
                <w:color w:val="auto"/>
              </w:rPr>
              <w:t>692</w:t>
            </w:r>
          </w:p>
        </w:tc>
        <w:tc>
          <w:tcPr>
            <w:tcW w:w="174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rPr>
              <w:t>3 March 2020</w:t>
            </w:r>
          </w:p>
        </w:tc>
        <w:tc>
          <w:tcPr>
            <w:tcW w:w="158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3 March 2022</w:t>
            </w:r>
          </w:p>
        </w:tc>
        <w:tc>
          <w:tcPr>
            <w:tcW w:w="124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rPr>
              <w:t>2,425</w:t>
            </w:r>
          </w:p>
        </w:tc>
        <w:tc>
          <w:tcPr>
            <w:tcW w:w="176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rPr>
              <w:t>3 March 2020</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 March 2023</w:t>
            </w:r>
          </w:p>
        </w:tc>
      </w:tr>
      <w:tr>
        <w:trPr>
          <w:trHeight w:val="169"/>
        </w:trPr>
        <w:tc>
          <w:tcPr>
            <w:tcW w:w="2060" w:type="dxa"/>
            <w:vAlign w:val="bottom"/>
          </w:tcPr>
          <w:p>
            <w:pPr>
              <w:spacing w:after="0"/>
              <w:rPr>
                <w:sz w:val="14"/>
                <w:szCs w:val="14"/>
                <w:color w:val="auto"/>
              </w:rPr>
            </w:pPr>
          </w:p>
        </w:tc>
        <w:tc>
          <w:tcPr>
            <w:tcW w:w="1620" w:type="dxa"/>
            <w:vAlign w:val="bottom"/>
          </w:tcPr>
          <w:p>
            <w:pPr>
              <w:jc w:val="right"/>
              <w:ind w:right="476"/>
              <w:spacing w:after="0"/>
              <w:rPr>
                <w:sz w:val="20"/>
                <w:szCs w:val="20"/>
                <w:color w:val="auto"/>
              </w:rPr>
            </w:pPr>
            <w:r>
              <w:rPr>
                <w:rFonts w:ascii="Arial" w:cs="Arial" w:eastAsia="Arial" w:hAnsi="Arial"/>
                <w:sz w:val="13"/>
                <w:szCs w:val="13"/>
                <w:color w:val="auto"/>
              </w:rPr>
              <w:t>694</w:t>
            </w:r>
          </w:p>
        </w:tc>
        <w:tc>
          <w:tcPr>
            <w:tcW w:w="1740" w:type="dxa"/>
            <w:vAlign w:val="bottom"/>
          </w:tcPr>
          <w:p>
            <w:pPr>
              <w:jc w:val="right"/>
              <w:ind w:right="416"/>
              <w:spacing w:after="0"/>
              <w:rPr>
                <w:sz w:val="20"/>
                <w:szCs w:val="20"/>
                <w:color w:val="auto"/>
              </w:rPr>
            </w:pPr>
            <w:r>
              <w:rPr>
                <w:rFonts w:ascii="Arial" w:cs="Arial" w:eastAsia="Arial" w:hAnsi="Arial"/>
                <w:sz w:val="13"/>
                <w:szCs w:val="13"/>
                <w:color w:val="auto"/>
              </w:rPr>
              <w:t>3 March 2020</w:t>
            </w:r>
          </w:p>
        </w:tc>
        <w:tc>
          <w:tcPr>
            <w:tcW w:w="1580" w:type="dxa"/>
            <w:vAlign w:val="bottom"/>
          </w:tcPr>
          <w:p>
            <w:pPr>
              <w:jc w:val="right"/>
              <w:ind w:right="256"/>
              <w:spacing w:after="0"/>
              <w:rPr>
                <w:sz w:val="20"/>
                <w:szCs w:val="20"/>
                <w:color w:val="auto"/>
              </w:rPr>
            </w:pPr>
            <w:r>
              <w:rPr>
                <w:rFonts w:ascii="Arial" w:cs="Arial" w:eastAsia="Arial" w:hAnsi="Arial"/>
                <w:sz w:val="13"/>
                <w:szCs w:val="13"/>
                <w:color w:val="auto"/>
              </w:rPr>
              <w:t>3 March 2023</w:t>
            </w:r>
          </w:p>
        </w:tc>
        <w:tc>
          <w:tcPr>
            <w:tcW w:w="1240" w:type="dxa"/>
            <w:vAlign w:val="bottom"/>
          </w:tcPr>
          <w:p>
            <w:pPr>
              <w:jc w:val="right"/>
              <w:ind w:right="456"/>
              <w:spacing w:after="0"/>
              <w:rPr>
                <w:sz w:val="20"/>
                <w:szCs w:val="20"/>
                <w:color w:val="auto"/>
              </w:rPr>
            </w:pPr>
            <w:r>
              <w:rPr>
                <w:rFonts w:ascii="Arial" w:cs="Arial" w:eastAsia="Arial" w:hAnsi="Arial"/>
                <w:sz w:val="13"/>
                <w:szCs w:val="13"/>
                <w:color w:val="auto"/>
              </w:rPr>
              <w:t>2,444</w:t>
            </w:r>
          </w:p>
        </w:tc>
        <w:tc>
          <w:tcPr>
            <w:tcW w:w="1760" w:type="dxa"/>
            <w:vAlign w:val="bottom"/>
          </w:tcPr>
          <w:p>
            <w:pPr>
              <w:jc w:val="right"/>
              <w:ind w:right="436"/>
              <w:spacing w:after="0"/>
              <w:rPr>
                <w:sz w:val="20"/>
                <w:szCs w:val="20"/>
                <w:color w:val="auto"/>
              </w:rPr>
            </w:pPr>
            <w:r>
              <w:rPr>
                <w:rFonts w:ascii="Arial" w:cs="Arial" w:eastAsia="Arial" w:hAnsi="Arial"/>
                <w:sz w:val="13"/>
                <w:szCs w:val="13"/>
                <w:color w:val="auto"/>
              </w:rPr>
              <w:t>3 March 2021</w:t>
            </w:r>
          </w:p>
        </w:tc>
        <w:tc>
          <w:tcPr>
            <w:tcW w:w="1280" w:type="dxa"/>
            <w:vAlign w:val="bottom"/>
          </w:tcPr>
          <w:p>
            <w:pPr>
              <w:jc w:val="right"/>
              <w:spacing w:after="0"/>
              <w:rPr>
                <w:sz w:val="20"/>
                <w:szCs w:val="20"/>
                <w:color w:val="auto"/>
              </w:rPr>
            </w:pPr>
            <w:r>
              <w:rPr>
                <w:rFonts w:ascii="Arial" w:cs="Arial" w:eastAsia="Arial" w:hAnsi="Arial"/>
                <w:sz w:val="13"/>
                <w:szCs w:val="13"/>
                <w:color w:val="auto"/>
              </w:rPr>
              <w:t>3 March 2024</w:t>
            </w:r>
          </w:p>
        </w:tc>
      </w:tr>
      <w:tr>
        <w:trPr>
          <w:trHeight w:val="170"/>
        </w:trPr>
        <w:tc>
          <w:tcPr>
            <w:tcW w:w="206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color w:val="auto"/>
              </w:rPr>
              <w:t>2,094</w:t>
            </w:r>
          </w:p>
        </w:tc>
        <w:tc>
          <w:tcPr>
            <w:tcW w:w="174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color w:val="auto"/>
              </w:rPr>
              <w:t>3 March 2021</w:t>
            </w:r>
          </w:p>
        </w:tc>
        <w:tc>
          <w:tcPr>
            <w:tcW w:w="158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rPr>
              <w:t>3 March 2024</w:t>
            </w:r>
          </w:p>
        </w:tc>
        <w:tc>
          <w:tcPr>
            <w:tcW w:w="1240" w:type="dxa"/>
            <w:vAlign w:val="bottom"/>
            <w:tcBorders>
              <w:bottom w:val="single" w:sz="8" w:color="auto"/>
            </w:tcBorders>
            <w:shd w:val="clear" w:color="auto" w:fill="CCEEFF"/>
          </w:tcPr>
          <w:p>
            <w:pPr>
              <w:spacing w:after="0"/>
              <w:rPr>
                <w:sz w:val="14"/>
                <w:szCs w:val="14"/>
                <w:color w:val="auto"/>
              </w:rPr>
            </w:pPr>
          </w:p>
        </w:tc>
        <w:tc>
          <w:tcPr>
            <w:tcW w:w="176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spacing w:after="0"/>
              <w:rPr>
                <w:sz w:val="14"/>
                <w:szCs w:val="14"/>
                <w:color w:val="auto"/>
              </w:rPr>
            </w:pPr>
          </w:p>
        </w:tc>
      </w:tr>
      <w:tr>
        <w:trPr>
          <w:trHeight w:val="151"/>
        </w:trPr>
        <w:tc>
          <w:tcPr>
            <w:tcW w:w="20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69"/>
        </w:trPr>
        <w:tc>
          <w:tcPr>
            <w:tcW w:w="2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Rónán Murphy</w:t>
            </w:r>
          </w:p>
        </w:tc>
        <w:tc>
          <w:tcPr>
            <w:tcW w:w="162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color w:val="auto"/>
              </w:rPr>
              <w:t>865</w:t>
            </w:r>
          </w:p>
        </w:tc>
        <w:tc>
          <w:tcPr>
            <w:tcW w:w="174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color w:val="auto"/>
              </w:rPr>
              <w:t>21 May 2021</w:t>
            </w:r>
          </w:p>
        </w:tc>
        <w:tc>
          <w:tcPr>
            <w:tcW w:w="158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rPr>
              <w:t>21 May 2022</w:t>
            </w:r>
          </w:p>
        </w:tc>
        <w:tc>
          <w:tcPr>
            <w:tcW w:w="1240" w:type="dxa"/>
            <w:vAlign w:val="bottom"/>
            <w:tcBorders>
              <w:bottom w:val="single" w:sz="8" w:color="auto"/>
            </w:tcBorders>
            <w:shd w:val="clear" w:color="auto" w:fill="CCEEFF"/>
          </w:tcPr>
          <w:p>
            <w:pPr>
              <w:spacing w:after="0"/>
              <w:rPr>
                <w:sz w:val="14"/>
                <w:szCs w:val="14"/>
                <w:color w:val="auto"/>
              </w:rPr>
            </w:pPr>
          </w:p>
        </w:tc>
        <w:tc>
          <w:tcPr>
            <w:tcW w:w="176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spacing w:after="0"/>
              <w:rPr>
                <w:sz w:val="14"/>
                <w:szCs w:val="14"/>
                <w:color w:val="auto"/>
              </w:rPr>
            </w:pPr>
          </w:p>
        </w:tc>
      </w:tr>
      <w:tr>
        <w:trPr>
          <w:trHeight w:val="151"/>
        </w:trPr>
        <w:tc>
          <w:tcPr>
            <w:tcW w:w="20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69"/>
        </w:trPr>
        <w:tc>
          <w:tcPr>
            <w:tcW w:w="2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Professor Hugh Brady</w:t>
            </w:r>
          </w:p>
        </w:tc>
        <w:tc>
          <w:tcPr>
            <w:tcW w:w="162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color w:val="auto"/>
              </w:rPr>
              <w:t>865</w:t>
            </w:r>
          </w:p>
        </w:tc>
        <w:tc>
          <w:tcPr>
            <w:tcW w:w="174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color w:val="auto"/>
              </w:rPr>
              <w:t>21 May 2021</w:t>
            </w:r>
          </w:p>
        </w:tc>
        <w:tc>
          <w:tcPr>
            <w:tcW w:w="158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rPr>
              <w:t>21 May 2022</w:t>
            </w:r>
          </w:p>
        </w:tc>
        <w:tc>
          <w:tcPr>
            <w:tcW w:w="1240" w:type="dxa"/>
            <w:vAlign w:val="bottom"/>
            <w:tcBorders>
              <w:bottom w:val="single" w:sz="8" w:color="auto"/>
            </w:tcBorders>
            <w:shd w:val="clear" w:color="auto" w:fill="CCEEFF"/>
          </w:tcPr>
          <w:p>
            <w:pPr>
              <w:spacing w:after="0"/>
              <w:rPr>
                <w:sz w:val="14"/>
                <w:szCs w:val="14"/>
                <w:color w:val="auto"/>
              </w:rPr>
            </w:pPr>
          </w:p>
        </w:tc>
        <w:tc>
          <w:tcPr>
            <w:tcW w:w="176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spacing w:after="0"/>
              <w:rPr>
                <w:sz w:val="14"/>
                <w:szCs w:val="14"/>
                <w:color w:val="auto"/>
              </w:rPr>
            </w:pPr>
          </w:p>
        </w:tc>
      </w:tr>
      <w:tr>
        <w:trPr>
          <w:trHeight w:val="151"/>
        </w:trPr>
        <w:tc>
          <w:tcPr>
            <w:tcW w:w="20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69"/>
        </w:trPr>
        <w:tc>
          <w:tcPr>
            <w:tcW w:w="2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Dr. John Climax</w:t>
            </w:r>
          </w:p>
        </w:tc>
        <w:tc>
          <w:tcPr>
            <w:tcW w:w="162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color w:val="auto"/>
              </w:rPr>
              <w:t>865</w:t>
            </w:r>
          </w:p>
        </w:tc>
        <w:tc>
          <w:tcPr>
            <w:tcW w:w="174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color w:val="auto"/>
              </w:rPr>
              <w:t>21 May 2021</w:t>
            </w:r>
          </w:p>
        </w:tc>
        <w:tc>
          <w:tcPr>
            <w:tcW w:w="158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rPr>
              <w:t>21 May 2022</w:t>
            </w:r>
          </w:p>
        </w:tc>
        <w:tc>
          <w:tcPr>
            <w:tcW w:w="1240" w:type="dxa"/>
            <w:vAlign w:val="bottom"/>
            <w:tcBorders>
              <w:bottom w:val="single" w:sz="8" w:color="auto"/>
            </w:tcBorders>
            <w:shd w:val="clear" w:color="auto" w:fill="CCEEFF"/>
          </w:tcPr>
          <w:p>
            <w:pPr>
              <w:spacing w:after="0"/>
              <w:rPr>
                <w:sz w:val="14"/>
                <w:szCs w:val="14"/>
                <w:color w:val="auto"/>
              </w:rPr>
            </w:pPr>
          </w:p>
        </w:tc>
        <w:tc>
          <w:tcPr>
            <w:tcW w:w="176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spacing w:after="0"/>
              <w:rPr>
                <w:sz w:val="14"/>
                <w:szCs w:val="14"/>
                <w:color w:val="auto"/>
              </w:rPr>
            </w:pPr>
          </w:p>
        </w:tc>
      </w:tr>
      <w:tr>
        <w:trPr>
          <w:trHeight w:val="151"/>
        </w:trPr>
        <w:tc>
          <w:tcPr>
            <w:tcW w:w="20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69"/>
        </w:trPr>
        <w:tc>
          <w:tcPr>
            <w:tcW w:w="2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Joan Garahy</w:t>
            </w:r>
          </w:p>
        </w:tc>
        <w:tc>
          <w:tcPr>
            <w:tcW w:w="162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color w:val="auto"/>
              </w:rPr>
              <w:t>865</w:t>
            </w:r>
          </w:p>
        </w:tc>
        <w:tc>
          <w:tcPr>
            <w:tcW w:w="174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color w:val="auto"/>
              </w:rPr>
              <w:t>21 May 2021</w:t>
            </w:r>
          </w:p>
        </w:tc>
        <w:tc>
          <w:tcPr>
            <w:tcW w:w="158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rPr>
              <w:t>21 May 2022</w:t>
            </w:r>
          </w:p>
        </w:tc>
        <w:tc>
          <w:tcPr>
            <w:tcW w:w="1240" w:type="dxa"/>
            <w:vAlign w:val="bottom"/>
            <w:tcBorders>
              <w:bottom w:val="single" w:sz="8" w:color="auto"/>
            </w:tcBorders>
            <w:shd w:val="clear" w:color="auto" w:fill="CCEEFF"/>
          </w:tcPr>
          <w:p>
            <w:pPr>
              <w:spacing w:after="0"/>
              <w:rPr>
                <w:sz w:val="14"/>
                <w:szCs w:val="14"/>
                <w:color w:val="auto"/>
              </w:rPr>
            </w:pPr>
          </w:p>
        </w:tc>
        <w:tc>
          <w:tcPr>
            <w:tcW w:w="176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spacing w:after="0"/>
              <w:rPr>
                <w:sz w:val="14"/>
                <w:szCs w:val="14"/>
                <w:color w:val="auto"/>
              </w:rPr>
            </w:pPr>
          </w:p>
        </w:tc>
      </w:tr>
      <w:tr>
        <w:trPr>
          <w:trHeight w:val="151"/>
        </w:trPr>
        <w:tc>
          <w:tcPr>
            <w:tcW w:w="20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69"/>
        </w:trPr>
        <w:tc>
          <w:tcPr>
            <w:tcW w:w="2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Professor William Hall</w:t>
            </w:r>
          </w:p>
        </w:tc>
        <w:tc>
          <w:tcPr>
            <w:tcW w:w="162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color w:val="auto"/>
              </w:rPr>
              <w:t>865</w:t>
            </w:r>
          </w:p>
        </w:tc>
        <w:tc>
          <w:tcPr>
            <w:tcW w:w="174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color w:val="auto"/>
              </w:rPr>
              <w:t>21 May 2021</w:t>
            </w:r>
          </w:p>
        </w:tc>
        <w:tc>
          <w:tcPr>
            <w:tcW w:w="158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rPr>
              <w:t>21 May 2022</w:t>
            </w:r>
          </w:p>
        </w:tc>
        <w:tc>
          <w:tcPr>
            <w:tcW w:w="1240" w:type="dxa"/>
            <w:vAlign w:val="bottom"/>
            <w:tcBorders>
              <w:bottom w:val="single" w:sz="8" w:color="auto"/>
            </w:tcBorders>
            <w:shd w:val="clear" w:color="auto" w:fill="CCEEFF"/>
          </w:tcPr>
          <w:p>
            <w:pPr>
              <w:spacing w:after="0"/>
              <w:rPr>
                <w:sz w:val="14"/>
                <w:szCs w:val="14"/>
                <w:color w:val="auto"/>
              </w:rPr>
            </w:pPr>
          </w:p>
        </w:tc>
        <w:tc>
          <w:tcPr>
            <w:tcW w:w="176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spacing w:after="0"/>
              <w:rPr>
                <w:sz w:val="14"/>
                <w:szCs w:val="14"/>
                <w:color w:val="auto"/>
              </w:rPr>
            </w:pPr>
          </w:p>
        </w:tc>
      </w:tr>
      <w:tr>
        <w:trPr>
          <w:trHeight w:val="151"/>
        </w:trPr>
        <w:tc>
          <w:tcPr>
            <w:tcW w:w="20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69"/>
        </w:trPr>
        <w:tc>
          <w:tcPr>
            <w:tcW w:w="2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Eugene McCague</w:t>
            </w:r>
          </w:p>
        </w:tc>
        <w:tc>
          <w:tcPr>
            <w:tcW w:w="162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color w:val="auto"/>
              </w:rPr>
              <w:t>865</w:t>
            </w:r>
          </w:p>
        </w:tc>
        <w:tc>
          <w:tcPr>
            <w:tcW w:w="174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color w:val="auto"/>
              </w:rPr>
              <w:t>21 May 2021</w:t>
            </w:r>
          </w:p>
        </w:tc>
        <w:tc>
          <w:tcPr>
            <w:tcW w:w="158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rPr>
              <w:t>21 May 2022</w:t>
            </w:r>
          </w:p>
        </w:tc>
        <w:tc>
          <w:tcPr>
            <w:tcW w:w="1240" w:type="dxa"/>
            <w:vAlign w:val="bottom"/>
            <w:tcBorders>
              <w:bottom w:val="single" w:sz="8" w:color="auto"/>
            </w:tcBorders>
            <w:shd w:val="clear" w:color="auto" w:fill="CCEEFF"/>
          </w:tcPr>
          <w:p>
            <w:pPr>
              <w:spacing w:after="0"/>
              <w:rPr>
                <w:sz w:val="14"/>
                <w:szCs w:val="14"/>
                <w:color w:val="auto"/>
              </w:rPr>
            </w:pPr>
          </w:p>
        </w:tc>
        <w:tc>
          <w:tcPr>
            <w:tcW w:w="176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spacing w:after="0"/>
              <w:rPr>
                <w:sz w:val="14"/>
                <w:szCs w:val="14"/>
                <w:color w:val="auto"/>
              </w:rPr>
            </w:pPr>
          </w:p>
        </w:tc>
      </w:tr>
      <w:tr>
        <w:trPr>
          <w:trHeight w:val="151"/>
        </w:trPr>
        <w:tc>
          <w:tcPr>
            <w:tcW w:w="20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69"/>
        </w:trPr>
        <w:tc>
          <w:tcPr>
            <w:tcW w:w="2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Julie O'Neill</w:t>
            </w:r>
          </w:p>
        </w:tc>
        <w:tc>
          <w:tcPr>
            <w:tcW w:w="162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color w:val="auto"/>
              </w:rPr>
              <w:t>865</w:t>
            </w:r>
          </w:p>
        </w:tc>
        <w:tc>
          <w:tcPr>
            <w:tcW w:w="174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color w:val="auto"/>
              </w:rPr>
              <w:t>21 May 2021</w:t>
            </w:r>
          </w:p>
        </w:tc>
        <w:tc>
          <w:tcPr>
            <w:tcW w:w="158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rPr>
              <w:t>21 May 2022</w:t>
            </w:r>
          </w:p>
        </w:tc>
        <w:tc>
          <w:tcPr>
            <w:tcW w:w="1240" w:type="dxa"/>
            <w:vAlign w:val="bottom"/>
            <w:tcBorders>
              <w:bottom w:val="single" w:sz="8" w:color="auto"/>
            </w:tcBorders>
            <w:shd w:val="clear" w:color="auto" w:fill="CCEEFF"/>
          </w:tcPr>
          <w:p>
            <w:pPr>
              <w:spacing w:after="0"/>
              <w:rPr>
                <w:sz w:val="14"/>
                <w:szCs w:val="14"/>
                <w:color w:val="auto"/>
              </w:rPr>
            </w:pPr>
          </w:p>
        </w:tc>
        <w:tc>
          <w:tcPr>
            <w:tcW w:w="176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spacing w:after="0"/>
              <w:rPr>
                <w:sz w:val="14"/>
                <w:szCs w:val="14"/>
                <w:color w:val="auto"/>
              </w:rPr>
            </w:pPr>
          </w:p>
        </w:tc>
      </w:tr>
      <w:tr>
        <w:trPr>
          <w:trHeight w:val="151"/>
        </w:trPr>
        <w:tc>
          <w:tcPr>
            <w:tcW w:w="20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69"/>
        </w:trPr>
        <w:tc>
          <w:tcPr>
            <w:tcW w:w="2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Mary Pendergast</w:t>
            </w:r>
          </w:p>
        </w:tc>
        <w:tc>
          <w:tcPr>
            <w:tcW w:w="162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color w:val="auto"/>
              </w:rPr>
              <w:t>865</w:t>
            </w:r>
          </w:p>
        </w:tc>
        <w:tc>
          <w:tcPr>
            <w:tcW w:w="174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color w:val="auto"/>
              </w:rPr>
              <w:t>21 May 2021</w:t>
            </w:r>
          </w:p>
        </w:tc>
        <w:tc>
          <w:tcPr>
            <w:tcW w:w="158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rPr>
              <w:t>21 May 2022</w:t>
            </w:r>
          </w:p>
        </w:tc>
        <w:tc>
          <w:tcPr>
            <w:tcW w:w="1240" w:type="dxa"/>
            <w:vAlign w:val="bottom"/>
            <w:tcBorders>
              <w:bottom w:val="single" w:sz="8" w:color="auto"/>
            </w:tcBorders>
            <w:shd w:val="clear" w:color="auto" w:fill="CCEEFF"/>
          </w:tcPr>
          <w:p>
            <w:pPr>
              <w:spacing w:after="0"/>
              <w:rPr>
                <w:sz w:val="14"/>
                <w:szCs w:val="14"/>
                <w:color w:val="auto"/>
              </w:rPr>
            </w:pPr>
          </w:p>
        </w:tc>
        <w:tc>
          <w:tcPr>
            <w:tcW w:w="176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spacing w:after="0"/>
              <w:rPr>
                <w:sz w:val="14"/>
                <w:szCs w:val="14"/>
                <w:color w:val="auto"/>
              </w:rPr>
            </w:pPr>
          </w:p>
        </w:tc>
      </w:tr>
      <w:tr>
        <w:trPr>
          <w:trHeight w:val="151"/>
        </w:trPr>
        <w:tc>
          <w:tcPr>
            <w:tcW w:w="20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69"/>
        </w:trPr>
        <w:tc>
          <w:tcPr>
            <w:tcW w:w="2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Colin Shannon</w:t>
            </w:r>
          </w:p>
        </w:tc>
        <w:tc>
          <w:tcPr>
            <w:tcW w:w="162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color w:val="auto"/>
              </w:rPr>
              <w:t>—</w:t>
            </w:r>
          </w:p>
        </w:tc>
        <w:tc>
          <w:tcPr>
            <w:tcW w:w="1740" w:type="dxa"/>
            <w:vAlign w:val="bottom"/>
            <w:tcBorders>
              <w:bottom w:val="single" w:sz="8" w:color="auto"/>
            </w:tcBorders>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spacing w:after="0"/>
              <w:rPr>
                <w:sz w:val="14"/>
                <w:szCs w:val="14"/>
                <w:color w:val="auto"/>
              </w:rPr>
            </w:pPr>
          </w:p>
        </w:tc>
        <w:tc>
          <w:tcPr>
            <w:tcW w:w="176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spacing w:after="0"/>
              <w:rPr>
                <w:sz w:val="14"/>
                <w:szCs w:val="14"/>
                <w:color w:val="auto"/>
              </w:rPr>
            </w:pPr>
          </w:p>
        </w:tc>
      </w:tr>
      <w:tr>
        <w:trPr>
          <w:trHeight w:val="151"/>
        </w:trPr>
        <w:tc>
          <w:tcPr>
            <w:tcW w:w="20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69"/>
        </w:trPr>
        <w:tc>
          <w:tcPr>
            <w:tcW w:w="2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Dr. Linda Grais</w:t>
            </w:r>
          </w:p>
        </w:tc>
        <w:tc>
          <w:tcPr>
            <w:tcW w:w="162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color w:val="auto"/>
              </w:rPr>
              <w:t>—</w:t>
            </w:r>
          </w:p>
        </w:tc>
        <w:tc>
          <w:tcPr>
            <w:tcW w:w="1740" w:type="dxa"/>
            <w:vAlign w:val="bottom"/>
            <w:tcBorders>
              <w:bottom w:val="single" w:sz="8" w:color="auto"/>
            </w:tcBorders>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spacing w:after="0"/>
              <w:rPr>
                <w:sz w:val="14"/>
                <w:szCs w:val="14"/>
                <w:color w:val="auto"/>
              </w:rPr>
            </w:pPr>
          </w:p>
        </w:tc>
        <w:tc>
          <w:tcPr>
            <w:tcW w:w="176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spacing w:after="0"/>
              <w:rPr>
                <w:sz w:val="14"/>
                <w:szCs w:val="14"/>
                <w:color w:val="auto"/>
              </w:rPr>
            </w:pPr>
          </w:p>
        </w:tc>
      </w:tr>
      <w:tr>
        <w:trPr>
          <w:trHeight w:val="151"/>
        </w:trPr>
        <w:tc>
          <w:tcPr>
            <w:tcW w:w="20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70"/>
        </w:trPr>
        <w:tc>
          <w:tcPr>
            <w:tcW w:w="2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Diarmaid Cunningham</w:t>
            </w:r>
          </w:p>
        </w:tc>
        <w:tc>
          <w:tcPr>
            <w:tcW w:w="1620" w:type="dxa"/>
            <w:vAlign w:val="bottom"/>
            <w:shd w:val="clear" w:color="auto" w:fill="CCEEFF"/>
          </w:tcPr>
          <w:p>
            <w:pPr>
              <w:jc w:val="right"/>
              <w:ind w:right="476"/>
              <w:spacing w:after="0"/>
              <w:rPr>
                <w:sz w:val="20"/>
                <w:szCs w:val="20"/>
                <w:color w:val="auto"/>
              </w:rPr>
            </w:pPr>
            <w:r>
              <w:rPr>
                <w:rFonts w:ascii="Arial" w:cs="Arial" w:eastAsia="Arial" w:hAnsi="Arial"/>
                <w:sz w:val="13"/>
                <w:szCs w:val="13"/>
                <w:color w:val="auto"/>
              </w:rPr>
              <w:t>489</w:t>
            </w:r>
          </w:p>
        </w:tc>
        <w:tc>
          <w:tcPr>
            <w:tcW w:w="174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rPr>
              <w:t>3 March 2019</w:t>
            </w:r>
          </w:p>
        </w:tc>
        <w:tc>
          <w:tcPr>
            <w:tcW w:w="158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3 March 2022</w:t>
            </w:r>
          </w:p>
        </w:tc>
        <w:tc>
          <w:tcPr>
            <w:tcW w:w="124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rPr>
              <w:t>1,707</w:t>
            </w:r>
          </w:p>
        </w:tc>
        <w:tc>
          <w:tcPr>
            <w:tcW w:w="176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rPr>
              <w:t>3 March 2019</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 March 2022</w:t>
            </w:r>
          </w:p>
        </w:tc>
      </w:tr>
      <w:tr>
        <w:trPr>
          <w:trHeight w:val="169"/>
        </w:trPr>
        <w:tc>
          <w:tcPr>
            <w:tcW w:w="2060" w:type="dxa"/>
            <w:vAlign w:val="bottom"/>
          </w:tcPr>
          <w:p>
            <w:pPr>
              <w:spacing w:after="0"/>
              <w:rPr>
                <w:sz w:val="14"/>
                <w:szCs w:val="14"/>
                <w:color w:val="auto"/>
              </w:rPr>
            </w:pPr>
          </w:p>
        </w:tc>
        <w:tc>
          <w:tcPr>
            <w:tcW w:w="1620" w:type="dxa"/>
            <w:vAlign w:val="bottom"/>
          </w:tcPr>
          <w:p>
            <w:pPr>
              <w:jc w:val="right"/>
              <w:ind w:right="476"/>
              <w:spacing w:after="0"/>
              <w:rPr>
                <w:sz w:val="20"/>
                <w:szCs w:val="20"/>
                <w:color w:val="auto"/>
              </w:rPr>
            </w:pPr>
            <w:r>
              <w:rPr>
                <w:rFonts w:ascii="Arial" w:cs="Arial" w:eastAsia="Arial" w:hAnsi="Arial"/>
                <w:sz w:val="13"/>
                <w:szCs w:val="13"/>
                <w:color w:val="auto"/>
              </w:rPr>
              <w:t>432</w:t>
            </w:r>
          </w:p>
        </w:tc>
        <w:tc>
          <w:tcPr>
            <w:tcW w:w="1740" w:type="dxa"/>
            <w:vAlign w:val="bottom"/>
          </w:tcPr>
          <w:p>
            <w:pPr>
              <w:jc w:val="right"/>
              <w:ind w:right="416"/>
              <w:spacing w:after="0"/>
              <w:rPr>
                <w:sz w:val="20"/>
                <w:szCs w:val="20"/>
                <w:color w:val="auto"/>
              </w:rPr>
            </w:pPr>
            <w:r>
              <w:rPr>
                <w:rFonts w:ascii="Arial" w:cs="Arial" w:eastAsia="Arial" w:hAnsi="Arial"/>
                <w:sz w:val="13"/>
                <w:szCs w:val="13"/>
                <w:color w:val="auto"/>
              </w:rPr>
              <w:t>3 March 2020</w:t>
            </w:r>
          </w:p>
        </w:tc>
        <w:tc>
          <w:tcPr>
            <w:tcW w:w="1580" w:type="dxa"/>
            <w:vAlign w:val="bottom"/>
          </w:tcPr>
          <w:p>
            <w:pPr>
              <w:jc w:val="right"/>
              <w:ind w:right="256"/>
              <w:spacing w:after="0"/>
              <w:rPr>
                <w:sz w:val="20"/>
                <w:szCs w:val="20"/>
                <w:color w:val="auto"/>
              </w:rPr>
            </w:pPr>
            <w:r>
              <w:rPr>
                <w:rFonts w:ascii="Arial" w:cs="Arial" w:eastAsia="Arial" w:hAnsi="Arial"/>
                <w:sz w:val="13"/>
                <w:szCs w:val="13"/>
                <w:color w:val="auto"/>
              </w:rPr>
              <w:t>3 March 2022</w:t>
            </w:r>
          </w:p>
        </w:tc>
        <w:tc>
          <w:tcPr>
            <w:tcW w:w="1240" w:type="dxa"/>
            <w:vAlign w:val="bottom"/>
          </w:tcPr>
          <w:p>
            <w:pPr>
              <w:jc w:val="right"/>
              <w:ind w:right="456"/>
              <w:spacing w:after="0"/>
              <w:rPr>
                <w:sz w:val="20"/>
                <w:szCs w:val="20"/>
                <w:color w:val="auto"/>
              </w:rPr>
            </w:pPr>
            <w:r>
              <w:rPr>
                <w:rFonts w:ascii="Arial" w:cs="Arial" w:eastAsia="Arial" w:hAnsi="Arial"/>
                <w:sz w:val="13"/>
                <w:szCs w:val="13"/>
                <w:color w:val="auto"/>
              </w:rPr>
              <w:t>1,516</w:t>
            </w:r>
          </w:p>
        </w:tc>
        <w:tc>
          <w:tcPr>
            <w:tcW w:w="1760" w:type="dxa"/>
            <w:vAlign w:val="bottom"/>
          </w:tcPr>
          <w:p>
            <w:pPr>
              <w:jc w:val="right"/>
              <w:ind w:right="436"/>
              <w:spacing w:after="0"/>
              <w:rPr>
                <w:sz w:val="20"/>
                <w:szCs w:val="20"/>
                <w:color w:val="auto"/>
              </w:rPr>
            </w:pPr>
            <w:r>
              <w:rPr>
                <w:rFonts w:ascii="Arial" w:cs="Arial" w:eastAsia="Arial" w:hAnsi="Arial"/>
                <w:sz w:val="13"/>
                <w:szCs w:val="13"/>
                <w:color w:val="auto"/>
              </w:rPr>
              <w:t>3 March 2020</w:t>
            </w:r>
          </w:p>
        </w:tc>
        <w:tc>
          <w:tcPr>
            <w:tcW w:w="1280" w:type="dxa"/>
            <w:vAlign w:val="bottom"/>
          </w:tcPr>
          <w:p>
            <w:pPr>
              <w:jc w:val="right"/>
              <w:spacing w:after="0"/>
              <w:rPr>
                <w:sz w:val="20"/>
                <w:szCs w:val="20"/>
                <w:color w:val="auto"/>
              </w:rPr>
            </w:pPr>
            <w:r>
              <w:rPr>
                <w:rFonts w:ascii="Arial" w:cs="Arial" w:eastAsia="Arial" w:hAnsi="Arial"/>
                <w:sz w:val="13"/>
                <w:szCs w:val="13"/>
                <w:color w:val="auto"/>
              </w:rPr>
              <w:t>3 March 2023</w:t>
            </w:r>
          </w:p>
        </w:tc>
      </w:tr>
      <w:tr>
        <w:trPr>
          <w:trHeight w:val="171"/>
        </w:trPr>
        <w:tc>
          <w:tcPr>
            <w:tcW w:w="2060" w:type="dxa"/>
            <w:vAlign w:val="bottom"/>
            <w:shd w:val="clear" w:color="auto" w:fill="CCEEFF"/>
          </w:tcPr>
          <w:p>
            <w:pPr>
              <w:spacing w:after="0"/>
              <w:rPr>
                <w:sz w:val="14"/>
                <w:szCs w:val="14"/>
                <w:color w:val="auto"/>
              </w:rPr>
            </w:pPr>
          </w:p>
        </w:tc>
        <w:tc>
          <w:tcPr>
            <w:tcW w:w="1620" w:type="dxa"/>
            <w:vAlign w:val="bottom"/>
            <w:shd w:val="clear" w:color="auto" w:fill="CCEEFF"/>
          </w:tcPr>
          <w:p>
            <w:pPr>
              <w:jc w:val="right"/>
              <w:ind w:right="476"/>
              <w:spacing w:after="0"/>
              <w:rPr>
                <w:sz w:val="20"/>
                <w:szCs w:val="20"/>
                <w:color w:val="auto"/>
              </w:rPr>
            </w:pPr>
            <w:r>
              <w:rPr>
                <w:rFonts w:ascii="Arial" w:cs="Arial" w:eastAsia="Arial" w:hAnsi="Arial"/>
                <w:sz w:val="13"/>
                <w:szCs w:val="13"/>
                <w:color w:val="auto"/>
              </w:rPr>
              <w:t>435</w:t>
            </w:r>
          </w:p>
        </w:tc>
        <w:tc>
          <w:tcPr>
            <w:tcW w:w="174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rPr>
              <w:t>3 March 2020</w:t>
            </w:r>
          </w:p>
        </w:tc>
        <w:tc>
          <w:tcPr>
            <w:tcW w:w="158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3 March 2023</w:t>
            </w:r>
          </w:p>
        </w:tc>
        <w:tc>
          <w:tcPr>
            <w:tcW w:w="124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rPr>
              <w:t>1,528</w:t>
            </w:r>
          </w:p>
        </w:tc>
        <w:tc>
          <w:tcPr>
            <w:tcW w:w="176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rPr>
              <w:t>3 March 2021</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 March 2024</w:t>
            </w:r>
          </w:p>
        </w:tc>
      </w:tr>
      <w:tr>
        <w:trPr>
          <w:trHeight w:val="169"/>
        </w:trPr>
        <w:tc>
          <w:tcPr>
            <w:tcW w:w="20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color w:val="auto"/>
              </w:rPr>
              <w:t>1,309</w:t>
            </w:r>
          </w:p>
        </w:tc>
        <w:tc>
          <w:tcPr>
            <w:tcW w:w="174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color w:val="auto"/>
              </w:rPr>
              <w:t>3 March 2021</w:t>
            </w:r>
          </w:p>
        </w:tc>
        <w:tc>
          <w:tcPr>
            <w:tcW w:w="158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rPr>
              <w:t>3 March 2024</w:t>
            </w:r>
          </w:p>
        </w:tc>
        <w:tc>
          <w:tcPr>
            <w:tcW w:w="12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r>
    </w:tbl>
    <w:p>
      <w:pPr>
        <w:spacing w:after="0" w:line="57" w:lineRule="exact"/>
        <w:rPr>
          <w:sz w:val="20"/>
          <w:szCs w:val="20"/>
          <w:color w:val="auto"/>
        </w:rPr>
      </w:pPr>
    </w:p>
    <w:p>
      <w:pPr>
        <w:jc w:val="both"/>
        <w:ind w:left="260" w:hanging="255"/>
        <w:spacing w:after="0" w:line="282" w:lineRule="auto"/>
        <w:tabs>
          <w:tab w:leader="none" w:pos="254" w:val="left"/>
        </w:tabs>
        <w:numPr>
          <w:ilvl w:val="0"/>
          <w:numId w:val="73"/>
        </w:numPr>
        <w:rPr>
          <w:rFonts w:ascii="Arial" w:cs="Arial" w:eastAsia="Arial" w:hAnsi="Arial"/>
          <w:sz w:val="7"/>
          <w:szCs w:val="7"/>
          <w:color w:val="auto"/>
        </w:rPr>
      </w:pPr>
      <w:r>
        <w:rPr>
          <w:rFonts w:ascii="Arial" w:cs="Arial" w:eastAsia="Arial" w:hAnsi="Arial"/>
          <w:sz w:val="11"/>
          <w:szCs w:val="11"/>
          <w:i w:val="1"/>
          <w:iCs w:val="1"/>
          <w:color w:val="auto"/>
        </w:rPr>
        <w:t>Of the issued PSUs, performance conditions will determine how many of them vest and, if performance targets are exceeded, additional PSUs will be issued and vest in accordance with the terms of the relevant PSU award. The PSUs vest based on service and specified EPS targets over the periods 2019 – 2021, 2020 – 2022 and 2021 – 2023. Depending on the actual amount of EPS from 2019 to 2023, up to a maximum of 46,433 additional PSUs may also be granted to Dr. Steve Cutler, Mr. Brendan Brennan and Mr.Diarmaid Cunningham.</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ectPr>
          <w:pgSz w:w="11900" w:h="16838" w:orient="portrait"/>
          <w:cols w:equalWidth="0" w:num="1">
            <w:col w:w="11280"/>
          </w:cols>
          <w:pgMar w:left="300" w:top="698" w:right="319" w:bottom="1440" w:gutter="0" w:footer="0" w:header="0"/>
        </w:sectPr>
      </w:pPr>
    </w:p>
    <w:bookmarkStart w:id="86" w:name="page87"/>
    <w:bookmarkEnd w:id="86"/>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190" w:lineRule="exact"/>
        <w:rPr>
          <w:sz w:val="20"/>
          <w:szCs w:val="20"/>
          <w:color w:val="auto"/>
        </w:rPr>
      </w:pPr>
    </w:p>
    <w:p>
      <w:pPr>
        <w:ind w:left="260" w:hanging="255"/>
        <w:spacing w:after="0"/>
        <w:tabs>
          <w:tab w:leader="none" w:pos="260" w:val="left"/>
        </w:tabs>
        <w:numPr>
          <w:ilvl w:val="0"/>
          <w:numId w:val="74"/>
        </w:numPr>
        <w:rPr>
          <w:rFonts w:ascii="Arial" w:cs="Arial" w:eastAsia="Arial" w:hAnsi="Arial"/>
          <w:sz w:val="13"/>
          <w:szCs w:val="13"/>
          <w:b w:val="1"/>
          <w:bCs w:val="1"/>
          <w:color w:val="auto"/>
        </w:rPr>
      </w:pPr>
      <w:r>
        <w:rPr>
          <w:rFonts w:ascii="Arial" w:cs="Arial" w:eastAsia="Arial" w:hAnsi="Arial"/>
          <w:sz w:val="13"/>
          <w:szCs w:val="13"/>
          <w:b w:val="1"/>
          <w:bCs w:val="1"/>
          <w:color w:val="auto"/>
        </w:rPr>
        <w:t>Payroll and related benefits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2"/>
          <w:szCs w:val="12"/>
          <w:color w:val="auto"/>
        </w:rPr>
        <w:t>Details of transactions entered into by the Directors, Executive Officers and Company Secretary in shares and share options of the Company during the year ended 31 December 2021 were as follows:</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Share options exercised and sold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80" w:type="dxa"/>
            <w:vAlign w:val="bottom"/>
            <w:shd w:val="clear" w:color="auto" w:fill="CCEEFF"/>
          </w:tcPr>
          <w:p>
            <w:pPr>
              <w:spacing w:after="0"/>
              <w:rPr>
                <w:sz w:val="14"/>
                <w:szCs w:val="14"/>
                <w:color w:val="auto"/>
              </w:rPr>
            </w:pPr>
          </w:p>
        </w:tc>
        <w:tc>
          <w:tcPr>
            <w:tcW w:w="4360" w:type="dxa"/>
            <w:vAlign w:val="bottom"/>
            <w:shd w:val="clear" w:color="auto" w:fill="CCEEFF"/>
          </w:tcPr>
          <w:p>
            <w:pPr>
              <w:spacing w:after="0"/>
              <w:rPr>
                <w:sz w:val="14"/>
                <w:szCs w:val="14"/>
                <w:color w:val="auto"/>
              </w:rPr>
            </w:pPr>
          </w:p>
        </w:tc>
        <w:tc>
          <w:tcPr>
            <w:tcW w:w="1880" w:type="dxa"/>
            <w:vAlign w:val="bottom"/>
            <w:shd w:val="clear" w:color="auto" w:fill="CCEEFF"/>
          </w:tcPr>
          <w:p>
            <w:pPr>
              <w:jc w:val="right"/>
              <w:ind w:right="516"/>
              <w:spacing w:after="0"/>
              <w:rPr>
                <w:sz w:val="20"/>
                <w:szCs w:val="20"/>
                <w:color w:val="auto"/>
              </w:rPr>
            </w:pPr>
            <w:r>
              <w:rPr>
                <w:rFonts w:ascii="Arial" w:cs="Arial" w:eastAsia="Arial" w:hAnsi="Arial"/>
                <w:sz w:val="13"/>
                <w:szCs w:val="13"/>
                <w:b w:val="1"/>
                <w:bCs w:val="1"/>
                <w:color w:val="auto"/>
              </w:rPr>
              <w:t>Average</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Average</w:t>
            </w:r>
          </w:p>
        </w:tc>
        <w:tc>
          <w:tcPr>
            <w:tcW w:w="0" w:type="dxa"/>
            <w:vAlign w:val="bottom"/>
          </w:tcPr>
          <w:p>
            <w:pPr>
              <w:spacing w:after="0"/>
              <w:rPr>
                <w:sz w:val="1"/>
                <w:szCs w:val="1"/>
                <w:color w:val="auto"/>
              </w:rPr>
            </w:pPr>
          </w:p>
        </w:tc>
      </w:tr>
      <w:tr>
        <w:trPr>
          <w:trHeight w:val="159"/>
        </w:trPr>
        <w:tc>
          <w:tcPr>
            <w:tcW w:w="35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4360" w:type="dxa"/>
            <w:vAlign w:val="bottom"/>
            <w:shd w:val="clear" w:color="auto" w:fill="CCEEFF"/>
          </w:tcPr>
          <w:p>
            <w:pPr>
              <w:jc w:val="right"/>
              <w:ind w:right="676"/>
              <w:spacing w:after="0"/>
              <w:rPr>
                <w:sz w:val="20"/>
                <w:szCs w:val="20"/>
                <w:color w:val="auto"/>
              </w:rPr>
            </w:pPr>
            <w:r>
              <w:rPr>
                <w:rFonts w:ascii="Arial" w:cs="Arial" w:eastAsia="Arial" w:hAnsi="Arial"/>
                <w:sz w:val="13"/>
                <w:szCs w:val="13"/>
                <w:b w:val="1"/>
                <w:bCs w:val="1"/>
                <w:color w:val="auto"/>
              </w:rPr>
              <w:t>Number of Share Options</w:t>
            </w:r>
          </w:p>
        </w:tc>
        <w:tc>
          <w:tcPr>
            <w:tcW w:w="1880" w:type="dxa"/>
            <w:vAlign w:val="bottom"/>
            <w:shd w:val="clear" w:color="auto" w:fill="CCEEFF"/>
          </w:tcPr>
          <w:p>
            <w:pPr>
              <w:jc w:val="right"/>
              <w:ind w:right="516"/>
              <w:spacing w:after="0"/>
              <w:rPr>
                <w:sz w:val="20"/>
                <w:szCs w:val="20"/>
                <w:color w:val="auto"/>
              </w:rPr>
            </w:pPr>
            <w:r>
              <w:rPr>
                <w:rFonts w:ascii="Arial" w:cs="Arial" w:eastAsia="Arial" w:hAnsi="Arial"/>
                <w:sz w:val="13"/>
                <w:szCs w:val="13"/>
                <w:b w:val="1"/>
                <w:bCs w:val="1"/>
                <w:color w:val="auto"/>
              </w:rPr>
              <w:t>exercise</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Vest</w:t>
            </w:r>
          </w:p>
        </w:tc>
        <w:tc>
          <w:tcPr>
            <w:tcW w:w="0" w:type="dxa"/>
            <w:vAlign w:val="bottom"/>
          </w:tcPr>
          <w:p>
            <w:pPr>
              <w:spacing w:after="0"/>
              <w:rPr>
                <w:sz w:val="1"/>
                <w:szCs w:val="1"/>
                <w:color w:val="auto"/>
              </w:rPr>
            </w:pPr>
          </w:p>
        </w:tc>
      </w:tr>
      <w:tr>
        <w:trPr>
          <w:trHeight w:val="182"/>
        </w:trPr>
        <w:tc>
          <w:tcPr>
            <w:tcW w:w="3580" w:type="dxa"/>
            <w:vAlign w:val="bottom"/>
            <w:tcBorders>
              <w:bottom w:val="single" w:sz="8" w:color="auto"/>
            </w:tcBorders>
            <w:shd w:val="clear" w:color="auto" w:fill="CCEEFF"/>
          </w:tcPr>
          <w:p>
            <w:pPr>
              <w:spacing w:after="0"/>
              <w:rPr>
                <w:sz w:val="15"/>
                <w:szCs w:val="15"/>
                <w:color w:val="auto"/>
              </w:rPr>
            </w:pPr>
          </w:p>
        </w:tc>
        <w:tc>
          <w:tcPr>
            <w:tcW w:w="4360" w:type="dxa"/>
            <w:vAlign w:val="bottom"/>
            <w:tcBorders>
              <w:bottom w:val="single" w:sz="8" w:color="auto"/>
            </w:tcBorders>
            <w:shd w:val="clear" w:color="auto" w:fill="CCEEFF"/>
          </w:tcPr>
          <w:p>
            <w:pPr>
              <w:spacing w:after="0"/>
              <w:rPr>
                <w:sz w:val="15"/>
                <w:szCs w:val="15"/>
                <w:color w:val="auto"/>
              </w:rPr>
            </w:pPr>
          </w:p>
        </w:tc>
        <w:tc>
          <w:tcPr>
            <w:tcW w:w="1880" w:type="dxa"/>
            <w:vAlign w:val="bottom"/>
            <w:tcBorders>
              <w:bottom w:val="single" w:sz="8" w:color="auto"/>
            </w:tcBorders>
            <w:shd w:val="clear" w:color="auto" w:fill="CCEEFF"/>
          </w:tcPr>
          <w:p>
            <w:pPr>
              <w:jc w:val="right"/>
              <w:ind w:right="516"/>
              <w:spacing w:after="0"/>
              <w:rPr>
                <w:sz w:val="20"/>
                <w:szCs w:val="20"/>
                <w:color w:val="auto"/>
              </w:rPr>
            </w:pPr>
            <w:r>
              <w:rPr>
                <w:rFonts w:ascii="Arial" w:cs="Arial" w:eastAsia="Arial" w:hAnsi="Arial"/>
                <w:sz w:val="13"/>
                <w:szCs w:val="13"/>
                <w:b w:val="1"/>
                <w:bCs w:val="1"/>
                <w:color w:val="auto"/>
              </w:rPr>
              <w:t>price</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price</w:t>
            </w:r>
          </w:p>
        </w:tc>
        <w:tc>
          <w:tcPr>
            <w:tcW w:w="0" w:type="dxa"/>
            <w:vAlign w:val="bottom"/>
          </w:tcPr>
          <w:p>
            <w:pPr>
              <w:spacing w:after="0"/>
              <w:rPr>
                <w:sz w:val="1"/>
                <w:szCs w:val="1"/>
                <w:color w:val="auto"/>
              </w:rPr>
            </w:pPr>
          </w:p>
        </w:tc>
      </w:tr>
      <w:tr>
        <w:trPr>
          <w:trHeight w:val="168"/>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Professor William Hall</w:t>
            </w:r>
          </w:p>
        </w:tc>
        <w:tc>
          <w:tcPr>
            <w:tcW w:w="4360" w:type="dxa"/>
            <w:vAlign w:val="bottom"/>
            <w:tcBorders>
              <w:bottom w:val="single" w:sz="8" w:color="auto"/>
            </w:tcBorders>
          </w:tcPr>
          <w:p>
            <w:pPr>
              <w:jc w:val="right"/>
              <w:ind w:right="716"/>
              <w:spacing w:after="0"/>
              <w:rPr>
                <w:sz w:val="20"/>
                <w:szCs w:val="20"/>
                <w:color w:val="auto"/>
              </w:rPr>
            </w:pPr>
            <w:r>
              <w:rPr>
                <w:rFonts w:ascii="Arial" w:cs="Arial" w:eastAsia="Arial" w:hAnsi="Arial"/>
                <w:sz w:val="13"/>
                <w:szCs w:val="13"/>
                <w:color w:val="auto"/>
              </w:rPr>
              <w:t>3,651</w:t>
            </w:r>
          </w:p>
        </w:tc>
        <w:tc>
          <w:tcPr>
            <w:tcW w:w="188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color w:val="auto"/>
              </w:rPr>
              <w:t>$75.89</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$243.10</w:t>
            </w:r>
          </w:p>
        </w:tc>
        <w:tc>
          <w:tcPr>
            <w:tcW w:w="0" w:type="dxa"/>
            <w:vAlign w:val="bottom"/>
          </w:tcPr>
          <w:p>
            <w:pPr>
              <w:spacing w:after="0"/>
              <w:rPr>
                <w:sz w:val="1"/>
                <w:szCs w:val="1"/>
                <w:color w:val="auto"/>
              </w:rPr>
            </w:pPr>
          </w:p>
        </w:tc>
      </w:tr>
      <w:tr>
        <w:trPr>
          <w:trHeight w:val="160"/>
        </w:trPr>
        <w:tc>
          <w:tcPr>
            <w:tcW w:w="3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Colin Shannon</w:t>
            </w:r>
          </w:p>
        </w:tc>
        <w:tc>
          <w:tcPr>
            <w:tcW w:w="436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3"/>
                <w:szCs w:val="13"/>
                <w:color w:val="auto"/>
              </w:rPr>
              <w:t>165,235</w:t>
            </w:r>
          </w:p>
        </w:tc>
        <w:tc>
          <w:tcPr>
            <w:tcW w:w="188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3"/>
                <w:szCs w:val="13"/>
                <w:color w:val="auto"/>
              </w:rPr>
              <w:t>$121.53</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$211.63</w:t>
            </w:r>
          </w:p>
        </w:tc>
        <w:tc>
          <w:tcPr>
            <w:tcW w:w="0" w:type="dxa"/>
            <w:vAlign w:val="bottom"/>
          </w:tcPr>
          <w:p>
            <w:pPr>
              <w:spacing w:after="0"/>
              <w:rPr>
                <w:sz w:val="1"/>
                <w:szCs w:val="1"/>
                <w:color w:val="auto"/>
              </w:rPr>
            </w:pPr>
          </w:p>
        </w:tc>
      </w:tr>
      <w:tr>
        <w:trPr>
          <w:trHeight w:val="160"/>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Diarmaid Cunningham</w:t>
            </w:r>
          </w:p>
        </w:tc>
        <w:tc>
          <w:tcPr>
            <w:tcW w:w="4360" w:type="dxa"/>
            <w:vAlign w:val="bottom"/>
            <w:tcBorders>
              <w:bottom w:val="single" w:sz="8" w:color="auto"/>
            </w:tcBorders>
          </w:tcPr>
          <w:p>
            <w:pPr>
              <w:jc w:val="right"/>
              <w:ind w:right="716"/>
              <w:spacing w:after="0"/>
              <w:rPr>
                <w:sz w:val="20"/>
                <w:szCs w:val="20"/>
                <w:color w:val="auto"/>
              </w:rPr>
            </w:pPr>
            <w:r>
              <w:rPr>
                <w:rFonts w:ascii="Arial" w:cs="Arial" w:eastAsia="Arial" w:hAnsi="Arial"/>
                <w:sz w:val="13"/>
                <w:szCs w:val="13"/>
                <w:color w:val="auto"/>
              </w:rPr>
              <w:t>5,329</w:t>
            </w:r>
          </w:p>
        </w:tc>
        <w:tc>
          <w:tcPr>
            <w:tcW w:w="188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color w:val="auto"/>
              </w:rPr>
              <w:t>$88.05</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$242.16</w:t>
            </w:r>
          </w:p>
        </w:tc>
        <w:tc>
          <w:tcPr>
            <w:tcW w:w="0" w:type="dxa"/>
            <w:vAlign w:val="bottom"/>
          </w:tcPr>
          <w:p>
            <w:pPr>
              <w:spacing w:after="0"/>
              <w:rPr>
                <w:sz w:val="1"/>
                <w:szCs w:val="1"/>
                <w:color w:val="auto"/>
              </w:rPr>
            </w:pPr>
          </w:p>
        </w:tc>
      </w:tr>
      <w:tr>
        <w:trPr>
          <w:trHeight w:val="420"/>
        </w:trPr>
        <w:tc>
          <w:tcPr>
            <w:tcW w:w="3580" w:type="dxa"/>
            <w:vAlign w:val="bottom"/>
          </w:tcPr>
          <w:p>
            <w:pPr>
              <w:spacing w:after="0"/>
              <w:rPr>
                <w:sz w:val="20"/>
                <w:szCs w:val="20"/>
                <w:color w:val="auto"/>
              </w:rPr>
            </w:pPr>
            <w:r>
              <w:rPr>
                <w:rFonts w:ascii="Arial" w:cs="Arial" w:eastAsia="Arial" w:hAnsi="Arial"/>
                <w:sz w:val="13"/>
                <w:szCs w:val="13"/>
                <w:b w:val="1"/>
                <w:bCs w:val="1"/>
                <w:color w:val="auto"/>
              </w:rPr>
              <w:t>Share options exercised</w:t>
            </w:r>
          </w:p>
        </w:tc>
        <w:tc>
          <w:tcPr>
            <w:tcW w:w="43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580" w:type="dxa"/>
            <w:vAlign w:val="bottom"/>
          </w:tcPr>
          <w:p>
            <w:pPr>
              <w:spacing w:after="0"/>
              <w:rPr>
                <w:sz w:val="7"/>
                <w:szCs w:val="7"/>
                <w:color w:val="auto"/>
              </w:rPr>
            </w:pPr>
          </w:p>
        </w:tc>
        <w:tc>
          <w:tcPr>
            <w:tcW w:w="436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3580" w:type="dxa"/>
            <w:vAlign w:val="bottom"/>
            <w:shd w:val="clear" w:color="auto" w:fill="CCEEFF"/>
          </w:tcPr>
          <w:p>
            <w:pPr>
              <w:spacing w:after="0"/>
              <w:rPr>
                <w:sz w:val="11"/>
                <w:szCs w:val="11"/>
                <w:color w:val="auto"/>
              </w:rPr>
            </w:pPr>
          </w:p>
        </w:tc>
        <w:tc>
          <w:tcPr>
            <w:tcW w:w="4360" w:type="dxa"/>
            <w:vAlign w:val="bottom"/>
            <w:shd w:val="clear" w:color="auto" w:fill="CCEEFF"/>
          </w:tcPr>
          <w:p>
            <w:pPr>
              <w:spacing w:after="0"/>
              <w:rPr>
                <w:sz w:val="11"/>
                <w:szCs w:val="11"/>
                <w:color w:val="auto"/>
              </w:rPr>
            </w:pPr>
          </w:p>
        </w:tc>
        <w:tc>
          <w:tcPr>
            <w:tcW w:w="1880" w:type="dxa"/>
            <w:vAlign w:val="bottom"/>
            <w:shd w:val="clear" w:color="auto" w:fill="CCEEFF"/>
          </w:tcPr>
          <w:p>
            <w:pPr>
              <w:jc w:val="right"/>
              <w:ind w:right="556"/>
              <w:spacing w:after="0" w:line="128" w:lineRule="exact"/>
              <w:rPr>
                <w:sz w:val="20"/>
                <w:szCs w:val="20"/>
                <w:color w:val="auto"/>
              </w:rPr>
            </w:pPr>
            <w:r>
              <w:rPr>
                <w:rFonts w:ascii="Arial" w:cs="Arial" w:eastAsia="Arial" w:hAnsi="Arial"/>
                <w:sz w:val="13"/>
                <w:szCs w:val="13"/>
                <w:b w:val="1"/>
                <w:bCs w:val="1"/>
                <w:color w:val="auto"/>
              </w:rPr>
              <w:t>Number</w:t>
            </w:r>
          </w:p>
        </w:tc>
        <w:tc>
          <w:tcPr>
            <w:tcW w:w="144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Average Sales</w:t>
            </w:r>
          </w:p>
        </w:tc>
        <w:tc>
          <w:tcPr>
            <w:tcW w:w="0" w:type="dxa"/>
            <w:vAlign w:val="bottom"/>
          </w:tcPr>
          <w:p>
            <w:pPr>
              <w:spacing w:after="0"/>
              <w:rPr>
                <w:sz w:val="1"/>
                <w:szCs w:val="1"/>
                <w:color w:val="auto"/>
              </w:rPr>
            </w:pPr>
          </w:p>
        </w:tc>
      </w:tr>
      <w:tr>
        <w:trPr>
          <w:trHeight w:val="170"/>
        </w:trPr>
        <w:tc>
          <w:tcPr>
            <w:tcW w:w="3580" w:type="dxa"/>
            <w:vAlign w:val="bottom"/>
            <w:tcBorders>
              <w:bottom w:val="single" w:sz="8" w:color="auto"/>
            </w:tcBorders>
            <w:shd w:val="clear" w:color="auto" w:fill="CCEEFF"/>
          </w:tcPr>
          <w:p>
            <w:pPr>
              <w:spacing w:after="0"/>
              <w:rPr>
                <w:sz w:val="14"/>
                <w:szCs w:val="14"/>
                <w:color w:val="auto"/>
              </w:rPr>
            </w:pPr>
          </w:p>
        </w:tc>
        <w:tc>
          <w:tcPr>
            <w:tcW w:w="4360" w:type="dxa"/>
            <w:vAlign w:val="bottom"/>
            <w:tcBorders>
              <w:bottom w:val="single" w:sz="8" w:color="auto"/>
            </w:tcBorders>
            <w:shd w:val="clear" w:color="auto" w:fill="CCEEFF"/>
          </w:tcPr>
          <w:p>
            <w:pPr>
              <w:spacing w:after="0"/>
              <w:rPr>
                <w:sz w:val="14"/>
                <w:szCs w:val="14"/>
                <w:color w:val="auto"/>
              </w:rPr>
            </w:pPr>
          </w:p>
        </w:tc>
        <w:tc>
          <w:tcPr>
            <w:tcW w:w="1880" w:type="dxa"/>
            <w:vAlign w:val="bottom"/>
            <w:tcBorders>
              <w:bottom w:val="single" w:sz="8" w:color="auto"/>
            </w:tcBorders>
            <w:shd w:val="clear" w:color="auto" w:fill="CCEEFF"/>
          </w:tcPr>
          <w:p>
            <w:pPr>
              <w:jc w:val="right"/>
              <w:ind w:right="516"/>
              <w:spacing w:after="0"/>
              <w:rPr>
                <w:sz w:val="20"/>
                <w:szCs w:val="20"/>
                <w:color w:val="auto"/>
              </w:rPr>
            </w:pPr>
            <w:r>
              <w:rPr>
                <w:rFonts w:ascii="Arial" w:cs="Arial" w:eastAsia="Arial" w:hAnsi="Arial"/>
                <w:sz w:val="13"/>
                <w:szCs w:val="13"/>
                <w:b w:val="1"/>
                <w:bCs w:val="1"/>
                <w:color w:val="auto"/>
              </w:rPr>
              <w:t>of Shares</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Price</w:t>
            </w:r>
          </w:p>
        </w:tc>
        <w:tc>
          <w:tcPr>
            <w:tcW w:w="0" w:type="dxa"/>
            <w:vAlign w:val="bottom"/>
          </w:tcPr>
          <w:p>
            <w:pPr>
              <w:spacing w:after="0"/>
              <w:rPr>
                <w:sz w:val="1"/>
                <w:szCs w:val="1"/>
                <w:color w:val="auto"/>
              </w:rPr>
            </w:pPr>
          </w:p>
        </w:tc>
      </w:tr>
      <w:tr>
        <w:trPr>
          <w:trHeight w:val="159"/>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Dr. John Climax</w:t>
            </w:r>
          </w:p>
        </w:tc>
        <w:tc>
          <w:tcPr>
            <w:tcW w:w="436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color w:val="auto"/>
              </w:rPr>
              <w:t>2,500</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$32.37</w:t>
            </w:r>
          </w:p>
        </w:tc>
        <w:tc>
          <w:tcPr>
            <w:tcW w:w="0" w:type="dxa"/>
            <w:vAlign w:val="bottom"/>
          </w:tcPr>
          <w:p>
            <w:pPr>
              <w:spacing w:after="0"/>
              <w:rPr>
                <w:sz w:val="1"/>
                <w:szCs w:val="1"/>
                <w:color w:val="auto"/>
              </w:rPr>
            </w:pPr>
          </w:p>
        </w:tc>
      </w:tr>
      <w:tr>
        <w:trPr>
          <w:trHeight w:val="409"/>
        </w:trPr>
        <w:tc>
          <w:tcPr>
            <w:tcW w:w="3580" w:type="dxa"/>
            <w:vAlign w:val="bottom"/>
          </w:tcPr>
          <w:p>
            <w:pPr>
              <w:spacing w:after="0"/>
              <w:rPr>
                <w:sz w:val="20"/>
                <w:szCs w:val="20"/>
                <w:color w:val="auto"/>
              </w:rPr>
            </w:pPr>
            <w:r>
              <w:rPr>
                <w:rFonts w:ascii="Arial" w:cs="Arial" w:eastAsia="Arial" w:hAnsi="Arial"/>
                <w:sz w:val="13"/>
                <w:szCs w:val="13"/>
                <w:b w:val="1"/>
                <w:bCs w:val="1"/>
                <w:color w:val="auto"/>
              </w:rPr>
              <w:t>Shares sold</w:t>
            </w:r>
          </w:p>
        </w:tc>
        <w:tc>
          <w:tcPr>
            <w:tcW w:w="43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3580" w:type="dxa"/>
            <w:vAlign w:val="bottom"/>
          </w:tcPr>
          <w:p>
            <w:pPr>
              <w:spacing w:after="0"/>
              <w:rPr>
                <w:sz w:val="7"/>
                <w:szCs w:val="7"/>
                <w:color w:val="auto"/>
              </w:rPr>
            </w:pPr>
          </w:p>
        </w:tc>
        <w:tc>
          <w:tcPr>
            <w:tcW w:w="436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3580" w:type="dxa"/>
            <w:vAlign w:val="bottom"/>
            <w:shd w:val="clear" w:color="auto" w:fill="CCEEFF"/>
          </w:tcPr>
          <w:p>
            <w:pPr>
              <w:spacing w:after="0"/>
              <w:rPr>
                <w:sz w:val="11"/>
                <w:szCs w:val="11"/>
                <w:color w:val="auto"/>
              </w:rPr>
            </w:pPr>
          </w:p>
        </w:tc>
        <w:tc>
          <w:tcPr>
            <w:tcW w:w="4360" w:type="dxa"/>
            <w:vAlign w:val="bottom"/>
            <w:shd w:val="clear" w:color="auto" w:fill="CCEEFF"/>
          </w:tcPr>
          <w:p>
            <w:pPr>
              <w:spacing w:after="0"/>
              <w:rPr>
                <w:sz w:val="11"/>
                <w:szCs w:val="11"/>
                <w:color w:val="auto"/>
              </w:rPr>
            </w:pPr>
          </w:p>
        </w:tc>
        <w:tc>
          <w:tcPr>
            <w:tcW w:w="1880" w:type="dxa"/>
            <w:vAlign w:val="bottom"/>
            <w:shd w:val="clear" w:color="auto" w:fill="CCEEFF"/>
          </w:tcPr>
          <w:p>
            <w:pPr>
              <w:jc w:val="right"/>
              <w:ind w:right="556"/>
              <w:spacing w:after="0" w:line="128" w:lineRule="exact"/>
              <w:rPr>
                <w:sz w:val="20"/>
                <w:szCs w:val="20"/>
                <w:color w:val="auto"/>
              </w:rPr>
            </w:pPr>
            <w:r>
              <w:rPr>
                <w:rFonts w:ascii="Arial" w:cs="Arial" w:eastAsia="Arial" w:hAnsi="Arial"/>
                <w:sz w:val="13"/>
                <w:szCs w:val="13"/>
                <w:b w:val="1"/>
                <w:bCs w:val="1"/>
                <w:color w:val="auto"/>
              </w:rPr>
              <w:t>Number</w:t>
            </w:r>
          </w:p>
        </w:tc>
        <w:tc>
          <w:tcPr>
            <w:tcW w:w="144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Average Sales</w:t>
            </w:r>
          </w:p>
        </w:tc>
        <w:tc>
          <w:tcPr>
            <w:tcW w:w="0" w:type="dxa"/>
            <w:vAlign w:val="bottom"/>
          </w:tcPr>
          <w:p>
            <w:pPr>
              <w:spacing w:after="0"/>
              <w:rPr>
                <w:sz w:val="1"/>
                <w:szCs w:val="1"/>
                <w:color w:val="auto"/>
              </w:rPr>
            </w:pPr>
          </w:p>
        </w:tc>
      </w:tr>
      <w:tr>
        <w:trPr>
          <w:trHeight w:val="170"/>
        </w:trPr>
        <w:tc>
          <w:tcPr>
            <w:tcW w:w="3580" w:type="dxa"/>
            <w:vAlign w:val="bottom"/>
            <w:tcBorders>
              <w:bottom w:val="single" w:sz="8" w:color="auto"/>
            </w:tcBorders>
            <w:shd w:val="clear" w:color="auto" w:fill="CCEEFF"/>
          </w:tcPr>
          <w:p>
            <w:pPr>
              <w:spacing w:after="0"/>
              <w:rPr>
                <w:sz w:val="14"/>
                <w:szCs w:val="14"/>
                <w:color w:val="auto"/>
              </w:rPr>
            </w:pPr>
          </w:p>
        </w:tc>
        <w:tc>
          <w:tcPr>
            <w:tcW w:w="4360" w:type="dxa"/>
            <w:vAlign w:val="bottom"/>
            <w:tcBorders>
              <w:bottom w:val="single" w:sz="8" w:color="auto"/>
            </w:tcBorders>
            <w:shd w:val="clear" w:color="auto" w:fill="CCEEFF"/>
          </w:tcPr>
          <w:p>
            <w:pPr>
              <w:spacing w:after="0"/>
              <w:rPr>
                <w:sz w:val="14"/>
                <w:szCs w:val="14"/>
                <w:color w:val="auto"/>
              </w:rPr>
            </w:pPr>
          </w:p>
        </w:tc>
        <w:tc>
          <w:tcPr>
            <w:tcW w:w="1880" w:type="dxa"/>
            <w:vAlign w:val="bottom"/>
            <w:tcBorders>
              <w:bottom w:val="single" w:sz="8" w:color="auto"/>
            </w:tcBorders>
            <w:shd w:val="clear" w:color="auto" w:fill="CCEEFF"/>
          </w:tcPr>
          <w:p>
            <w:pPr>
              <w:jc w:val="right"/>
              <w:ind w:right="516"/>
              <w:spacing w:after="0"/>
              <w:rPr>
                <w:sz w:val="20"/>
                <w:szCs w:val="20"/>
                <w:color w:val="auto"/>
              </w:rPr>
            </w:pPr>
            <w:r>
              <w:rPr>
                <w:rFonts w:ascii="Arial" w:cs="Arial" w:eastAsia="Arial" w:hAnsi="Arial"/>
                <w:sz w:val="13"/>
                <w:szCs w:val="13"/>
                <w:b w:val="1"/>
                <w:bCs w:val="1"/>
                <w:color w:val="auto"/>
              </w:rPr>
              <w:t>of Shares</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Price</w:t>
            </w:r>
          </w:p>
        </w:tc>
        <w:tc>
          <w:tcPr>
            <w:tcW w:w="0" w:type="dxa"/>
            <w:vAlign w:val="bottom"/>
          </w:tcPr>
          <w:p>
            <w:pPr>
              <w:spacing w:after="0"/>
              <w:rPr>
                <w:sz w:val="1"/>
                <w:szCs w:val="1"/>
                <w:color w:val="auto"/>
              </w:rPr>
            </w:pPr>
          </w:p>
        </w:tc>
      </w:tr>
      <w:tr>
        <w:trPr>
          <w:trHeight w:val="159"/>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Dr. John Climax</w:t>
            </w:r>
          </w:p>
        </w:tc>
        <w:tc>
          <w:tcPr>
            <w:tcW w:w="436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color w:val="auto"/>
              </w:rPr>
              <w:t>57,500</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$272.77</w:t>
            </w:r>
          </w:p>
        </w:tc>
        <w:tc>
          <w:tcPr>
            <w:tcW w:w="0" w:type="dxa"/>
            <w:vAlign w:val="bottom"/>
          </w:tcPr>
          <w:p>
            <w:pPr>
              <w:spacing w:after="0"/>
              <w:rPr>
                <w:sz w:val="1"/>
                <w:szCs w:val="1"/>
                <w:color w:val="auto"/>
              </w:rPr>
            </w:pPr>
          </w:p>
        </w:tc>
      </w:tr>
      <w:tr>
        <w:trPr>
          <w:trHeight w:val="420"/>
        </w:trPr>
        <w:tc>
          <w:tcPr>
            <w:tcW w:w="3580" w:type="dxa"/>
            <w:vAlign w:val="bottom"/>
          </w:tcPr>
          <w:p>
            <w:pPr>
              <w:spacing w:after="0"/>
              <w:rPr>
                <w:sz w:val="20"/>
                <w:szCs w:val="20"/>
                <w:color w:val="auto"/>
              </w:rPr>
            </w:pPr>
            <w:r>
              <w:rPr>
                <w:rFonts w:ascii="Arial" w:cs="Arial" w:eastAsia="Arial" w:hAnsi="Arial"/>
                <w:sz w:val="13"/>
                <w:szCs w:val="13"/>
                <w:b w:val="1"/>
                <w:bCs w:val="1"/>
                <w:color w:val="auto"/>
              </w:rPr>
              <w:t>RSUs vested</w:t>
            </w:r>
          </w:p>
        </w:tc>
        <w:tc>
          <w:tcPr>
            <w:tcW w:w="43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580" w:type="dxa"/>
            <w:vAlign w:val="bottom"/>
          </w:tcPr>
          <w:p>
            <w:pPr>
              <w:spacing w:after="0"/>
              <w:rPr>
                <w:sz w:val="7"/>
                <w:szCs w:val="7"/>
                <w:color w:val="auto"/>
              </w:rPr>
            </w:pPr>
          </w:p>
        </w:tc>
        <w:tc>
          <w:tcPr>
            <w:tcW w:w="436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3580" w:type="dxa"/>
            <w:vAlign w:val="bottom"/>
            <w:shd w:val="clear" w:color="auto" w:fill="CCEEFF"/>
          </w:tcPr>
          <w:p>
            <w:pPr>
              <w:spacing w:after="0"/>
              <w:rPr>
                <w:sz w:val="11"/>
                <w:szCs w:val="11"/>
                <w:color w:val="auto"/>
              </w:rPr>
            </w:pPr>
          </w:p>
        </w:tc>
        <w:tc>
          <w:tcPr>
            <w:tcW w:w="4360" w:type="dxa"/>
            <w:vAlign w:val="bottom"/>
            <w:shd w:val="clear" w:color="auto" w:fill="CCEEFF"/>
          </w:tcPr>
          <w:p>
            <w:pPr>
              <w:spacing w:after="0"/>
              <w:rPr>
                <w:sz w:val="11"/>
                <w:szCs w:val="11"/>
                <w:color w:val="auto"/>
              </w:rPr>
            </w:pPr>
          </w:p>
        </w:tc>
        <w:tc>
          <w:tcPr>
            <w:tcW w:w="1880" w:type="dxa"/>
            <w:vAlign w:val="bottom"/>
            <w:vMerge w:val="restart"/>
            <w:shd w:val="clear" w:color="auto" w:fill="CCEEFF"/>
          </w:tcPr>
          <w:p>
            <w:pPr>
              <w:jc w:val="right"/>
              <w:ind w:right="556"/>
              <w:spacing w:after="0"/>
              <w:rPr>
                <w:sz w:val="20"/>
                <w:szCs w:val="20"/>
                <w:color w:val="auto"/>
              </w:rPr>
            </w:pPr>
            <w:r>
              <w:rPr>
                <w:rFonts w:ascii="Arial" w:cs="Arial" w:eastAsia="Arial" w:hAnsi="Arial"/>
                <w:sz w:val="13"/>
                <w:szCs w:val="13"/>
                <w:b w:val="1"/>
                <w:bCs w:val="1"/>
                <w:color w:val="auto"/>
              </w:rPr>
              <w:t>Number</w:t>
            </w:r>
          </w:p>
        </w:tc>
        <w:tc>
          <w:tcPr>
            <w:tcW w:w="144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Average</w:t>
            </w:r>
          </w:p>
        </w:tc>
        <w:tc>
          <w:tcPr>
            <w:tcW w:w="0" w:type="dxa"/>
            <w:vAlign w:val="bottom"/>
          </w:tcPr>
          <w:p>
            <w:pPr>
              <w:spacing w:after="0"/>
              <w:rPr>
                <w:sz w:val="1"/>
                <w:szCs w:val="1"/>
                <w:color w:val="auto"/>
              </w:rPr>
            </w:pPr>
          </w:p>
        </w:tc>
      </w:tr>
      <w:tr>
        <w:trPr>
          <w:trHeight w:val="127"/>
        </w:trPr>
        <w:tc>
          <w:tcPr>
            <w:tcW w:w="3580" w:type="dxa"/>
            <w:vAlign w:val="bottom"/>
            <w:shd w:val="clear" w:color="auto" w:fill="CCEEFF"/>
          </w:tcPr>
          <w:p>
            <w:pPr>
              <w:spacing w:after="0"/>
              <w:rPr>
                <w:sz w:val="11"/>
                <w:szCs w:val="11"/>
                <w:color w:val="auto"/>
              </w:rPr>
            </w:pPr>
          </w:p>
        </w:tc>
        <w:tc>
          <w:tcPr>
            <w:tcW w:w="4360" w:type="dxa"/>
            <w:vAlign w:val="bottom"/>
            <w:shd w:val="clear" w:color="auto" w:fill="CCEEFF"/>
          </w:tcPr>
          <w:p>
            <w:pPr>
              <w:spacing w:after="0"/>
              <w:rPr>
                <w:sz w:val="11"/>
                <w:szCs w:val="11"/>
                <w:color w:val="auto"/>
              </w:rPr>
            </w:pPr>
          </w:p>
        </w:tc>
        <w:tc>
          <w:tcPr>
            <w:tcW w:w="1880" w:type="dxa"/>
            <w:vAlign w:val="bottom"/>
            <w:vMerge w:val="continue"/>
            <w:shd w:val="clear" w:color="auto" w:fill="CCEEFF"/>
          </w:tcPr>
          <w:p>
            <w:pPr>
              <w:spacing w:after="0"/>
              <w:rPr>
                <w:sz w:val="11"/>
                <w:szCs w:val="11"/>
                <w:color w:val="auto"/>
              </w:rPr>
            </w:pPr>
          </w:p>
        </w:tc>
        <w:tc>
          <w:tcPr>
            <w:tcW w:w="144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Vest</w:t>
            </w:r>
          </w:p>
        </w:tc>
        <w:tc>
          <w:tcPr>
            <w:tcW w:w="0" w:type="dxa"/>
            <w:vAlign w:val="bottom"/>
          </w:tcPr>
          <w:p>
            <w:pPr>
              <w:spacing w:after="0"/>
              <w:rPr>
                <w:sz w:val="1"/>
                <w:szCs w:val="1"/>
                <w:color w:val="auto"/>
              </w:rPr>
            </w:pPr>
          </w:p>
        </w:tc>
      </w:tr>
      <w:tr>
        <w:trPr>
          <w:trHeight w:val="170"/>
        </w:trPr>
        <w:tc>
          <w:tcPr>
            <w:tcW w:w="3580" w:type="dxa"/>
            <w:vAlign w:val="bottom"/>
            <w:tcBorders>
              <w:bottom w:val="single" w:sz="8" w:color="auto"/>
            </w:tcBorders>
            <w:shd w:val="clear" w:color="auto" w:fill="CCEEFF"/>
          </w:tcPr>
          <w:p>
            <w:pPr>
              <w:spacing w:after="0"/>
              <w:rPr>
                <w:sz w:val="14"/>
                <w:szCs w:val="14"/>
                <w:color w:val="auto"/>
              </w:rPr>
            </w:pPr>
          </w:p>
        </w:tc>
        <w:tc>
          <w:tcPr>
            <w:tcW w:w="4360" w:type="dxa"/>
            <w:vAlign w:val="bottom"/>
            <w:tcBorders>
              <w:bottom w:val="single" w:sz="8" w:color="auto"/>
            </w:tcBorders>
            <w:shd w:val="clear" w:color="auto" w:fill="CCEEFF"/>
          </w:tcPr>
          <w:p>
            <w:pPr>
              <w:spacing w:after="0"/>
              <w:rPr>
                <w:sz w:val="14"/>
                <w:szCs w:val="14"/>
                <w:color w:val="auto"/>
              </w:rPr>
            </w:pPr>
          </w:p>
        </w:tc>
        <w:tc>
          <w:tcPr>
            <w:tcW w:w="1880" w:type="dxa"/>
            <w:vAlign w:val="bottom"/>
            <w:tcBorders>
              <w:bottom w:val="single" w:sz="8" w:color="auto"/>
            </w:tcBorders>
            <w:shd w:val="clear" w:color="auto" w:fill="CCEEFF"/>
          </w:tcPr>
          <w:p>
            <w:pPr>
              <w:jc w:val="right"/>
              <w:ind w:right="516"/>
              <w:spacing w:after="0"/>
              <w:rPr>
                <w:sz w:val="20"/>
                <w:szCs w:val="20"/>
                <w:color w:val="auto"/>
              </w:rPr>
            </w:pPr>
            <w:r>
              <w:rPr>
                <w:rFonts w:ascii="Arial" w:cs="Arial" w:eastAsia="Arial" w:hAnsi="Arial"/>
                <w:sz w:val="13"/>
                <w:szCs w:val="13"/>
                <w:b w:val="1"/>
                <w:bCs w:val="1"/>
                <w:color w:val="auto"/>
              </w:rPr>
              <w:t>of Shares</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Price</w:t>
            </w:r>
          </w:p>
        </w:tc>
        <w:tc>
          <w:tcPr>
            <w:tcW w:w="0" w:type="dxa"/>
            <w:vAlign w:val="bottom"/>
          </w:tcPr>
          <w:p>
            <w:pPr>
              <w:spacing w:after="0"/>
              <w:rPr>
                <w:sz w:val="1"/>
                <w:szCs w:val="1"/>
                <w:color w:val="auto"/>
              </w:rPr>
            </w:pPr>
          </w:p>
        </w:tc>
      </w:tr>
      <w:tr>
        <w:trPr>
          <w:trHeight w:val="159"/>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Dr. Steve Cutler</w:t>
            </w:r>
          </w:p>
        </w:tc>
        <w:tc>
          <w:tcPr>
            <w:tcW w:w="436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color w:val="auto"/>
              </w:rPr>
              <w:t>32,150</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$174.96</w:t>
            </w:r>
          </w:p>
        </w:tc>
        <w:tc>
          <w:tcPr>
            <w:tcW w:w="0" w:type="dxa"/>
            <w:vAlign w:val="bottom"/>
          </w:tcPr>
          <w:p>
            <w:pPr>
              <w:spacing w:after="0"/>
              <w:rPr>
                <w:sz w:val="1"/>
                <w:szCs w:val="1"/>
                <w:color w:val="auto"/>
              </w:rPr>
            </w:pPr>
          </w:p>
        </w:tc>
      </w:tr>
      <w:tr>
        <w:trPr>
          <w:trHeight w:val="160"/>
        </w:trPr>
        <w:tc>
          <w:tcPr>
            <w:tcW w:w="3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Brendan Brennan</w:t>
            </w:r>
          </w:p>
        </w:tc>
        <w:tc>
          <w:tcPr>
            <w:tcW w:w="4360" w:type="dxa"/>
            <w:vAlign w:val="bottom"/>
            <w:tcBorders>
              <w:bottom w:val="single" w:sz="8" w:color="auto"/>
            </w:tcBorders>
            <w:shd w:val="clear" w:color="auto" w:fill="CCEEFF"/>
          </w:tcPr>
          <w:p>
            <w:pPr>
              <w:spacing w:after="0"/>
              <w:rPr>
                <w:sz w:val="13"/>
                <w:szCs w:val="13"/>
                <w:color w:val="auto"/>
              </w:rPr>
            </w:pPr>
          </w:p>
        </w:tc>
        <w:tc>
          <w:tcPr>
            <w:tcW w:w="188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3"/>
                <w:szCs w:val="13"/>
                <w:color w:val="auto"/>
              </w:rPr>
              <w:t>7,426</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$174.96</w:t>
            </w:r>
          </w:p>
        </w:tc>
        <w:tc>
          <w:tcPr>
            <w:tcW w:w="0" w:type="dxa"/>
            <w:vAlign w:val="bottom"/>
          </w:tcPr>
          <w:p>
            <w:pPr>
              <w:spacing w:after="0"/>
              <w:rPr>
                <w:sz w:val="1"/>
                <w:szCs w:val="1"/>
                <w:color w:val="auto"/>
              </w:rPr>
            </w:pPr>
          </w:p>
        </w:tc>
      </w:tr>
      <w:tr>
        <w:trPr>
          <w:trHeight w:val="160"/>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Ciaran Murray</w:t>
            </w:r>
          </w:p>
        </w:tc>
        <w:tc>
          <w:tcPr>
            <w:tcW w:w="436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color w:val="auto"/>
              </w:rPr>
              <w:t>1,201</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$231.08</w:t>
            </w:r>
          </w:p>
        </w:tc>
        <w:tc>
          <w:tcPr>
            <w:tcW w:w="0" w:type="dxa"/>
            <w:vAlign w:val="bottom"/>
          </w:tcPr>
          <w:p>
            <w:pPr>
              <w:spacing w:after="0"/>
              <w:rPr>
                <w:sz w:val="1"/>
                <w:szCs w:val="1"/>
                <w:color w:val="auto"/>
              </w:rPr>
            </w:pPr>
          </w:p>
        </w:tc>
      </w:tr>
      <w:tr>
        <w:trPr>
          <w:trHeight w:val="160"/>
        </w:trPr>
        <w:tc>
          <w:tcPr>
            <w:tcW w:w="3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Rónán Murphy</w:t>
            </w:r>
          </w:p>
        </w:tc>
        <w:tc>
          <w:tcPr>
            <w:tcW w:w="4360" w:type="dxa"/>
            <w:vAlign w:val="bottom"/>
            <w:tcBorders>
              <w:bottom w:val="single" w:sz="8" w:color="auto"/>
            </w:tcBorders>
            <w:shd w:val="clear" w:color="auto" w:fill="CCEEFF"/>
          </w:tcPr>
          <w:p>
            <w:pPr>
              <w:spacing w:after="0"/>
              <w:rPr>
                <w:sz w:val="13"/>
                <w:szCs w:val="13"/>
                <w:color w:val="auto"/>
              </w:rPr>
            </w:pPr>
          </w:p>
        </w:tc>
        <w:tc>
          <w:tcPr>
            <w:tcW w:w="188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3"/>
                <w:szCs w:val="13"/>
                <w:color w:val="auto"/>
              </w:rPr>
              <w:t>1,201</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$231.08</w:t>
            </w:r>
          </w:p>
        </w:tc>
        <w:tc>
          <w:tcPr>
            <w:tcW w:w="0" w:type="dxa"/>
            <w:vAlign w:val="bottom"/>
          </w:tcPr>
          <w:p>
            <w:pPr>
              <w:spacing w:after="0"/>
              <w:rPr>
                <w:sz w:val="1"/>
                <w:szCs w:val="1"/>
                <w:color w:val="auto"/>
              </w:rPr>
            </w:pPr>
          </w:p>
        </w:tc>
      </w:tr>
      <w:tr>
        <w:trPr>
          <w:trHeight w:val="160"/>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Professor Hugh Brady</w:t>
            </w:r>
          </w:p>
        </w:tc>
        <w:tc>
          <w:tcPr>
            <w:tcW w:w="436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color w:val="auto"/>
              </w:rPr>
              <w:t>1,201</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$231.08</w:t>
            </w:r>
          </w:p>
        </w:tc>
        <w:tc>
          <w:tcPr>
            <w:tcW w:w="0" w:type="dxa"/>
            <w:vAlign w:val="bottom"/>
          </w:tcPr>
          <w:p>
            <w:pPr>
              <w:spacing w:after="0"/>
              <w:rPr>
                <w:sz w:val="1"/>
                <w:szCs w:val="1"/>
                <w:color w:val="auto"/>
              </w:rPr>
            </w:pPr>
          </w:p>
        </w:tc>
      </w:tr>
      <w:tr>
        <w:trPr>
          <w:trHeight w:val="160"/>
        </w:trPr>
        <w:tc>
          <w:tcPr>
            <w:tcW w:w="3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Dr. John Climax</w:t>
            </w:r>
          </w:p>
        </w:tc>
        <w:tc>
          <w:tcPr>
            <w:tcW w:w="4360" w:type="dxa"/>
            <w:vAlign w:val="bottom"/>
            <w:tcBorders>
              <w:bottom w:val="single" w:sz="8" w:color="auto"/>
            </w:tcBorders>
            <w:shd w:val="clear" w:color="auto" w:fill="CCEEFF"/>
          </w:tcPr>
          <w:p>
            <w:pPr>
              <w:spacing w:after="0"/>
              <w:rPr>
                <w:sz w:val="13"/>
                <w:szCs w:val="13"/>
                <w:color w:val="auto"/>
              </w:rPr>
            </w:pPr>
          </w:p>
        </w:tc>
        <w:tc>
          <w:tcPr>
            <w:tcW w:w="188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3"/>
                <w:szCs w:val="13"/>
                <w:color w:val="auto"/>
              </w:rPr>
              <w:t>1,201</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$231.08</w:t>
            </w:r>
          </w:p>
        </w:tc>
        <w:tc>
          <w:tcPr>
            <w:tcW w:w="0" w:type="dxa"/>
            <w:vAlign w:val="bottom"/>
          </w:tcPr>
          <w:p>
            <w:pPr>
              <w:spacing w:after="0"/>
              <w:rPr>
                <w:sz w:val="1"/>
                <w:szCs w:val="1"/>
                <w:color w:val="auto"/>
              </w:rPr>
            </w:pPr>
          </w:p>
        </w:tc>
      </w:tr>
      <w:tr>
        <w:trPr>
          <w:trHeight w:val="160"/>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Joan Garahy</w:t>
            </w:r>
          </w:p>
        </w:tc>
        <w:tc>
          <w:tcPr>
            <w:tcW w:w="436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color w:val="auto"/>
              </w:rPr>
              <w:t>1,201</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$231.08</w:t>
            </w:r>
          </w:p>
        </w:tc>
        <w:tc>
          <w:tcPr>
            <w:tcW w:w="0" w:type="dxa"/>
            <w:vAlign w:val="bottom"/>
          </w:tcPr>
          <w:p>
            <w:pPr>
              <w:spacing w:after="0"/>
              <w:rPr>
                <w:sz w:val="1"/>
                <w:szCs w:val="1"/>
                <w:color w:val="auto"/>
              </w:rPr>
            </w:pPr>
          </w:p>
        </w:tc>
      </w:tr>
      <w:tr>
        <w:trPr>
          <w:trHeight w:val="160"/>
        </w:trPr>
        <w:tc>
          <w:tcPr>
            <w:tcW w:w="3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Professor William Hall</w:t>
            </w:r>
          </w:p>
        </w:tc>
        <w:tc>
          <w:tcPr>
            <w:tcW w:w="4360" w:type="dxa"/>
            <w:vAlign w:val="bottom"/>
            <w:tcBorders>
              <w:bottom w:val="single" w:sz="8" w:color="auto"/>
            </w:tcBorders>
            <w:shd w:val="clear" w:color="auto" w:fill="CCEEFF"/>
          </w:tcPr>
          <w:p>
            <w:pPr>
              <w:spacing w:after="0"/>
              <w:rPr>
                <w:sz w:val="13"/>
                <w:szCs w:val="13"/>
                <w:color w:val="auto"/>
              </w:rPr>
            </w:pPr>
          </w:p>
        </w:tc>
        <w:tc>
          <w:tcPr>
            <w:tcW w:w="188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3"/>
                <w:szCs w:val="13"/>
                <w:color w:val="auto"/>
              </w:rPr>
              <w:t>1,201</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$231.08</w:t>
            </w:r>
          </w:p>
        </w:tc>
        <w:tc>
          <w:tcPr>
            <w:tcW w:w="0" w:type="dxa"/>
            <w:vAlign w:val="bottom"/>
          </w:tcPr>
          <w:p>
            <w:pPr>
              <w:spacing w:after="0"/>
              <w:rPr>
                <w:sz w:val="1"/>
                <w:szCs w:val="1"/>
                <w:color w:val="auto"/>
              </w:rPr>
            </w:pPr>
          </w:p>
        </w:tc>
      </w:tr>
      <w:tr>
        <w:trPr>
          <w:trHeight w:val="160"/>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Eugene McCague</w:t>
            </w:r>
          </w:p>
        </w:tc>
        <w:tc>
          <w:tcPr>
            <w:tcW w:w="436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color w:val="auto"/>
              </w:rPr>
              <w:t>1,201</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$231.08</w:t>
            </w:r>
          </w:p>
        </w:tc>
        <w:tc>
          <w:tcPr>
            <w:tcW w:w="0" w:type="dxa"/>
            <w:vAlign w:val="bottom"/>
          </w:tcPr>
          <w:p>
            <w:pPr>
              <w:spacing w:after="0"/>
              <w:rPr>
                <w:sz w:val="1"/>
                <w:szCs w:val="1"/>
                <w:color w:val="auto"/>
              </w:rPr>
            </w:pPr>
          </w:p>
        </w:tc>
      </w:tr>
      <w:tr>
        <w:trPr>
          <w:trHeight w:val="160"/>
        </w:trPr>
        <w:tc>
          <w:tcPr>
            <w:tcW w:w="3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Julie O'Neill</w:t>
            </w:r>
          </w:p>
        </w:tc>
        <w:tc>
          <w:tcPr>
            <w:tcW w:w="4360" w:type="dxa"/>
            <w:vAlign w:val="bottom"/>
            <w:tcBorders>
              <w:bottom w:val="single" w:sz="8" w:color="auto"/>
            </w:tcBorders>
            <w:shd w:val="clear" w:color="auto" w:fill="CCEEFF"/>
          </w:tcPr>
          <w:p>
            <w:pPr>
              <w:spacing w:after="0"/>
              <w:rPr>
                <w:sz w:val="13"/>
                <w:szCs w:val="13"/>
                <w:color w:val="auto"/>
              </w:rPr>
            </w:pPr>
          </w:p>
        </w:tc>
        <w:tc>
          <w:tcPr>
            <w:tcW w:w="188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3"/>
                <w:szCs w:val="13"/>
                <w:color w:val="auto"/>
              </w:rPr>
              <w:t>1,201</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$231.08</w:t>
            </w:r>
          </w:p>
        </w:tc>
        <w:tc>
          <w:tcPr>
            <w:tcW w:w="0" w:type="dxa"/>
            <w:vAlign w:val="bottom"/>
          </w:tcPr>
          <w:p>
            <w:pPr>
              <w:spacing w:after="0"/>
              <w:rPr>
                <w:sz w:val="1"/>
                <w:szCs w:val="1"/>
                <w:color w:val="auto"/>
              </w:rPr>
            </w:pPr>
          </w:p>
        </w:tc>
      </w:tr>
      <w:tr>
        <w:trPr>
          <w:trHeight w:val="160"/>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Mary Pendergast</w:t>
            </w:r>
          </w:p>
        </w:tc>
        <w:tc>
          <w:tcPr>
            <w:tcW w:w="436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color w:val="auto"/>
              </w:rPr>
              <w:t>1,201</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$231.08</w:t>
            </w:r>
          </w:p>
        </w:tc>
        <w:tc>
          <w:tcPr>
            <w:tcW w:w="0" w:type="dxa"/>
            <w:vAlign w:val="bottom"/>
          </w:tcPr>
          <w:p>
            <w:pPr>
              <w:spacing w:after="0"/>
              <w:rPr>
                <w:sz w:val="1"/>
                <w:szCs w:val="1"/>
                <w:color w:val="auto"/>
              </w:rPr>
            </w:pPr>
          </w:p>
        </w:tc>
      </w:tr>
      <w:tr>
        <w:trPr>
          <w:trHeight w:val="160"/>
        </w:trPr>
        <w:tc>
          <w:tcPr>
            <w:tcW w:w="3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Diarmaid Cunningham</w:t>
            </w:r>
          </w:p>
        </w:tc>
        <w:tc>
          <w:tcPr>
            <w:tcW w:w="4360" w:type="dxa"/>
            <w:vAlign w:val="bottom"/>
            <w:tcBorders>
              <w:bottom w:val="single" w:sz="8" w:color="auto"/>
            </w:tcBorders>
            <w:shd w:val="clear" w:color="auto" w:fill="CCEEFF"/>
          </w:tcPr>
          <w:p>
            <w:pPr>
              <w:spacing w:after="0"/>
              <w:rPr>
                <w:sz w:val="13"/>
                <w:szCs w:val="13"/>
                <w:color w:val="auto"/>
              </w:rPr>
            </w:pPr>
          </w:p>
        </w:tc>
        <w:tc>
          <w:tcPr>
            <w:tcW w:w="188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3"/>
                <w:szCs w:val="13"/>
                <w:color w:val="auto"/>
              </w:rPr>
              <w:t>4,627</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$174.96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70</w:t>
      </w:r>
    </w:p>
    <w:p>
      <w:pPr>
        <w:sectPr>
          <w:pgSz w:w="11900" w:h="16838" w:orient="portrait"/>
          <w:cols w:equalWidth="0" w:num="1">
            <w:col w:w="11260"/>
          </w:cols>
          <w:pgMar w:left="300" w:top="698"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190" w:lineRule="exact"/>
        <w:rPr>
          <w:sz w:val="20"/>
          <w:szCs w:val="20"/>
          <w:color w:val="auto"/>
        </w:rPr>
      </w:pPr>
    </w:p>
    <w:p>
      <w:pPr>
        <w:ind w:right="8640" w:firstLine="5"/>
        <w:spacing w:after="0" w:line="647" w:lineRule="auto"/>
        <w:tabs>
          <w:tab w:leader="none" w:pos="248" w:val="left"/>
        </w:tabs>
        <w:numPr>
          <w:ilvl w:val="0"/>
          <w:numId w:val="75"/>
        </w:numPr>
        <w:rPr>
          <w:rFonts w:ascii="Arial" w:cs="Arial" w:eastAsia="Arial" w:hAnsi="Arial"/>
          <w:sz w:val="13"/>
          <w:szCs w:val="13"/>
          <w:b w:val="1"/>
          <w:bCs w:val="1"/>
          <w:color w:val="auto"/>
        </w:rPr>
      </w:pPr>
      <w:r>
        <w:rPr>
          <w:rFonts w:ascii="Arial" w:cs="Arial" w:eastAsia="Arial" w:hAnsi="Arial"/>
          <w:sz w:val="13"/>
          <w:szCs w:val="13"/>
          <w:b w:val="1"/>
          <w:bCs w:val="1"/>
          <w:color w:val="auto"/>
        </w:rPr>
        <w:t>Payroll and related benefits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 Shares (vested RSUs) sold</w:t>
      </w:r>
    </w:p>
    <w:tbl>
      <w:tblPr>
        <w:tblLayout w:type="fixed"/>
        <w:tblInd w:w="0" w:type="dxa"/>
        <w:tblCellMar>
          <w:top w:w="0" w:type="dxa"/>
          <w:left w:w="0" w:type="dxa"/>
          <w:bottom w:w="0" w:type="dxa"/>
          <w:right w:w="0" w:type="dxa"/>
        </w:tblCellMar>
      </w:tblPr>
      <w:tr>
        <w:trPr>
          <w:trHeight w:val="128"/>
        </w:trPr>
        <w:tc>
          <w:tcPr>
            <w:tcW w:w="4980" w:type="dxa"/>
            <w:vAlign w:val="bottom"/>
            <w:shd w:val="clear" w:color="auto" w:fill="CCEEFF"/>
          </w:tcPr>
          <w:p>
            <w:pPr>
              <w:spacing w:after="0"/>
              <w:rPr>
                <w:sz w:val="11"/>
                <w:szCs w:val="11"/>
                <w:color w:val="auto"/>
              </w:rPr>
            </w:pPr>
          </w:p>
        </w:tc>
        <w:tc>
          <w:tcPr>
            <w:tcW w:w="5000" w:type="dxa"/>
            <w:vAlign w:val="bottom"/>
            <w:vMerge w:val="restart"/>
            <w:shd w:val="clear" w:color="auto" w:fill="CCEEFF"/>
          </w:tcPr>
          <w:p>
            <w:pPr>
              <w:jc w:val="right"/>
              <w:ind w:right="716"/>
              <w:spacing w:after="0"/>
              <w:rPr>
                <w:sz w:val="20"/>
                <w:szCs w:val="20"/>
                <w:color w:val="auto"/>
              </w:rPr>
            </w:pPr>
            <w:r>
              <w:rPr>
                <w:rFonts w:ascii="Arial" w:cs="Arial" w:eastAsia="Arial" w:hAnsi="Arial"/>
                <w:sz w:val="13"/>
                <w:szCs w:val="13"/>
                <w:b w:val="1"/>
                <w:bCs w:val="1"/>
                <w:color w:val="auto"/>
              </w:rPr>
              <w:t>Number</w:t>
            </w:r>
          </w:p>
        </w:tc>
        <w:tc>
          <w:tcPr>
            <w:tcW w:w="1280" w:type="dxa"/>
            <w:vAlign w:val="bottom"/>
            <w:shd w:val="clear" w:color="auto" w:fill="CCEEFF"/>
          </w:tcPr>
          <w:p>
            <w:pPr>
              <w:jc w:val="center"/>
              <w:ind w:left="636"/>
              <w:spacing w:after="0" w:line="128" w:lineRule="exact"/>
              <w:rPr>
                <w:sz w:val="20"/>
                <w:szCs w:val="20"/>
                <w:color w:val="auto"/>
              </w:rPr>
            </w:pPr>
            <w:r>
              <w:rPr>
                <w:rFonts w:ascii="Arial" w:cs="Arial" w:eastAsia="Arial" w:hAnsi="Arial"/>
                <w:sz w:val="13"/>
                <w:szCs w:val="13"/>
                <w:b w:val="1"/>
                <w:bCs w:val="1"/>
                <w:color w:val="auto"/>
                <w:w w:val="97"/>
              </w:rPr>
              <w:t>Average</w:t>
            </w:r>
          </w:p>
        </w:tc>
        <w:tc>
          <w:tcPr>
            <w:tcW w:w="0" w:type="dxa"/>
            <w:vAlign w:val="bottom"/>
          </w:tcPr>
          <w:p>
            <w:pPr>
              <w:spacing w:after="0"/>
              <w:rPr>
                <w:sz w:val="1"/>
                <w:szCs w:val="1"/>
                <w:color w:val="auto"/>
              </w:rPr>
            </w:pPr>
          </w:p>
        </w:tc>
      </w:tr>
      <w:tr>
        <w:trPr>
          <w:trHeight w:val="127"/>
        </w:trPr>
        <w:tc>
          <w:tcPr>
            <w:tcW w:w="4980" w:type="dxa"/>
            <w:vAlign w:val="bottom"/>
            <w:shd w:val="clear" w:color="auto" w:fill="CCEEFF"/>
          </w:tcPr>
          <w:p>
            <w:pPr>
              <w:spacing w:after="0"/>
              <w:rPr>
                <w:sz w:val="11"/>
                <w:szCs w:val="11"/>
                <w:color w:val="auto"/>
              </w:rPr>
            </w:pPr>
          </w:p>
        </w:tc>
        <w:tc>
          <w:tcPr>
            <w:tcW w:w="5000" w:type="dxa"/>
            <w:vAlign w:val="bottom"/>
            <w:vMerge w:val="continue"/>
            <w:shd w:val="clear" w:color="auto" w:fill="CCEEFF"/>
          </w:tcPr>
          <w:p>
            <w:pPr>
              <w:spacing w:after="0"/>
              <w:rPr>
                <w:sz w:val="11"/>
                <w:szCs w:val="11"/>
                <w:color w:val="auto"/>
              </w:rPr>
            </w:pPr>
          </w:p>
        </w:tc>
        <w:tc>
          <w:tcPr>
            <w:tcW w:w="1280" w:type="dxa"/>
            <w:vAlign w:val="bottom"/>
            <w:shd w:val="clear" w:color="auto" w:fill="CCEEFF"/>
          </w:tcPr>
          <w:p>
            <w:pPr>
              <w:ind w:left="900"/>
              <w:spacing w:after="0" w:line="128" w:lineRule="exact"/>
              <w:rPr>
                <w:sz w:val="20"/>
                <w:szCs w:val="20"/>
                <w:color w:val="auto"/>
              </w:rPr>
            </w:pPr>
            <w:r>
              <w:rPr>
                <w:rFonts w:ascii="Arial" w:cs="Arial" w:eastAsia="Arial" w:hAnsi="Arial"/>
                <w:sz w:val="13"/>
                <w:szCs w:val="13"/>
                <w:b w:val="1"/>
                <w:bCs w:val="1"/>
                <w:color w:val="auto"/>
              </w:rPr>
              <w:t>Sales</w:t>
            </w:r>
          </w:p>
        </w:tc>
        <w:tc>
          <w:tcPr>
            <w:tcW w:w="0" w:type="dxa"/>
            <w:vAlign w:val="bottom"/>
          </w:tcPr>
          <w:p>
            <w:pPr>
              <w:spacing w:after="0"/>
              <w:rPr>
                <w:sz w:val="1"/>
                <w:szCs w:val="1"/>
                <w:color w:val="auto"/>
              </w:rPr>
            </w:pPr>
          </w:p>
        </w:tc>
      </w:tr>
      <w:tr>
        <w:trPr>
          <w:trHeight w:val="170"/>
        </w:trPr>
        <w:tc>
          <w:tcPr>
            <w:tcW w:w="4980" w:type="dxa"/>
            <w:vAlign w:val="bottom"/>
            <w:tcBorders>
              <w:bottom w:val="single" w:sz="8" w:color="auto"/>
            </w:tcBorders>
            <w:shd w:val="clear" w:color="auto" w:fill="CCEEFF"/>
          </w:tcPr>
          <w:p>
            <w:pPr>
              <w:spacing w:after="0"/>
              <w:rPr>
                <w:sz w:val="14"/>
                <w:szCs w:val="14"/>
                <w:color w:val="auto"/>
              </w:rPr>
            </w:pPr>
          </w:p>
        </w:tc>
        <w:tc>
          <w:tcPr>
            <w:tcW w:w="500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3"/>
                <w:szCs w:val="13"/>
                <w:b w:val="1"/>
                <w:bCs w:val="1"/>
                <w:color w:val="auto"/>
              </w:rPr>
              <w:t>of Shares</w:t>
            </w:r>
          </w:p>
        </w:tc>
        <w:tc>
          <w:tcPr>
            <w:tcW w:w="128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3"/>
                <w:szCs w:val="13"/>
                <w:b w:val="1"/>
                <w:bCs w:val="1"/>
                <w:color w:val="auto"/>
                <w:w w:val="94"/>
              </w:rPr>
              <w:t>Price</w:t>
            </w:r>
          </w:p>
        </w:tc>
        <w:tc>
          <w:tcPr>
            <w:tcW w:w="0" w:type="dxa"/>
            <w:vAlign w:val="bottom"/>
          </w:tcPr>
          <w:p>
            <w:pPr>
              <w:spacing w:after="0"/>
              <w:rPr>
                <w:sz w:val="1"/>
                <w:szCs w:val="1"/>
                <w:color w:val="auto"/>
              </w:rPr>
            </w:pPr>
          </w:p>
        </w:tc>
      </w:tr>
      <w:tr>
        <w:trPr>
          <w:trHeight w:val="159"/>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Dr. Steve Cutler</w:t>
            </w:r>
          </w:p>
        </w:tc>
        <w:tc>
          <w:tcPr>
            <w:tcW w:w="5000" w:type="dxa"/>
            <w:vAlign w:val="bottom"/>
            <w:tcBorders>
              <w:bottom w:val="single" w:sz="8" w:color="auto"/>
            </w:tcBorders>
          </w:tcPr>
          <w:p>
            <w:pPr>
              <w:jc w:val="right"/>
              <w:ind w:right="716"/>
              <w:spacing w:after="0"/>
              <w:rPr>
                <w:sz w:val="20"/>
                <w:szCs w:val="20"/>
                <w:color w:val="auto"/>
              </w:rPr>
            </w:pPr>
            <w:r>
              <w:rPr>
                <w:rFonts w:ascii="Arial" w:cs="Arial" w:eastAsia="Arial" w:hAnsi="Arial"/>
                <w:sz w:val="13"/>
                <w:szCs w:val="13"/>
                <w:color w:val="auto"/>
              </w:rPr>
              <w:t>34,832</w:t>
            </w:r>
          </w:p>
        </w:tc>
        <w:tc>
          <w:tcPr>
            <w:tcW w:w="1280" w:type="dxa"/>
            <w:vAlign w:val="bottom"/>
            <w:tcBorders>
              <w:bottom w:val="single" w:sz="8" w:color="auto"/>
            </w:tcBorders>
          </w:tcPr>
          <w:p>
            <w:pPr>
              <w:jc w:val="center"/>
              <w:ind w:left="636"/>
              <w:spacing w:after="0"/>
              <w:rPr>
                <w:sz w:val="20"/>
                <w:szCs w:val="20"/>
                <w:color w:val="auto"/>
              </w:rPr>
            </w:pPr>
            <w:r>
              <w:rPr>
                <w:rFonts w:ascii="Arial" w:cs="Arial" w:eastAsia="Arial" w:hAnsi="Arial"/>
                <w:sz w:val="13"/>
                <w:szCs w:val="13"/>
                <w:color w:val="auto"/>
                <w:w w:val="97"/>
              </w:rPr>
              <w:t>$215.95</w:t>
            </w:r>
          </w:p>
        </w:tc>
        <w:tc>
          <w:tcPr>
            <w:tcW w:w="0" w:type="dxa"/>
            <w:vAlign w:val="bottom"/>
          </w:tcPr>
          <w:p>
            <w:pPr>
              <w:spacing w:after="0"/>
              <w:rPr>
                <w:sz w:val="1"/>
                <w:szCs w:val="1"/>
                <w:color w:val="auto"/>
              </w:rPr>
            </w:pPr>
          </w:p>
        </w:tc>
      </w:tr>
      <w:tr>
        <w:trPr>
          <w:trHeight w:val="160"/>
        </w:trPr>
        <w:tc>
          <w:tcPr>
            <w:tcW w:w="4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Brendan Brennan</w:t>
            </w:r>
          </w:p>
        </w:tc>
        <w:tc>
          <w:tcPr>
            <w:tcW w:w="500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3"/>
                <w:szCs w:val="13"/>
                <w:color w:val="auto"/>
              </w:rPr>
              <w:t>5,277</w:t>
            </w:r>
          </w:p>
        </w:tc>
        <w:tc>
          <w:tcPr>
            <w:tcW w:w="1280" w:type="dxa"/>
            <w:vAlign w:val="bottom"/>
            <w:tcBorders>
              <w:bottom w:val="single" w:sz="8" w:color="auto"/>
            </w:tcBorders>
            <w:shd w:val="clear" w:color="auto" w:fill="CCEEFF"/>
          </w:tcPr>
          <w:p>
            <w:pPr>
              <w:jc w:val="center"/>
              <w:ind w:left="636"/>
              <w:spacing w:after="0"/>
              <w:rPr>
                <w:sz w:val="20"/>
                <w:szCs w:val="20"/>
                <w:color w:val="auto"/>
              </w:rPr>
            </w:pPr>
            <w:r>
              <w:rPr>
                <w:rFonts w:ascii="Arial" w:cs="Arial" w:eastAsia="Arial" w:hAnsi="Arial"/>
                <w:sz w:val="13"/>
                <w:szCs w:val="13"/>
                <w:color w:val="auto"/>
                <w:w w:val="97"/>
              </w:rPr>
              <w:t>$194.19</w:t>
            </w:r>
          </w:p>
        </w:tc>
        <w:tc>
          <w:tcPr>
            <w:tcW w:w="0" w:type="dxa"/>
            <w:vAlign w:val="bottom"/>
          </w:tcPr>
          <w:p>
            <w:pPr>
              <w:spacing w:after="0"/>
              <w:rPr>
                <w:sz w:val="1"/>
                <w:szCs w:val="1"/>
                <w:color w:val="auto"/>
              </w:rPr>
            </w:pPr>
          </w:p>
        </w:tc>
      </w:tr>
      <w:tr>
        <w:trPr>
          <w:trHeight w:val="160"/>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Ciaran Murray</w:t>
            </w:r>
          </w:p>
        </w:tc>
        <w:tc>
          <w:tcPr>
            <w:tcW w:w="5000" w:type="dxa"/>
            <w:vAlign w:val="bottom"/>
            <w:tcBorders>
              <w:bottom w:val="single" w:sz="8" w:color="auto"/>
            </w:tcBorders>
          </w:tcPr>
          <w:p>
            <w:pPr>
              <w:jc w:val="right"/>
              <w:ind w:right="716"/>
              <w:spacing w:after="0"/>
              <w:rPr>
                <w:sz w:val="20"/>
                <w:szCs w:val="20"/>
                <w:color w:val="auto"/>
              </w:rPr>
            </w:pPr>
            <w:r>
              <w:rPr>
                <w:rFonts w:ascii="Arial" w:cs="Arial" w:eastAsia="Arial" w:hAnsi="Arial"/>
                <w:sz w:val="13"/>
                <w:szCs w:val="13"/>
                <w:color w:val="auto"/>
              </w:rPr>
              <w:t>637</w:t>
            </w:r>
          </w:p>
        </w:tc>
        <w:tc>
          <w:tcPr>
            <w:tcW w:w="1280" w:type="dxa"/>
            <w:vAlign w:val="bottom"/>
            <w:tcBorders>
              <w:bottom w:val="single" w:sz="8" w:color="auto"/>
            </w:tcBorders>
          </w:tcPr>
          <w:p>
            <w:pPr>
              <w:jc w:val="center"/>
              <w:ind w:left="636"/>
              <w:spacing w:after="0"/>
              <w:rPr>
                <w:sz w:val="20"/>
                <w:szCs w:val="20"/>
                <w:color w:val="auto"/>
              </w:rPr>
            </w:pPr>
            <w:r>
              <w:rPr>
                <w:rFonts w:ascii="Arial" w:cs="Arial" w:eastAsia="Arial" w:hAnsi="Arial"/>
                <w:sz w:val="13"/>
                <w:szCs w:val="13"/>
                <w:color w:val="auto"/>
                <w:w w:val="97"/>
              </w:rPr>
              <w:t>$231.67</w:t>
            </w:r>
          </w:p>
        </w:tc>
        <w:tc>
          <w:tcPr>
            <w:tcW w:w="0" w:type="dxa"/>
            <w:vAlign w:val="bottom"/>
          </w:tcPr>
          <w:p>
            <w:pPr>
              <w:spacing w:after="0"/>
              <w:rPr>
                <w:sz w:val="1"/>
                <w:szCs w:val="1"/>
                <w:color w:val="auto"/>
              </w:rPr>
            </w:pPr>
          </w:p>
        </w:tc>
      </w:tr>
      <w:tr>
        <w:trPr>
          <w:trHeight w:val="160"/>
        </w:trPr>
        <w:tc>
          <w:tcPr>
            <w:tcW w:w="4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Rónán Murphy</w:t>
            </w:r>
          </w:p>
        </w:tc>
        <w:tc>
          <w:tcPr>
            <w:tcW w:w="500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3"/>
                <w:szCs w:val="13"/>
                <w:color w:val="auto"/>
              </w:rPr>
              <w:t>637</w:t>
            </w:r>
          </w:p>
        </w:tc>
        <w:tc>
          <w:tcPr>
            <w:tcW w:w="1280" w:type="dxa"/>
            <w:vAlign w:val="bottom"/>
            <w:tcBorders>
              <w:bottom w:val="single" w:sz="8" w:color="auto"/>
            </w:tcBorders>
            <w:shd w:val="clear" w:color="auto" w:fill="CCEEFF"/>
          </w:tcPr>
          <w:p>
            <w:pPr>
              <w:jc w:val="center"/>
              <w:ind w:left="636"/>
              <w:spacing w:after="0"/>
              <w:rPr>
                <w:sz w:val="20"/>
                <w:szCs w:val="20"/>
                <w:color w:val="auto"/>
              </w:rPr>
            </w:pPr>
            <w:r>
              <w:rPr>
                <w:rFonts w:ascii="Arial" w:cs="Arial" w:eastAsia="Arial" w:hAnsi="Arial"/>
                <w:sz w:val="13"/>
                <w:szCs w:val="13"/>
                <w:color w:val="auto"/>
                <w:w w:val="97"/>
              </w:rPr>
              <w:t>$232.68</w:t>
            </w:r>
          </w:p>
        </w:tc>
        <w:tc>
          <w:tcPr>
            <w:tcW w:w="0" w:type="dxa"/>
            <w:vAlign w:val="bottom"/>
          </w:tcPr>
          <w:p>
            <w:pPr>
              <w:spacing w:after="0"/>
              <w:rPr>
                <w:sz w:val="1"/>
                <w:szCs w:val="1"/>
                <w:color w:val="auto"/>
              </w:rPr>
            </w:pPr>
          </w:p>
        </w:tc>
      </w:tr>
      <w:tr>
        <w:trPr>
          <w:trHeight w:val="160"/>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Professor Hugh Brady</w:t>
            </w:r>
          </w:p>
        </w:tc>
        <w:tc>
          <w:tcPr>
            <w:tcW w:w="5000" w:type="dxa"/>
            <w:vAlign w:val="bottom"/>
            <w:tcBorders>
              <w:bottom w:val="single" w:sz="8" w:color="auto"/>
            </w:tcBorders>
          </w:tcPr>
          <w:p>
            <w:pPr>
              <w:jc w:val="right"/>
              <w:ind w:right="716"/>
              <w:spacing w:after="0"/>
              <w:rPr>
                <w:sz w:val="20"/>
                <w:szCs w:val="20"/>
                <w:color w:val="auto"/>
              </w:rPr>
            </w:pPr>
            <w:r>
              <w:rPr>
                <w:rFonts w:ascii="Arial" w:cs="Arial" w:eastAsia="Arial" w:hAnsi="Arial"/>
                <w:sz w:val="13"/>
                <w:szCs w:val="13"/>
                <w:color w:val="auto"/>
              </w:rPr>
              <w:t>612</w:t>
            </w:r>
          </w:p>
        </w:tc>
        <w:tc>
          <w:tcPr>
            <w:tcW w:w="1280" w:type="dxa"/>
            <w:vAlign w:val="bottom"/>
            <w:tcBorders>
              <w:bottom w:val="single" w:sz="8" w:color="auto"/>
            </w:tcBorders>
          </w:tcPr>
          <w:p>
            <w:pPr>
              <w:jc w:val="center"/>
              <w:ind w:left="636"/>
              <w:spacing w:after="0"/>
              <w:rPr>
                <w:sz w:val="20"/>
                <w:szCs w:val="20"/>
                <w:color w:val="auto"/>
              </w:rPr>
            </w:pPr>
            <w:r>
              <w:rPr>
                <w:rFonts w:ascii="Arial" w:cs="Arial" w:eastAsia="Arial" w:hAnsi="Arial"/>
                <w:sz w:val="13"/>
                <w:szCs w:val="13"/>
                <w:color w:val="auto"/>
                <w:w w:val="97"/>
              </w:rPr>
              <w:t>$231.53</w:t>
            </w:r>
          </w:p>
        </w:tc>
        <w:tc>
          <w:tcPr>
            <w:tcW w:w="0" w:type="dxa"/>
            <w:vAlign w:val="bottom"/>
          </w:tcPr>
          <w:p>
            <w:pPr>
              <w:spacing w:after="0"/>
              <w:rPr>
                <w:sz w:val="1"/>
                <w:szCs w:val="1"/>
                <w:color w:val="auto"/>
              </w:rPr>
            </w:pPr>
          </w:p>
        </w:tc>
      </w:tr>
      <w:tr>
        <w:trPr>
          <w:trHeight w:val="160"/>
        </w:trPr>
        <w:tc>
          <w:tcPr>
            <w:tcW w:w="4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Dr. John Climax</w:t>
            </w:r>
          </w:p>
        </w:tc>
        <w:tc>
          <w:tcPr>
            <w:tcW w:w="500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3"/>
                <w:szCs w:val="13"/>
                <w:color w:val="auto"/>
              </w:rPr>
              <w:t>588</w:t>
            </w:r>
          </w:p>
        </w:tc>
        <w:tc>
          <w:tcPr>
            <w:tcW w:w="1280" w:type="dxa"/>
            <w:vAlign w:val="bottom"/>
            <w:tcBorders>
              <w:bottom w:val="single" w:sz="8" w:color="auto"/>
            </w:tcBorders>
            <w:shd w:val="clear" w:color="auto" w:fill="CCEEFF"/>
          </w:tcPr>
          <w:p>
            <w:pPr>
              <w:jc w:val="center"/>
              <w:ind w:left="636"/>
              <w:spacing w:after="0"/>
              <w:rPr>
                <w:sz w:val="20"/>
                <w:szCs w:val="20"/>
                <w:color w:val="auto"/>
              </w:rPr>
            </w:pPr>
            <w:r>
              <w:rPr>
                <w:rFonts w:ascii="Arial" w:cs="Arial" w:eastAsia="Arial" w:hAnsi="Arial"/>
                <w:sz w:val="13"/>
                <w:szCs w:val="13"/>
                <w:color w:val="auto"/>
                <w:w w:val="97"/>
              </w:rPr>
              <w:t>$231.99</w:t>
            </w:r>
          </w:p>
        </w:tc>
        <w:tc>
          <w:tcPr>
            <w:tcW w:w="0" w:type="dxa"/>
            <w:vAlign w:val="bottom"/>
          </w:tcPr>
          <w:p>
            <w:pPr>
              <w:spacing w:after="0"/>
              <w:rPr>
                <w:sz w:val="1"/>
                <w:szCs w:val="1"/>
                <w:color w:val="auto"/>
              </w:rPr>
            </w:pPr>
          </w:p>
        </w:tc>
      </w:tr>
      <w:tr>
        <w:trPr>
          <w:trHeight w:val="160"/>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Joan Garahy</w:t>
            </w:r>
          </w:p>
        </w:tc>
        <w:tc>
          <w:tcPr>
            <w:tcW w:w="5000" w:type="dxa"/>
            <w:vAlign w:val="bottom"/>
            <w:tcBorders>
              <w:bottom w:val="single" w:sz="8" w:color="auto"/>
            </w:tcBorders>
          </w:tcPr>
          <w:p>
            <w:pPr>
              <w:jc w:val="right"/>
              <w:ind w:right="716"/>
              <w:spacing w:after="0"/>
              <w:rPr>
                <w:sz w:val="20"/>
                <w:szCs w:val="20"/>
                <w:color w:val="auto"/>
              </w:rPr>
            </w:pPr>
            <w:r>
              <w:rPr>
                <w:rFonts w:ascii="Arial" w:cs="Arial" w:eastAsia="Arial" w:hAnsi="Arial"/>
                <w:sz w:val="13"/>
                <w:szCs w:val="13"/>
                <w:color w:val="auto"/>
              </w:rPr>
              <w:t>637</w:t>
            </w:r>
          </w:p>
        </w:tc>
        <w:tc>
          <w:tcPr>
            <w:tcW w:w="1280" w:type="dxa"/>
            <w:vAlign w:val="bottom"/>
            <w:tcBorders>
              <w:bottom w:val="single" w:sz="8" w:color="auto"/>
            </w:tcBorders>
          </w:tcPr>
          <w:p>
            <w:pPr>
              <w:jc w:val="center"/>
              <w:ind w:left="636"/>
              <w:spacing w:after="0"/>
              <w:rPr>
                <w:sz w:val="20"/>
                <w:szCs w:val="20"/>
                <w:color w:val="auto"/>
              </w:rPr>
            </w:pPr>
            <w:r>
              <w:rPr>
                <w:rFonts w:ascii="Arial" w:cs="Arial" w:eastAsia="Arial" w:hAnsi="Arial"/>
                <w:sz w:val="13"/>
                <w:szCs w:val="13"/>
                <w:color w:val="auto"/>
                <w:w w:val="97"/>
              </w:rPr>
              <w:t>$231.09</w:t>
            </w:r>
          </w:p>
        </w:tc>
        <w:tc>
          <w:tcPr>
            <w:tcW w:w="0" w:type="dxa"/>
            <w:vAlign w:val="bottom"/>
          </w:tcPr>
          <w:p>
            <w:pPr>
              <w:spacing w:after="0"/>
              <w:rPr>
                <w:sz w:val="1"/>
                <w:szCs w:val="1"/>
                <w:color w:val="auto"/>
              </w:rPr>
            </w:pPr>
          </w:p>
        </w:tc>
      </w:tr>
      <w:tr>
        <w:trPr>
          <w:trHeight w:val="160"/>
        </w:trPr>
        <w:tc>
          <w:tcPr>
            <w:tcW w:w="4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Professor William Hall</w:t>
            </w:r>
          </w:p>
        </w:tc>
        <w:tc>
          <w:tcPr>
            <w:tcW w:w="500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3"/>
                <w:szCs w:val="13"/>
                <w:color w:val="auto"/>
              </w:rPr>
              <w:t>1,201</w:t>
            </w:r>
          </w:p>
        </w:tc>
        <w:tc>
          <w:tcPr>
            <w:tcW w:w="1280" w:type="dxa"/>
            <w:vAlign w:val="bottom"/>
            <w:tcBorders>
              <w:bottom w:val="single" w:sz="8" w:color="auto"/>
            </w:tcBorders>
            <w:shd w:val="clear" w:color="auto" w:fill="CCEEFF"/>
          </w:tcPr>
          <w:p>
            <w:pPr>
              <w:jc w:val="center"/>
              <w:ind w:left="636"/>
              <w:spacing w:after="0"/>
              <w:rPr>
                <w:sz w:val="20"/>
                <w:szCs w:val="20"/>
                <w:color w:val="auto"/>
              </w:rPr>
            </w:pPr>
            <w:r>
              <w:rPr>
                <w:rFonts w:ascii="Arial" w:cs="Arial" w:eastAsia="Arial" w:hAnsi="Arial"/>
                <w:sz w:val="13"/>
                <w:szCs w:val="13"/>
                <w:color w:val="auto"/>
                <w:w w:val="97"/>
              </w:rPr>
              <w:t>$224.02</w:t>
            </w:r>
          </w:p>
        </w:tc>
        <w:tc>
          <w:tcPr>
            <w:tcW w:w="0" w:type="dxa"/>
            <w:vAlign w:val="bottom"/>
          </w:tcPr>
          <w:p>
            <w:pPr>
              <w:spacing w:after="0"/>
              <w:rPr>
                <w:sz w:val="1"/>
                <w:szCs w:val="1"/>
                <w:color w:val="auto"/>
              </w:rPr>
            </w:pPr>
          </w:p>
        </w:tc>
      </w:tr>
      <w:tr>
        <w:trPr>
          <w:trHeight w:val="160"/>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Eugene McCague</w:t>
            </w:r>
          </w:p>
        </w:tc>
        <w:tc>
          <w:tcPr>
            <w:tcW w:w="5000" w:type="dxa"/>
            <w:vAlign w:val="bottom"/>
            <w:tcBorders>
              <w:bottom w:val="single" w:sz="8" w:color="auto"/>
            </w:tcBorders>
          </w:tcPr>
          <w:p>
            <w:pPr>
              <w:jc w:val="right"/>
              <w:ind w:right="716"/>
              <w:spacing w:after="0"/>
              <w:rPr>
                <w:sz w:val="20"/>
                <w:szCs w:val="20"/>
                <w:color w:val="auto"/>
              </w:rPr>
            </w:pPr>
            <w:r>
              <w:rPr>
                <w:rFonts w:ascii="Arial" w:cs="Arial" w:eastAsia="Arial" w:hAnsi="Arial"/>
                <w:sz w:val="13"/>
                <w:szCs w:val="13"/>
                <w:color w:val="auto"/>
              </w:rPr>
              <w:t>637</w:t>
            </w:r>
          </w:p>
        </w:tc>
        <w:tc>
          <w:tcPr>
            <w:tcW w:w="1280" w:type="dxa"/>
            <w:vAlign w:val="bottom"/>
            <w:tcBorders>
              <w:bottom w:val="single" w:sz="8" w:color="auto"/>
            </w:tcBorders>
          </w:tcPr>
          <w:p>
            <w:pPr>
              <w:jc w:val="center"/>
              <w:ind w:left="636"/>
              <w:spacing w:after="0"/>
              <w:rPr>
                <w:sz w:val="20"/>
                <w:szCs w:val="20"/>
                <w:color w:val="auto"/>
              </w:rPr>
            </w:pPr>
            <w:r>
              <w:rPr>
                <w:rFonts w:ascii="Arial" w:cs="Arial" w:eastAsia="Arial" w:hAnsi="Arial"/>
                <w:sz w:val="13"/>
                <w:szCs w:val="13"/>
                <w:color w:val="auto"/>
                <w:w w:val="97"/>
              </w:rPr>
              <w:t>$231.99</w:t>
            </w:r>
          </w:p>
        </w:tc>
        <w:tc>
          <w:tcPr>
            <w:tcW w:w="0" w:type="dxa"/>
            <w:vAlign w:val="bottom"/>
          </w:tcPr>
          <w:p>
            <w:pPr>
              <w:spacing w:after="0"/>
              <w:rPr>
                <w:sz w:val="1"/>
                <w:szCs w:val="1"/>
                <w:color w:val="auto"/>
              </w:rPr>
            </w:pPr>
          </w:p>
        </w:tc>
      </w:tr>
      <w:tr>
        <w:trPr>
          <w:trHeight w:val="160"/>
        </w:trPr>
        <w:tc>
          <w:tcPr>
            <w:tcW w:w="4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Julie O'Neill</w:t>
            </w:r>
          </w:p>
        </w:tc>
        <w:tc>
          <w:tcPr>
            <w:tcW w:w="500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3"/>
                <w:szCs w:val="13"/>
                <w:color w:val="auto"/>
              </w:rPr>
              <w:t>637</w:t>
            </w:r>
          </w:p>
        </w:tc>
        <w:tc>
          <w:tcPr>
            <w:tcW w:w="1280" w:type="dxa"/>
            <w:vAlign w:val="bottom"/>
            <w:tcBorders>
              <w:bottom w:val="single" w:sz="8" w:color="auto"/>
            </w:tcBorders>
            <w:shd w:val="clear" w:color="auto" w:fill="CCEEFF"/>
          </w:tcPr>
          <w:p>
            <w:pPr>
              <w:jc w:val="center"/>
              <w:ind w:left="636"/>
              <w:spacing w:after="0"/>
              <w:rPr>
                <w:sz w:val="20"/>
                <w:szCs w:val="20"/>
                <w:color w:val="auto"/>
              </w:rPr>
            </w:pPr>
            <w:r>
              <w:rPr>
                <w:rFonts w:ascii="Arial" w:cs="Arial" w:eastAsia="Arial" w:hAnsi="Arial"/>
                <w:sz w:val="13"/>
                <w:szCs w:val="13"/>
                <w:color w:val="auto"/>
                <w:w w:val="97"/>
              </w:rPr>
              <w:t>$232.33</w:t>
            </w:r>
          </w:p>
        </w:tc>
        <w:tc>
          <w:tcPr>
            <w:tcW w:w="0" w:type="dxa"/>
            <w:vAlign w:val="bottom"/>
          </w:tcPr>
          <w:p>
            <w:pPr>
              <w:spacing w:after="0"/>
              <w:rPr>
                <w:sz w:val="1"/>
                <w:szCs w:val="1"/>
                <w:color w:val="auto"/>
              </w:rPr>
            </w:pPr>
          </w:p>
        </w:tc>
      </w:tr>
      <w:tr>
        <w:trPr>
          <w:trHeight w:val="160"/>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Mary Pendergast</w:t>
            </w:r>
          </w:p>
        </w:tc>
        <w:tc>
          <w:tcPr>
            <w:tcW w:w="5000" w:type="dxa"/>
            <w:vAlign w:val="bottom"/>
            <w:tcBorders>
              <w:bottom w:val="single" w:sz="8" w:color="auto"/>
            </w:tcBorders>
          </w:tcPr>
          <w:p>
            <w:pPr>
              <w:jc w:val="right"/>
              <w:ind w:right="716"/>
              <w:spacing w:after="0"/>
              <w:rPr>
                <w:sz w:val="20"/>
                <w:szCs w:val="20"/>
                <w:color w:val="auto"/>
              </w:rPr>
            </w:pPr>
            <w:r>
              <w:rPr>
                <w:rFonts w:ascii="Arial" w:cs="Arial" w:eastAsia="Arial" w:hAnsi="Arial"/>
                <w:sz w:val="13"/>
                <w:szCs w:val="13"/>
                <w:color w:val="auto"/>
              </w:rPr>
              <w:t>588</w:t>
            </w:r>
          </w:p>
        </w:tc>
        <w:tc>
          <w:tcPr>
            <w:tcW w:w="1280" w:type="dxa"/>
            <w:vAlign w:val="bottom"/>
            <w:tcBorders>
              <w:bottom w:val="single" w:sz="8" w:color="auto"/>
            </w:tcBorders>
          </w:tcPr>
          <w:p>
            <w:pPr>
              <w:jc w:val="center"/>
              <w:ind w:left="636"/>
              <w:spacing w:after="0"/>
              <w:rPr>
                <w:sz w:val="20"/>
                <w:szCs w:val="20"/>
                <w:color w:val="auto"/>
              </w:rPr>
            </w:pPr>
            <w:r>
              <w:rPr>
                <w:rFonts w:ascii="Arial" w:cs="Arial" w:eastAsia="Arial" w:hAnsi="Arial"/>
                <w:sz w:val="13"/>
                <w:szCs w:val="13"/>
                <w:color w:val="auto"/>
                <w:w w:val="97"/>
              </w:rPr>
              <w:t>$231.49</w:t>
            </w:r>
          </w:p>
        </w:tc>
        <w:tc>
          <w:tcPr>
            <w:tcW w:w="0" w:type="dxa"/>
            <w:vAlign w:val="bottom"/>
          </w:tcPr>
          <w:p>
            <w:pPr>
              <w:spacing w:after="0"/>
              <w:rPr>
                <w:sz w:val="1"/>
                <w:szCs w:val="1"/>
                <w:color w:val="auto"/>
              </w:rPr>
            </w:pPr>
          </w:p>
        </w:tc>
      </w:tr>
      <w:tr>
        <w:trPr>
          <w:trHeight w:val="160"/>
        </w:trPr>
        <w:tc>
          <w:tcPr>
            <w:tcW w:w="4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Diarmaid Cunningham</w:t>
            </w:r>
          </w:p>
        </w:tc>
        <w:tc>
          <w:tcPr>
            <w:tcW w:w="500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3"/>
                <w:szCs w:val="13"/>
                <w:color w:val="auto"/>
              </w:rPr>
              <w:t>2,470</w:t>
            </w:r>
          </w:p>
        </w:tc>
        <w:tc>
          <w:tcPr>
            <w:tcW w:w="1280" w:type="dxa"/>
            <w:vAlign w:val="bottom"/>
            <w:tcBorders>
              <w:bottom w:val="single" w:sz="8" w:color="auto"/>
            </w:tcBorders>
            <w:shd w:val="clear" w:color="auto" w:fill="CCEEFF"/>
          </w:tcPr>
          <w:p>
            <w:pPr>
              <w:jc w:val="center"/>
              <w:ind w:left="636"/>
              <w:spacing w:after="0"/>
              <w:rPr>
                <w:sz w:val="20"/>
                <w:szCs w:val="20"/>
                <w:color w:val="auto"/>
              </w:rPr>
            </w:pPr>
            <w:r>
              <w:rPr>
                <w:rFonts w:ascii="Arial" w:cs="Arial" w:eastAsia="Arial" w:hAnsi="Arial"/>
                <w:sz w:val="13"/>
                <w:szCs w:val="13"/>
                <w:color w:val="auto"/>
                <w:w w:val="97"/>
              </w:rPr>
              <w:t>$172.25</w:t>
            </w:r>
          </w:p>
        </w:tc>
        <w:tc>
          <w:tcPr>
            <w:tcW w:w="0" w:type="dxa"/>
            <w:vAlign w:val="bottom"/>
          </w:tcPr>
          <w:p>
            <w:pPr>
              <w:spacing w:after="0"/>
              <w:rPr>
                <w:sz w:val="1"/>
                <w:szCs w:val="1"/>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13"/>
          <w:szCs w:val="13"/>
          <w:color w:val="auto"/>
        </w:rPr>
        <w:t>The market price of the Company’s ordinary shares during the year ended 31 December 2021 moved in the range of $171.87 to $309.70 (year ended 31 December 2020: in the range of $115.95 to</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$214.08). The closing share price at 31 December 2021 was $309.70 (at 31 December 2020: $194.98).</w:t>
      </w:r>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Summary compensation table - Year ended 31 December 2021</w:t>
      </w:r>
    </w:p>
    <w:p>
      <w:pPr>
        <w:spacing w:after="0" w:line="83" w:lineRule="exact"/>
        <w:rPr>
          <w:sz w:val="20"/>
          <w:szCs w:val="20"/>
          <w:color w:val="auto"/>
        </w:rPr>
      </w:pPr>
    </w:p>
    <w:tbl>
      <w:tblPr>
        <w:tblLayout w:type="fixed"/>
        <w:tblInd w:w="10" w:type="dxa"/>
        <w:tblCellMar>
          <w:top w:w="0" w:type="dxa"/>
          <w:left w:w="0" w:type="dxa"/>
          <w:bottom w:w="0" w:type="dxa"/>
          <w:right w:w="0" w:type="dxa"/>
        </w:tblCellMar>
      </w:tblPr>
      <w:tr>
        <w:trPr>
          <w:trHeight w:val="131"/>
        </w:trPr>
        <w:tc>
          <w:tcPr>
            <w:tcW w:w="1340" w:type="dxa"/>
            <w:vAlign w:val="bottom"/>
            <w:tcBorders>
              <w:top w:val="single" w:sz="8" w:color="auto"/>
              <w:left w:val="single" w:sz="8" w:color="auto"/>
              <w:right w:val="single" w:sz="8" w:color="auto"/>
            </w:tcBorders>
            <w:shd w:val="clear" w:color="auto" w:fill="CCEEFF"/>
          </w:tcPr>
          <w:p>
            <w:pPr>
              <w:spacing w:after="0"/>
              <w:rPr>
                <w:sz w:val="11"/>
                <w:szCs w:val="11"/>
                <w:color w:val="auto"/>
              </w:rPr>
            </w:pPr>
          </w:p>
        </w:tc>
        <w:tc>
          <w:tcPr>
            <w:tcW w:w="620" w:type="dxa"/>
            <w:vAlign w:val="bottom"/>
            <w:tcBorders>
              <w:top w:val="single" w:sz="8" w:color="auto"/>
              <w:right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34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1"/>
                <w:szCs w:val="11"/>
                <w:b w:val="1"/>
                <w:bCs w:val="1"/>
                <w:color w:val="auto"/>
              </w:rPr>
              <w:t>Company</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Performance related</w:t>
            </w:r>
          </w:p>
        </w:tc>
        <w:tc>
          <w:tcPr>
            <w:tcW w:w="1360" w:type="dxa"/>
            <w:vAlign w:val="bottom"/>
            <w:tcBorders>
              <w:top w:val="single" w:sz="8" w:color="auto"/>
              <w:right w:val="single" w:sz="8" w:color="auto"/>
            </w:tcBorders>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All other compensation</w:t>
            </w:r>
          </w:p>
        </w:tc>
        <w:tc>
          <w:tcPr>
            <w:tcW w:w="940" w:type="dxa"/>
            <w:vAlign w:val="bottom"/>
            <w:tcBorders>
              <w:top w:val="single" w:sz="8" w:color="auto"/>
              <w:right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11"/>
                <w:szCs w:val="11"/>
                <w:b w:val="1"/>
                <w:bCs w:val="1"/>
                <w:color w:val="auto"/>
              </w:rPr>
              <w:t>Share-based</w:t>
            </w:r>
          </w:p>
        </w:tc>
        <w:tc>
          <w:tcPr>
            <w:tcW w:w="980" w:type="dxa"/>
            <w:vAlign w:val="bottom"/>
            <w:tcBorders>
              <w:top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Directors’ fees</w:t>
            </w:r>
          </w:p>
        </w:tc>
        <w:tc>
          <w:tcPr>
            <w:tcW w:w="1400" w:type="dxa"/>
            <w:vAlign w:val="bottom"/>
            <w:tcBorders>
              <w:top w:val="single" w:sz="8" w:color="auto"/>
              <w:right w:val="single" w:sz="8" w:color="auto"/>
            </w:tcBorders>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02"/>
        </w:trPr>
        <w:tc>
          <w:tcPr>
            <w:tcW w:w="1340" w:type="dxa"/>
            <w:vAlign w:val="bottom"/>
            <w:tcBorders>
              <w:left w:val="single" w:sz="8" w:color="auto"/>
              <w:right w:val="single" w:sz="8" w:color="auto"/>
            </w:tcBorders>
            <w:shd w:val="clear" w:color="auto" w:fill="CCEEFF"/>
          </w:tcPr>
          <w:p>
            <w:pPr>
              <w:spacing w:after="0"/>
              <w:rPr>
                <w:sz w:val="8"/>
                <w:szCs w:val="8"/>
                <w:color w:val="auto"/>
              </w:rPr>
            </w:pPr>
          </w:p>
        </w:tc>
        <w:tc>
          <w:tcPr>
            <w:tcW w:w="620" w:type="dxa"/>
            <w:vAlign w:val="bottom"/>
            <w:tcBorders>
              <w:right w:val="single" w:sz="8" w:color="auto"/>
            </w:tcBorders>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340" w:type="dxa"/>
            <w:vAlign w:val="bottom"/>
            <w:shd w:val="clear" w:color="auto" w:fill="CCEEFF"/>
          </w:tcPr>
          <w:p>
            <w:pPr>
              <w:jc w:val="right"/>
              <w:ind w:right="77"/>
              <w:spacing w:after="0" w:line="103" w:lineRule="exact"/>
              <w:rPr>
                <w:sz w:val="20"/>
                <w:szCs w:val="20"/>
                <w:color w:val="auto"/>
              </w:rPr>
            </w:pPr>
            <w:r>
              <w:rPr>
                <w:rFonts w:ascii="Arial" w:cs="Arial" w:eastAsia="Arial" w:hAnsi="Arial"/>
                <w:sz w:val="11"/>
                <w:szCs w:val="11"/>
                <w:b w:val="1"/>
                <w:bCs w:val="1"/>
                <w:color w:val="auto"/>
              </w:rPr>
              <w:t>pension contribution</w:t>
            </w:r>
          </w:p>
        </w:tc>
        <w:tc>
          <w:tcPr>
            <w:tcW w:w="1300" w:type="dxa"/>
            <w:vAlign w:val="bottom"/>
            <w:shd w:val="clear" w:color="auto" w:fill="CCEEFF"/>
          </w:tcPr>
          <w:p>
            <w:pPr>
              <w:jc w:val="right"/>
              <w:spacing w:after="0" w:line="103" w:lineRule="exact"/>
              <w:rPr>
                <w:sz w:val="20"/>
                <w:szCs w:val="20"/>
                <w:color w:val="auto"/>
              </w:rPr>
            </w:pPr>
            <w:r>
              <w:rPr>
                <w:rFonts w:ascii="Arial" w:cs="Arial" w:eastAsia="Arial" w:hAnsi="Arial"/>
                <w:sz w:val="11"/>
                <w:szCs w:val="11"/>
                <w:b w:val="1"/>
                <w:bCs w:val="1"/>
                <w:color w:val="auto"/>
              </w:rPr>
              <w:t>compensation</w:t>
            </w:r>
          </w:p>
        </w:tc>
        <w:tc>
          <w:tcPr>
            <w:tcW w:w="1360" w:type="dxa"/>
            <w:vAlign w:val="bottom"/>
            <w:tcBorders>
              <w:right w:val="single" w:sz="8" w:color="auto"/>
            </w:tcBorders>
            <w:vMerge w:val="continue"/>
            <w:shd w:val="clear" w:color="auto" w:fill="CCEEFF"/>
          </w:tcPr>
          <w:p>
            <w:pPr>
              <w:spacing w:after="0"/>
              <w:rPr>
                <w:sz w:val="8"/>
                <w:szCs w:val="8"/>
                <w:color w:val="auto"/>
              </w:rPr>
            </w:pPr>
          </w:p>
        </w:tc>
        <w:tc>
          <w:tcPr>
            <w:tcW w:w="940" w:type="dxa"/>
            <w:vAlign w:val="bottom"/>
            <w:tcBorders>
              <w:right w:val="single" w:sz="8" w:color="auto"/>
            </w:tcBorders>
            <w:shd w:val="clear" w:color="auto" w:fill="CCEEFF"/>
          </w:tcPr>
          <w:p>
            <w:pPr>
              <w:spacing w:after="0"/>
              <w:rPr>
                <w:sz w:val="8"/>
                <w:szCs w:val="8"/>
                <w:color w:val="auto"/>
              </w:rPr>
            </w:pPr>
          </w:p>
        </w:tc>
        <w:tc>
          <w:tcPr>
            <w:tcW w:w="1140" w:type="dxa"/>
            <w:vAlign w:val="bottom"/>
            <w:vMerge w:val="restart"/>
            <w:shd w:val="clear" w:color="auto" w:fill="CCEEFF"/>
          </w:tcPr>
          <w:p>
            <w:pPr>
              <w:jc w:val="right"/>
              <w:ind w:right="78"/>
              <w:spacing w:after="0"/>
              <w:rPr>
                <w:sz w:val="20"/>
                <w:szCs w:val="20"/>
                <w:color w:val="auto"/>
              </w:rPr>
            </w:pPr>
            <w:r>
              <w:rPr>
                <w:rFonts w:ascii="Arial" w:cs="Arial" w:eastAsia="Arial" w:hAnsi="Arial"/>
                <w:sz w:val="11"/>
                <w:szCs w:val="11"/>
                <w:b w:val="1"/>
                <w:bCs w:val="1"/>
                <w:color w:val="auto"/>
              </w:rPr>
              <w:t>payments</w:t>
            </w:r>
          </w:p>
        </w:tc>
        <w:tc>
          <w:tcPr>
            <w:tcW w:w="980" w:type="dxa"/>
            <w:vAlign w:val="bottom"/>
            <w:tcBorders>
              <w:right w:val="single" w:sz="8" w:color="auto"/>
            </w:tcBorders>
            <w:shd w:val="clear" w:color="auto" w:fill="CCEEFF"/>
          </w:tcPr>
          <w:p>
            <w:pPr>
              <w:spacing w:after="0"/>
              <w:rPr>
                <w:sz w:val="8"/>
                <w:szCs w:val="8"/>
                <w:color w:val="auto"/>
              </w:rPr>
            </w:pPr>
          </w:p>
        </w:tc>
        <w:tc>
          <w:tcPr>
            <w:tcW w:w="1400" w:type="dxa"/>
            <w:vAlign w:val="bottom"/>
            <w:tcBorders>
              <w:right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340" w:type="dxa"/>
            <w:vAlign w:val="bottom"/>
            <w:tcBorders>
              <w:left w:val="single" w:sz="8" w:color="auto"/>
              <w:right w:val="single" w:sz="8" w:color="auto"/>
            </w:tcBorders>
            <w:vMerge w:val="restart"/>
            <w:shd w:val="clear" w:color="auto" w:fill="CCEEFF"/>
          </w:tcPr>
          <w:p>
            <w:pPr>
              <w:ind w:left="520"/>
              <w:spacing w:after="0"/>
              <w:rPr>
                <w:sz w:val="20"/>
                <w:szCs w:val="20"/>
                <w:color w:val="auto"/>
              </w:rPr>
            </w:pPr>
            <w:r>
              <w:rPr>
                <w:rFonts w:ascii="Arial" w:cs="Arial" w:eastAsia="Arial" w:hAnsi="Arial"/>
                <w:sz w:val="11"/>
                <w:szCs w:val="11"/>
                <w:b w:val="1"/>
                <w:bCs w:val="1"/>
                <w:color w:val="auto"/>
              </w:rPr>
              <w:t>Name</w:t>
            </w:r>
          </w:p>
        </w:tc>
        <w:tc>
          <w:tcPr>
            <w:tcW w:w="62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1"/>
                <w:szCs w:val="11"/>
                <w:b w:val="1"/>
                <w:bCs w:val="1"/>
                <w:color w:val="auto"/>
              </w:rPr>
              <w:t>Year</w:t>
            </w:r>
          </w:p>
        </w:tc>
        <w:tc>
          <w:tcPr>
            <w:tcW w:w="860" w:type="dxa"/>
            <w:vAlign w:val="bottom"/>
            <w:vMerge w:val="restart"/>
            <w:shd w:val="clear" w:color="auto" w:fill="CCEEFF"/>
          </w:tcPr>
          <w:p>
            <w:pPr>
              <w:jc w:val="right"/>
              <w:ind w:right="17"/>
              <w:spacing w:after="0"/>
              <w:rPr>
                <w:sz w:val="20"/>
                <w:szCs w:val="20"/>
                <w:color w:val="auto"/>
              </w:rPr>
            </w:pPr>
            <w:r>
              <w:rPr>
                <w:rFonts w:ascii="Arial" w:cs="Arial" w:eastAsia="Arial" w:hAnsi="Arial"/>
                <w:sz w:val="11"/>
                <w:szCs w:val="11"/>
                <w:b w:val="1"/>
                <w:bCs w:val="1"/>
                <w:color w:val="auto"/>
              </w:rPr>
              <w:t>Salary</w:t>
            </w:r>
          </w:p>
        </w:tc>
        <w:tc>
          <w:tcPr>
            <w:tcW w:w="134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1360" w:type="dxa"/>
            <w:vAlign w:val="bottom"/>
            <w:tcBorders>
              <w:right w:val="single" w:sz="8" w:color="auto"/>
            </w:tcBorders>
            <w:shd w:val="clear" w:color="auto" w:fill="CCEEFF"/>
          </w:tcPr>
          <w:p>
            <w:pPr>
              <w:spacing w:after="0"/>
              <w:rPr>
                <w:sz w:val="5"/>
                <w:szCs w:val="5"/>
                <w:color w:val="auto"/>
              </w:rPr>
            </w:pPr>
          </w:p>
        </w:tc>
        <w:tc>
          <w:tcPr>
            <w:tcW w:w="94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Subtotal</w:t>
            </w:r>
          </w:p>
        </w:tc>
        <w:tc>
          <w:tcPr>
            <w:tcW w:w="1140" w:type="dxa"/>
            <w:vAlign w:val="bottom"/>
            <w:vMerge w:val="continue"/>
            <w:shd w:val="clear" w:color="auto" w:fill="CCEEFF"/>
          </w:tcPr>
          <w:p>
            <w:pPr>
              <w:spacing w:after="0"/>
              <w:rPr>
                <w:sz w:val="5"/>
                <w:szCs w:val="5"/>
                <w:color w:val="auto"/>
              </w:rPr>
            </w:pPr>
          </w:p>
        </w:tc>
        <w:tc>
          <w:tcPr>
            <w:tcW w:w="980" w:type="dxa"/>
            <w:vAlign w:val="bottom"/>
            <w:tcBorders>
              <w:right w:val="single" w:sz="8" w:color="auto"/>
            </w:tcBorders>
            <w:shd w:val="clear" w:color="auto" w:fill="CCEEFF"/>
          </w:tcPr>
          <w:p>
            <w:pPr>
              <w:spacing w:after="0"/>
              <w:rPr>
                <w:sz w:val="5"/>
                <w:szCs w:val="5"/>
                <w:color w:val="auto"/>
              </w:rPr>
            </w:pPr>
          </w:p>
        </w:tc>
        <w:tc>
          <w:tcPr>
            <w:tcW w:w="140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compensation</w:t>
            </w:r>
          </w:p>
        </w:tc>
        <w:tc>
          <w:tcPr>
            <w:tcW w:w="0" w:type="dxa"/>
            <w:vAlign w:val="bottom"/>
          </w:tcPr>
          <w:p>
            <w:pPr>
              <w:spacing w:after="0"/>
              <w:rPr>
                <w:sz w:val="1"/>
                <w:szCs w:val="1"/>
                <w:color w:val="auto"/>
              </w:rPr>
            </w:pPr>
          </w:p>
        </w:tc>
      </w:tr>
      <w:tr>
        <w:trPr>
          <w:trHeight w:val="86"/>
        </w:trPr>
        <w:tc>
          <w:tcPr>
            <w:tcW w:w="1340" w:type="dxa"/>
            <w:vAlign w:val="bottom"/>
            <w:tcBorders>
              <w:left w:val="single" w:sz="8" w:color="auto"/>
              <w:right w:val="single" w:sz="8" w:color="auto"/>
            </w:tcBorders>
            <w:vMerge w:val="continue"/>
            <w:shd w:val="clear" w:color="auto" w:fill="CCEEFF"/>
          </w:tcPr>
          <w:p>
            <w:pPr>
              <w:spacing w:after="0"/>
              <w:rPr>
                <w:sz w:val="7"/>
                <w:szCs w:val="7"/>
                <w:color w:val="auto"/>
              </w:rPr>
            </w:pPr>
          </w:p>
        </w:tc>
        <w:tc>
          <w:tcPr>
            <w:tcW w:w="620" w:type="dxa"/>
            <w:vAlign w:val="bottom"/>
            <w:tcBorders>
              <w:right w:val="single" w:sz="8" w:color="auto"/>
            </w:tcBorders>
            <w:vMerge w:val="continue"/>
            <w:shd w:val="clear" w:color="auto" w:fill="CCEEFF"/>
          </w:tcPr>
          <w:p>
            <w:pPr>
              <w:spacing w:after="0"/>
              <w:rPr>
                <w:sz w:val="7"/>
                <w:szCs w:val="7"/>
                <w:color w:val="auto"/>
              </w:rPr>
            </w:pPr>
          </w:p>
        </w:tc>
        <w:tc>
          <w:tcPr>
            <w:tcW w:w="860" w:type="dxa"/>
            <w:vAlign w:val="bottom"/>
            <w:vMerge w:val="continue"/>
            <w:shd w:val="clear" w:color="auto" w:fill="CCEEFF"/>
          </w:tcPr>
          <w:p>
            <w:pPr>
              <w:spacing w:after="0"/>
              <w:rPr>
                <w:sz w:val="7"/>
                <w:szCs w:val="7"/>
                <w:color w:val="auto"/>
              </w:rPr>
            </w:pPr>
          </w:p>
        </w:tc>
        <w:tc>
          <w:tcPr>
            <w:tcW w:w="1340" w:type="dxa"/>
            <w:vAlign w:val="bottom"/>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1360" w:type="dxa"/>
            <w:vAlign w:val="bottom"/>
            <w:tcBorders>
              <w:right w:val="single" w:sz="8" w:color="auto"/>
            </w:tcBorders>
            <w:shd w:val="clear" w:color="auto" w:fill="CCEEFF"/>
          </w:tcPr>
          <w:p>
            <w:pPr>
              <w:spacing w:after="0"/>
              <w:rPr>
                <w:sz w:val="7"/>
                <w:szCs w:val="7"/>
                <w:color w:val="auto"/>
              </w:rPr>
            </w:pPr>
          </w:p>
        </w:tc>
        <w:tc>
          <w:tcPr>
            <w:tcW w:w="940" w:type="dxa"/>
            <w:vAlign w:val="bottom"/>
            <w:tcBorders>
              <w:right w:val="single" w:sz="8" w:color="auto"/>
            </w:tcBorders>
            <w:vMerge w:val="continue"/>
            <w:shd w:val="clear" w:color="auto" w:fill="CCEEFF"/>
          </w:tcPr>
          <w:p>
            <w:pPr>
              <w:spacing w:after="0"/>
              <w:rPr>
                <w:sz w:val="7"/>
                <w:szCs w:val="7"/>
                <w:color w:val="auto"/>
              </w:rPr>
            </w:pPr>
          </w:p>
        </w:tc>
        <w:tc>
          <w:tcPr>
            <w:tcW w:w="1140" w:type="dxa"/>
            <w:vAlign w:val="bottom"/>
            <w:vMerge w:val="restart"/>
            <w:shd w:val="clear" w:color="auto" w:fill="CCEEFF"/>
          </w:tcPr>
          <w:p>
            <w:pPr>
              <w:jc w:val="right"/>
              <w:ind w:right="78"/>
              <w:spacing w:after="0"/>
              <w:rPr>
                <w:sz w:val="20"/>
                <w:szCs w:val="20"/>
                <w:color w:val="auto"/>
              </w:rPr>
            </w:pPr>
            <w:r>
              <w:rPr>
                <w:rFonts w:ascii="Arial" w:cs="Arial" w:eastAsia="Arial" w:hAnsi="Arial"/>
                <w:sz w:val="11"/>
                <w:szCs w:val="11"/>
                <w:b w:val="1"/>
                <w:bCs w:val="1"/>
                <w:color w:val="auto"/>
              </w:rPr>
              <w:t>**</w:t>
            </w:r>
          </w:p>
        </w:tc>
        <w:tc>
          <w:tcPr>
            <w:tcW w:w="980" w:type="dxa"/>
            <w:vAlign w:val="bottom"/>
            <w:tcBorders>
              <w:right w:val="single" w:sz="8" w:color="auto"/>
            </w:tcBorders>
            <w:shd w:val="clear" w:color="auto" w:fill="CCEEFF"/>
          </w:tcPr>
          <w:p>
            <w:pPr>
              <w:spacing w:after="0"/>
              <w:rPr>
                <w:sz w:val="7"/>
                <w:szCs w:val="7"/>
                <w:color w:val="auto"/>
              </w:rPr>
            </w:pPr>
          </w:p>
        </w:tc>
        <w:tc>
          <w:tcPr>
            <w:tcW w:w="1400" w:type="dxa"/>
            <w:vAlign w:val="bottom"/>
            <w:tcBorders>
              <w:right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340" w:type="dxa"/>
            <w:vAlign w:val="bottom"/>
            <w:tcBorders>
              <w:left w:val="single" w:sz="8" w:color="auto"/>
              <w:bottom w:val="single" w:sz="8" w:color="CCEEFF"/>
              <w:right w:val="single" w:sz="8" w:color="auto"/>
            </w:tcBorders>
            <w:shd w:val="clear" w:color="auto" w:fill="CCEEFF"/>
          </w:tcPr>
          <w:p>
            <w:pPr>
              <w:spacing w:after="0"/>
              <w:rPr>
                <w:sz w:val="7"/>
                <w:szCs w:val="7"/>
                <w:color w:val="auto"/>
              </w:rPr>
            </w:pPr>
          </w:p>
        </w:tc>
        <w:tc>
          <w:tcPr>
            <w:tcW w:w="620" w:type="dxa"/>
            <w:vAlign w:val="bottom"/>
            <w:tcBorders>
              <w:bottom w:val="single" w:sz="8" w:color="CCEEFF"/>
              <w:right w:val="single" w:sz="8" w:color="auto"/>
            </w:tcBorders>
            <w:shd w:val="clear" w:color="auto" w:fill="CCEEFF"/>
          </w:tcPr>
          <w:p>
            <w:pPr>
              <w:spacing w:after="0"/>
              <w:rPr>
                <w:sz w:val="7"/>
                <w:szCs w:val="7"/>
                <w:color w:val="auto"/>
              </w:rPr>
            </w:pPr>
          </w:p>
        </w:tc>
        <w:tc>
          <w:tcPr>
            <w:tcW w:w="860" w:type="dxa"/>
            <w:vAlign w:val="bottom"/>
            <w:tcBorders>
              <w:bottom w:val="single" w:sz="8" w:color="CCEEFF"/>
            </w:tcBorders>
            <w:shd w:val="clear" w:color="auto" w:fill="CCEEFF"/>
          </w:tcPr>
          <w:p>
            <w:pPr>
              <w:spacing w:after="0"/>
              <w:rPr>
                <w:sz w:val="7"/>
                <w:szCs w:val="7"/>
                <w:color w:val="auto"/>
              </w:rPr>
            </w:pPr>
          </w:p>
        </w:tc>
        <w:tc>
          <w:tcPr>
            <w:tcW w:w="1340" w:type="dxa"/>
            <w:vAlign w:val="bottom"/>
            <w:tcBorders>
              <w:bottom w:val="single" w:sz="8" w:color="CCEEFF"/>
            </w:tcBorders>
            <w:shd w:val="clear" w:color="auto" w:fill="CCEEFF"/>
          </w:tcPr>
          <w:p>
            <w:pPr>
              <w:spacing w:after="0"/>
              <w:rPr>
                <w:sz w:val="7"/>
                <w:szCs w:val="7"/>
                <w:color w:val="auto"/>
              </w:rPr>
            </w:pPr>
          </w:p>
        </w:tc>
        <w:tc>
          <w:tcPr>
            <w:tcW w:w="1300" w:type="dxa"/>
            <w:vAlign w:val="bottom"/>
            <w:tcBorders>
              <w:bottom w:val="single" w:sz="8" w:color="CCEEFF"/>
            </w:tcBorders>
            <w:shd w:val="clear" w:color="auto" w:fill="CCEEFF"/>
          </w:tcPr>
          <w:p>
            <w:pPr>
              <w:spacing w:after="0"/>
              <w:rPr>
                <w:sz w:val="7"/>
                <w:szCs w:val="7"/>
                <w:color w:val="auto"/>
              </w:rPr>
            </w:pPr>
          </w:p>
        </w:tc>
        <w:tc>
          <w:tcPr>
            <w:tcW w:w="1360" w:type="dxa"/>
            <w:vAlign w:val="bottom"/>
            <w:tcBorders>
              <w:bottom w:val="single" w:sz="8" w:color="CCEEFF"/>
              <w:right w:val="single" w:sz="8" w:color="auto"/>
            </w:tcBorders>
            <w:shd w:val="clear" w:color="auto" w:fill="CCEEFF"/>
          </w:tcPr>
          <w:p>
            <w:pPr>
              <w:spacing w:after="0"/>
              <w:rPr>
                <w:sz w:val="7"/>
                <w:szCs w:val="7"/>
                <w:color w:val="auto"/>
              </w:rPr>
            </w:pPr>
          </w:p>
        </w:tc>
        <w:tc>
          <w:tcPr>
            <w:tcW w:w="940" w:type="dxa"/>
            <w:vAlign w:val="bottom"/>
            <w:tcBorders>
              <w:bottom w:val="single" w:sz="8" w:color="CCEEFF"/>
              <w:right w:val="single" w:sz="8" w:color="auto"/>
            </w:tcBorders>
            <w:shd w:val="clear" w:color="auto" w:fill="CCEEFF"/>
          </w:tcPr>
          <w:p>
            <w:pPr>
              <w:spacing w:after="0"/>
              <w:rPr>
                <w:sz w:val="7"/>
                <w:szCs w:val="7"/>
                <w:color w:val="auto"/>
              </w:rPr>
            </w:pPr>
          </w:p>
        </w:tc>
        <w:tc>
          <w:tcPr>
            <w:tcW w:w="1140" w:type="dxa"/>
            <w:vAlign w:val="bottom"/>
            <w:tcBorders>
              <w:bottom w:val="single" w:sz="8" w:color="CCEEFF"/>
            </w:tcBorders>
            <w:vMerge w:val="continue"/>
            <w:shd w:val="clear" w:color="auto" w:fill="CCEEFF"/>
          </w:tcPr>
          <w:p>
            <w:pPr>
              <w:spacing w:after="0"/>
              <w:rPr>
                <w:sz w:val="7"/>
                <w:szCs w:val="7"/>
                <w:color w:val="auto"/>
              </w:rPr>
            </w:pPr>
          </w:p>
        </w:tc>
        <w:tc>
          <w:tcPr>
            <w:tcW w:w="980" w:type="dxa"/>
            <w:vAlign w:val="bottom"/>
            <w:tcBorders>
              <w:bottom w:val="single" w:sz="8" w:color="CCEEFF"/>
              <w:right w:val="single" w:sz="8" w:color="auto"/>
            </w:tcBorders>
            <w:shd w:val="clear" w:color="auto" w:fill="CCEEFF"/>
          </w:tcPr>
          <w:p>
            <w:pPr>
              <w:spacing w:after="0"/>
              <w:rPr>
                <w:sz w:val="7"/>
                <w:szCs w:val="7"/>
                <w:color w:val="auto"/>
              </w:rPr>
            </w:pPr>
          </w:p>
        </w:tc>
        <w:tc>
          <w:tcPr>
            <w:tcW w:w="1400" w:type="dxa"/>
            <w:vAlign w:val="bottom"/>
            <w:tcBorders>
              <w:bottom w:val="single" w:sz="8" w:color="CCEEFF"/>
              <w:right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1340" w:type="dxa"/>
            <w:vAlign w:val="bottom"/>
            <w:tcBorders>
              <w:top w:val="single" w:sz="8" w:color="auto"/>
              <w:left w:val="single" w:sz="8" w:color="auto"/>
              <w:bottom w:val="single" w:sz="8" w:color="auto"/>
              <w:right w:val="single" w:sz="8" w:color="auto"/>
            </w:tcBorders>
          </w:tcPr>
          <w:p>
            <w:pPr>
              <w:spacing w:after="0"/>
              <w:rPr>
                <w:sz w:val="13"/>
                <w:szCs w:val="13"/>
                <w:color w:val="auto"/>
              </w:rPr>
            </w:pPr>
          </w:p>
        </w:tc>
        <w:tc>
          <w:tcPr>
            <w:tcW w:w="620" w:type="dxa"/>
            <w:vAlign w:val="bottom"/>
            <w:tcBorders>
              <w:top w:val="single" w:sz="8" w:color="auto"/>
              <w:bottom w:val="single" w:sz="8" w:color="auto"/>
              <w:right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$’000</w:t>
            </w:r>
          </w:p>
        </w:tc>
        <w:tc>
          <w:tcPr>
            <w:tcW w:w="13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$’000</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136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94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114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3"/>
                <w:szCs w:val="13"/>
                <w:b w:val="1"/>
                <w:bCs w:val="1"/>
                <w:color w:val="auto"/>
              </w:rPr>
              <w:t>$’000</w:t>
            </w:r>
          </w:p>
        </w:tc>
        <w:tc>
          <w:tcPr>
            <w:tcW w:w="98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140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0" w:type="dxa"/>
            <w:vAlign w:val="bottom"/>
          </w:tcPr>
          <w:p>
            <w:pPr>
              <w:spacing w:after="0"/>
              <w:rPr>
                <w:sz w:val="1"/>
                <w:szCs w:val="1"/>
                <w:color w:val="auto"/>
              </w:rPr>
            </w:pPr>
          </w:p>
        </w:tc>
      </w:tr>
      <w:tr>
        <w:trPr>
          <w:trHeight w:val="160"/>
        </w:trPr>
        <w:tc>
          <w:tcPr>
            <w:tcW w:w="134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Ciaran Murray</w:t>
            </w:r>
          </w:p>
        </w:tc>
        <w:tc>
          <w:tcPr>
            <w:tcW w:w="6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2021</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118"/>
              <w:spacing w:after="0"/>
              <w:rPr>
                <w:sz w:val="20"/>
                <w:szCs w:val="20"/>
                <w:color w:val="auto"/>
              </w:rPr>
            </w:pPr>
            <w:r>
              <w:rPr>
                <w:rFonts w:ascii="Arial" w:cs="Arial" w:eastAsia="Arial" w:hAnsi="Arial"/>
                <w:sz w:val="13"/>
                <w:szCs w:val="13"/>
                <w:color w:val="auto"/>
              </w:rPr>
              <w:t>216</w:t>
            </w:r>
          </w:p>
        </w:tc>
        <w:tc>
          <w:tcPr>
            <w:tcW w:w="9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372</w:t>
            </w:r>
          </w:p>
        </w:tc>
        <w:tc>
          <w:tcPr>
            <w:tcW w:w="140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588</w:t>
            </w:r>
          </w:p>
        </w:tc>
        <w:tc>
          <w:tcPr>
            <w:tcW w:w="0" w:type="dxa"/>
            <w:vAlign w:val="bottom"/>
          </w:tcPr>
          <w:p>
            <w:pPr>
              <w:spacing w:after="0"/>
              <w:rPr>
                <w:sz w:val="1"/>
                <w:szCs w:val="1"/>
                <w:color w:val="auto"/>
              </w:rPr>
            </w:pPr>
          </w:p>
        </w:tc>
      </w:tr>
      <w:tr>
        <w:trPr>
          <w:trHeight w:val="169"/>
        </w:trPr>
        <w:tc>
          <w:tcPr>
            <w:tcW w:w="1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Dr. Steve Cutler</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2021</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1,146</w:t>
            </w:r>
          </w:p>
        </w:tc>
        <w:tc>
          <w:tcPr>
            <w:tcW w:w="1340" w:type="dxa"/>
            <w:vAlign w:val="bottom"/>
          </w:tcPr>
          <w:p>
            <w:pPr>
              <w:jc w:val="right"/>
              <w:ind w:right="117"/>
              <w:spacing w:after="0"/>
              <w:rPr>
                <w:sz w:val="20"/>
                <w:szCs w:val="20"/>
                <w:color w:val="auto"/>
              </w:rPr>
            </w:pPr>
            <w:r>
              <w:rPr>
                <w:rFonts w:ascii="Arial" w:cs="Arial" w:eastAsia="Arial" w:hAnsi="Arial"/>
                <w:sz w:val="13"/>
                <w:szCs w:val="13"/>
                <w:color w:val="auto"/>
              </w:rPr>
              <w:t>121</w:t>
            </w:r>
          </w:p>
        </w:tc>
        <w:tc>
          <w:tcPr>
            <w:tcW w:w="1300" w:type="dxa"/>
            <w:vAlign w:val="bottom"/>
          </w:tcPr>
          <w:p>
            <w:pPr>
              <w:jc w:val="right"/>
              <w:ind w:right="37"/>
              <w:spacing w:after="0"/>
              <w:rPr>
                <w:sz w:val="20"/>
                <w:szCs w:val="20"/>
                <w:color w:val="auto"/>
              </w:rPr>
            </w:pPr>
            <w:r>
              <w:rPr>
                <w:rFonts w:ascii="Arial" w:cs="Arial" w:eastAsia="Arial" w:hAnsi="Arial"/>
                <w:sz w:val="13"/>
                <w:szCs w:val="13"/>
                <w:color w:val="auto"/>
              </w:rPr>
              <w:t>2,300</w:t>
            </w:r>
          </w:p>
        </w:tc>
        <w:tc>
          <w:tcPr>
            <w:tcW w:w="136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31</w:t>
            </w:r>
          </w:p>
        </w:tc>
        <w:tc>
          <w:tcPr>
            <w:tcW w:w="94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3,598</w:t>
            </w:r>
          </w:p>
        </w:tc>
        <w:tc>
          <w:tcPr>
            <w:tcW w:w="1140" w:type="dxa"/>
            <w:vAlign w:val="bottom"/>
          </w:tcPr>
          <w:p>
            <w:pPr>
              <w:jc w:val="right"/>
              <w:ind w:right="118"/>
              <w:spacing w:after="0"/>
              <w:rPr>
                <w:sz w:val="20"/>
                <w:szCs w:val="20"/>
                <w:color w:val="auto"/>
              </w:rPr>
            </w:pPr>
            <w:r>
              <w:rPr>
                <w:rFonts w:ascii="Arial" w:cs="Arial" w:eastAsia="Arial" w:hAnsi="Arial"/>
                <w:sz w:val="13"/>
                <w:szCs w:val="13"/>
                <w:color w:val="auto"/>
              </w:rPr>
              <w:t>5,848</w:t>
            </w:r>
          </w:p>
        </w:tc>
        <w:tc>
          <w:tcPr>
            <w:tcW w:w="9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44</w:t>
            </w:r>
          </w:p>
        </w:tc>
        <w:tc>
          <w:tcPr>
            <w:tcW w:w="140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9,490</w:t>
            </w:r>
          </w:p>
        </w:tc>
        <w:tc>
          <w:tcPr>
            <w:tcW w:w="0" w:type="dxa"/>
            <w:vAlign w:val="bottom"/>
          </w:tcPr>
          <w:p>
            <w:pPr>
              <w:spacing w:after="0"/>
              <w:rPr>
                <w:sz w:val="1"/>
                <w:szCs w:val="1"/>
                <w:color w:val="auto"/>
              </w:rPr>
            </w:pPr>
          </w:p>
        </w:tc>
      </w:tr>
      <w:tr>
        <w:trPr>
          <w:trHeight w:val="171"/>
        </w:trPr>
        <w:tc>
          <w:tcPr>
            <w:tcW w:w="134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Brendan Brennan</w:t>
            </w:r>
          </w:p>
        </w:tc>
        <w:tc>
          <w:tcPr>
            <w:tcW w:w="6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2021</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607</w:t>
            </w:r>
          </w:p>
        </w:tc>
        <w:tc>
          <w:tcPr>
            <w:tcW w:w="13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76</w:t>
            </w: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914</w:t>
            </w:r>
          </w:p>
        </w:tc>
        <w:tc>
          <w:tcPr>
            <w:tcW w:w="136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35</w:t>
            </w:r>
          </w:p>
        </w:tc>
        <w:tc>
          <w:tcPr>
            <w:tcW w:w="94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1,632</w:t>
            </w:r>
          </w:p>
        </w:tc>
        <w:tc>
          <w:tcPr>
            <w:tcW w:w="1140" w:type="dxa"/>
            <w:vAlign w:val="bottom"/>
            <w:shd w:val="clear" w:color="auto" w:fill="CCEEFF"/>
          </w:tcPr>
          <w:p>
            <w:pPr>
              <w:jc w:val="right"/>
              <w:ind w:right="118"/>
              <w:spacing w:after="0"/>
              <w:rPr>
                <w:sz w:val="20"/>
                <w:szCs w:val="20"/>
                <w:color w:val="auto"/>
              </w:rPr>
            </w:pPr>
            <w:r>
              <w:rPr>
                <w:rFonts w:ascii="Arial" w:cs="Arial" w:eastAsia="Arial" w:hAnsi="Arial"/>
                <w:sz w:val="13"/>
                <w:szCs w:val="13"/>
                <w:color w:val="auto"/>
              </w:rPr>
              <w:t>1,294</w:t>
            </w:r>
          </w:p>
        </w:tc>
        <w:tc>
          <w:tcPr>
            <w:tcW w:w="9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40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2,926</w:t>
            </w:r>
          </w:p>
        </w:tc>
        <w:tc>
          <w:tcPr>
            <w:tcW w:w="0" w:type="dxa"/>
            <w:vAlign w:val="bottom"/>
          </w:tcPr>
          <w:p>
            <w:pPr>
              <w:spacing w:after="0"/>
              <w:rPr>
                <w:sz w:val="1"/>
                <w:szCs w:val="1"/>
                <w:color w:val="auto"/>
              </w:rPr>
            </w:pPr>
          </w:p>
        </w:tc>
      </w:tr>
      <w:tr>
        <w:trPr>
          <w:trHeight w:val="169"/>
        </w:trPr>
        <w:tc>
          <w:tcPr>
            <w:tcW w:w="1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Rónán Murphy</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2021</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18"/>
              <w:spacing w:after="0"/>
              <w:rPr>
                <w:sz w:val="20"/>
                <w:szCs w:val="20"/>
                <w:color w:val="auto"/>
              </w:rPr>
            </w:pPr>
            <w:r>
              <w:rPr>
                <w:rFonts w:ascii="Arial" w:cs="Arial" w:eastAsia="Arial" w:hAnsi="Arial"/>
                <w:sz w:val="13"/>
                <w:szCs w:val="13"/>
                <w:color w:val="auto"/>
              </w:rPr>
              <w:t>227</w:t>
            </w:r>
          </w:p>
        </w:tc>
        <w:tc>
          <w:tcPr>
            <w:tcW w:w="9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144</w:t>
            </w:r>
          </w:p>
        </w:tc>
        <w:tc>
          <w:tcPr>
            <w:tcW w:w="140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371</w:t>
            </w:r>
          </w:p>
        </w:tc>
        <w:tc>
          <w:tcPr>
            <w:tcW w:w="0" w:type="dxa"/>
            <w:vAlign w:val="bottom"/>
          </w:tcPr>
          <w:p>
            <w:pPr>
              <w:spacing w:after="0"/>
              <w:rPr>
                <w:sz w:val="1"/>
                <w:szCs w:val="1"/>
                <w:color w:val="auto"/>
              </w:rPr>
            </w:pPr>
          </w:p>
        </w:tc>
      </w:tr>
      <w:tr>
        <w:trPr>
          <w:trHeight w:val="171"/>
        </w:trPr>
        <w:tc>
          <w:tcPr>
            <w:tcW w:w="134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Professor Hugh Brady</w:t>
            </w:r>
          </w:p>
        </w:tc>
        <w:tc>
          <w:tcPr>
            <w:tcW w:w="6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2021</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118"/>
              <w:spacing w:after="0"/>
              <w:rPr>
                <w:sz w:val="20"/>
                <w:szCs w:val="20"/>
                <w:color w:val="auto"/>
              </w:rPr>
            </w:pPr>
            <w:r>
              <w:rPr>
                <w:rFonts w:ascii="Arial" w:cs="Arial" w:eastAsia="Arial" w:hAnsi="Arial"/>
                <w:sz w:val="13"/>
                <w:szCs w:val="13"/>
                <w:color w:val="auto"/>
              </w:rPr>
              <w:t>230</w:t>
            </w:r>
          </w:p>
        </w:tc>
        <w:tc>
          <w:tcPr>
            <w:tcW w:w="9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90</w:t>
            </w:r>
          </w:p>
        </w:tc>
        <w:tc>
          <w:tcPr>
            <w:tcW w:w="140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320</w:t>
            </w:r>
          </w:p>
        </w:tc>
        <w:tc>
          <w:tcPr>
            <w:tcW w:w="0" w:type="dxa"/>
            <w:vAlign w:val="bottom"/>
          </w:tcPr>
          <w:p>
            <w:pPr>
              <w:spacing w:after="0"/>
              <w:rPr>
                <w:sz w:val="1"/>
                <w:szCs w:val="1"/>
                <w:color w:val="auto"/>
              </w:rPr>
            </w:pPr>
          </w:p>
        </w:tc>
      </w:tr>
      <w:tr>
        <w:trPr>
          <w:trHeight w:val="169"/>
        </w:trPr>
        <w:tc>
          <w:tcPr>
            <w:tcW w:w="1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Dr. John Climax</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2021</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18"/>
              <w:spacing w:after="0"/>
              <w:rPr>
                <w:sz w:val="20"/>
                <w:szCs w:val="20"/>
                <w:color w:val="auto"/>
              </w:rPr>
            </w:pPr>
            <w:r>
              <w:rPr>
                <w:rFonts w:ascii="Arial" w:cs="Arial" w:eastAsia="Arial" w:hAnsi="Arial"/>
                <w:sz w:val="13"/>
                <w:szCs w:val="13"/>
                <w:color w:val="auto"/>
              </w:rPr>
              <w:t>230</w:t>
            </w:r>
          </w:p>
        </w:tc>
        <w:tc>
          <w:tcPr>
            <w:tcW w:w="9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78</w:t>
            </w:r>
          </w:p>
        </w:tc>
        <w:tc>
          <w:tcPr>
            <w:tcW w:w="140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308</w:t>
            </w:r>
          </w:p>
        </w:tc>
        <w:tc>
          <w:tcPr>
            <w:tcW w:w="0" w:type="dxa"/>
            <w:vAlign w:val="bottom"/>
          </w:tcPr>
          <w:p>
            <w:pPr>
              <w:spacing w:after="0"/>
              <w:rPr>
                <w:sz w:val="1"/>
                <w:szCs w:val="1"/>
                <w:color w:val="auto"/>
              </w:rPr>
            </w:pPr>
          </w:p>
        </w:tc>
      </w:tr>
      <w:tr>
        <w:trPr>
          <w:trHeight w:val="171"/>
        </w:trPr>
        <w:tc>
          <w:tcPr>
            <w:tcW w:w="134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Joan Garahy</w:t>
            </w:r>
          </w:p>
        </w:tc>
        <w:tc>
          <w:tcPr>
            <w:tcW w:w="6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2021</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118"/>
              <w:spacing w:after="0"/>
              <w:rPr>
                <w:sz w:val="20"/>
                <w:szCs w:val="20"/>
                <w:color w:val="auto"/>
              </w:rPr>
            </w:pPr>
            <w:r>
              <w:rPr>
                <w:rFonts w:ascii="Arial" w:cs="Arial" w:eastAsia="Arial" w:hAnsi="Arial"/>
                <w:sz w:val="13"/>
                <w:szCs w:val="13"/>
                <w:color w:val="auto"/>
              </w:rPr>
              <w:t>216</w:t>
            </w:r>
          </w:p>
        </w:tc>
        <w:tc>
          <w:tcPr>
            <w:tcW w:w="9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110</w:t>
            </w:r>
          </w:p>
        </w:tc>
        <w:tc>
          <w:tcPr>
            <w:tcW w:w="140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326</w:t>
            </w:r>
          </w:p>
        </w:tc>
        <w:tc>
          <w:tcPr>
            <w:tcW w:w="0" w:type="dxa"/>
            <w:vAlign w:val="bottom"/>
          </w:tcPr>
          <w:p>
            <w:pPr>
              <w:spacing w:after="0"/>
              <w:rPr>
                <w:sz w:val="1"/>
                <w:szCs w:val="1"/>
                <w:color w:val="auto"/>
              </w:rPr>
            </w:pPr>
          </w:p>
        </w:tc>
      </w:tr>
      <w:tr>
        <w:trPr>
          <w:trHeight w:val="169"/>
        </w:trPr>
        <w:tc>
          <w:tcPr>
            <w:tcW w:w="1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Professor William Hall</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2021</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18"/>
              <w:spacing w:after="0"/>
              <w:rPr>
                <w:sz w:val="20"/>
                <w:szCs w:val="20"/>
                <w:color w:val="auto"/>
              </w:rPr>
            </w:pPr>
            <w:r>
              <w:rPr>
                <w:rFonts w:ascii="Arial" w:cs="Arial" w:eastAsia="Arial" w:hAnsi="Arial"/>
                <w:sz w:val="13"/>
                <w:szCs w:val="13"/>
                <w:color w:val="auto"/>
              </w:rPr>
              <w:t>230</w:t>
            </w:r>
          </w:p>
        </w:tc>
        <w:tc>
          <w:tcPr>
            <w:tcW w:w="9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103</w:t>
            </w:r>
          </w:p>
        </w:tc>
        <w:tc>
          <w:tcPr>
            <w:tcW w:w="140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333</w:t>
            </w:r>
          </w:p>
        </w:tc>
        <w:tc>
          <w:tcPr>
            <w:tcW w:w="0" w:type="dxa"/>
            <w:vAlign w:val="bottom"/>
          </w:tcPr>
          <w:p>
            <w:pPr>
              <w:spacing w:after="0"/>
              <w:rPr>
                <w:sz w:val="1"/>
                <w:szCs w:val="1"/>
                <w:color w:val="auto"/>
              </w:rPr>
            </w:pPr>
          </w:p>
        </w:tc>
      </w:tr>
      <w:tr>
        <w:trPr>
          <w:trHeight w:val="171"/>
        </w:trPr>
        <w:tc>
          <w:tcPr>
            <w:tcW w:w="134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Eugene McCague</w:t>
            </w:r>
          </w:p>
        </w:tc>
        <w:tc>
          <w:tcPr>
            <w:tcW w:w="6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2021</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118"/>
              <w:spacing w:after="0"/>
              <w:rPr>
                <w:sz w:val="20"/>
                <w:szCs w:val="20"/>
                <w:color w:val="auto"/>
              </w:rPr>
            </w:pPr>
            <w:r>
              <w:rPr>
                <w:rFonts w:ascii="Arial" w:cs="Arial" w:eastAsia="Arial" w:hAnsi="Arial"/>
                <w:sz w:val="13"/>
                <w:szCs w:val="13"/>
                <w:color w:val="auto"/>
              </w:rPr>
              <w:t>216</w:t>
            </w:r>
          </w:p>
        </w:tc>
        <w:tc>
          <w:tcPr>
            <w:tcW w:w="9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119</w:t>
            </w:r>
          </w:p>
        </w:tc>
        <w:tc>
          <w:tcPr>
            <w:tcW w:w="140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335</w:t>
            </w:r>
          </w:p>
        </w:tc>
        <w:tc>
          <w:tcPr>
            <w:tcW w:w="0" w:type="dxa"/>
            <w:vAlign w:val="bottom"/>
          </w:tcPr>
          <w:p>
            <w:pPr>
              <w:spacing w:after="0"/>
              <w:rPr>
                <w:sz w:val="1"/>
                <w:szCs w:val="1"/>
                <w:color w:val="auto"/>
              </w:rPr>
            </w:pPr>
          </w:p>
        </w:tc>
      </w:tr>
      <w:tr>
        <w:trPr>
          <w:trHeight w:val="169"/>
        </w:trPr>
        <w:tc>
          <w:tcPr>
            <w:tcW w:w="1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Julie O'Neill</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2021</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18"/>
              <w:spacing w:after="0"/>
              <w:rPr>
                <w:sz w:val="20"/>
                <w:szCs w:val="20"/>
                <w:color w:val="auto"/>
              </w:rPr>
            </w:pPr>
            <w:r>
              <w:rPr>
                <w:rFonts w:ascii="Arial" w:cs="Arial" w:eastAsia="Arial" w:hAnsi="Arial"/>
                <w:sz w:val="13"/>
                <w:szCs w:val="13"/>
                <w:color w:val="auto"/>
              </w:rPr>
              <w:t>200</w:t>
            </w:r>
          </w:p>
        </w:tc>
        <w:tc>
          <w:tcPr>
            <w:tcW w:w="9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86</w:t>
            </w:r>
          </w:p>
        </w:tc>
        <w:tc>
          <w:tcPr>
            <w:tcW w:w="140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286</w:t>
            </w:r>
          </w:p>
        </w:tc>
        <w:tc>
          <w:tcPr>
            <w:tcW w:w="0" w:type="dxa"/>
            <w:vAlign w:val="bottom"/>
          </w:tcPr>
          <w:p>
            <w:pPr>
              <w:spacing w:after="0"/>
              <w:rPr>
                <w:sz w:val="1"/>
                <w:szCs w:val="1"/>
                <w:color w:val="auto"/>
              </w:rPr>
            </w:pPr>
          </w:p>
        </w:tc>
      </w:tr>
      <w:tr>
        <w:trPr>
          <w:trHeight w:val="171"/>
        </w:trPr>
        <w:tc>
          <w:tcPr>
            <w:tcW w:w="134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Mary Pendergast</w:t>
            </w:r>
          </w:p>
        </w:tc>
        <w:tc>
          <w:tcPr>
            <w:tcW w:w="6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2021</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118"/>
              <w:spacing w:after="0"/>
              <w:rPr>
                <w:sz w:val="20"/>
                <w:szCs w:val="20"/>
                <w:color w:val="auto"/>
              </w:rPr>
            </w:pPr>
            <w:r>
              <w:rPr>
                <w:rFonts w:ascii="Arial" w:cs="Arial" w:eastAsia="Arial" w:hAnsi="Arial"/>
                <w:sz w:val="13"/>
                <w:szCs w:val="13"/>
                <w:color w:val="auto"/>
              </w:rPr>
              <w:t>230</w:t>
            </w:r>
          </w:p>
        </w:tc>
        <w:tc>
          <w:tcPr>
            <w:tcW w:w="9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90</w:t>
            </w:r>
          </w:p>
        </w:tc>
        <w:tc>
          <w:tcPr>
            <w:tcW w:w="140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320</w:t>
            </w:r>
          </w:p>
        </w:tc>
        <w:tc>
          <w:tcPr>
            <w:tcW w:w="0" w:type="dxa"/>
            <w:vAlign w:val="bottom"/>
          </w:tcPr>
          <w:p>
            <w:pPr>
              <w:spacing w:after="0"/>
              <w:rPr>
                <w:sz w:val="1"/>
                <w:szCs w:val="1"/>
                <w:color w:val="auto"/>
              </w:rPr>
            </w:pPr>
          </w:p>
        </w:tc>
      </w:tr>
      <w:tr>
        <w:trPr>
          <w:trHeight w:val="169"/>
        </w:trPr>
        <w:tc>
          <w:tcPr>
            <w:tcW w:w="1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Colin Shannon*</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2021</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18"/>
              <w:spacing w:after="0"/>
              <w:rPr>
                <w:sz w:val="20"/>
                <w:szCs w:val="20"/>
                <w:color w:val="auto"/>
              </w:rPr>
            </w:pPr>
            <w:r>
              <w:rPr>
                <w:rFonts w:ascii="Arial" w:cs="Arial" w:eastAsia="Arial" w:hAnsi="Arial"/>
                <w:sz w:val="13"/>
                <w:szCs w:val="13"/>
                <w:color w:val="auto"/>
              </w:rPr>
              <w:t>—</w:t>
            </w:r>
          </w:p>
        </w:tc>
        <w:tc>
          <w:tcPr>
            <w:tcW w:w="9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45</w:t>
            </w:r>
          </w:p>
        </w:tc>
        <w:tc>
          <w:tcPr>
            <w:tcW w:w="140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170"/>
        </w:trPr>
        <w:tc>
          <w:tcPr>
            <w:tcW w:w="13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Linda Grais*</w:t>
            </w:r>
          </w:p>
        </w:tc>
        <w:tc>
          <w:tcPr>
            <w:tcW w:w="6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2021</w:t>
            </w:r>
          </w:p>
        </w:tc>
        <w:tc>
          <w:tcPr>
            <w:tcW w:w="8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34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360" w:type="dxa"/>
            <w:vAlign w:val="bottom"/>
            <w:tcBorders>
              <w:bottom w:val="single" w:sz="8" w:color="auto"/>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45</w:t>
            </w:r>
          </w:p>
        </w:tc>
        <w:tc>
          <w:tcPr>
            <w:tcW w:w="1400" w:type="dxa"/>
            <w:vAlign w:val="bottom"/>
            <w:tcBorders>
              <w:bottom w:val="single" w:sz="8" w:color="auto"/>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162"/>
        </w:trPr>
        <w:tc>
          <w:tcPr>
            <w:tcW w:w="1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Total</w:t>
            </w: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2021</w:t>
            </w:r>
          </w:p>
        </w:tc>
        <w:tc>
          <w:tcPr>
            <w:tcW w:w="8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1,753</w:t>
            </w:r>
          </w:p>
        </w:tc>
        <w:tc>
          <w:tcPr>
            <w:tcW w:w="13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197</w:t>
            </w:r>
          </w:p>
        </w:tc>
        <w:tc>
          <w:tcPr>
            <w:tcW w:w="13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3,214</w:t>
            </w:r>
          </w:p>
        </w:tc>
        <w:tc>
          <w:tcPr>
            <w:tcW w:w="1360" w:type="dxa"/>
            <w:vAlign w:val="bottom"/>
            <w:tcBorders>
              <w:bottom w:val="single" w:sz="8" w:color="auto"/>
              <w:right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66</w:t>
            </w:r>
          </w:p>
        </w:tc>
        <w:tc>
          <w:tcPr>
            <w:tcW w:w="940" w:type="dxa"/>
            <w:vAlign w:val="bottom"/>
            <w:tcBorders>
              <w:bottom w:val="single" w:sz="8" w:color="auto"/>
              <w:right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5,230</w:t>
            </w:r>
          </w:p>
        </w:tc>
        <w:tc>
          <w:tcPr>
            <w:tcW w:w="114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b w:val="1"/>
                <w:bCs w:val="1"/>
                <w:color w:val="auto"/>
              </w:rPr>
              <w:t>9,137</w:t>
            </w:r>
          </w:p>
        </w:tc>
        <w:tc>
          <w:tcPr>
            <w:tcW w:w="980" w:type="dxa"/>
            <w:vAlign w:val="bottom"/>
            <w:tcBorders>
              <w:bottom w:val="single" w:sz="8" w:color="auto"/>
              <w:right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1,326</w:t>
            </w:r>
          </w:p>
        </w:tc>
        <w:tc>
          <w:tcPr>
            <w:tcW w:w="1400" w:type="dxa"/>
            <w:vAlign w:val="bottom"/>
            <w:tcBorders>
              <w:bottom w:val="single" w:sz="8" w:color="auto"/>
              <w:right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15,693</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line="296" w:lineRule="auto"/>
        <w:rPr>
          <w:sz w:val="20"/>
          <w:szCs w:val="20"/>
          <w:color w:val="auto"/>
        </w:rPr>
      </w:pPr>
      <w:r>
        <w:rPr>
          <w:rFonts w:ascii="Arial" w:cs="Arial" w:eastAsia="Arial" w:hAnsi="Arial"/>
          <w:sz w:val="11"/>
          <w:szCs w:val="11"/>
          <w:color w:val="auto"/>
        </w:rPr>
        <w:t xml:space="preserve">*Appointed as a result of the Merger, both served on the PRA board and joined ICON's Board of Directors with effect from 1 July 2021. **Share-based payments is the IFRS 2 expense related to share options, RSUs and PSUs. The aggregate amount of the gains earned by the Directors on the exercise of share options during the financial year is disclosed in </w:t>
      </w:r>
      <w:r>
        <w:rPr>
          <w:rFonts w:ascii="Arial" w:cs="Arial" w:eastAsia="Arial" w:hAnsi="Arial"/>
          <w:sz w:val="11"/>
          <w:szCs w:val="11"/>
          <w:i w:val="1"/>
          <w:iCs w:val="1"/>
          <w:color w:val="auto"/>
        </w:rPr>
        <w:t xml:space="preserve">Note 3 Profit before taxation </w:t>
      </w:r>
      <w:r>
        <w:rPr>
          <w:rFonts w:ascii="Arial" w:cs="Arial" w:eastAsia="Arial" w:hAnsi="Arial"/>
          <w:sz w:val="11"/>
          <w:szCs w:val="11"/>
          <w:color w:val="auto"/>
        </w:rPr>
        <w:t>under</w:t>
      </w:r>
      <w:r>
        <w:rPr>
          <w:rFonts w:ascii="Arial" w:cs="Arial" w:eastAsia="Arial" w:hAnsi="Arial"/>
          <w:sz w:val="11"/>
          <w:szCs w:val="11"/>
          <w:i w:val="1"/>
          <w:iCs w:val="1"/>
          <w:color w:val="auto"/>
        </w:rPr>
        <w:t xml:space="preserve"> ‘Directors’ emoluments’.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ectPr>
          <w:pgSz w:w="11900" w:h="16838" w:orient="portrait"/>
          <w:cols w:equalWidth="0" w:num="1">
            <w:col w:w="11280"/>
          </w:cols>
          <w:pgMar w:left="300" w:top="698" w:right="319" w:bottom="1440" w:gutter="0" w:footer="0" w:header="0"/>
        </w:sectPr>
      </w:pPr>
    </w:p>
    <w:bookmarkStart w:id="88" w:name="page89"/>
    <w:bookmarkEnd w:id="88"/>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190" w:lineRule="exact"/>
        <w:rPr>
          <w:sz w:val="20"/>
          <w:szCs w:val="20"/>
          <w:color w:val="auto"/>
        </w:rPr>
      </w:pPr>
    </w:p>
    <w:p>
      <w:pPr>
        <w:ind w:left="260" w:hanging="255"/>
        <w:spacing w:after="0"/>
        <w:tabs>
          <w:tab w:leader="none" w:pos="260" w:val="left"/>
        </w:tabs>
        <w:numPr>
          <w:ilvl w:val="0"/>
          <w:numId w:val="76"/>
        </w:numPr>
        <w:rPr>
          <w:rFonts w:ascii="Arial" w:cs="Arial" w:eastAsia="Arial" w:hAnsi="Arial"/>
          <w:sz w:val="13"/>
          <w:szCs w:val="13"/>
          <w:b w:val="1"/>
          <w:bCs w:val="1"/>
          <w:color w:val="auto"/>
        </w:rPr>
      </w:pPr>
      <w:r>
        <w:rPr>
          <w:rFonts w:ascii="Arial" w:cs="Arial" w:eastAsia="Arial" w:hAnsi="Arial"/>
          <w:sz w:val="13"/>
          <w:szCs w:val="13"/>
          <w:b w:val="1"/>
          <w:bCs w:val="1"/>
          <w:color w:val="auto"/>
        </w:rPr>
        <w:t>Payroll and related benefits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Summary compensation table - Year ended 31 December 2020</w:t>
      </w:r>
    </w:p>
    <w:p>
      <w:pPr>
        <w:spacing w:after="0" w:line="83" w:lineRule="exact"/>
        <w:rPr>
          <w:sz w:val="20"/>
          <w:szCs w:val="20"/>
          <w:color w:val="auto"/>
        </w:rPr>
      </w:pPr>
    </w:p>
    <w:tbl>
      <w:tblPr>
        <w:tblLayout w:type="fixed"/>
        <w:tblInd w:w="10" w:type="dxa"/>
        <w:tblCellMar>
          <w:top w:w="0" w:type="dxa"/>
          <w:left w:w="0" w:type="dxa"/>
          <w:bottom w:w="0" w:type="dxa"/>
          <w:right w:w="0" w:type="dxa"/>
        </w:tblCellMar>
      </w:tblPr>
      <w:tr>
        <w:trPr>
          <w:trHeight w:val="138"/>
        </w:trPr>
        <w:tc>
          <w:tcPr>
            <w:tcW w:w="1340" w:type="dxa"/>
            <w:vAlign w:val="bottom"/>
            <w:tcBorders>
              <w:top w:val="single" w:sz="8" w:color="auto"/>
              <w:left w:val="single" w:sz="8" w:color="auto"/>
              <w:right w:val="single" w:sz="8" w:color="auto"/>
            </w:tcBorders>
            <w:shd w:val="clear" w:color="auto" w:fill="CCEEFF"/>
          </w:tcPr>
          <w:p>
            <w:pPr>
              <w:ind w:left="520"/>
              <w:spacing w:after="0"/>
              <w:rPr>
                <w:sz w:val="20"/>
                <w:szCs w:val="20"/>
                <w:color w:val="auto"/>
              </w:rPr>
            </w:pPr>
            <w:r>
              <w:rPr>
                <w:rFonts w:ascii="Arial" w:cs="Arial" w:eastAsia="Arial" w:hAnsi="Arial"/>
                <w:sz w:val="11"/>
                <w:szCs w:val="11"/>
                <w:b w:val="1"/>
                <w:bCs w:val="1"/>
                <w:color w:val="auto"/>
              </w:rPr>
              <w:t>Name</w:t>
            </w:r>
          </w:p>
        </w:tc>
        <w:tc>
          <w:tcPr>
            <w:tcW w:w="620" w:type="dxa"/>
            <w:vAlign w:val="bottom"/>
            <w:tcBorders>
              <w:top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1"/>
                <w:szCs w:val="11"/>
                <w:b w:val="1"/>
                <w:bCs w:val="1"/>
                <w:color w:val="auto"/>
              </w:rPr>
              <w:t>Year</w:t>
            </w:r>
          </w:p>
        </w:tc>
        <w:tc>
          <w:tcPr>
            <w:tcW w:w="8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1"/>
                <w:szCs w:val="11"/>
                <w:b w:val="1"/>
                <w:bCs w:val="1"/>
                <w:color w:val="auto"/>
              </w:rPr>
              <w:t>Salary</w:t>
            </w:r>
          </w:p>
        </w:tc>
        <w:tc>
          <w:tcPr>
            <w:tcW w:w="134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1"/>
                <w:szCs w:val="11"/>
                <w:b w:val="1"/>
                <w:bCs w:val="1"/>
                <w:color w:val="auto"/>
              </w:rPr>
              <w:t>Company</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Performance related</w:t>
            </w:r>
          </w:p>
        </w:tc>
        <w:tc>
          <w:tcPr>
            <w:tcW w:w="1360" w:type="dxa"/>
            <w:vAlign w:val="bottom"/>
            <w:tcBorders>
              <w:top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All other compensation</w:t>
            </w:r>
          </w:p>
        </w:tc>
        <w:tc>
          <w:tcPr>
            <w:tcW w:w="940" w:type="dxa"/>
            <w:vAlign w:val="bottom"/>
            <w:tcBorders>
              <w:top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Subtotal</w:t>
            </w:r>
          </w:p>
        </w:tc>
        <w:tc>
          <w:tcPr>
            <w:tcW w:w="114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11"/>
                <w:szCs w:val="11"/>
                <w:b w:val="1"/>
                <w:bCs w:val="1"/>
                <w:color w:val="auto"/>
              </w:rPr>
              <w:t>Share-based</w:t>
            </w:r>
          </w:p>
        </w:tc>
        <w:tc>
          <w:tcPr>
            <w:tcW w:w="980" w:type="dxa"/>
            <w:vAlign w:val="bottom"/>
            <w:tcBorders>
              <w:top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Directors’ fees</w:t>
            </w:r>
          </w:p>
        </w:tc>
        <w:tc>
          <w:tcPr>
            <w:tcW w:w="1400" w:type="dxa"/>
            <w:vAlign w:val="bottom"/>
            <w:tcBorders>
              <w:top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Total</w:t>
            </w:r>
          </w:p>
        </w:tc>
      </w:tr>
      <w:tr>
        <w:trPr>
          <w:trHeight w:val="174"/>
        </w:trPr>
        <w:tc>
          <w:tcPr>
            <w:tcW w:w="1340" w:type="dxa"/>
            <w:vAlign w:val="bottom"/>
            <w:tcBorders>
              <w:left w:val="single" w:sz="8" w:color="auto"/>
              <w:right w:val="single" w:sz="8" w:color="auto"/>
            </w:tcBorders>
            <w:shd w:val="clear" w:color="auto" w:fill="CCEEFF"/>
          </w:tcPr>
          <w:p>
            <w:pPr>
              <w:spacing w:after="0"/>
              <w:rPr>
                <w:sz w:val="15"/>
                <w:szCs w:val="15"/>
                <w:color w:val="auto"/>
              </w:rPr>
            </w:pPr>
          </w:p>
        </w:tc>
        <w:tc>
          <w:tcPr>
            <w:tcW w:w="620" w:type="dxa"/>
            <w:vAlign w:val="bottom"/>
            <w:tcBorders>
              <w:right w:val="single" w:sz="8" w:color="auto"/>
            </w:tcBorders>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77"/>
              <w:spacing w:after="0"/>
              <w:rPr>
                <w:sz w:val="20"/>
                <w:szCs w:val="20"/>
                <w:color w:val="auto"/>
              </w:rPr>
            </w:pPr>
            <w:r>
              <w:rPr>
                <w:rFonts w:ascii="Arial" w:cs="Arial" w:eastAsia="Arial" w:hAnsi="Arial"/>
                <w:sz w:val="11"/>
                <w:szCs w:val="11"/>
                <w:b w:val="1"/>
                <w:bCs w:val="1"/>
                <w:color w:val="auto"/>
              </w:rPr>
              <w:t>pension contribution</w:t>
            </w: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compensation</w:t>
            </w:r>
          </w:p>
        </w:tc>
        <w:tc>
          <w:tcPr>
            <w:tcW w:w="1360" w:type="dxa"/>
            <w:vAlign w:val="bottom"/>
            <w:tcBorders>
              <w:right w:val="single" w:sz="8" w:color="auto"/>
            </w:tcBorders>
            <w:shd w:val="clear" w:color="auto" w:fill="CCEEFF"/>
          </w:tcPr>
          <w:p>
            <w:pPr>
              <w:spacing w:after="0"/>
              <w:rPr>
                <w:sz w:val="15"/>
                <w:szCs w:val="15"/>
                <w:color w:val="auto"/>
              </w:rPr>
            </w:pPr>
          </w:p>
        </w:tc>
        <w:tc>
          <w:tcPr>
            <w:tcW w:w="940" w:type="dxa"/>
            <w:vAlign w:val="bottom"/>
            <w:tcBorders>
              <w:right w:val="single" w:sz="8" w:color="auto"/>
            </w:tcBorders>
            <w:shd w:val="clear" w:color="auto" w:fill="CCEEFF"/>
          </w:tcPr>
          <w:p>
            <w:pPr>
              <w:spacing w:after="0"/>
              <w:rPr>
                <w:sz w:val="15"/>
                <w:szCs w:val="15"/>
                <w:color w:val="auto"/>
              </w:rPr>
            </w:pPr>
          </w:p>
        </w:tc>
        <w:tc>
          <w:tcPr>
            <w:tcW w:w="1140" w:type="dxa"/>
            <w:vAlign w:val="bottom"/>
            <w:shd w:val="clear" w:color="auto" w:fill="CCEEFF"/>
          </w:tcPr>
          <w:p>
            <w:pPr>
              <w:jc w:val="right"/>
              <w:ind w:right="78"/>
              <w:spacing w:after="0"/>
              <w:rPr>
                <w:sz w:val="20"/>
                <w:szCs w:val="20"/>
                <w:color w:val="auto"/>
              </w:rPr>
            </w:pPr>
            <w:r>
              <w:rPr>
                <w:rFonts w:ascii="Arial" w:cs="Arial" w:eastAsia="Arial" w:hAnsi="Arial"/>
                <w:sz w:val="11"/>
                <w:szCs w:val="11"/>
                <w:b w:val="1"/>
                <w:bCs w:val="1"/>
                <w:color w:val="auto"/>
              </w:rPr>
              <w:t>payments</w:t>
            </w:r>
          </w:p>
        </w:tc>
        <w:tc>
          <w:tcPr>
            <w:tcW w:w="980" w:type="dxa"/>
            <w:vAlign w:val="bottom"/>
            <w:tcBorders>
              <w:right w:val="single" w:sz="8" w:color="auto"/>
            </w:tcBorders>
            <w:shd w:val="clear" w:color="auto" w:fill="CCEEFF"/>
          </w:tcPr>
          <w:p>
            <w:pPr>
              <w:spacing w:after="0"/>
              <w:rPr>
                <w:sz w:val="15"/>
                <w:szCs w:val="15"/>
                <w:color w:val="auto"/>
              </w:rPr>
            </w:pPr>
          </w:p>
        </w:tc>
        <w:tc>
          <w:tcPr>
            <w:tcW w:w="14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compensation</w:t>
            </w:r>
          </w:p>
        </w:tc>
      </w:tr>
      <w:tr>
        <w:trPr>
          <w:trHeight w:val="160"/>
        </w:trPr>
        <w:tc>
          <w:tcPr>
            <w:tcW w:w="1340" w:type="dxa"/>
            <w:vAlign w:val="bottom"/>
            <w:tcBorders>
              <w:left w:val="single" w:sz="8" w:color="auto"/>
              <w:bottom w:val="single" w:sz="8" w:color="auto"/>
              <w:right w:val="single" w:sz="8" w:color="auto"/>
            </w:tcBorders>
            <w:shd w:val="clear" w:color="auto" w:fill="CCEEFF"/>
          </w:tcPr>
          <w:p>
            <w:pPr>
              <w:spacing w:after="0"/>
              <w:rPr>
                <w:sz w:val="13"/>
                <w:szCs w:val="13"/>
                <w:color w:val="auto"/>
              </w:rPr>
            </w:pPr>
          </w:p>
        </w:tc>
        <w:tc>
          <w:tcPr>
            <w:tcW w:w="620" w:type="dxa"/>
            <w:vAlign w:val="bottom"/>
            <w:tcBorders>
              <w:bottom w:val="single" w:sz="8" w:color="auto"/>
              <w:right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spacing w:after="0"/>
              <w:rPr>
                <w:sz w:val="13"/>
                <w:szCs w:val="13"/>
                <w:color w:val="auto"/>
              </w:rPr>
            </w:pPr>
          </w:p>
        </w:tc>
        <w:tc>
          <w:tcPr>
            <w:tcW w:w="1360" w:type="dxa"/>
            <w:vAlign w:val="bottom"/>
            <w:tcBorders>
              <w:bottom w:val="single" w:sz="8" w:color="auto"/>
              <w:right w:val="single" w:sz="8" w:color="auto"/>
            </w:tcBorders>
            <w:shd w:val="clear" w:color="auto" w:fill="CCEEFF"/>
          </w:tcPr>
          <w:p>
            <w:pPr>
              <w:spacing w:after="0"/>
              <w:rPr>
                <w:sz w:val="13"/>
                <w:szCs w:val="13"/>
                <w:color w:val="auto"/>
              </w:rPr>
            </w:pPr>
          </w:p>
        </w:tc>
        <w:tc>
          <w:tcPr>
            <w:tcW w:w="940" w:type="dxa"/>
            <w:vAlign w:val="bottom"/>
            <w:tcBorders>
              <w:bottom w:val="single" w:sz="8" w:color="auto"/>
              <w:right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1"/>
                <w:szCs w:val="11"/>
                <w:b w:val="1"/>
                <w:bCs w:val="1"/>
                <w:color w:val="auto"/>
              </w:rPr>
              <w:t>*</w:t>
            </w:r>
          </w:p>
        </w:tc>
        <w:tc>
          <w:tcPr>
            <w:tcW w:w="980" w:type="dxa"/>
            <w:vAlign w:val="bottom"/>
            <w:tcBorders>
              <w:bottom w:val="single" w:sz="8" w:color="auto"/>
              <w:right w:val="single" w:sz="8" w:color="auto"/>
            </w:tcBorders>
            <w:shd w:val="clear" w:color="auto" w:fill="CCEEFF"/>
          </w:tcPr>
          <w:p>
            <w:pPr>
              <w:spacing w:after="0"/>
              <w:rPr>
                <w:sz w:val="13"/>
                <w:szCs w:val="13"/>
                <w:color w:val="auto"/>
              </w:rPr>
            </w:pPr>
          </w:p>
        </w:tc>
        <w:tc>
          <w:tcPr>
            <w:tcW w:w="1400" w:type="dxa"/>
            <w:vAlign w:val="bottom"/>
            <w:tcBorders>
              <w:bottom w:val="single" w:sz="8" w:color="auto"/>
              <w:right w:val="single" w:sz="8" w:color="auto"/>
            </w:tcBorders>
            <w:shd w:val="clear" w:color="auto" w:fill="CCEEFF"/>
          </w:tcPr>
          <w:p>
            <w:pPr>
              <w:spacing w:after="0"/>
              <w:rPr>
                <w:sz w:val="13"/>
                <w:szCs w:val="13"/>
                <w:color w:val="auto"/>
              </w:rPr>
            </w:pPr>
          </w:p>
        </w:tc>
      </w:tr>
      <w:tr>
        <w:trPr>
          <w:trHeight w:val="166"/>
        </w:trPr>
        <w:tc>
          <w:tcPr>
            <w:tcW w:w="1340" w:type="dxa"/>
            <w:vAlign w:val="bottom"/>
            <w:tcBorders>
              <w:left w:val="single" w:sz="8" w:color="auto"/>
              <w:bottom w:val="single" w:sz="8" w:color="auto"/>
              <w:right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$’000</w:t>
            </w:r>
          </w:p>
        </w:tc>
        <w:tc>
          <w:tcPr>
            <w:tcW w:w="13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$’000</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114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b w:val="1"/>
                <w:bCs w:val="1"/>
                <w:color w:val="auto"/>
              </w:rPr>
              <w:t>$’000</w:t>
            </w:r>
          </w:p>
        </w:tc>
        <w:tc>
          <w:tcPr>
            <w:tcW w:w="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r>
      <w:tr>
        <w:trPr>
          <w:trHeight w:val="160"/>
        </w:trPr>
        <w:tc>
          <w:tcPr>
            <w:tcW w:w="134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Ciaran Murray</w:t>
            </w:r>
          </w:p>
        </w:tc>
        <w:tc>
          <w:tcPr>
            <w:tcW w:w="6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2020</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118"/>
              <w:spacing w:after="0"/>
              <w:rPr>
                <w:sz w:val="20"/>
                <w:szCs w:val="20"/>
                <w:color w:val="auto"/>
              </w:rPr>
            </w:pPr>
            <w:r>
              <w:rPr>
                <w:rFonts w:ascii="Arial" w:cs="Arial" w:eastAsia="Arial" w:hAnsi="Arial"/>
                <w:sz w:val="13"/>
                <w:szCs w:val="13"/>
                <w:color w:val="auto"/>
              </w:rPr>
              <w:t>353</w:t>
            </w:r>
          </w:p>
        </w:tc>
        <w:tc>
          <w:tcPr>
            <w:tcW w:w="9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328</w:t>
            </w:r>
          </w:p>
        </w:tc>
        <w:tc>
          <w:tcPr>
            <w:tcW w:w="140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681</w:t>
            </w:r>
          </w:p>
        </w:tc>
      </w:tr>
      <w:tr>
        <w:trPr>
          <w:trHeight w:val="169"/>
        </w:trPr>
        <w:tc>
          <w:tcPr>
            <w:tcW w:w="1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Dr. Steve Cutler</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2020</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1,172</w:t>
            </w:r>
          </w:p>
        </w:tc>
        <w:tc>
          <w:tcPr>
            <w:tcW w:w="1340" w:type="dxa"/>
            <w:vAlign w:val="bottom"/>
          </w:tcPr>
          <w:p>
            <w:pPr>
              <w:jc w:val="right"/>
              <w:ind w:right="117"/>
              <w:spacing w:after="0"/>
              <w:rPr>
                <w:sz w:val="20"/>
                <w:szCs w:val="20"/>
                <w:color w:val="auto"/>
              </w:rPr>
            </w:pPr>
            <w:r>
              <w:rPr>
                <w:rFonts w:ascii="Arial" w:cs="Arial" w:eastAsia="Arial" w:hAnsi="Arial"/>
                <w:sz w:val="13"/>
                <w:szCs w:val="13"/>
                <w:color w:val="auto"/>
              </w:rPr>
              <w:t>171</w:t>
            </w:r>
          </w:p>
        </w:tc>
        <w:tc>
          <w:tcPr>
            <w:tcW w:w="1300" w:type="dxa"/>
            <w:vAlign w:val="bottom"/>
          </w:tcPr>
          <w:p>
            <w:pPr>
              <w:jc w:val="right"/>
              <w:ind w:right="37"/>
              <w:spacing w:after="0"/>
              <w:rPr>
                <w:sz w:val="20"/>
                <w:szCs w:val="20"/>
                <w:color w:val="auto"/>
              </w:rPr>
            </w:pPr>
            <w:r>
              <w:rPr>
                <w:rFonts w:ascii="Arial" w:cs="Arial" w:eastAsia="Arial" w:hAnsi="Arial"/>
                <w:sz w:val="13"/>
                <w:szCs w:val="13"/>
                <w:color w:val="auto"/>
              </w:rPr>
              <w:t>793</w:t>
            </w:r>
          </w:p>
        </w:tc>
        <w:tc>
          <w:tcPr>
            <w:tcW w:w="136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31</w:t>
            </w:r>
          </w:p>
        </w:tc>
        <w:tc>
          <w:tcPr>
            <w:tcW w:w="94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2,167</w:t>
            </w:r>
          </w:p>
        </w:tc>
        <w:tc>
          <w:tcPr>
            <w:tcW w:w="1140" w:type="dxa"/>
            <w:vAlign w:val="bottom"/>
          </w:tcPr>
          <w:p>
            <w:pPr>
              <w:jc w:val="right"/>
              <w:ind w:right="118"/>
              <w:spacing w:after="0"/>
              <w:rPr>
                <w:sz w:val="20"/>
                <w:szCs w:val="20"/>
                <w:color w:val="auto"/>
              </w:rPr>
            </w:pPr>
            <w:r>
              <w:rPr>
                <w:rFonts w:ascii="Arial" w:cs="Arial" w:eastAsia="Arial" w:hAnsi="Arial"/>
                <w:sz w:val="13"/>
                <w:szCs w:val="13"/>
                <w:color w:val="auto"/>
              </w:rPr>
              <w:t>6,091</w:t>
            </w:r>
          </w:p>
        </w:tc>
        <w:tc>
          <w:tcPr>
            <w:tcW w:w="9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44</w:t>
            </w:r>
          </w:p>
        </w:tc>
        <w:tc>
          <w:tcPr>
            <w:tcW w:w="140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8,302</w:t>
            </w:r>
          </w:p>
        </w:tc>
      </w:tr>
      <w:tr>
        <w:trPr>
          <w:trHeight w:val="171"/>
        </w:trPr>
        <w:tc>
          <w:tcPr>
            <w:tcW w:w="134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Brendan Brennan</w:t>
            </w:r>
          </w:p>
        </w:tc>
        <w:tc>
          <w:tcPr>
            <w:tcW w:w="6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2020</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562</w:t>
            </w:r>
          </w:p>
        </w:tc>
        <w:tc>
          <w:tcPr>
            <w:tcW w:w="13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70</w:t>
            </w: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253</w:t>
            </w:r>
          </w:p>
        </w:tc>
        <w:tc>
          <w:tcPr>
            <w:tcW w:w="136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29</w:t>
            </w:r>
          </w:p>
        </w:tc>
        <w:tc>
          <w:tcPr>
            <w:tcW w:w="94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914</w:t>
            </w:r>
          </w:p>
        </w:tc>
        <w:tc>
          <w:tcPr>
            <w:tcW w:w="1140" w:type="dxa"/>
            <w:vAlign w:val="bottom"/>
            <w:shd w:val="clear" w:color="auto" w:fill="CCEEFF"/>
          </w:tcPr>
          <w:p>
            <w:pPr>
              <w:jc w:val="right"/>
              <w:ind w:right="118"/>
              <w:spacing w:after="0"/>
              <w:rPr>
                <w:sz w:val="20"/>
                <w:szCs w:val="20"/>
                <w:color w:val="auto"/>
              </w:rPr>
            </w:pPr>
            <w:r>
              <w:rPr>
                <w:rFonts w:ascii="Arial" w:cs="Arial" w:eastAsia="Arial" w:hAnsi="Arial"/>
                <w:sz w:val="13"/>
                <w:szCs w:val="13"/>
                <w:color w:val="auto"/>
              </w:rPr>
              <w:t>1,299</w:t>
            </w:r>
          </w:p>
        </w:tc>
        <w:tc>
          <w:tcPr>
            <w:tcW w:w="9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40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2,213</w:t>
            </w:r>
          </w:p>
        </w:tc>
      </w:tr>
      <w:tr>
        <w:trPr>
          <w:trHeight w:val="169"/>
        </w:trPr>
        <w:tc>
          <w:tcPr>
            <w:tcW w:w="1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Rónán Murphy</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2020</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18"/>
              <w:spacing w:after="0"/>
              <w:rPr>
                <w:sz w:val="20"/>
                <w:szCs w:val="20"/>
                <w:color w:val="auto"/>
              </w:rPr>
            </w:pPr>
            <w:r>
              <w:rPr>
                <w:rFonts w:ascii="Arial" w:cs="Arial" w:eastAsia="Arial" w:hAnsi="Arial"/>
                <w:sz w:val="13"/>
                <w:szCs w:val="13"/>
                <w:color w:val="auto"/>
              </w:rPr>
              <w:t>374</w:t>
            </w:r>
          </w:p>
        </w:tc>
        <w:tc>
          <w:tcPr>
            <w:tcW w:w="9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122</w:t>
            </w:r>
          </w:p>
        </w:tc>
        <w:tc>
          <w:tcPr>
            <w:tcW w:w="140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496</w:t>
            </w:r>
          </w:p>
        </w:tc>
      </w:tr>
      <w:tr>
        <w:trPr>
          <w:trHeight w:val="171"/>
        </w:trPr>
        <w:tc>
          <w:tcPr>
            <w:tcW w:w="134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Professor Hugh Brady</w:t>
            </w:r>
          </w:p>
        </w:tc>
        <w:tc>
          <w:tcPr>
            <w:tcW w:w="6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2020</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118"/>
              <w:spacing w:after="0"/>
              <w:rPr>
                <w:sz w:val="20"/>
                <w:szCs w:val="20"/>
                <w:color w:val="auto"/>
              </w:rPr>
            </w:pPr>
            <w:r>
              <w:rPr>
                <w:rFonts w:ascii="Arial" w:cs="Arial" w:eastAsia="Arial" w:hAnsi="Arial"/>
                <w:sz w:val="13"/>
                <w:szCs w:val="13"/>
                <w:color w:val="auto"/>
              </w:rPr>
              <w:t>387</w:t>
            </w:r>
          </w:p>
        </w:tc>
        <w:tc>
          <w:tcPr>
            <w:tcW w:w="9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77</w:t>
            </w:r>
          </w:p>
        </w:tc>
        <w:tc>
          <w:tcPr>
            <w:tcW w:w="140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464</w:t>
            </w:r>
          </w:p>
        </w:tc>
      </w:tr>
      <w:tr>
        <w:trPr>
          <w:trHeight w:val="169"/>
        </w:trPr>
        <w:tc>
          <w:tcPr>
            <w:tcW w:w="1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Dr. John Climax</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2020</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18"/>
              <w:spacing w:after="0"/>
              <w:rPr>
                <w:sz w:val="20"/>
                <w:szCs w:val="20"/>
                <w:color w:val="auto"/>
              </w:rPr>
            </w:pPr>
            <w:r>
              <w:rPr>
                <w:rFonts w:ascii="Arial" w:cs="Arial" w:eastAsia="Arial" w:hAnsi="Arial"/>
                <w:sz w:val="13"/>
                <w:szCs w:val="13"/>
                <w:color w:val="auto"/>
              </w:rPr>
              <w:t>387</w:t>
            </w:r>
          </w:p>
        </w:tc>
        <w:tc>
          <w:tcPr>
            <w:tcW w:w="9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65</w:t>
            </w:r>
          </w:p>
        </w:tc>
        <w:tc>
          <w:tcPr>
            <w:tcW w:w="140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452</w:t>
            </w:r>
          </w:p>
        </w:tc>
      </w:tr>
      <w:tr>
        <w:trPr>
          <w:trHeight w:val="171"/>
        </w:trPr>
        <w:tc>
          <w:tcPr>
            <w:tcW w:w="134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Joan Garahy</w:t>
            </w:r>
          </w:p>
        </w:tc>
        <w:tc>
          <w:tcPr>
            <w:tcW w:w="6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2020</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118"/>
              <w:spacing w:after="0"/>
              <w:rPr>
                <w:sz w:val="20"/>
                <w:szCs w:val="20"/>
                <w:color w:val="auto"/>
              </w:rPr>
            </w:pPr>
            <w:r>
              <w:rPr>
                <w:rFonts w:ascii="Arial" w:cs="Arial" w:eastAsia="Arial" w:hAnsi="Arial"/>
                <w:sz w:val="13"/>
                <w:szCs w:val="13"/>
                <w:color w:val="auto"/>
              </w:rPr>
              <w:t>353</w:t>
            </w:r>
          </w:p>
        </w:tc>
        <w:tc>
          <w:tcPr>
            <w:tcW w:w="9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97</w:t>
            </w:r>
          </w:p>
        </w:tc>
        <w:tc>
          <w:tcPr>
            <w:tcW w:w="140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450</w:t>
            </w:r>
          </w:p>
        </w:tc>
      </w:tr>
      <w:tr>
        <w:trPr>
          <w:trHeight w:val="169"/>
        </w:trPr>
        <w:tc>
          <w:tcPr>
            <w:tcW w:w="1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Professor William Hall</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2020</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18"/>
              <w:spacing w:after="0"/>
              <w:rPr>
                <w:sz w:val="20"/>
                <w:szCs w:val="20"/>
                <w:color w:val="auto"/>
              </w:rPr>
            </w:pPr>
            <w:r>
              <w:rPr>
                <w:rFonts w:ascii="Arial" w:cs="Arial" w:eastAsia="Arial" w:hAnsi="Arial"/>
                <w:sz w:val="13"/>
                <w:szCs w:val="13"/>
                <w:color w:val="auto"/>
              </w:rPr>
              <w:t>387</w:t>
            </w:r>
          </w:p>
        </w:tc>
        <w:tc>
          <w:tcPr>
            <w:tcW w:w="9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90</w:t>
            </w:r>
          </w:p>
        </w:tc>
        <w:tc>
          <w:tcPr>
            <w:tcW w:w="140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477</w:t>
            </w:r>
          </w:p>
        </w:tc>
      </w:tr>
      <w:tr>
        <w:trPr>
          <w:trHeight w:val="171"/>
        </w:trPr>
        <w:tc>
          <w:tcPr>
            <w:tcW w:w="134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Eugene McCague</w:t>
            </w:r>
          </w:p>
        </w:tc>
        <w:tc>
          <w:tcPr>
            <w:tcW w:w="6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2020</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118"/>
              <w:spacing w:after="0"/>
              <w:rPr>
                <w:sz w:val="20"/>
                <w:szCs w:val="20"/>
                <w:color w:val="auto"/>
              </w:rPr>
            </w:pPr>
            <w:r>
              <w:rPr>
                <w:rFonts w:ascii="Arial" w:cs="Arial" w:eastAsia="Arial" w:hAnsi="Arial"/>
                <w:sz w:val="13"/>
                <w:szCs w:val="13"/>
                <w:color w:val="auto"/>
              </w:rPr>
              <w:t>353</w:t>
            </w:r>
          </w:p>
        </w:tc>
        <w:tc>
          <w:tcPr>
            <w:tcW w:w="9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97</w:t>
            </w:r>
          </w:p>
        </w:tc>
        <w:tc>
          <w:tcPr>
            <w:tcW w:w="140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450</w:t>
            </w:r>
          </w:p>
        </w:tc>
      </w:tr>
      <w:tr>
        <w:trPr>
          <w:trHeight w:val="169"/>
        </w:trPr>
        <w:tc>
          <w:tcPr>
            <w:tcW w:w="1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Julie O'Neill</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2020</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18"/>
              <w:spacing w:after="0"/>
              <w:rPr>
                <w:sz w:val="20"/>
                <w:szCs w:val="20"/>
                <w:color w:val="auto"/>
              </w:rPr>
            </w:pPr>
            <w:r>
              <w:rPr>
                <w:rFonts w:ascii="Arial" w:cs="Arial" w:eastAsia="Arial" w:hAnsi="Arial"/>
                <w:sz w:val="13"/>
                <w:szCs w:val="13"/>
                <w:color w:val="auto"/>
              </w:rPr>
              <w:t>292</w:t>
            </w:r>
          </w:p>
        </w:tc>
        <w:tc>
          <w:tcPr>
            <w:tcW w:w="9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65</w:t>
            </w:r>
          </w:p>
        </w:tc>
        <w:tc>
          <w:tcPr>
            <w:tcW w:w="140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357</w:t>
            </w:r>
          </w:p>
        </w:tc>
      </w:tr>
      <w:tr>
        <w:trPr>
          <w:trHeight w:val="170"/>
        </w:trPr>
        <w:tc>
          <w:tcPr>
            <w:tcW w:w="13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Mary Pendergast</w:t>
            </w:r>
          </w:p>
        </w:tc>
        <w:tc>
          <w:tcPr>
            <w:tcW w:w="6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2020</w:t>
            </w:r>
          </w:p>
        </w:tc>
        <w:tc>
          <w:tcPr>
            <w:tcW w:w="8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34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360" w:type="dxa"/>
            <w:vAlign w:val="bottom"/>
            <w:tcBorders>
              <w:bottom w:val="single" w:sz="8" w:color="auto"/>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3"/>
                <w:szCs w:val="13"/>
                <w:color w:val="auto"/>
              </w:rPr>
              <w:t>387</w:t>
            </w:r>
          </w:p>
        </w:tc>
        <w:tc>
          <w:tcPr>
            <w:tcW w:w="980" w:type="dxa"/>
            <w:vAlign w:val="bottom"/>
            <w:tcBorders>
              <w:bottom w:val="single" w:sz="8" w:color="auto"/>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77</w:t>
            </w:r>
          </w:p>
        </w:tc>
        <w:tc>
          <w:tcPr>
            <w:tcW w:w="1400" w:type="dxa"/>
            <w:vAlign w:val="bottom"/>
            <w:tcBorders>
              <w:bottom w:val="single" w:sz="8" w:color="auto"/>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464</w:t>
            </w:r>
          </w:p>
        </w:tc>
      </w:tr>
      <w:tr>
        <w:trPr>
          <w:trHeight w:val="162"/>
        </w:trPr>
        <w:tc>
          <w:tcPr>
            <w:tcW w:w="1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Total</w:t>
            </w: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2020</w:t>
            </w:r>
          </w:p>
        </w:tc>
        <w:tc>
          <w:tcPr>
            <w:tcW w:w="8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1,734</w:t>
            </w:r>
          </w:p>
        </w:tc>
        <w:tc>
          <w:tcPr>
            <w:tcW w:w="13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241</w:t>
            </w:r>
          </w:p>
        </w:tc>
        <w:tc>
          <w:tcPr>
            <w:tcW w:w="13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1,046</w:t>
            </w:r>
          </w:p>
        </w:tc>
        <w:tc>
          <w:tcPr>
            <w:tcW w:w="1360" w:type="dxa"/>
            <w:vAlign w:val="bottom"/>
            <w:tcBorders>
              <w:bottom w:val="single" w:sz="8" w:color="auto"/>
              <w:right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60</w:t>
            </w:r>
          </w:p>
        </w:tc>
        <w:tc>
          <w:tcPr>
            <w:tcW w:w="940" w:type="dxa"/>
            <w:vAlign w:val="bottom"/>
            <w:tcBorders>
              <w:bottom w:val="single" w:sz="8" w:color="auto"/>
              <w:right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3,081</w:t>
            </w:r>
          </w:p>
        </w:tc>
        <w:tc>
          <w:tcPr>
            <w:tcW w:w="114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b w:val="1"/>
                <w:bCs w:val="1"/>
                <w:color w:val="auto"/>
              </w:rPr>
              <w:t>10,663</w:t>
            </w:r>
          </w:p>
        </w:tc>
        <w:tc>
          <w:tcPr>
            <w:tcW w:w="980" w:type="dxa"/>
            <w:vAlign w:val="bottom"/>
            <w:tcBorders>
              <w:bottom w:val="single" w:sz="8" w:color="auto"/>
              <w:right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1,062</w:t>
            </w:r>
          </w:p>
        </w:tc>
        <w:tc>
          <w:tcPr>
            <w:tcW w:w="1400" w:type="dxa"/>
            <w:vAlign w:val="bottom"/>
            <w:tcBorders>
              <w:bottom w:val="single" w:sz="8" w:color="auto"/>
              <w:right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14,806</w:t>
            </w:r>
          </w:p>
        </w:tc>
      </w:tr>
    </w:tbl>
    <w:p>
      <w:pPr>
        <w:spacing w:after="0" w:line="68" w:lineRule="exact"/>
        <w:rPr>
          <w:sz w:val="20"/>
          <w:szCs w:val="20"/>
          <w:color w:val="auto"/>
        </w:rPr>
      </w:pPr>
    </w:p>
    <w:p>
      <w:pPr>
        <w:jc w:val="both"/>
        <w:spacing w:after="0" w:line="303" w:lineRule="auto"/>
        <w:rPr>
          <w:sz w:val="20"/>
          <w:szCs w:val="20"/>
          <w:color w:val="auto"/>
        </w:rPr>
      </w:pPr>
      <w:r>
        <w:rPr>
          <w:rFonts w:ascii="Arial" w:cs="Arial" w:eastAsia="Arial" w:hAnsi="Arial"/>
          <w:sz w:val="11"/>
          <w:szCs w:val="11"/>
          <w:color w:val="auto"/>
        </w:rPr>
        <w:t xml:space="preserve">*Share-based payments is the IFRS 2 expense related to share options, RSUs and PSUs. The aggregate amount of the gains earned by the Directors on the exercise of share options during the financial year is disclosed in </w:t>
      </w:r>
      <w:r>
        <w:rPr>
          <w:rFonts w:ascii="Arial" w:cs="Arial" w:eastAsia="Arial" w:hAnsi="Arial"/>
          <w:sz w:val="11"/>
          <w:szCs w:val="11"/>
          <w:i w:val="1"/>
          <w:iCs w:val="1"/>
          <w:color w:val="auto"/>
        </w:rPr>
        <w:t xml:space="preserve">Note 3 Profit before taxation </w:t>
      </w:r>
      <w:r>
        <w:rPr>
          <w:rFonts w:ascii="Arial" w:cs="Arial" w:eastAsia="Arial" w:hAnsi="Arial"/>
          <w:sz w:val="11"/>
          <w:szCs w:val="11"/>
          <w:color w:val="auto"/>
        </w:rPr>
        <w:t>under</w:t>
      </w:r>
      <w:r>
        <w:rPr>
          <w:rFonts w:ascii="Arial" w:cs="Arial" w:eastAsia="Arial" w:hAnsi="Arial"/>
          <w:sz w:val="11"/>
          <w:szCs w:val="11"/>
          <w:i w:val="1"/>
          <w:iCs w:val="1"/>
          <w:color w:val="auto"/>
        </w:rPr>
        <w:t xml:space="preserve"> ‘Directors’ emoluments’.</w:t>
      </w:r>
    </w:p>
    <w:p>
      <w:pPr>
        <w:spacing w:after="0" w:line="133" w:lineRule="exact"/>
        <w:rPr>
          <w:sz w:val="20"/>
          <w:szCs w:val="20"/>
          <w:color w:val="auto"/>
        </w:rPr>
      </w:pPr>
    </w:p>
    <w:p>
      <w:pPr>
        <w:ind w:left="320" w:hanging="315"/>
        <w:spacing w:after="0"/>
        <w:tabs>
          <w:tab w:leader="none" w:pos="320" w:val="left"/>
        </w:tabs>
        <w:numPr>
          <w:ilvl w:val="0"/>
          <w:numId w:val="77"/>
        </w:numPr>
        <w:rPr>
          <w:rFonts w:ascii="Arial" w:cs="Arial" w:eastAsia="Arial" w:hAnsi="Arial"/>
          <w:sz w:val="13"/>
          <w:szCs w:val="13"/>
          <w:b w:val="1"/>
          <w:bCs w:val="1"/>
          <w:color w:val="auto"/>
        </w:rPr>
      </w:pPr>
      <w:r>
        <w:rPr>
          <w:rFonts w:ascii="Arial" w:cs="Arial" w:eastAsia="Arial" w:hAnsi="Arial"/>
          <w:sz w:val="13"/>
          <w:szCs w:val="13"/>
          <w:b w:val="1"/>
          <w:bCs w:val="1"/>
          <w:color w:val="auto"/>
        </w:rPr>
        <w:t>Retirement benefit obligations</w:t>
      </w:r>
    </w:p>
    <w:p>
      <w:pPr>
        <w:spacing w:after="0" w:line="201"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The Group operates a number of defined contribution schemes and defined benefit pension schemes. The Group accounts for pensions in accordance with IAS 19R </w:t>
      </w:r>
      <w:r>
        <w:rPr>
          <w:rFonts w:ascii="Arial" w:cs="Arial" w:eastAsia="Arial" w:hAnsi="Arial"/>
          <w:sz w:val="12"/>
          <w:szCs w:val="12"/>
          <w:i w:val="1"/>
          <w:iCs w:val="1"/>
          <w:color w:val="auto"/>
        </w:rPr>
        <w:t>Employee Benefits</w:t>
      </w:r>
      <w:r>
        <w:rPr>
          <w:rFonts w:ascii="Arial" w:cs="Arial" w:eastAsia="Arial" w:hAnsi="Arial"/>
          <w:sz w:val="12"/>
          <w:szCs w:val="12"/>
          <w:color w:val="auto"/>
        </w:rPr>
        <w:t xml:space="preserve"> (“IAS 19R”).</w:t>
      </w:r>
    </w:p>
    <w:p>
      <w:pPr>
        <w:spacing w:after="0" w:line="202" w:lineRule="exact"/>
        <w:rPr>
          <w:sz w:val="20"/>
          <w:szCs w:val="20"/>
          <w:color w:val="auto"/>
        </w:rPr>
      </w:pPr>
    </w:p>
    <w:p>
      <w:pPr>
        <w:ind w:left="500" w:hanging="395"/>
        <w:spacing w:after="0"/>
        <w:tabs>
          <w:tab w:leader="none" w:pos="500" w:val="left"/>
        </w:tabs>
        <w:numPr>
          <w:ilvl w:val="0"/>
          <w:numId w:val="78"/>
        </w:numPr>
        <w:rPr>
          <w:rFonts w:ascii="Arial" w:cs="Arial" w:eastAsia="Arial" w:hAnsi="Arial"/>
          <w:sz w:val="13"/>
          <w:szCs w:val="13"/>
          <w:b w:val="1"/>
          <w:bCs w:val="1"/>
          <w:color w:val="auto"/>
        </w:rPr>
      </w:pPr>
      <w:r>
        <w:rPr>
          <w:rFonts w:ascii="Arial" w:cs="Arial" w:eastAsia="Arial" w:hAnsi="Arial"/>
          <w:sz w:val="13"/>
          <w:szCs w:val="13"/>
          <w:b w:val="1"/>
          <w:bCs w:val="1"/>
          <w:color w:val="auto"/>
        </w:rPr>
        <w:t>Defined Contribution Schemes</w:t>
      </w:r>
    </w:p>
    <w:p>
      <w:pPr>
        <w:spacing w:after="0" w:line="201"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Certain employees of the Group are eligible to participate in a defined contribution or profit sharing plans (the "Plans"). Participants in the Plans may elect to defer a portion of their pre-tax earnings into a pension plan, which is run by an independent party. The Group matches each participant's contributions up to certain levels of the participant's annual compensation. Contributions to the plan are recorded as a remuneration expense in the Consolidated Statement of Profit and Loss. Contributions for the year ended 31 December 2021 and year ended 31 December 2020 were $37.1 million and $28.0 million respectively.</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The Group's United States operations maintain retirement plans (the "U.S. Plans") that qualify as deferred salary arrangements under Section 401(k) of the Internal Revenue Code. Participants in the U.S. Plans may elect to defer a portion of their earnings, up to the Internal Revenue Service annual contribution limit. The Group matches participant's contributions at varying amounts, subject to a maximum of 4.5% of the participant's annual compensation. Contributions to the U.S. Plans are recorded, in the year contributed, as an expense in the Consolidated Statement of Profit and Loss. Contributions for the year ended 31 December 2021 and year ended 31 December 2020 were $23.7 million and $17.0 million respectively.</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ectPr>
          <w:pgSz w:w="11900" w:h="16838" w:orient="portrait"/>
          <w:cols w:equalWidth="0" w:num="1">
            <w:col w:w="11280"/>
          </w:cols>
          <w:pgMar w:left="300" w:top="698" w:right="319" w:bottom="1440" w:gutter="0" w:footer="0" w:header="0"/>
        </w:sectPr>
      </w:pPr>
    </w:p>
    <w:bookmarkStart w:id="89" w:name="page90"/>
    <w:bookmarkEnd w:id="89"/>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190" w:lineRule="exact"/>
        <w:rPr>
          <w:sz w:val="20"/>
          <w:szCs w:val="20"/>
          <w:color w:val="auto"/>
        </w:rPr>
      </w:pPr>
    </w:p>
    <w:p>
      <w:pPr>
        <w:ind w:left="320" w:hanging="315"/>
        <w:spacing w:after="0"/>
        <w:tabs>
          <w:tab w:leader="none" w:pos="320" w:val="left"/>
        </w:tabs>
        <w:numPr>
          <w:ilvl w:val="0"/>
          <w:numId w:val="79"/>
        </w:numPr>
        <w:rPr>
          <w:rFonts w:ascii="Arial" w:cs="Arial" w:eastAsia="Arial" w:hAnsi="Arial"/>
          <w:sz w:val="13"/>
          <w:szCs w:val="13"/>
          <w:b w:val="1"/>
          <w:bCs w:val="1"/>
          <w:color w:val="auto"/>
        </w:rPr>
      </w:pPr>
      <w:r>
        <w:rPr>
          <w:rFonts w:ascii="Arial" w:cs="Arial" w:eastAsia="Arial" w:hAnsi="Arial"/>
          <w:sz w:val="13"/>
          <w:szCs w:val="13"/>
          <w:b w:val="1"/>
          <w:bCs w:val="1"/>
          <w:color w:val="auto"/>
        </w:rPr>
        <w:t>Retirement benefit obligations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rFonts w:ascii="Arial" w:cs="Arial" w:eastAsia="Arial" w:hAnsi="Arial"/>
          <w:sz w:val="13"/>
          <w:szCs w:val="13"/>
          <w:b w:val="1"/>
          <w:bCs w:val="1"/>
          <w:color w:val="auto"/>
        </w:rPr>
      </w:pPr>
    </w:p>
    <w:p>
      <w:pPr>
        <w:spacing w:after="0" w:line="202" w:lineRule="exact"/>
        <w:rPr>
          <w:rFonts w:ascii="Arial" w:cs="Arial" w:eastAsia="Arial" w:hAnsi="Arial"/>
          <w:sz w:val="13"/>
          <w:szCs w:val="13"/>
          <w:b w:val="1"/>
          <w:bCs w:val="1"/>
          <w:color w:val="auto"/>
        </w:rPr>
      </w:pPr>
    </w:p>
    <w:p>
      <w:pPr>
        <w:ind w:left="540" w:hanging="395"/>
        <w:spacing w:after="0"/>
        <w:tabs>
          <w:tab w:leader="none" w:pos="540" w:val="left"/>
        </w:tabs>
        <w:numPr>
          <w:ilvl w:val="1"/>
          <w:numId w:val="79"/>
        </w:numPr>
        <w:rPr>
          <w:rFonts w:ascii="Arial" w:cs="Arial" w:eastAsia="Arial" w:hAnsi="Arial"/>
          <w:sz w:val="13"/>
          <w:szCs w:val="13"/>
          <w:b w:val="1"/>
          <w:bCs w:val="1"/>
          <w:color w:val="auto"/>
        </w:rPr>
      </w:pPr>
      <w:r>
        <w:rPr>
          <w:rFonts w:ascii="Arial" w:cs="Arial" w:eastAsia="Arial" w:hAnsi="Arial"/>
          <w:sz w:val="13"/>
          <w:szCs w:val="13"/>
          <w:b w:val="1"/>
          <w:bCs w:val="1"/>
          <w:color w:val="auto"/>
        </w:rPr>
        <w:t>Defined Benefit Plans</w:t>
      </w:r>
    </w:p>
    <w:p>
      <w:pPr>
        <w:spacing w:after="0" w:line="190" w:lineRule="exact"/>
        <w:rPr>
          <w:sz w:val="20"/>
          <w:szCs w:val="20"/>
          <w:color w:val="auto"/>
        </w:rPr>
      </w:pPr>
    </w:p>
    <w:p>
      <w:pPr>
        <w:ind w:left="40"/>
        <w:spacing w:after="0"/>
        <w:rPr>
          <w:sz w:val="20"/>
          <w:szCs w:val="20"/>
          <w:color w:val="auto"/>
        </w:rPr>
      </w:pPr>
      <w:r>
        <w:rPr>
          <w:rFonts w:ascii="Arial" w:cs="Arial" w:eastAsia="Arial" w:hAnsi="Arial"/>
          <w:sz w:val="13"/>
          <w:szCs w:val="13"/>
          <w:b w:val="1"/>
          <w:bCs w:val="1"/>
          <w:i w:val="1"/>
          <w:iCs w:val="1"/>
          <w:color w:val="auto"/>
        </w:rPr>
        <w:t>ICON Development Solutions Limited Pension Plan</w:t>
      </w:r>
    </w:p>
    <w:p>
      <w:pPr>
        <w:spacing w:after="0" w:line="190"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One of the Group’s subsidiaries, ICON Development Solutions Limited, which was acquired by the Group in 2003, operates a defined benefit pension plan in the United Kingdom for certain employees, which is now closed to new members.</w:t>
      </w:r>
    </w:p>
    <w:p>
      <w:pPr>
        <w:spacing w:after="0" w:line="14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plan is managed externally and the related pension costs and liabilities are assessed in accordance with the advice of a professionally qualified actuary. Plan assets at 31 December 2021 and 31 December 2020 consist of units held in independently administered funds.</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Financial assumptions</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The following assumptions were used in determining the fair value of the plan assets and the present value of the projected benefit obligation at 31 December 2021:</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80" w:type="dxa"/>
            <w:vAlign w:val="bottom"/>
            <w:shd w:val="clear" w:color="auto" w:fill="CCEEFF"/>
          </w:tcPr>
          <w:p>
            <w:pPr>
              <w:spacing w:after="0"/>
              <w:rPr>
                <w:sz w:val="13"/>
                <w:szCs w:val="13"/>
                <w:color w:val="auto"/>
              </w:rPr>
            </w:pPr>
          </w:p>
        </w:tc>
        <w:tc>
          <w:tcPr>
            <w:tcW w:w="4920" w:type="dxa"/>
            <w:vAlign w:val="bottom"/>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31 December</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0"/>
        </w:trPr>
        <w:tc>
          <w:tcPr>
            <w:tcW w:w="5180" w:type="dxa"/>
            <w:vAlign w:val="bottom"/>
            <w:tcBorders>
              <w:bottom w:val="single" w:sz="8" w:color="auto"/>
            </w:tcBorders>
            <w:shd w:val="clear" w:color="auto" w:fill="CCEEFF"/>
          </w:tcPr>
          <w:p>
            <w:pPr>
              <w:spacing w:after="0"/>
              <w:rPr>
                <w:sz w:val="14"/>
                <w:szCs w:val="14"/>
                <w:color w:val="auto"/>
              </w:rPr>
            </w:pPr>
          </w:p>
        </w:tc>
        <w:tc>
          <w:tcPr>
            <w:tcW w:w="492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2021</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2020</w:t>
            </w:r>
          </w:p>
        </w:tc>
      </w:tr>
      <w:tr>
        <w:trPr>
          <w:trHeight w:val="182"/>
        </w:trPr>
        <w:tc>
          <w:tcPr>
            <w:tcW w:w="518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0"/>
        </w:trPr>
        <w:tc>
          <w:tcPr>
            <w:tcW w:w="5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Discount rate</w:t>
            </w:r>
          </w:p>
        </w:tc>
        <w:tc>
          <w:tcPr>
            <w:tcW w:w="4920" w:type="dxa"/>
            <w:vAlign w:val="bottom"/>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1.75 %</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1.50 %</w:t>
            </w:r>
          </w:p>
        </w:tc>
      </w:tr>
      <w:tr>
        <w:trPr>
          <w:trHeight w:val="170"/>
        </w:trPr>
        <w:tc>
          <w:tcPr>
            <w:tcW w:w="5180" w:type="dxa"/>
            <w:vAlign w:val="bottom"/>
          </w:tcPr>
          <w:p>
            <w:pPr>
              <w:ind w:left="20"/>
              <w:spacing w:after="0"/>
              <w:rPr>
                <w:sz w:val="20"/>
                <w:szCs w:val="20"/>
                <w:color w:val="auto"/>
              </w:rPr>
            </w:pPr>
            <w:r>
              <w:rPr>
                <w:rFonts w:ascii="Arial" w:cs="Arial" w:eastAsia="Arial" w:hAnsi="Arial"/>
                <w:sz w:val="13"/>
                <w:szCs w:val="13"/>
                <w:color w:val="auto"/>
              </w:rPr>
              <w:t>Inflation rate</w:t>
            </w:r>
          </w:p>
        </w:tc>
        <w:tc>
          <w:tcPr>
            <w:tcW w:w="4920" w:type="dxa"/>
            <w:vAlign w:val="bottom"/>
          </w:tcPr>
          <w:p>
            <w:pPr>
              <w:jc w:val="right"/>
              <w:ind w:right="356"/>
              <w:spacing w:after="0"/>
              <w:rPr>
                <w:sz w:val="20"/>
                <w:szCs w:val="20"/>
                <w:color w:val="auto"/>
              </w:rPr>
            </w:pPr>
            <w:r>
              <w:rPr>
                <w:rFonts w:ascii="Arial" w:cs="Arial" w:eastAsia="Arial" w:hAnsi="Arial"/>
                <w:sz w:val="13"/>
                <w:szCs w:val="13"/>
                <w:b w:val="1"/>
                <w:bCs w:val="1"/>
                <w:color w:val="auto"/>
              </w:rPr>
              <w:t>3.18 %</w:t>
            </w:r>
          </w:p>
        </w:tc>
        <w:tc>
          <w:tcPr>
            <w:tcW w:w="1180" w:type="dxa"/>
            <w:vAlign w:val="bottom"/>
          </w:tcPr>
          <w:p>
            <w:pPr>
              <w:jc w:val="right"/>
              <w:spacing w:after="0"/>
              <w:rPr>
                <w:sz w:val="20"/>
                <w:szCs w:val="20"/>
                <w:color w:val="auto"/>
              </w:rPr>
            </w:pPr>
            <w:r>
              <w:rPr>
                <w:rFonts w:ascii="Arial" w:cs="Arial" w:eastAsia="Arial" w:hAnsi="Arial"/>
                <w:sz w:val="13"/>
                <w:szCs w:val="13"/>
                <w:color w:val="auto"/>
              </w:rPr>
              <w:t>2.90 %</w:t>
            </w:r>
          </w:p>
        </w:tc>
      </w:tr>
      <w:tr>
        <w:trPr>
          <w:trHeight w:val="170"/>
        </w:trPr>
        <w:tc>
          <w:tcPr>
            <w:tcW w:w="5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Future pension increases</w:t>
            </w:r>
          </w:p>
        </w:tc>
        <w:tc>
          <w:tcPr>
            <w:tcW w:w="4920" w:type="dxa"/>
            <w:vAlign w:val="bottom"/>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2.90 %</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2.80 %</w:t>
            </w:r>
          </w:p>
        </w:tc>
      </w:tr>
      <w:tr>
        <w:trPr>
          <w:trHeight w:val="171"/>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Future salary increases</w:t>
            </w:r>
          </w:p>
        </w:tc>
        <w:tc>
          <w:tcPr>
            <w:tcW w:w="492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3.68 %</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3.40 %</w:t>
            </w:r>
          </w:p>
        </w:tc>
      </w:tr>
    </w:tbl>
    <w:p>
      <w:pPr>
        <w:spacing w:after="0" w:line="255"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 single discount rate is used which, when used to discount the projected benefit cashflows underlying a pension scheme with a 26 year duration, gives the same result as a full AA corporate bond yield curve.</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The following assumptions were used at the commencement of the year in determining the net periodic pension cost for the year ended 31 December 2021:</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20" w:type="dxa"/>
            <w:vAlign w:val="bottom"/>
            <w:shd w:val="clear" w:color="auto" w:fill="CCEEFF"/>
          </w:tcPr>
          <w:p>
            <w:pPr>
              <w:spacing w:after="0"/>
              <w:rPr>
                <w:sz w:val="13"/>
                <w:szCs w:val="13"/>
                <w:color w:val="auto"/>
              </w:rPr>
            </w:pPr>
          </w:p>
        </w:tc>
        <w:tc>
          <w:tcPr>
            <w:tcW w:w="4980" w:type="dxa"/>
            <w:vAlign w:val="bottom"/>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31 December</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0"/>
        </w:trPr>
        <w:tc>
          <w:tcPr>
            <w:tcW w:w="5120" w:type="dxa"/>
            <w:vAlign w:val="bottom"/>
            <w:tcBorders>
              <w:bottom w:val="single" w:sz="8" w:color="auto"/>
            </w:tcBorders>
            <w:shd w:val="clear" w:color="auto" w:fill="CCEEFF"/>
          </w:tcPr>
          <w:p>
            <w:pPr>
              <w:spacing w:after="0"/>
              <w:rPr>
                <w:sz w:val="14"/>
                <w:szCs w:val="14"/>
                <w:color w:val="auto"/>
              </w:rPr>
            </w:pPr>
          </w:p>
        </w:tc>
        <w:tc>
          <w:tcPr>
            <w:tcW w:w="498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2021</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2020</w:t>
            </w:r>
          </w:p>
        </w:tc>
      </w:tr>
      <w:tr>
        <w:trPr>
          <w:trHeight w:val="182"/>
        </w:trPr>
        <w:tc>
          <w:tcPr>
            <w:tcW w:w="51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0"/>
        </w:trPr>
        <w:tc>
          <w:tcPr>
            <w:tcW w:w="5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Discount rate</w:t>
            </w:r>
          </w:p>
        </w:tc>
        <w:tc>
          <w:tcPr>
            <w:tcW w:w="4980" w:type="dxa"/>
            <w:vAlign w:val="bottom"/>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1.50 %</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2.10 %</w:t>
            </w:r>
          </w:p>
        </w:tc>
      </w:tr>
      <w:tr>
        <w:trPr>
          <w:trHeight w:val="171"/>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Future salary increases</w:t>
            </w:r>
          </w:p>
        </w:tc>
        <w:tc>
          <w:tcPr>
            <w:tcW w:w="498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3.40 %</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3.30 %</w:t>
            </w:r>
          </w:p>
        </w:tc>
      </w:tr>
    </w:tbl>
    <w:p>
      <w:pPr>
        <w:spacing w:after="0" w:line="25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Mortality assumptions</w:t>
      </w:r>
    </w:p>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Assumptions regarding mortality experience are set based on actuarial advice in accordance with published statistics and experience. The mortality assumptions adopted at 31 December 2021 are 108% of the standard tables S3PMA/S3PFA_M, Year of Birth, no age rating for males and females, projected using CMI_2020 converging to 1.25% p.a.. These imply the following life expectancies, for persons retiring at age 62:</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60" w:type="dxa"/>
            <w:vAlign w:val="bottom"/>
            <w:shd w:val="clear" w:color="auto" w:fill="CCEEFF"/>
          </w:tcPr>
          <w:p>
            <w:pPr>
              <w:spacing w:after="0"/>
              <w:rPr>
                <w:sz w:val="12"/>
                <w:szCs w:val="12"/>
                <w:color w:val="auto"/>
              </w:rPr>
            </w:pPr>
          </w:p>
        </w:tc>
        <w:tc>
          <w:tcPr>
            <w:tcW w:w="498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0"/>
        </w:trPr>
        <w:tc>
          <w:tcPr>
            <w:tcW w:w="5160" w:type="dxa"/>
            <w:vAlign w:val="bottom"/>
            <w:tcBorders>
              <w:bottom w:val="single" w:sz="8" w:color="auto"/>
            </w:tcBorders>
            <w:shd w:val="clear" w:color="auto" w:fill="CCEEFF"/>
          </w:tcPr>
          <w:p>
            <w:pPr>
              <w:spacing w:after="0"/>
              <w:rPr>
                <w:sz w:val="14"/>
                <w:szCs w:val="14"/>
                <w:color w:val="auto"/>
              </w:rPr>
            </w:pPr>
          </w:p>
        </w:tc>
        <w:tc>
          <w:tcPr>
            <w:tcW w:w="498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2021</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2020</w:t>
            </w:r>
          </w:p>
        </w:tc>
      </w:tr>
      <w:tr>
        <w:trPr>
          <w:trHeight w:val="182"/>
        </w:trPr>
        <w:tc>
          <w:tcPr>
            <w:tcW w:w="516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0"/>
        </w:trPr>
        <w:tc>
          <w:tcPr>
            <w:tcW w:w="5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Male retiring in 2021</w:t>
            </w:r>
          </w:p>
        </w:tc>
        <w:tc>
          <w:tcPr>
            <w:tcW w:w="498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24.3 years</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24.3 years</w:t>
            </w:r>
          </w:p>
        </w:tc>
      </w:tr>
      <w:tr>
        <w:trPr>
          <w:trHeight w:val="170"/>
        </w:trPr>
        <w:tc>
          <w:tcPr>
            <w:tcW w:w="5160" w:type="dxa"/>
            <w:vAlign w:val="bottom"/>
          </w:tcPr>
          <w:p>
            <w:pPr>
              <w:ind w:left="20"/>
              <w:spacing w:after="0"/>
              <w:rPr>
                <w:sz w:val="20"/>
                <w:szCs w:val="20"/>
                <w:color w:val="auto"/>
              </w:rPr>
            </w:pPr>
            <w:r>
              <w:rPr>
                <w:rFonts w:ascii="Arial" w:cs="Arial" w:eastAsia="Arial" w:hAnsi="Arial"/>
                <w:sz w:val="13"/>
                <w:szCs w:val="13"/>
                <w:color w:val="auto"/>
              </w:rPr>
              <w:t>Female retiring in 2021</w:t>
            </w:r>
          </w:p>
        </w:tc>
        <w:tc>
          <w:tcPr>
            <w:tcW w:w="4980" w:type="dxa"/>
            <w:vAlign w:val="bottom"/>
          </w:tcPr>
          <w:p>
            <w:pPr>
              <w:jc w:val="right"/>
              <w:ind w:right="296"/>
              <w:spacing w:after="0"/>
              <w:rPr>
                <w:sz w:val="20"/>
                <w:szCs w:val="20"/>
                <w:color w:val="auto"/>
              </w:rPr>
            </w:pPr>
            <w:r>
              <w:rPr>
                <w:rFonts w:ascii="Arial" w:cs="Arial" w:eastAsia="Arial" w:hAnsi="Arial"/>
                <w:sz w:val="13"/>
                <w:szCs w:val="13"/>
                <w:b w:val="1"/>
                <w:bCs w:val="1"/>
                <w:color w:val="auto"/>
              </w:rPr>
              <w:t>26.1 years</w:t>
            </w:r>
          </w:p>
        </w:tc>
        <w:tc>
          <w:tcPr>
            <w:tcW w:w="1140" w:type="dxa"/>
            <w:vAlign w:val="bottom"/>
          </w:tcPr>
          <w:p>
            <w:pPr>
              <w:jc w:val="right"/>
              <w:spacing w:after="0"/>
              <w:rPr>
                <w:sz w:val="20"/>
                <w:szCs w:val="20"/>
                <w:color w:val="auto"/>
              </w:rPr>
            </w:pPr>
            <w:r>
              <w:rPr>
                <w:rFonts w:ascii="Arial" w:cs="Arial" w:eastAsia="Arial" w:hAnsi="Arial"/>
                <w:sz w:val="13"/>
                <w:szCs w:val="13"/>
                <w:color w:val="auto"/>
              </w:rPr>
              <w:t>26.1 years</w:t>
            </w:r>
          </w:p>
        </w:tc>
      </w:tr>
      <w:tr>
        <w:trPr>
          <w:trHeight w:val="170"/>
        </w:trPr>
        <w:tc>
          <w:tcPr>
            <w:tcW w:w="5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Male retiring in 2041</w:t>
            </w:r>
          </w:p>
        </w:tc>
        <w:tc>
          <w:tcPr>
            <w:tcW w:w="498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25.7 years</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25.7 years</w:t>
            </w:r>
          </w:p>
        </w:tc>
      </w:tr>
      <w:tr>
        <w:trPr>
          <w:trHeight w:val="171"/>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Female retiring in 2041</w:t>
            </w:r>
          </w:p>
        </w:tc>
        <w:tc>
          <w:tcPr>
            <w:tcW w:w="498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27.7 years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27.6 years</w:t>
            </w:r>
          </w:p>
        </w:tc>
      </w:tr>
    </w:tbl>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ectPr>
          <w:pgSz w:w="11900" w:h="16838" w:orient="portrait"/>
          <w:cols w:equalWidth="0" w:num="1">
            <w:col w:w="11280"/>
          </w:cols>
          <w:pgMar w:left="300" w:top="698" w:right="319" w:bottom="1440" w:gutter="0" w:footer="0" w:header="0"/>
        </w:sectPr>
      </w:pPr>
    </w:p>
    <w:bookmarkStart w:id="90" w:name="page91"/>
    <w:bookmarkEnd w:id="90"/>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190" w:lineRule="exact"/>
        <w:rPr>
          <w:sz w:val="20"/>
          <w:szCs w:val="20"/>
          <w:color w:val="auto"/>
        </w:rPr>
      </w:pPr>
    </w:p>
    <w:p>
      <w:pPr>
        <w:spacing w:after="0"/>
        <w:tabs>
          <w:tab w:leader="none" w:pos="300" w:val="left"/>
        </w:tabs>
        <w:rPr>
          <w:sz w:val="20"/>
          <w:szCs w:val="20"/>
          <w:color w:val="auto"/>
        </w:rPr>
      </w:pPr>
      <w:r>
        <w:rPr>
          <w:rFonts w:ascii="Arial" w:cs="Arial" w:eastAsia="Arial" w:hAnsi="Arial"/>
          <w:sz w:val="13"/>
          <w:szCs w:val="13"/>
          <w:b w:val="1"/>
          <w:bCs w:val="1"/>
          <w:color w:val="auto"/>
        </w:rPr>
        <w:t>10.</w:t>
      </w:r>
      <w:r>
        <w:rPr>
          <w:sz w:val="20"/>
          <w:szCs w:val="20"/>
          <w:color w:val="auto"/>
        </w:rPr>
        <w:tab/>
      </w:r>
      <w:r>
        <w:rPr>
          <w:rFonts w:ascii="Arial" w:cs="Arial" w:eastAsia="Arial" w:hAnsi="Arial"/>
          <w:sz w:val="12"/>
          <w:szCs w:val="12"/>
          <w:b w:val="1"/>
          <w:bCs w:val="1"/>
          <w:color w:val="auto"/>
        </w:rPr>
        <w:t>Retirement benefit obligations (</w:t>
      </w:r>
      <w:r>
        <w:rPr>
          <w:rFonts w:ascii="Arial" w:cs="Arial" w:eastAsia="Arial" w:hAnsi="Arial"/>
          <w:sz w:val="12"/>
          <w:szCs w:val="12"/>
          <w:b w:val="1"/>
          <w:bCs w:val="1"/>
          <w:i w:val="1"/>
          <w:iCs w:val="1"/>
          <w:color w:val="auto"/>
        </w:rPr>
        <w:t>continued</w:t>
      </w:r>
      <w:r>
        <w:rPr>
          <w:rFonts w:ascii="Arial" w:cs="Arial" w:eastAsia="Arial" w:hAnsi="Arial"/>
          <w:sz w:val="12"/>
          <w:szCs w:val="12"/>
          <w:b w:val="1"/>
          <w:bCs w:val="1"/>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Consolidated Financial Statements</w:t>
      </w:r>
    </w:p>
    <w:p>
      <w:pPr>
        <w:spacing w:after="0" w:line="19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Funding status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24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3180" w:type="dxa"/>
            <w:vAlign w:val="bottom"/>
            <w:gridSpan w:val="3"/>
            <w:shd w:val="clear" w:color="auto" w:fill="CCEEFF"/>
          </w:tcPr>
          <w:p>
            <w:pPr>
              <w:ind w:left="820"/>
              <w:spacing w:after="0"/>
              <w:rPr>
                <w:sz w:val="20"/>
                <w:szCs w:val="20"/>
                <w:color w:val="auto"/>
              </w:rPr>
            </w:pPr>
            <w:r>
              <w:rPr>
                <w:rFonts w:ascii="Arial" w:cs="Arial" w:eastAsia="Arial" w:hAnsi="Arial"/>
                <w:sz w:val="13"/>
                <w:szCs w:val="13"/>
                <w:b w:val="1"/>
                <w:bCs w:val="1"/>
                <w:color w:val="auto"/>
                <w:w w:val="97"/>
              </w:rPr>
              <w:t xml:space="preserve">Year ended 31 </w:t>
            </w:r>
            <w:r>
              <w:rPr>
                <w:rFonts w:ascii="Arial" w:cs="Arial" w:eastAsia="Arial" w:hAnsi="Arial"/>
                <w:sz w:val="13"/>
                <w:szCs w:val="13"/>
                <w:color w:val="auto"/>
                <w:w w:val="97"/>
              </w:rPr>
              <w:t>Year ended 31 December</w:t>
            </w:r>
          </w:p>
        </w:tc>
        <w:tc>
          <w:tcPr>
            <w:tcW w:w="0" w:type="dxa"/>
            <w:vAlign w:val="bottom"/>
          </w:tcPr>
          <w:p>
            <w:pPr>
              <w:spacing w:after="0"/>
              <w:rPr>
                <w:sz w:val="1"/>
                <w:szCs w:val="1"/>
                <w:color w:val="auto"/>
              </w:rPr>
            </w:pPr>
          </w:p>
        </w:tc>
      </w:tr>
      <w:tr>
        <w:trPr>
          <w:trHeight w:val="170"/>
        </w:trPr>
        <w:tc>
          <w:tcPr>
            <w:tcW w:w="6240" w:type="dxa"/>
            <w:vAlign w:val="bottom"/>
            <w:tcBorders>
              <w:bottom w:val="single" w:sz="8" w:color="auto"/>
            </w:tcBorders>
            <w:shd w:val="clear" w:color="auto" w:fill="CCEEFF"/>
          </w:tcPr>
          <w:p>
            <w:pPr>
              <w:spacing w:after="0"/>
              <w:rPr>
                <w:sz w:val="14"/>
                <w:szCs w:val="14"/>
                <w:color w:val="auto"/>
              </w:rPr>
            </w:pPr>
          </w:p>
        </w:tc>
        <w:tc>
          <w:tcPr>
            <w:tcW w:w="1860" w:type="dxa"/>
            <w:vAlign w:val="bottom"/>
            <w:tcBorders>
              <w:bottom w:val="single" w:sz="8" w:color="auto"/>
            </w:tcBorders>
            <w:shd w:val="clear" w:color="auto" w:fill="CCEEFF"/>
          </w:tcPr>
          <w:p>
            <w:pPr>
              <w:spacing w:after="0"/>
              <w:rPr>
                <w:sz w:val="14"/>
                <w:szCs w:val="14"/>
                <w:color w:val="auto"/>
              </w:rPr>
            </w:pPr>
          </w:p>
        </w:tc>
        <w:tc>
          <w:tcPr>
            <w:tcW w:w="218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December 2021</w:t>
            </w:r>
          </w:p>
        </w:tc>
        <w:tc>
          <w:tcPr>
            <w:tcW w:w="10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2020</w:t>
            </w:r>
          </w:p>
        </w:tc>
        <w:tc>
          <w:tcPr>
            <w:tcW w:w="0" w:type="dxa"/>
            <w:vAlign w:val="bottom"/>
          </w:tcPr>
          <w:p>
            <w:pPr>
              <w:spacing w:after="0"/>
              <w:rPr>
                <w:sz w:val="1"/>
                <w:szCs w:val="1"/>
                <w:color w:val="auto"/>
              </w:rPr>
            </w:pPr>
          </w:p>
        </w:tc>
      </w:tr>
      <w:tr>
        <w:trPr>
          <w:trHeight w:val="191"/>
        </w:trPr>
        <w:tc>
          <w:tcPr>
            <w:tcW w:w="62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180" w:type="dxa"/>
            <w:vAlign w:val="bottom"/>
          </w:tcPr>
          <w:p>
            <w:pPr>
              <w:jc w:val="right"/>
              <w:ind w:right="436"/>
              <w:spacing w:after="0"/>
              <w:rPr>
                <w:sz w:val="20"/>
                <w:szCs w:val="20"/>
                <w:color w:val="auto"/>
              </w:rPr>
            </w:pPr>
            <w:r>
              <w:rPr>
                <w:rFonts w:ascii="Arial" w:cs="Arial" w:eastAsia="Arial" w:hAnsi="Arial"/>
                <w:sz w:val="13"/>
                <w:szCs w:val="13"/>
                <w:b w:val="1"/>
                <w:bCs w:val="1"/>
                <w:color w:val="auto"/>
              </w:rPr>
              <w:t>$’000</w:t>
            </w:r>
          </w:p>
        </w:tc>
        <w:tc>
          <w:tcPr>
            <w:tcW w:w="1000" w:type="dxa"/>
            <w:vAlign w:val="bottom"/>
            <w:gridSpan w:val="2"/>
          </w:tcPr>
          <w:p>
            <w:pPr>
              <w:jc w:val="right"/>
              <w:ind w:right="20"/>
              <w:spacing w:after="0"/>
              <w:rPr>
                <w:sz w:val="20"/>
                <w:szCs w:val="20"/>
                <w:color w:val="auto"/>
              </w:rPr>
            </w:pPr>
            <w:r>
              <w:rPr>
                <w:rFonts w:ascii="Arial" w:cs="Arial" w:eastAsia="Arial" w:hAnsi="Arial"/>
                <w:sz w:val="13"/>
                <w:szCs w:val="13"/>
                <w:color w:val="auto"/>
              </w:rPr>
              <w:t>$’000</w:t>
            </w:r>
          </w:p>
        </w:tc>
        <w:tc>
          <w:tcPr>
            <w:tcW w:w="0" w:type="dxa"/>
            <w:vAlign w:val="bottom"/>
          </w:tcPr>
          <w:p>
            <w:pPr>
              <w:spacing w:after="0"/>
              <w:rPr>
                <w:sz w:val="1"/>
                <w:szCs w:val="1"/>
                <w:color w:val="auto"/>
              </w:rPr>
            </w:pPr>
          </w:p>
        </w:tc>
      </w:tr>
      <w:tr>
        <w:trPr>
          <w:trHeight w:val="171"/>
        </w:trPr>
        <w:tc>
          <w:tcPr>
            <w:tcW w:w="6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Projected benefit obligation</w:t>
            </w:r>
          </w:p>
        </w:tc>
        <w:tc>
          <w:tcPr>
            <w:tcW w:w="1860" w:type="dxa"/>
            <w:vAlign w:val="bottom"/>
            <w:shd w:val="clear" w:color="auto" w:fill="CCEEFF"/>
          </w:tcPr>
          <w:p>
            <w:pPr>
              <w:spacing w:after="0"/>
              <w:rPr>
                <w:sz w:val="14"/>
                <w:szCs w:val="14"/>
                <w:color w:val="auto"/>
              </w:rPr>
            </w:pPr>
          </w:p>
        </w:tc>
        <w:tc>
          <w:tcPr>
            <w:tcW w:w="2180" w:type="dxa"/>
            <w:vAlign w:val="bottom"/>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(41,813)</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(43,988)</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2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Fair value of plan assets</w:t>
            </w:r>
          </w:p>
        </w:tc>
        <w:tc>
          <w:tcPr>
            <w:tcW w:w="186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tcPr>
          <w:p>
            <w:pPr>
              <w:ind w:left="1240"/>
              <w:spacing w:after="0"/>
              <w:rPr>
                <w:sz w:val="20"/>
                <w:szCs w:val="20"/>
                <w:color w:val="auto"/>
              </w:rPr>
            </w:pPr>
            <w:r>
              <w:rPr>
                <w:rFonts w:ascii="Arial" w:cs="Arial" w:eastAsia="Arial" w:hAnsi="Arial"/>
                <w:sz w:val="13"/>
                <w:szCs w:val="13"/>
                <w:b w:val="1"/>
                <w:bCs w:val="1"/>
                <w:color w:val="auto"/>
              </w:rPr>
              <w:t>36,198</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34,612</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Retirement benefit plan net obligation</w:t>
            </w:r>
          </w:p>
        </w:tc>
        <w:tc>
          <w:tcPr>
            <w:tcW w:w="1860" w:type="dxa"/>
            <w:vAlign w:val="bottom"/>
            <w:tcBorders>
              <w:bottom w:val="single" w:sz="8" w:color="auto"/>
            </w:tcBorders>
            <w:shd w:val="clear" w:color="auto" w:fill="CCEEFF"/>
          </w:tcPr>
          <w:p>
            <w:pPr>
              <w:spacing w:after="0"/>
              <w:rPr>
                <w:sz w:val="15"/>
                <w:szCs w:val="15"/>
                <w:color w:val="auto"/>
              </w:rPr>
            </w:pPr>
          </w:p>
        </w:tc>
        <w:tc>
          <w:tcPr>
            <w:tcW w:w="218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(5,615)</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(9,376)</w:t>
            </w:r>
          </w:p>
        </w:tc>
        <w:tc>
          <w:tcPr>
            <w:tcW w:w="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22"/>
        </w:trPr>
        <w:tc>
          <w:tcPr>
            <w:tcW w:w="6240" w:type="dxa"/>
            <w:vAlign w:val="bottom"/>
          </w:tcPr>
          <w:p>
            <w:pPr>
              <w:spacing w:after="0"/>
              <w:rPr>
                <w:sz w:val="20"/>
                <w:szCs w:val="20"/>
                <w:color w:val="auto"/>
              </w:rPr>
            </w:pPr>
            <w:r>
              <w:rPr>
                <w:rFonts w:ascii="Arial" w:cs="Arial" w:eastAsia="Arial" w:hAnsi="Arial"/>
                <w:sz w:val="13"/>
                <w:szCs w:val="13"/>
                <w:color w:val="auto"/>
              </w:rPr>
              <w:t>Movement in the net benefit obligation recognised in accrued and other liabilities was as follows:</w:t>
            </w:r>
          </w:p>
        </w:tc>
        <w:tc>
          <w:tcPr>
            <w:tcW w:w="18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6240" w:type="dxa"/>
            <w:vAlign w:val="bottom"/>
          </w:tcPr>
          <w:p>
            <w:pPr>
              <w:spacing w:after="0"/>
              <w:rPr>
                <w:sz w:val="7"/>
                <w:szCs w:val="7"/>
                <w:color w:val="auto"/>
              </w:rPr>
            </w:pPr>
          </w:p>
        </w:tc>
        <w:tc>
          <w:tcPr>
            <w:tcW w:w="1860" w:type="dxa"/>
            <w:vAlign w:val="bottom"/>
          </w:tcPr>
          <w:p>
            <w:pPr>
              <w:spacing w:after="0"/>
              <w:rPr>
                <w:sz w:val="7"/>
                <w:szCs w:val="7"/>
                <w:color w:val="auto"/>
              </w:rPr>
            </w:pPr>
          </w:p>
        </w:tc>
        <w:tc>
          <w:tcPr>
            <w:tcW w:w="218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6240" w:type="dxa"/>
            <w:vAlign w:val="bottom"/>
            <w:shd w:val="clear" w:color="auto" w:fill="CCEEFF"/>
          </w:tcPr>
          <w:p>
            <w:pPr>
              <w:spacing w:after="0"/>
              <w:rPr>
                <w:sz w:val="11"/>
                <w:szCs w:val="11"/>
                <w:color w:val="auto"/>
              </w:rPr>
            </w:pPr>
          </w:p>
        </w:tc>
        <w:tc>
          <w:tcPr>
            <w:tcW w:w="186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Present Value of</w:t>
            </w:r>
          </w:p>
        </w:tc>
        <w:tc>
          <w:tcPr>
            <w:tcW w:w="2180" w:type="dxa"/>
            <w:vAlign w:val="bottom"/>
            <w:vMerge w:val="restart"/>
            <w:shd w:val="clear" w:color="auto" w:fill="CCEEFF"/>
          </w:tcPr>
          <w:p>
            <w:pPr>
              <w:jc w:val="right"/>
              <w:ind w:right="556"/>
              <w:spacing w:after="0"/>
              <w:rPr>
                <w:sz w:val="20"/>
                <w:szCs w:val="20"/>
                <w:color w:val="auto"/>
              </w:rPr>
            </w:pPr>
            <w:r>
              <w:rPr>
                <w:rFonts w:ascii="Arial" w:cs="Arial" w:eastAsia="Arial" w:hAnsi="Arial"/>
                <w:sz w:val="13"/>
                <w:szCs w:val="13"/>
                <w:b w:val="1"/>
                <w:bCs w:val="1"/>
                <w:color w:val="auto"/>
                <w:w w:val="99"/>
              </w:rPr>
              <w:t>Fair Value of Plan Assets</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6240" w:type="dxa"/>
            <w:vAlign w:val="bottom"/>
            <w:tcBorders>
              <w:bottom w:val="single" w:sz="8" w:color="auto"/>
            </w:tcBorders>
            <w:shd w:val="clear" w:color="auto" w:fill="CCEEFF"/>
          </w:tcPr>
          <w:p>
            <w:pPr>
              <w:spacing w:after="0"/>
              <w:rPr>
                <w:sz w:val="14"/>
                <w:szCs w:val="14"/>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Obligations</w:t>
            </w:r>
          </w:p>
        </w:tc>
        <w:tc>
          <w:tcPr>
            <w:tcW w:w="2180" w:type="dxa"/>
            <w:vAlign w:val="bottom"/>
            <w:tcBorders>
              <w:bottom w:val="single" w:sz="8" w:color="auto"/>
            </w:tcBorders>
            <w:vMerge w:val="continue"/>
            <w:shd w:val="clear" w:color="auto" w:fill="CCEEFF"/>
          </w:tcPr>
          <w:p>
            <w:pPr>
              <w:spacing w:after="0"/>
              <w:rPr>
                <w:sz w:val="14"/>
                <w:szCs w:val="14"/>
                <w:color w:val="auto"/>
              </w:rPr>
            </w:pPr>
          </w:p>
        </w:tc>
        <w:tc>
          <w:tcPr>
            <w:tcW w:w="980" w:type="dxa"/>
            <w:vAlign w:val="bottom"/>
            <w:tcBorders>
              <w:bottom w:val="single" w:sz="8" w:color="auto"/>
            </w:tcBorders>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24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2180" w:type="dxa"/>
            <w:vAlign w:val="bottom"/>
          </w:tcPr>
          <w:p>
            <w:pPr>
              <w:ind w:left="1240"/>
              <w:spacing w:after="0"/>
              <w:rPr>
                <w:sz w:val="20"/>
                <w:szCs w:val="20"/>
                <w:color w:val="auto"/>
              </w:rPr>
            </w:pPr>
            <w:r>
              <w:rPr>
                <w:rFonts w:ascii="Arial" w:cs="Arial" w:eastAsia="Arial" w:hAnsi="Arial"/>
                <w:sz w:val="13"/>
                <w:szCs w:val="13"/>
                <w:b w:val="1"/>
                <w:bCs w:val="1"/>
                <w:color w:val="auto"/>
              </w:rPr>
              <w:t>$’000</w:t>
            </w:r>
          </w:p>
        </w:tc>
        <w:tc>
          <w:tcPr>
            <w:tcW w:w="100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$’000</w:t>
            </w:r>
          </w:p>
        </w:tc>
        <w:tc>
          <w:tcPr>
            <w:tcW w:w="0" w:type="dxa"/>
            <w:vAlign w:val="bottom"/>
          </w:tcPr>
          <w:p>
            <w:pPr>
              <w:spacing w:after="0"/>
              <w:rPr>
                <w:sz w:val="1"/>
                <w:szCs w:val="1"/>
                <w:color w:val="auto"/>
              </w:rPr>
            </w:pPr>
          </w:p>
        </w:tc>
      </w:tr>
      <w:tr>
        <w:trPr>
          <w:trHeight w:val="210"/>
        </w:trPr>
        <w:tc>
          <w:tcPr>
            <w:tcW w:w="624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6240" w:type="dxa"/>
            <w:vAlign w:val="bottom"/>
          </w:tcPr>
          <w:p>
            <w:pPr>
              <w:ind w:left="20"/>
              <w:spacing w:after="0"/>
              <w:rPr>
                <w:sz w:val="20"/>
                <w:szCs w:val="20"/>
                <w:color w:val="auto"/>
              </w:rPr>
            </w:pPr>
            <w:r>
              <w:rPr>
                <w:rFonts w:ascii="Arial" w:cs="Arial" w:eastAsia="Arial" w:hAnsi="Arial"/>
                <w:sz w:val="13"/>
                <w:szCs w:val="13"/>
                <w:color w:val="auto"/>
              </w:rPr>
              <w:t>At 1 January 2021</w:t>
            </w:r>
          </w:p>
        </w:tc>
        <w:tc>
          <w:tcPr>
            <w:tcW w:w="1860" w:type="dxa"/>
            <w:vAlign w:val="bottom"/>
          </w:tcPr>
          <w:p>
            <w:pPr>
              <w:jc w:val="right"/>
              <w:ind w:right="36"/>
              <w:spacing w:after="0"/>
              <w:rPr>
                <w:sz w:val="20"/>
                <w:szCs w:val="20"/>
                <w:color w:val="auto"/>
              </w:rPr>
            </w:pPr>
            <w:r>
              <w:rPr>
                <w:rFonts w:ascii="Arial" w:cs="Arial" w:eastAsia="Arial" w:hAnsi="Arial"/>
                <w:sz w:val="13"/>
                <w:szCs w:val="13"/>
                <w:color w:val="auto"/>
              </w:rPr>
              <w:t>(43,988)</w:t>
            </w:r>
          </w:p>
        </w:tc>
        <w:tc>
          <w:tcPr>
            <w:tcW w:w="2180" w:type="dxa"/>
            <w:vAlign w:val="bottom"/>
          </w:tcPr>
          <w:p>
            <w:pPr>
              <w:jc w:val="right"/>
              <w:ind w:right="616"/>
              <w:spacing w:after="0"/>
              <w:rPr>
                <w:sz w:val="20"/>
                <w:szCs w:val="20"/>
                <w:color w:val="auto"/>
              </w:rPr>
            </w:pPr>
            <w:r>
              <w:rPr>
                <w:rFonts w:ascii="Arial" w:cs="Arial" w:eastAsia="Arial" w:hAnsi="Arial"/>
                <w:sz w:val="13"/>
                <w:szCs w:val="13"/>
                <w:color w:val="auto"/>
              </w:rPr>
              <w:t>34,612</w:t>
            </w:r>
          </w:p>
        </w:tc>
        <w:tc>
          <w:tcPr>
            <w:tcW w:w="980" w:type="dxa"/>
            <w:vAlign w:val="bottom"/>
          </w:tcPr>
          <w:p>
            <w:pPr>
              <w:jc w:val="right"/>
              <w:ind w:right="16"/>
              <w:spacing w:after="0"/>
              <w:rPr>
                <w:sz w:val="20"/>
                <w:szCs w:val="20"/>
                <w:color w:val="auto"/>
              </w:rPr>
            </w:pPr>
            <w:r>
              <w:rPr>
                <w:rFonts w:ascii="Arial" w:cs="Arial" w:eastAsia="Arial" w:hAnsi="Arial"/>
                <w:sz w:val="13"/>
                <w:szCs w:val="13"/>
                <w:color w:val="auto"/>
              </w:rPr>
              <w:t>(9,376)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240" w:type="dxa"/>
            <w:vAlign w:val="bottom"/>
            <w:shd w:val="clear" w:color="auto" w:fill="CCEEFF"/>
          </w:tcPr>
          <w:p>
            <w:pPr>
              <w:ind w:left="60"/>
              <w:spacing w:after="0"/>
              <w:rPr>
                <w:sz w:val="20"/>
                <w:szCs w:val="20"/>
                <w:color w:val="auto"/>
              </w:rPr>
            </w:pPr>
            <w:r>
              <w:rPr>
                <w:rFonts w:ascii="Arial" w:cs="Arial" w:eastAsia="Arial" w:hAnsi="Arial"/>
                <w:sz w:val="13"/>
                <w:szCs w:val="13"/>
                <w:color w:val="auto"/>
              </w:rPr>
              <w:t>Current service costs</w:t>
            </w:r>
          </w:p>
        </w:tc>
        <w:tc>
          <w:tcPr>
            <w:tcW w:w="18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(134)</w:t>
            </w:r>
          </w:p>
        </w:tc>
        <w:tc>
          <w:tcPr>
            <w:tcW w:w="2180" w:type="dxa"/>
            <w:vAlign w:val="bottom"/>
            <w:shd w:val="clear" w:color="auto" w:fill="CCEEFF"/>
          </w:tcPr>
          <w:p>
            <w:pPr>
              <w:jc w:val="right"/>
              <w:ind w:right="616"/>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(134)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240" w:type="dxa"/>
            <w:vAlign w:val="bottom"/>
          </w:tcPr>
          <w:p>
            <w:pPr>
              <w:ind w:left="60"/>
              <w:spacing w:after="0"/>
              <w:rPr>
                <w:sz w:val="20"/>
                <w:szCs w:val="20"/>
                <w:color w:val="auto"/>
              </w:rPr>
            </w:pPr>
            <w:r>
              <w:rPr>
                <w:rFonts w:ascii="Arial" w:cs="Arial" w:eastAsia="Arial" w:hAnsi="Arial"/>
                <w:sz w:val="13"/>
                <w:szCs w:val="13"/>
                <w:color w:val="auto"/>
              </w:rPr>
              <w:t>Interest expense/(income)</w:t>
            </w:r>
          </w:p>
        </w:tc>
        <w:tc>
          <w:tcPr>
            <w:tcW w:w="1860" w:type="dxa"/>
            <w:vAlign w:val="bottom"/>
          </w:tcPr>
          <w:p>
            <w:pPr>
              <w:jc w:val="right"/>
              <w:ind w:right="36"/>
              <w:spacing w:after="0"/>
              <w:rPr>
                <w:sz w:val="20"/>
                <w:szCs w:val="20"/>
                <w:color w:val="auto"/>
              </w:rPr>
            </w:pPr>
            <w:r>
              <w:rPr>
                <w:rFonts w:ascii="Arial" w:cs="Arial" w:eastAsia="Arial" w:hAnsi="Arial"/>
                <w:sz w:val="13"/>
                <w:szCs w:val="13"/>
                <w:color w:val="auto"/>
              </w:rPr>
              <w:t>(665)</w:t>
            </w:r>
          </w:p>
        </w:tc>
        <w:tc>
          <w:tcPr>
            <w:tcW w:w="2180" w:type="dxa"/>
            <w:vAlign w:val="bottom"/>
          </w:tcPr>
          <w:p>
            <w:pPr>
              <w:jc w:val="right"/>
              <w:ind w:right="616"/>
              <w:spacing w:after="0"/>
              <w:rPr>
                <w:sz w:val="20"/>
                <w:szCs w:val="20"/>
                <w:color w:val="auto"/>
              </w:rPr>
            </w:pPr>
            <w:r>
              <w:rPr>
                <w:rFonts w:ascii="Arial" w:cs="Arial" w:eastAsia="Arial" w:hAnsi="Arial"/>
                <w:sz w:val="13"/>
                <w:szCs w:val="13"/>
                <w:color w:val="auto"/>
              </w:rPr>
              <w:t>521</w:t>
            </w:r>
          </w:p>
        </w:tc>
        <w:tc>
          <w:tcPr>
            <w:tcW w:w="980" w:type="dxa"/>
            <w:vAlign w:val="bottom"/>
          </w:tcPr>
          <w:p>
            <w:pPr>
              <w:jc w:val="right"/>
              <w:ind w:right="16"/>
              <w:spacing w:after="0"/>
              <w:rPr>
                <w:sz w:val="20"/>
                <w:szCs w:val="20"/>
                <w:color w:val="auto"/>
              </w:rPr>
            </w:pPr>
            <w:r>
              <w:rPr>
                <w:rFonts w:ascii="Arial" w:cs="Arial" w:eastAsia="Arial" w:hAnsi="Arial"/>
                <w:sz w:val="13"/>
                <w:szCs w:val="13"/>
                <w:color w:val="auto"/>
              </w:rPr>
              <w:t>(144)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240" w:type="dxa"/>
            <w:vAlign w:val="bottom"/>
            <w:tcBorders>
              <w:bottom w:val="single" w:sz="8" w:color="auto"/>
            </w:tcBorders>
            <w:shd w:val="clear" w:color="auto" w:fill="CCEEFF"/>
          </w:tcPr>
          <w:p>
            <w:pPr>
              <w:spacing w:after="0"/>
              <w:rPr>
                <w:sz w:val="14"/>
                <w:szCs w:val="14"/>
                <w:color w:val="auto"/>
              </w:rPr>
            </w:pPr>
          </w:p>
        </w:tc>
        <w:tc>
          <w:tcPr>
            <w:tcW w:w="18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(44,787)</w:t>
            </w:r>
          </w:p>
        </w:tc>
        <w:tc>
          <w:tcPr>
            <w:tcW w:w="218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3"/>
                <w:szCs w:val="13"/>
                <w:b w:val="1"/>
                <w:bCs w:val="1"/>
                <w:color w:val="auto"/>
              </w:rPr>
              <w:t>35,133</w:t>
            </w:r>
          </w:p>
        </w:tc>
        <w:tc>
          <w:tcPr>
            <w:tcW w:w="9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(9,654)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240" w:type="dxa"/>
            <w:vAlign w:val="bottom"/>
          </w:tcPr>
          <w:p>
            <w:pPr>
              <w:ind w:left="60"/>
              <w:spacing w:after="0"/>
              <w:rPr>
                <w:sz w:val="20"/>
                <w:szCs w:val="20"/>
                <w:color w:val="auto"/>
              </w:rPr>
            </w:pPr>
            <w:r>
              <w:rPr>
                <w:rFonts w:ascii="Arial" w:cs="Arial" w:eastAsia="Arial" w:hAnsi="Arial"/>
                <w:sz w:val="13"/>
                <w:szCs w:val="13"/>
                <w:b w:val="1"/>
                <w:bCs w:val="1"/>
                <w:color w:val="auto"/>
              </w:rPr>
              <w:t>Re-measurements</w:t>
            </w:r>
          </w:p>
        </w:tc>
        <w:tc>
          <w:tcPr>
            <w:tcW w:w="186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6240" w:type="dxa"/>
            <w:vAlign w:val="bottom"/>
            <w:shd w:val="clear" w:color="auto" w:fill="CCEEFF"/>
          </w:tcPr>
          <w:p>
            <w:pPr>
              <w:ind w:left="60"/>
              <w:spacing w:after="0"/>
              <w:rPr>
                <w:sz w:val="20"/>
                <w:szCs w:val="20"/>
                <w:color w:val="auto"/>
              </w:rPr>
            </w:pPr>
            <w:r>
              <w:rPr>
                <w:rFonts w:ascii="Arial" w:cs="Arial" w:eastAsia="Arial" w:hAnsi="Arial"/>
                <w:sz w:val="13"/>
                <w:szCs w:val="13"/>
                <w:color w:val="auto"/>
              </w:rPr>
              <w:t>Experience adjustment</w:t>
            </w:r>
          </w:p>
        </w:tc>
        <w:tc>
          <w:tcPr>
            <w:tcW w:w="18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2180" w:type="dxa"/>
            <w:vAlign w:val="bottom"/>
            <w:shd w:val="clear" w:color="auto" w:fill="CCEEFF"/>
          </w:tcPr>
          <w:p>
            <w:pPr>
              <w:jc w:val="right"/>
              <w:ind w:right="616"/>
              <w:spacing w:after="0"/>
              <w:rPr>
                <w:sz w:val="20"/>
                <w:szCs w:val="20"/>
                <w:color w:val="auto"/>
              </w:rPr>
            </w:pPr>
            <w:r>
              <w:rPr>
                <w:rFonts w:ascii="Arial" w:cs="Arial" w:eastAsia="Arial" w:hAnsi="Arial"/>
                <w:sz w:val="13"/>
                <w:szCs w:val="13"/>
                <w:color w:val="auto"/>
              </w:rPr>
              <w:t>1,826</w:t>
            </w: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1,826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240" w:type="dxa"/>
            <w:vAlign w:val="bottom"/>
          </w:tcPr>
          <w:p>
            <w:pPr>
              <w:ind w:left="60"/>
              <w:spacing w:after="0"/>
              <w:rPr>
                <w:sz w:val="20"/>
                <w:szCs w:val="20"/>
                <w:color w:val="auto"/>
              </w:rPr>
            </w:pPr>
            <w:r>
              <w:rPr>
                <w:rFonts w:ascii="Arial" w:cs="Arial" w:eastAsia="Arial" w:hAnsi="Arial"/>
                <w:sz w:val="13"/>
                <w:szCs w:val="13"/>
                <w:color w:val="auto"/>
              </w:rPr>
              <w:t>Gain or loss from change in demographic assumptions</w:t>
            </w:r>
          </w:p>
        </w:tc>
        <w:tc>
          <w:tcPr>
            <w:tcW w:w="1860" w:type="dxa"/>
            <w:vAlign w:val="bottom"/>
          </w:tcPr>
          <w:p>
            <w:pPr>
              <w:jc w:val="right"/>
              <w:ind w:right="36"/>
              <w:spacing w:after="0"/>
              <w:rPr>
                <w:sz w:val="20"/>
                <w:szCs w:val="20"/>
                <w:color w:val="auto"/>
              </w:rPr>
            </w:pPr>
            <w:r>
              <w:rPr>
                <w:rFonts w:ascii="Arial" w:cs="Arial" w:eastAsia="Arial" w:hAnsi="Arial"/>
                <w:sz w:val="13"/>
                <w:szCs w:val="13"/>
                <w:color w:val="auto"/>
              </w:rPr>
              <w:t>97</w:t>
            </w:r>
          </w:p>
        </w:tc>
        <w:tc>
          <w:tcPr>
            <w:tcW w:w="2180" w:type="dxa"/>
            <w:vAlign w:val="bottom"/>
          </w:tcPr>
          <w:p>
            <w:pPr>
              <w:jc w:val="right"/>
              <w:ind w:right="616"/>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6"/>
              <w:spacing w:after="0"/>
              <w:rPr>
                <w:sz w:val="20"/>
                <w:szCs w:val="20"/>
                <w:color w:val="auto"/>
              </w:rPr>
            </w:pPr>
            <w:r>
              <w:rPr>
                <w:rFonts w:ascii="Arial" w:cs="Arial" w:eastAsia="Arial" w:hAnsi="Arial"/>
                <w:sz w:val="13"/>
                <w:szCs w:val="13"/>
                <w:color w:val="auto"/>
              </w:rPr>
              <w:t>97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240" w:type="dxa"/>
            <w:vAlign w:val="bottom"/>
            <w:shd w:val="clear" w:color="auto" w:fill="CCEEFF"/>
          </w:tcPr>
          <w:p>
            <w:pPr>
              <w:ind w:left="60"/>
              <w:spacing w:after="0"/>
              <w:rPr>
                <w:sz w:val="20"/>
                <w:szCs w:val="20"/>
                <w:color w:val="auto"/>
              </w:rPr>
            </w:pPr>
            <w:r>
              <w:rPr>
                <w:rFonts w:ascii="Arial" w:cs="Arial" w:eastAsia="Arial" w:hAnsi="Arial"/>
                <w:sz w:val="13"/>
                <w:szCs w:val="13"/>
                <w:color w:val="auto"/>
              </w:rPr>
              <w:t>Gain or loss from change in financial assumptions</w:t>
            </w:r>
          </w:p>
        </w:tc>
        <w:tc>
          <w:tcPr>
            <w:tcW w:w="18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2,090</w:t>
            </w:r>
          </w:p>
        </w:tc>
        <w:tc>
          <w:tcPr>
            <w:tcW w:w="2180" w:type="dxa"/>
            <w:vAlign w:val="bottom"/>
            <w:shd w:val="clear" w:color="auto" w:fill="CCEEFF"/>
          </w:tcPr>
          <w:p>
            <w:pPr>
              <w:jc w:val="right"/>
              <w:ind w:right="616"/>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2,090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24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Experience gain or loss</w:t>
            </w:r>
          </w:p>
        </w:tc>
        <w:tc>
          <w:tcPr>
            <w:tcW w:w="18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(90)</w:t>
            </w:r>
          </w:p>
        </w:tc>
        <w:tc>
          <w:tcPr>
            <w:tcW w:w="2180" w:type="dxa"/>
            <w:vAlign w:val="bottom"/>
            <w:tcBorders>
              <w:bottom w:val="single" w:sz="8" w:color="auto"/>
            </w:tcBorders>
          </w:tcPr>
          <w:p>
            <w:pPr>
              <w:jc w:val="right"/>
              <w:ind w:right="616"/>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(90)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40" w:type="dxa"/>
            <w:vAlign w:val="bottom"/>
            <w:tcBorders>
              <w:bottom w:val="single" w:sz="8" w:color="auto"/>
            </w:tcBorders>
            <w:shd w:val="clear" w:color="auto" w:fill="CCEEFF"/>
          </w:tcPr>
          <w:p>
            <w:pPr>
              <w:spacing w:after="0"/>
              <w:rPr>
                <w:sz w:val="14"/>
                <w:szCs w:val="14"/>
                <w:color w:val="auto"/>
              </w:rPr>
            </w:pPr>
          </w:p>
        </w:tc>
        <w:tc>
          <w:tcPr>
            <w:tcW w:w="18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2,097</w:t>
            </w:r>
          </w:p>
        </w:tc>
        <w:tc>
          <w:tcPr>
            <w:tcW w:w="218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3"/>
                <w:szCs w:val="13"/>
                <w:b w:val="1"/>
                <w:bCs w:val="1"/>
                <w:color w:val="auto"/>
              </w:rPr>
              <w:t>1,826</w:t>
            </w:r>
          </w:p>
        </w:tc>
        <w:tc>
          <w:tcPr>
            <w:tcW w:w="9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3,923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6240" w:type="dxa"/>
            <w:vAlign w:val="bottom"/>
          </w:tcPr>
          <w:p>
            <w:pPr>
              <w:ind w:left="20"/>
              <w:spacing w:after="0"/>
              <w:rPr>
                <w:sz w:val="20"/>
                <w:szCs w:val="20"/>
                <w:color w:val="auto"/>
              </w:rPr>
            </w:pPr>
            <w:r>
              <w:rPr>
                <w:rFonts w:ascii="Arial" w:cs="Arial" w:eastAsia="Arial" w:hAnsi="Arial"/>
                <w:sz w:val="13"/>
                <w:szCs w:val="13"/>
                <w:color w:val="auto"/>
              </w:rPr>
              <w:t>Exchange differences</w:t>
            </w:r>
          </w:p>
        </w:tc>
        <w:tc>
          <w:tcPr>
            <w:tcW w:w="1860" w:type="dxa"/>
            <w:vAlign w:val="bottom"/>
          </w:tcPr>
          <w:p>
            <w:pPr>
              <w:jc w:val="right"/>
              <w:ind w:right="36"/>
              <w:spacing w:after="0"/>
              <w:rPr>
                <w:sz w:val="20"/>
                <w:szCs w:val="20"/>
                <w:color w:val="auto"/>
              </w:rPr>
            </w:pPr>
            <w:r>
              <w:rPr>
                <w:rFonts w:ascii="Arial" w:cs="Arial" w:eastAsia="Arial" w:hAnsi="Arial"/>
                <w:sz w:val="13"/>
                <w:szCs w:val="13"/>
                <w:color w:val="auto"/>
              </w:rPr>
              <w:t>411</w:t>
            </w:r>
          </w:p>
        </w:tc>
        <w:tc>
          <w:tcPr>
            <w:tcW w:w="2180" w:type="dxa"/>
            <w:vAlign w:val="bottom"/>
          </w:tcPr>
          <w:p>
            <w:pPr>
              <w:jc w:val="right"/>
              <w:ind w:right="616"/>
              <w:spacing w:after="0"/>
              <w:rPr>
                <w:sz w:val="20"/>
                <w:szCs w:val="20"/>
                <w:color w:val="auto"/>
              </w:rPr>
            </w:pPr>
            <w:r>
              <w:rPr>
                <w:rFonts w:ascii="Arial" w:cs="Arial" w:eastAsia="Arial" w:hAnsi="Arial"/>
                <w:sz w:val="13"/>
                <w:szCs w:val="13"/>
                <w:color w:val="auto"/>
              </w:rPr>
              <w:t>(386)</w:t>
            </w:r>
          </w:p>
        </w:tc>
        <w:tc>
          <w:tcPr>
            <w:tcW w:w="980" w:type="dxa"/>
            <w:vAlign w:val="bottom"/>
          </w:tcPr>
          <w:p>
            <w:pPr>
              <w:jc w:val="right"/>
              <w:ind w:right="16"/>
              <w:spacing w:after="0"/>
              <w:rPr>
                <w:sz w:val="20"/>
                <w:szCs w:val="20"/>
                <w:color w:val="auto"/>
              </w:rPr>
            </w:pPr>
            <w:r>
              <w:rPr>
                <w:rFonts w:ascii="Arial" w:cs="Arial" w:eastAsia="Arial" w:hAnsi="Arial"/>
                <w:sz w:val="13"/>
                <w:szCs w:val="13"/>
                <w:color w:val="auto"/>
              </w:rPr>
              <w:t>25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6240" w:type="dxa"/>
            <w:vAlign w:val="bottom"/>
            <w:shd w:val="clear" w:color="auto" w:fill="CCEEFF"/>
          </w:tcPr>
          <w:p>
            <w:pPr>
              <w:ind w:left="60"/>
              <w:spacing w:after="0"/>
              <w:rPr>
                <w:sz w:val="20"/>
                <w:szCs w:val="20"/>
                <w:color w:val="auto"/>
              </w:rPr>
            </w:pPr>
            <w:r>
              <w:rPr>
                <w:rFonts w:ascii="Arial" w:cs="Arial" w:eastAsia="Arial" w:hAnsi="Arial"/>
                <w:sz w:val="13"/>
                <w:szCs w:val="13"/>
                <w:b w:val="1"/>
                <w:bCs w:val="1"/>
                <w:color w:val="auto"/>
              </w:rPr>
              <w:t>Contributions:</w:t>
            </w:r>
          </w:p>
        </w:tc>
        <w:tc>
          <w:tcPr>
            <w:tcW w:w="186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240" w:type="dxa"/>
            <w:vAlign w:val="bottom"/>
          </w:tcPr>
          <w:p>
            <w:pPr>
              <w:ind w:left="60"/>
              <w:spacing w:after="0"/>
              <w:rPr>
                <w:sz w:val="20"/>
                <w:szCs w:val="20"/>
                <w:color w:val="auto"/>
              </w:rPr>
            </w:pPr>
            <w:r>
              <w:rPr>
                <w:rFonts w:ascii="Arial" w:cs="Arial" w:eastAsia="Arial" w:hAnsi="Arial"/>
                <w:sz w:val="13"/>
                <w:szCs w:val="13"/>
                <w:color w:val="auto"/>
              </w:rPr>
              <w:t>- Employers</w:t>
            </w:r>
          </w:p>
        </w:tc>
        <w:tc>
          <w:tcPr>
            <w:tcW w:w="186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180" w:type="dxa"/>
            <w:vAlign w:val="bottom"/>
          </w:tcPr>
          <w:p>
            <w:pPr>
              <w:jc w:val="right"/>
              <w:ind w:right="616"/>
              <w:spacing w:after="0"/>
              <w:rPr>
                <w:sz w:val="20"/>
                <w:szCs w:val="20"/>
                <w:color w:val="auto"/>
              </w:rPr>
            </w:pPr>
            <w:r>
              <w:rPr>
                <w:rFonts w:ascii="Arial" w:cs="Arial" w:eastAsia="Arial" w:hAnsi="Arial"/>
                <w:sz w:val="13"/>
                <w:szCs w:val="13"/>
                <w:color w:val="auto"/>
              </w:rPr>
              <w:t>91</w:t>
            </w:r>
          </w:p>
        </w:tc>
        <w:tc>
          <w:tcPr>
            <w:tcW w:w="980" w:type="dxa"/>
            <w:vAlign w:val="bottom"/>
          </w:tcPr>
          <w:p>
            <w:pPr>
              <w:jc w:val="right"/>
              <w:ind w:right="16"/>
              <w:spacing w:after="0"/>
              <w:rPr>
                <w:sz w:val="20"/>
                <w:szCs w:val="20"/>
                <w:color w:val="auto"/>
              </w:rPr>
            </w:pPr>
            <w:r>
              <w:rPr>
                <w:rFonts w:ascii="Arial" w:cs="Arial" w:eastAsia="Arial" w:hAnsi="Arial"/>
                <w:sz w:val="13"/>
                <w:szCs w:val="13"/>
                <w:color w:val="auto"/>
              </w:rPr>
              <w:t>91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240" w:type="dxa"/>
            <w:vAlign w:val="bottom"/>
            <w:shd w:val="clear" w:color="auto" w:fill="CCEEFF"/>
          </w:tcPr>
          <w:p>
            <w:pPr>
              <w:ind w:left="60"/>
              <w:spacing w:after="0"/>
              <w:rPr>
                <w:sz w:val="20"/>
                <w:szCs w:val="20"/>
                <w:color w:val="auto"/>
              </w:rPr>
            </w:pPr>
            <w:r>
              <w:rPr>
                <w:rFonts w:ascii="Arial" w:cs="Arial" w:eastAsia="Arial" w:hAnsi="Arial"/>
                <w:sz w:val="13"/>
                <w:szCs w:val="13"/>
                <w:color w:val="auto"/>
              </w:rPr>
              <w:t>- Plan participants</w:t>
            </w:r>
          </w:p>
        </w:tc>
        <w:tc>
          <w:tcPr>
            <w:tcW w:w="18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(23)</w:t>
            </w:r>
          </w:p>
        </w:tc>
        <w:tc>
          <w:tcPr>
            <w:tcW w:w="2180" w:type="dxa"/>
            <w:vAlign w:val="bottom"/>
            <w:shd w:val="clear" w:color="auto" w:fill="CCEEFF"/>
          </w:tcPr>
          <w:p>
            <w:pPr>
              <w:jc w:val="right"/>
              <w:ind w:right="616"/>
              <w:spacing w:after="0"/>
              <w:rPr>
                <w:sz w:val="20"/>
                <w:szCs w:val="20"/>
                <w:color w:val="auto"/>
              </w:rPr>
            </w:pPr>
            <w:r>
              <w:rPr>
                <w:rFonts w:ascii="Arial" w:cs="Arial" w:eastAsia="Arial" w:hAnsi="Arial"/>
                <w:sz w:val="13"/>
                <w:szCs w:val="13"/>
                <w:color w:val="auto"/>
              </w:rPr>
              <w:t>23</w:t>
            </w: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240" w:type="dxa"/>
            <w:vAlign w:val="bottom"/>
          </w:tcPr>
          <w:p>
            <w:pPr>
              <w:ind w:left="60"/>
              <w:spacing w:after="0"/>
              <w:rPr>
                <w:sz w:val="20"/>
                <w:szCs w:val="20"/>
                <w:color w:val="auto"/>
              </w:rPr>
            </w:pPr>
            <w:r>
              <w:rPr>
                <w:rFonts w:ascii="Arial" w:cs="Arial" w:eastAsia="Arial" w:hAnsi="Arial"/>
                <w:sz w:val="13"/>
                <w:szCs w:val="13"/>
                <w:color w:val="auto"/>
              </w:rPr>
              <w:t>Benefit payments</w:t>
            </w:r>
          </w:p>
        </w:tc>
        <w:tc>
          <w:tcPr>
            <w:tcW w:w="1860" w:type="dxa"/>
            <w:vAlign w:val="bottom"/>
          </w:tcPr>
          <w:p>
            <w:pPr>
              <w:jc w:val="right"/>
              <w:ind w:right="36"/>
              <w:spacing w:after="0"/>
              <w:rPr>
                <w:sz w:val="20"/>
                <w:szCs w:val="20"/>
                <w:color w:val="auto"/>
              </w:rPr>
            </w:pPr>
            <w:r>
              <w:rPr>
                <w:rFonts w:ascii="Arial" w:cs="Arial" w:eastAsia="Arial" w:hAnsi="Arial"/>
                <w:sz w:val="13"/>
                <w:szCs w:val="13"/>
                <w:color w:val="auto"/>
              </w:rPr>
              <w:t>489</w:t>
            </w:r>
          </w:p>
        </w:tc>
        <w:tc>
          <w:tcPr>
            <w:tcW w:w="2180" w:type="dxa"/>
            <w:vAlign w:val="bottom"/>
          </w:tcPr>
          <w:p>
            <w:pPr>
              <w:jc w:val="right"/>
              <w:ind w:right="616"/>
              <w:spacing w:after="0"/>
              <w:rPr>
                <w:sz w:val="20"/>
                <w:szCs w:val="20"/>
                <w:color w:val="auto"/>
              </w:rPr>
            </w:pPr>
            <w:r>
              <w:rPr>
                <w:rFonts w:ascii="Arial" w:cs="Arial" w:eastAsia="Arial" w:hAnsi="Arial"/>
                <w:sz w:val="13"/>
                <w:szCs w:val="13"/>
                <w:color w:val="auto"/>
              </w:rPr>
              <w:t>(489)</w:t>
            </w:r>
          </w:p>
        </w:tc>
        <w:tc>
          <w:tcPr>
            <w:tcW w:w="10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6240" w:type="dxa"/>
            <w:vAlign w:val="bottom"/>
            <w:tcBorders>
              <w:top w:val="single" w:sz="8" w:color="auto"/>
              <w:bottom w:val="single" w:sz="8" w:color="auto"/>
            </w:tcBorders>
            <w:shd w:val="clear" w:color="auto" w:fill="CCEEFF"/>
          </w:tcPr>
          <w:p>
            <w:pPr>
              <w:spacing w:after="0"/>
              <w:rPr>
                <w:sz w:val="14"/>
                <w:szCs w:val="14"/>
                <w:color w:val="auto"/>
              </w:rPr>
            </w:pPr>
          </w:p>
        </w:tc>
        <w:tc>
          <w:tcPr>
            <w:tcW w:w="186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466</w:t>
            </w:r>
          </w:p>
        </w:tc>
        <w:tc>
          <w:tcPr>
            <w:tcW w:w="2180" w:type="dxa"/>
            <w:vAlign w:val="bottom"/>
            <w:tcBorders>
              <w:top w:val="single" w:sz="8" w:color="auto"/>
              <w:bottom w:val="single" w:sz="8" w:color="auto"/>
            </w:tcBorders>
            <w:shd w:val="clear" w:color="auto" w:fill="CCEEFF"/>
          </w:tcPr>
          <w:p>
            <w:pPr>
              <w:jc w:val="right"/>
              <w:ind w:right="616"/>
              <w:spacing w:after="0"/>
              <w:rPr>
                <w:sz w:val="20"/>
                <w:szCs w:val="20"/>
                <w:color w:val="auto"/>
              </w:rPr>
            </w:pPr>
            <w:r>
              <w:rPr>
                <w:rFonts w:ascii="Arial" w:cs="Arial" w:eastAsia="Arial" w:hAnsi="Arial"/>
                <w:sz w:val="13"/>
                <w:szCs w:val="13"/>
                <w:b w:val="1"/>
                <w:bCs w:val="1"/>
                <w:color w:val="auto"/>
              </w:rPr>
              <w:t>(375)</w:t>
            </w:r>
          </w:p>
        </w:tc>
        <w:tc>
          <w:tcPr>
            <w:tcW w:w="9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91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2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At 31 December 2021</w:t>
            </w:r>
          </w:p>
        </w:tc>
        <w:tc>
          <w:tcPr>
            <w:tcW w:w="18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(41,813)</w:t>
            </w:r>
          </w:p>
        </w:tc>
        <w:tc>
          <w:tcPr>
            <w:tcW w:w="2180" w:type="dxa"/>
            <w:vAlign w:val="bottom"/>
            <w:tcBorders>
              <w:bottom w:val="single" w:sz="8" w:color="auto"/>
            </w:tcBorders>
          </w:tcPr>
          <w:p>
            <w:pPr>
              <w:jc w:val="right"/>
              <w:ind w:right="616"/>
              <w:spacing w:after="0"/>
              <w:rPr>
                <w:sz w:val="20"/>
                <w:szCs w:val="20"/>
                <w:color w:val="auto"/>
              </w:rPr>
            </w:pPr>
            <w:r>
              <w:rPr>
                <w:rFonts w:ascii="Arial" w:cs="Arial" w:eastAsia="Arial" w:hAnsi="Arial"/>
                <w:sz w:val="13"/>
                <w:szCs w:val="13"/>
                <w:b w:val="1"/>
                <w:bCs w:val="1"/>
                <w:color w:val="auto"/>
              </w:rPr>
              <w:t>36,198</w:t>
            </w: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(5,615)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ectPr>
          <w:pgSz w:w="11900" w:h="16838" w:orient="portrait"/>
          <w:cols w:equalWidth="0" w:num="1">
            <w:col w:w="11280"/>
          </w:cols>
          <w:pgMar w:left="300" w:top="698" w:right="319" w:bottom="1440" w:gutter="0" w:footer="0" w:header="0"/>
        </w:sectPr>
      </w:pPr>
    </w:p>
    <w:bookmarkStart w:id="91" w:name="page92"/>
    <w:bookmarkEnd w:id="91"/>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190" w:lineRule="exact"/>
        <w:rPr>
          <w:sz w:val="20"/>
          <w:szCs w:val="20"/>
          <w:color w:val="auto"/>
        </w:rPr>
      </w:pPr>
    </w:p>
    <w:p>
      <w:pPr>
        <w:spacing w:after="0"/>
        <w:tabs>
          <w:tab w:leader="none" w:pos="300" w:val="left"/>
        </w:tabs>
        <w:rPr>
          <w:sz w:val="20"/>
          <w:szCs w:val="20"/>
          <w:color w:val="auto"/>
        </w:rPr>
      </w:pPr>
      <w:r>
        <w:rPr>
          <w:rFonts w:ascii="Arial" w:cs="Arial" w:eastAsia="Arial" w:hAnsi="Arial"/>
          <w:sz w:val="13"/>
          <w:szCs w:val="13"/>
          <w:b w:val="1"/>
          <w:bCs w:val="1"/>
          <w:color w:val="auto"/>
        </w:rPr>
        <w:t>10.</w:t>
      </w:r>
      <w:r>
        <w:rPr>
          <w:sz w:val="20"/>
          <w:szCs w:val="20"/>
          <w:color w:val="auto"/>
        </w:rPr>
        <w:tab/>
      </w:r>
      <w:r>
        <w:rPr>
          <w:rFonts w:ascii="Arial" w:cs="Arial" w:eastAsia="Arial" w:hAnsi="Arial"/>
          <w:sz w:val="12"/>
          <w:szCs w:val="12"/>
          <w:b w:val="1"/>
          <w:bCs w:val="1"/>
          <w:color w:val="auto"/>
        </w:rPr>
        <w:t>Retirement benefit obligations (</w:t>
      </w:r>
      <w:r>
        <w:rPr>
          <w:rFonts w:ascii="Arial" w:cs="Arial" w:eastAsia="Arial" w:hAnsi="Arial"/>
          <w:sz w:val="12"/>
          <w:szCs w:val="12"/>
          <w:b w:val="1"/>
          <w:bCs w:val="1"/>
          <w:i w:val="1"/>
          <w:iCs w:val="1"/>
          <w:color w:val="auto"/>
        </w:rPr>
        <w:t>continued</w:t>
      </w:r>
      <w:r>
        <w:rPr>
          <w:rFonts w:ascii="Arial" w:cs="Arial" w:eastAsia="Arial" w:hAnsi="Arial"/>
          <w:sz w:val="12"/>
          <w:szCs w:val="12"/>
          <w:b w:val="1"/>
          <w:bCs w:val="1"/>
          <w:color w:val="auto"/>
        </w:rPr>
        <w:t>)</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6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Present Value of</w:t>
            </w:r>
          </w:p>
        </w:tc>
        <w:tc>
          <w:tcPr>
            <w:tcW w:w="2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82"/>
        </w:trPr>
        <w:tc>
          <w:tcPr>
            <w:tcW w:w="662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Obligations</w:t>
            </w:r>
          </w:p>
        </w:tc>
        <w:tc>
          <w:tcPr>
            <w:tcW w:w="218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3"/>
                <w:szCs w:val="13"/>
                <w:b w:val="1"/>
                <w:bCs w:val="1"/>
                <w:color w:val="auto"/>
                <w:w w:val="99"/>
              </w:rPr>
              <w:t>Fair Value of Plan Assets</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5"/>
                <w:szCs w:val="15"/>
                <w:color w:val="auto"/>
              </w:rPr>
            </w:pPr>
          </w:p>
        </w:tc>
      </w:tr>
      <w:tr>
        <w:trPr>
          <w:trHeight w:val="192"/>
        </w:trPr>
        <w:tc>
          <w:tcPr>
            <w:tcW w:w="66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2180" w:type="dxa"/>
            <w:vAlign w:val="bottom"/>
          </w:tcPr>
          <w:p>
            <w:pPr>
              <w:jc w:val="right"/>
              <w:ind w:right="556"/>
              <w:spacing w:after="0"/>
              <w:rPr>
                <w:sz w:val="20"/>
                <w:szCs w:val="20"/>
                <w:color w:val="auto"/>
              </w:rPr>
            </w:pPr>
            <w:r>
              <w:rPr>
                <w:rFonts w:ascii="Arial" w:cs="Arial" w:eastAsia="Arial" w:hAnsi="Arial"/>
                <w:sz w:val="13"/>
                <w:szCs w:val="13"/>
                <w:b w:val="1"/>
                <w:bCs w:val="1"/>
                <w:color w:val="auto"/>
              </w:rPr>
              <w:t>$’000</w:t>
            </w:r>
          </w:p>
        </w:tc>
        <w:tc>
          <w:tcPr>
            <w:tcW w:w="100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$’000</w:t>
            </w:r>
          </w:p>
        </w:tc>
      </w:tr>
      <w:tr>
        <w:trPr>
          <w:trHeight w:val="210"/>
        </w:trPr>
        <w:tc>
          <w:tcPr>
            <w:tcW w:w="66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169"/>
        </w:trPr>
        <w:tc>
          <w:tcPr>
            <w:tcW w:w="6620" w:type="dxa"/>
            <w:vAlign w:val="bottom"/>
          </w:tcPr>
          <w:p>
            <w:pPr>
              <w:ind w:left="20"/>
              <w:spacing w:after="0"/>
              <w:rPr>
                <w:sz w:val="20"/>
                <w:szCs w:val="20"/>
                <w:color w:val="auto"/>
              </w:rPr>
            </w:pPr>
            <w:r>
              <w:rPr>
                <w:rFonts w:ascii="Arial" w:cs="Arial" w:eastAsia="Arial" w:hAnsi="Arial"/>
                <w:sz w:val="13"/>
                <w:szCs w:val="13"/>
                <w:color w:val="auto"/>
              </w:rPr>
              <w:t>At 1 January 2020</w:t>
            </w:r>
          </w:p>
        </w:tc>
        <w:tc>
          <w:tcPr>
            <w:tcW w:w="1480" w:type="dxa"/>
            <w:vAlign w:val="bottom"/>
          </w:tcPr>
          <w:p>
            <w:pPr>
              <w:jc w:val="right"/>
              <w:ind w:right="36"/>
              <w:spacing w:after="0"/>
              <w:rPr>
                <w:sz w:val="20"/>
                <w:szCs w:val="20"/>
                <w:color w:val="auto"/>
              </w:rPr>
            </w:pPr>
            <w:r>
              <w:rPr>
                <w:rFonts w:ascii="Arial" w:cs="Arial" w:eastAsia="Arial" w:hAnsi="Arial"/>
                <w:sz w:val="13"/>
                <w:szCs w:val="13"/>
                <w:color w:val="auto"/>
              </w:rPr>
              <w:t>(37,036)</w:t>
            </w:r>
          </w:p>
        </w:tc>
        <w:tc>
          <w:tcPr>
            <w:tcW w:w="2180" w:type="dxa"/>
            <w:vAlign w:val="bottom"/>
          </w:tcPr>
          <w:p>
            <w:pPr>
              <w:jc w:val="right"/>
              <w:ind w:right="616"/>
              <w:spacing w:after="0"/>
              <w:rPr>
                <w:sz w:val="20"/>
                <w:szCs w:val="20"/>
                <w:color w:val="auto"/>
              </w:rPr>
            </w:pPr>
            <w:r>
              <w:rPr>
                <w:rFonts w:ascii="Arial" w:cs="Arial" w:eastAsia="Arial" w:hAnsi="Arial"/>
                <w:sz w:val="13"/>
                <w:szCs w:val="13"/>
                <w:color w:val="auto"/>
              </w:rPr>
              <w:t>32,016</w:t>
            </w:r>
          </w:p>
        </w:tc>
        <w:tc>
          <w:tcPr>
            <w:tcW w:w="980" w:type="dxa"/>
            <w:vAlign w:val="bottom"/>
          </w:tcPr>
          <w:p>
            <w:pPr>
              <w:jc w:val="right"/>
              <w:ind w:right="16"/>
              <w:spacing w:after="0"/>
              <w:rPr>
                <w:sz w:val="20"/>
                <w:szCs w:val="20"/>
                <w:color w:val="auto"/>
              </w:rPr>
            </w:pPr>
            <w:r>
              <w:rPr>
                <w:rFonts w:ascii="Arial" w:cs="Arial" w:eastAsia="Arial" w:hAnsi="Arial"/>
                <w:sz w:val="13"/>
                <w:szCs w:val="13"/>
                <w:color w:val="auto"/>
              </w:rPr>
              <w:t>(5,020)</w:t>
            </w:r>
          </w:p>
        </w:tc>
        <w:tc>
          <w:tcPr>
            <w:tcW w:w="20" w:type="dxa"/>
            <w:vAlign w:val="bottom"/>
          </w:tcPr>
          <w:p>
            <w:pPr>
              <w:spacing w:after="0"/>
              <w:rPr>
                <w:sz w:val="14"/>
                <w:szCs w:val="14"/>
                <w:color w:val="auto"/>
              </w:rPr>
            </w:pPr>
          </w:p>
        </w:tc>
      </w:tr>
      <w:tr>
        <w:trPr>
          <w:trHeight w:val="171"/>
        </w:trPr>
        <w:tc>
          <w:tcPr>
            <w:tcW w:w="6620" w:type="dxa"/>
            <w:vAlign w:val="bottom"/>
            <w:shd w:val="clear" w:color="auto" w:fill="CCEEFF"/>
          </w:tcPr>
          <w:p>
            <w:pPr>
              <w:ind w:left="60"/>
              <w:spacing w:after="0"/>
              <w:rPr>
                <w:sz w:val="20"/>
                <w:szCs w:val="20"/>
                <w:color w:val="auto"/>
              </w:rPr>
            </w:pPr>
            <w:r>
              <w:rPr>
                <w:rFonts w:ascii="Arial" w:cs="Arial" w:eastAsia="Arial" w:hAnsi="Arial"/>
                <w:sz w:val="13"/>
                <w:szCs w:val="13"/>
                <w:color w:val="auto"/>
              </w:rPr>
              <w:t>Current service costs</w:t>
            </w:r>
          </w:p>
        </w:tc>
        <w:tc>
          <w:tcPr>
            <w:tcW w:w="14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(100)</w:t>
            </w:r>
          </w:p>
        </w:tc>
        <w:tc>
          <w:tcPr>
            <w:tcW w:w="2180" w:type="dxa"/>
            <w:vAlign w:val="bottom"/>
            <w:shd w:val="clear" w:color="auto" w:fill="CCEEFF"/>
          </w:tcPr>
          <w:p>
            <w:pPr>
              <w:jc w:val="right"/>
              <w:ind w:right="616"/>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(100)</w:t>
            </w:r>
          </w:p>
        </w:tc>
        <w:tc>
          <w:tcPr>
            <w:tcW w:w="20" w:type="dxa"/>
            <w:vAlign w:val="bottom"/>
          </w:tcPr>
          <w:p>
            <w:pPr>
              <w:spacing w:after="0"/>
              <w:rPr>
                <w:sz w:val="14"/>
                <w:szCs w:val="14"/>
                <w:color w:val="auto"/>
              </w:rPr>
            </w:pPr>
          </w:p>
        </w:tc>
      </w:tr>
      <w:tr>
        <w:trPr>
          <w:trHeight w:val="169"/>
        </w:trPr>
        <w:tc>
          <w:tcPr>
            <w:tcW w:w="6620" w:type="dxa"/>
            <w:vAlign w:val="bottom"/>
          </w:tcPr>
          <w:p>
            <w:pPr>
              <w:ind w:left="60"/>
              <w:spacing w:after="0"/>
              <w:rPr>
                <w:sz w:val="20"/>
                <w:szCs w:val="20"/>
                <w:color w:val="auto"/>
              </w:rPr>
            </w:pPr>
            <w:r>
              <w:rPr>
                <w:rFonts w:ascii="Arial" w:cs="Arial" w:eastAsia="Arial" w:hAnsi="Arial"/>
                <w:sz w:val="13"/>
                <w:szCs w:val="13"/>
                <w:color w:val="auto"/>
              </w:rPr>
              <w:t>Interest expense/(income)</w:t>
            </w:r>
          </w:p>
        </w:tc>
        <w:tc>
          <w:tcPr>
            <w:tcW w:w="1480" w:type="dxa"/>
            <w:vAlign w:val="bottom"/>
          </w:tcPr>
          <w:p>
            <w:pPr>
              <w:jc w:val="right"/>
              <w:ind w:right="36"/>
              <w:spacing w:after="0"/>
              <w:rPr>
                <w:sz w:val="20"/>
                <w:szCs w:val="20"/>
                <w:color w:val="auto"/>
              </w:rPr>
            </w:pPr>
            <w:r>
              <w:rPr>
                <w:rFonts w:ascii="Arial" w:cs="Arial" w:eastAsia="Arial" w:hAnsi="Arial"/>
                <w:sz w:val="13"/>
                <w:szCs w:val="13"/>
                <w:color w:val="auto"/>
              </w:rPr>
              <w:t>(746)</w:t>
            </w:r>
          </w:p>
        </w:tc>
        <w:tc>
          <w:tcPr>
            <w:tcW w:w="2180" w:type="dxa"/>
            <w:vAlign w:val="bottom"/>
          </w:tcPr>
          <w:p>
            <w:pPr>
              <w:jc w:val="right"/>
              <w:ind w:right="616"/>
              <w:spacing w:after="0"/>
              <w:rPr>
                <w:sz w:val="20"/>
                <w:szCs w:val="20"/>
                <w:color w:val="auto"/>
              </w:rPr>
            </w:pPr>
            <w:r>
              <w:rPr>
                <w:rFonts w:ascii="Arial" w:cs="Arial" w:eastAsia="Arial" w:hAnsi="Arial"/>
                <w:sz w:val="13"/>
                <w:szCs w:val="13"/>
                <w:color w:val="auto"/>
              </w:rPr>
              <w:t>644</w:t>
            </w:r>
          </w:p>
        </w:tc>
        <w:tc>
          <w:tcPr>
            <w:tcW w:w="980" w:type="dxa"/>
            <w:vAlign w:val="bottom"/>
          </w:tcPr>
          <w:p>
            <w:pPr>
              <w:jc w:val="right"/>
              <w:ind w:right="16"/>
              <w:spacing w:after="0"/>
              <w:rPr>
                <w:sz w:val="20"/>
                <w:szCs w:val="20"/>
                <w:color w:val="auto"/>
              </w:rPr>
            </w:pPr>
            <w:r>
              <w:rPr>
                <w:rFonts w:ascii="Arial" w:cs="Arial" w:eastAsia="Arial" w:hAnsi="Arial"/>
                <w:sz w:val="13"/>
                <w:szCs w:val="13"/>
                <w:color w:val="auto"/>
              </w:rPr>
              <w:t>(102)</w:t>
            </w:r>
          </w:p>
        </w:tc>
        <w:tc>
          <w:tcPr>
            <w:tcW w:w="20" w:type="dxa"/>
            <w:vAlign w:val="bottom"/>
          </w:tcPr>
          <w:p>
            <w:pPr>
              <w:spacing w:after="0"/>
              <w:rPr>
                <w:sz w:val="14"/>
                <w:szCs w:val="14"/>
                <w:color w:val="auto"/>
              </w:rPr>
            </w:pPr>
          </w:p>
        </w:tc>
      </w:tr>
      <w:tr>
        <w:trPr>
          <w:trHeight w:val="171"/>
        </w:trPr>
        <w:tc>
          <w:tcPr>
            <w:tcW w:w="662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(37,882)</w:t>
            </w:r>
          </w:p>
        </w:tc>
        <w:tc>
          <w:tcPr>
            <w:tcW w:w="218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3"/>
                <w:szCs w:val="13"/>
                <w:b w:val="1"/>
                <w:bCs w:val="1"/>
                <w:color w:val="auto"/>
              </w:rPr>
              <w:t>32,660</w:t>
            </w:r>
          </w:p>
        </w:tc>
        <w:tc>
          <w:tcPr>
            <w:tcW w:w="9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(5,222)</w:t>
            </w:r>
          </w:p>
        </w:tc>
        <w:tc>
          <w:tcPr>
            <w:tcW w:w="20" w:type="dxa"/>
            <w:vAlign w:val="bottom"/>
          </w:tcPr>
          <w:p>
            <w:pPr>
              <w:spacing w:after="0"/>
              <w:rPr>
                <w:sz w:val="14"/>
                <w:szCs w:val="14"/>
                <w:color w:val="auto"/>
              </w:rPr>
            </w:pPr>
          </w:p>
        </w:tc>
      </w:tr>
      <w:tr>
        <w:trPr>
          <w:trHeight w:val="160"/>
        </w:trPr>
        <w:tc>
          <w:tcPr>
            <w:tcW w:w="6620" w:type="dxa"/>
            <w:vAlign w:val="bottom"/>
          </w:tcPr>
          <w:p>
            <w:pPr>
              <w:ind w:left="60"/>
              <w:spacing w:after="0"/>
              <w:rPr>
                <w:sz w:val="20"/>
                <w:szCs w:val="20"/>
                <w:color w:val="auto"/>
              </w:rPr>
            </w:pPr>
            <w:r>
              <w:rPr>
                <w:rFonts w:ascii="Arial" w:cs="Arial" w:eastAsia="Arial" w:hAnsi="Arial"/>
                <w:sz w:val="13"/>
                <w:szCs w:val="13"/>
                <w:b w:val="1"/>
                <w:bCs w:val="1"/>
                <w:color w:val="auto"/>
              </w:rPr>
              <w:t>Re-measurements</w:t>
            </w:r>
          </w:p>
        </w:tc>
        <w:tc>
          <w:tcPr>
            <w:tcW w:w="14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0"/>
        </w:trPr>
        <w:tc>
          <w:tcPr>
            <w:tcW w:w="6620" w:type="dxa"/>
            <w:vAlign w:val="bottom"/>
            <w:shd w:val="clear" w:color="auto" w:fill="CCEEFF"/>
          </w:tcPr>
          <w:p>
            <w:pPr>
              <w:ind w:left="60"/>
              <w:spacing w:after="0"/>
              <w:rPr>
                <w:sz w:val="20"/>
                <w:szCs w:val="20"/>
                <w:color w:val="auto"/>
              </w:rPr>
            </w:pPr>
            <w:r>
              <w:rPr>
                <w:rFonts w:ascii="Arial" w:cs="Arial" w:eastAsia="Arial" w:hAnsi="Arial"/>
                <w:sz w:val="13"/>
                <w:szCs w:val="13"/>
                <w:color w:val="auto"/>
              </w:rPr>
              <w:t>Experience adjustment</w:t>
            </w:r>
          </w:p>
        </w:tc>
        <w:tc>
          <w:tcPr>
            <w:tcW w:w="14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2180" w:type="dxa"/>
            <w:vAlign w:val="bottom"/>
            <w:shd w:val="clear" w:color="auto" w:fill="CCEEFF"/>
          </w:tcPr>
          <w:p>
            <w:pPr>
              <w:jc w:val="right"/>
              <w:ind w:right="616"/>
              <w:spacing w:after="0"/>
              <w:rPr>
                <w:sz w:val="20"/>
                <w:szCs w:val="20"/>
                <w:color w:val="auto"/>
              </w:rPr>
            </w:pPr>
            <w:r>
              <w:rPr>
                <w:rFonts w:ascii="Arial" w:cs="Arial" w:eastAsia="Arial" w:hAnsi="Arial"/>
                <w:sz w:val="13"/>
                <w:szCs w:val="13"/>
                <w:color w:val="auto"/>
              </w:rPr>
              <w:t>1,448</w:t>
            </w: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1,448</w:t>
            </w:r>
          </w:p>
        </w:tc>
        <w:tc>
          <w:tcPr>
            <w:tcW w:w="20" w:type="dxa"/>
            <w:vAlign w:val="bottom"/>
          </w:tcPr>
          <w:p>
            <w:pPr>
              <w:spacing w:after="0"/>
              <w:rPr>
                <w:sz w:val="14"/>
                <w:szCs w:val="14"/>
                <w:color w:val="auto"/>
              </w:rPr>
            </w:pPr>
          </w:p>
        </w:tc>
      </w:tr>
      <w:tr>
        <w:trPr>
          <w:trHeight w:val="169"/>
        </w:trPr>
        <w:tc>
          <w:tcPr>
            <w:tcW w:w="6620" w:type="dxa"/>
            <w:vAlign w:val="bottom"/>
          </w:tcPr>
          <w:p>
            <w:pPr>
              <w:ind w:left="60"/>
              <w:spacing w:after="0"/>
              <w:rPr>
                <w:sz w:val="20"/>
                <w:szCs w:val="20"/>
                <w:color w:val="auto"/>
              </w:rPr>
            </w:pPr>
            <w:r>
              <w:rPr>
                <w:rFonts w:ascii="Arial" w:cs="Arial" w:eastAsia="Arial" w:hAnsi="Arial"/>
                <w:sz w:val="13"/>
                <w:szCs w:val="13"/>
                <w:color w:val="auto"/>
              </w:rPr>
              <w:t>Gain or loss from change in demographic assumptions</w:t>
            </w:r>
          </w:p>
        </w:tc>
        <w:tc>
          <w:tcPr>
            <w:tcW w:w="1480" w:type="dxa"/>
            <w:vAlign w:val="bottom"/>
          </w:tcPr>
          <w:p>
            <w:pPr>
              <w:jc w:val="right"/>
              <w:ind w:right="36"/>
              <w:spacing w:after="0"/>
              <w:rPr>
                <w:sz w:val="20"/>
                <w:szCs w:val="20"/>
                <w:color w:val="auto"/>
              </w:rPr>
            </w:pPr>
            <w:r>
              <w:rPr>
                <w:rFonts w:ascii="Arial" w:cs="Arial" w:eastAsia="Arial" w:hAnsi="Arial"/>
                <w:sz w:val="13"/>
                <w:szCs w:val="13"/>
                <w:color w:val="auto"/>
              </w:rPr>
              <w:t>187</w:t>
            </w:r>
          </w:p>
        </w:tc>
        <w:tc>
          <w:tcPr>
            <w:tcW w:w="2180" w:type="dxa"/>
            <w:vAlign w:val="bottom"/>
          </w:tcPr>
          <w:p>
            <w:pPr>
              <w:jc w:val="right"/>
              <w:ind w:right="616"/>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6"/>
              <w:spacing w:after="0"/>
              <w:rPr>
                <w:sz w:val="20"/>
                <w:szCs w:val="20"/>
                <w:color w:val="auto"/>
              </w:rPr>
            </w:pPr>
            <w:r>
              <w:rPr>
                <w:rFonts w:ascii="Arial" w:cs="Arial" w:eastAsia="Arial" w:hAnsi="Arial"/>
                <w:sz w:val="13"/>
                <w:szCs w:val="13"/>
                <w:color w:val="auto"/>
              </w:rPr>
              <w:t>187</w:t>
            </w:r>
          </w:p>
        </w:tc>
        <w:tc>
          <w:tcPr>
            <w:tcW w:w="20" w:type="dxa"/>
            <w:vAlign w:val="bottom"/>
          </w:tcPr>
          <w:p>
            <w:pPr>
              <w:spacing w:after="0"/>
              <w:rPr>
                <w:sz w:val="14"/>
                <w:szCs w:val="14"/>
                <w:color w:val="auto"/>
              </w:rPr>
            </w:pPr>
          </w:p>
        </w:tc>
      </w:tr>
      <w:tr>
        <w:trPr>
          <w:trHeight w:val="171"/>
        </w:trPr>
        <w:tc>
          <w:tcPr>
            <w:tcW w:w="6620" w:type="dxa"/>
            <w:vAlign w:val="bottom"/>
            <w:shd w:val="clear" w:color="auto" w:fill="CCEEFF"/>
          </w:tcPr>
          <w:p>
            <w:pPr>
              <w:ind w:left="60"/>
              <w:spacing w:after="0"/>
              <w:rPr>
                <w:sz w:val="20"/>
                <w:szCs w:val="20"/>
                <w:color w:val="auto"/>
              </w:rPr>
            </w:pPr>
            <w:r>
              <w:rPr>
                <w:rFonts w:ascii="Arial" w:cs="Arial" w:eastAsia="Arial" w:hAnsi="Arial"/>
                <w:sz w:val="13"/>
                <w:szCs w:val="13"/>
                <w:color w:val="auto"/>
              </w:rPr>
              <w:t>Gain or loss from change in financial assumptions</w:t>
            </w:r>
          </w:p>
        </w:tc>
        <w:tc>
          <w:tcPr>
            <w:tcW w:w="14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(6,039)</w:t>
            </w:r>
          </w:p>
        </w:tc>
        <w:tc>
          <w:tcPr>
            <w:tcW w:w="2180" w:type="dxa"/>
            <w:vAlign w:val="bottom"/>
            <w:shd w:val="clear" w:color="auto" w:fill="CCEEFF"/>
          </w:tcPr>
          <w:p>
            <w:pPr>
              <w:jc w:val="right"/>
              <w:ind w:right="616"/>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(6,039)</w:t>
            </w:r>
          </w:p>
        </w:tc>
        <w:tc>
          <w:tcPr>
            <w:tcW w:w="20" w:type="dxa"/>
            <w:vAlign w:val="bottom"/>
          </w:tcPr>
          <w:p>
            <w:pPr>
              <w:spacing w:after="0"/>
              <w:rPr>
                <w:sz w:val="14"/>
                <w:szCs w:val="14"/>
                <w:color w:val="auto"/>
              </w:rPr>
            </w:pPr>
          </w:p>
        </w:tc>
      </w:tr>
      <w:tr>
        <w:trPr>
          <w:trHeight w:val="169"/>
        </w:trPr>
        <w:tc>
          <w:tcPr>
            <w:tcW w:w="662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Experience gain or loss</w:t>
            </w:r>
          </w:p>
        </w:tc>
        <w:tc>
          <w:tcPr>
            <w:tcW w:w="14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558</w:t>
            </w:r>
          </w:p>
        </w:tc>
        <w:tc>
          <w:tcPr>
            <w:tcW w:w="2180" w:type="dxa"/>
            <w:vAlign w:val="bottom"/>
            <w:tcBorders>
              <w:bottom w:val="single" w:sz="8" w:color="auto"/>
            </w:tcBorders>
          </w:tcPr>
          <w:p>
            <w:pPr>
              <w:jc w:val="right"/>
              <w:ind w:right="616"/>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558</w:t>
            </w:r>
          </w:p>
        </w:tc>
        <w:tc>
          <w:tcPr>
            <w:tcW w:w="20" w:type="dxa"/>
            <w:vAlign w:val="bottom"/>
          </w:tcPr>
          <w:p>
            <w:pPr>
              <w:spacing w:after="0"/>
              <w:rPr>
                <w:sz w:val="14"/>
                <w:szCs w:val="14"/>
                <w:color w:val="auto"/>
              </w:rPr>
            </w:pPr>
          </w:p>
        </w:tc>
      </w:tr>
      <w:tr>
        <w:trPr>
          <w:trHeight w:val="162"/>
        </w:trPr>
        <w:tc>
          <w:tcPr>
            <w:tcW w:w="662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(5,294)</w:t>
            </w:r>
          </w:p>
        </w:tc>
        <w:tc>
          <w:tcPr>
            <w:tcW w:w="218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3"/>
                <w:szCs w:val="13"/>
                <w:b w:val="1"/>
                <w:bCs w:val="1"/>
                <w:color w:val="auto"/>
              </w:rPr>
              <w:t>1,448</w:t>
            </w:r>
          </w:p>
        </w:tc>
        <w:tc>
          <w:tcPr>
            <w:tcW w:w="9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(3,846)</w:t>
            </w:r>
          </w:p>
        </w:tc>
        <w:tc>
          <w:tcPr>
            <w:tcW w:w="20" w:type="dxa"/>
            <w:vAlign w:val="bottom"/>
          </w:tcPr>
          <w:p>
            <w:pPr>
              <w:spacing w:after="0"/>
              <w:rPr>
                <w:sz w:val="14"/>
                <w:szCs w:val="14"/>
                <w:color w:val="auto"/>
              </w:rPr>
            </w:pPr>
          </w:p>
        </w:tc>
      </w:tr>
      <w:tr>
        <w:trPr>
          <w:trHeight w:val="159"/>
        </w:trPr>
        <w:tc>
          <w:tcPr>
            <w:tcW w:w="6620" w:type="dxa"/>
            <w:vAlign w:val="bottom"/>
          </w:tcPr>
          <w:p>
            <w:pPr>
              <w:ind w:left="60"/>
              <w:spacing w:after="0"/>
              <w:rPr>
                <w:sz w:val="20"/>
                <w:szCs w:val="20"/>
                <w:color w:val="auto"/>
              </w:rPr>
            </w:pPr>
            <w:r>
              <w:rPr>
                <w:rFonts w:ascii="Arial" w:cs="Arial" w:eastAsia="Arial" w:hAnsi="Arial"/>
                <w:sz w:val="13"/>
                <w:szCs w:val="13"/>
                <w:color w:val="auto"/>
              </w:rPr>
              <w:t>Exchange differences</w:t>
            </w:r>
          </w:p>
        </w:tc>
        <w:tc>
          <w:tcPr>
            <w:tcW w:w="1480" w:type="dxa"/>
            <w:vAlign w:val="bottom"/>
          </w:tcPr>
          <w:p>
            <w:pPr>
              <w:jc w:val="right"/>
              <w:ind w:right="36"/>
              <w:spacing w:after="0"/>
              <w:rPr>
                <w:sz w:val="20"/>
                <w:szCs w:val="20"/>
                <w:color w:val="auto"/>
              </w:rPr>
            </w:pPr>
            <w:r>
              <w:rPr>
                <w:rFonts w:ascii="Arial" w:cs="Arial" w:eastAsia="Arial" w:hAnsi="Arial"/>
                <w:sz w:val="13"/>
                <w:szCs w:val="13"/>
                <w:color w:val="auto"/>
              </w:rPr>
              <w:t>(1,514)</w:t>
            </w:r>
          </w:p>
        </w:tc>
        <w:tc>
          <w:tcPr>
            <w:tcW w:w="2180" w:type="dxa"/>
            <w:vAlign w:val="bottom"/>
          </w:tcPr>
          <w:p>
            <w:pPr>
              <w:jc w:val="right"/>
              <w:ind w:right="616"/>
              <w:spacing w:after="0"/>
              <w:rPr>
                <w:sz w:val="20"/>
                <w:szCs w:val="20"/>
                <w:color w:val="auto"/>
              </w:rPr>
            </w:pPr>
            <w:r>
              <w:rPr>
                <w:rFonts w:ascii="Arial" w:cs="Arial" w:eastAsia="Arial" w:hAnsi="Arial"/>
                <w:sz w:val="13"/>
                <w:szCs w:val="13"/>
                <w:color w:val="auto"/>
              </w:rPr>
              <w:t>1,097</w:t>
            </w:r>
          </w:p>
        </w:tc>
        <w:tc>
          <w:tcPr>
            <w:tcW w:w="980" w:type="dxa"/>
            <w:vAlign w:val="bottom"/>
          </w:tcPr>
          <w:p>
            <w:pPr>
              <w:jc w:val="right"/>
              <w:ind w:right="16"/>
              <w:spacing w:after="0"/>
              <w:rPr>
                <w:sz w:val="20"/>
                <w:szCs w:val="20"/>
                <w:color w:val="auto"/>
              </w:rPr>
            </w:pPr>
            <w:r>
              <w:rPr>
                <w:rFonts w:ascii="Arial" w:cs="Arial" w:eastAsia="Arial" w:hAnsi="Arial"/>
                <w:sz w:val="13"/>
                <w:szCs w:val="13"/>
                <w:color w:val="auto"/>
              </w:rPr>
              <w:t>(417)</w:t>
            </w:r>
          </w:p>
        </w:tc>
        <w:tc>
          <w:tcPr>
            <w:tcW w:w="20" w:type="dxa"/>
            <w:vAlign w:val="bottom"/>
          </w:tcPr>
          <w:p>
            <w:pPr>
              <w:spacing w:after="0"/>
              <w:rPr>
                <w:sz w:val="13"/>
                <w:szCs w:val="13"/>
                <w:color w:val="auto"/>
              </w:rPr>
            </w:pPr>
          </w:p>
        </w:tc>
      </w:tr>
      <w:tr>
        <w:trPr>
          <w:trHeight w:val="171"/>
        </w:trPr>
        <w:tc>
          <w:tcPr>
            <w:tcW w:w="6620" w:type="dxa"/>
            <w:vAlign w:val="bottom"/>
            <w:shd w:val="clear" w:color="auto" w:fill="CCEEFF"/>
          </w:tcPr>
          <w:p>
            <w:pPr>
              <w:ind w:left="60"/>
              <w:spacing w:after="0"/>
              <w:rPr>
                <w:sz w:val="20"/>
                <w:szCs w:val="20"/>
                <w:color w:val="auto"/>
              </w:rPr>
            </w:pPr>
            <w:r>
              <w:rPr>
                <w:rFonts w:ascii="Arial" w:cs="Arial" w:eastAsia="Arial" w:hAnsi="Arial"/>
                <w:sz w:val="13"/>
                <w:szCs w:val="13"/>
                <w:b w:val="1"/>
                <w:bCs w:val="1"/>
                <w:color w:val="auto"/>
              </w:rPr>
              <w:t>Contributions:</w:t>
            </w:r>
          </w:p>
        </w:tc>
        <w:tc>
          <w:tcPr>
            <w:tcW w:w="148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6620" w:type="dxa"/>
            <w:vAlign w:val="bottom"/>
          </w:tcPr>
          <w:p>
            <w:pPr>
              <w:ind w:left="60"/>
              <w:spacing w:after="0"/>
              <w:rPr>
                <w:sz w:val="20"/>
                <w:szCs w:val="20"/>
                <w:color w:val="auto"/>
              </w:rPr>
            </w:pPr>
            <w:r>
              <w:rPr>
                <w:rFonts w:ascii="Arial" w:cs="Arial" w:eastAsia="Arial" w:hAnsi="Arial"/>
                <w:sz w:val="13"/>
                <w:szCs w:val="13"/>
                <w:color w:val="auto"/>
              </w:rPr>
              <w:t>- Employers</w:t>
            </w:r>
          </w:p>
        </w:tc>
        <w:tc>
          <w:tcPr>
            <w:tcW w:w="14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180" w:type="dxa"/>
            <w:vAlign w:val="bottom"/>
          </w:tcPr>
          <w:p>
            <w:pPr>
              <w:jc w:val="right"/>
              <w:ind w:right="616"/>
              <w:spacing w:after="0"/>
              <w:rPr>
                <w:sz w:val="20"/>
                <w:szCs w:val="20"/>
                <w:color w:val="auto"/>
              </w:rPr>
            </w:pPr>
            <w:r>
              <w:rPr>
                <w:rFonts w:ascii="Arial" w:cs="Arial" w:eastAsia="Arial" w:hAnsi="Arial"/>
                <w:sz w:val="13"/>
                <w:szCs w:val="13"/>
                <w:color w:val="auto"/>
              </w:rPr>
              <w:t>109</w:t>
            </w:r>
          </w:p>
        </w:tc>
        <w:tc>
          <w:tcPr>
            <w:tcW w:w="980" w:type="dxa"/>
            <w:vAlign w:val="bottom"/>
          </w:tcPr>
          <w:p>
            <w:pPr>
              <w:jc w:val="right"/>
              <w:ind w:right="16"/>
              <w:spacing w:after="0"/>
              <w:rPr>
                <w:sz w:val="20"/>
                <w:szCs w:val="20"/>
                <w:color w:val="auto"/>
              </w:rPr>
            </w:pPr>
            <w:r>
              <w:rPr>
                <w:rFonts w:ascii="Arial" w:cs="Arial" w:eastAsia="Arial" w:hAnsi="Arial"/>
                <w:sz w:val="13"/>
                <w:szCs w:val="13"/>
                <w:color w:val="auto"/>
              </w:rPr>
              <w:t>109</w:t>
            </w:r>
          </w:p>
        </w:tc>
        <w:tc>
          <w:tcPr>
            <w:tcW w:w="20" w:type="dxa"/>
            <w:vAlign w:val="bottom"/>
          </w:tcPr>
          <w:p>
            <w:pPr>
              <w:spacing w:after="0"/>
              <w:rPr>
                <w:sz w:val="14"/>
                <w:szCs w:val="14"/>
                <w:color w:val="auto"/>
              </w:rPr>
            </w:pPr>
          </w:p>
        </w:tc>
      </w:tr>
      <w:tr>
        <w:trPr>
          <w:trHeight w:val="171"/>
        </w:trPr>
        <w:tc>
          <w:tcPr>
            <w:tcW w:w="6620" w:type="dxa"/>
            <w:vAlign w:val="bottom"/>
            <w:shd w:val="clear" w:color="auto" w:fill="CCEEFF"/>
          </w:tcPr>
          <w:p>
            <w:pPr>
              <w:ind w:left="60"/>
              <w:spacing w:after="0"/>
              <w:rPr>
                <w:sz w:val="20"/>
                <w:szCs w:val="20"/>
                <w:color w:val="auto"/>
              </w:rPr>
            </w:pPr>
            <w:r>
              <w:rPr>
                <w:rFonts w:ascii="Arial" w:cs="Arial" w:eastAsia="Arial" w:hAnsi="Arial"/>
                <w:sz w:val="13"/>
                <w:szCs w:val="13"/>
                <w:color w:val="auto"/>
              </w:rPr>
              <w:t>- Plan participants</w:t>
            </w:r>
          </w:p>
        </w:tc>
        <w:tc>
          <w:tcPr>
            <w:tcW w:w="14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(22)</w:t>
            </w:r>
          </w:p>
        </w:tc>
        <w:tc>
          <w:tcPr>
            <w:tcW w:w="2180" w:type="dxa"/>
            <w:vAlign w:val="bottom"/>
            <w:shd w:val="clear" w:color="auto" w:fill="CCEEFF"/>
          </w:tcPr>
          <w:p>
            <w:pPr>
              <w:jc w:val="right"/>
              <w:ind w:right="616"/>
              <w:spacing w:after="0"/>
              <w:rPr>
                <w:sz w:val="20"/>
                <w:szCs w:val="20"/>
                <w:color w:val="auto"/>
              </w:rPr>
            </w:pPr>
            <w:r>
              <w:rPr>
                <w:rFonts w:ascii="Arial" w:cs="Arial" w:eastAsia="Arial" w:hAnsi="Arial"/>
                <w:sz w:val="13"/>
                <w:szCs w:val="13"/>
                <w:color w:val="auto"/>
              </w:rPr>
              <w:t>22</w:t>
            </w: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r>
      <w:tr>
        <w:trPr>
          <w:trHeight w:val="169"/>
        </w:trPr>
        <w:tc>
          <w:tcPr>
            <w:tcW w:w="6620" w:type="dxa"/>
            <w:vAlign w:val="bottom"/>
          </w:tcPr>
          <w:p>
            <w:pPr>
              <w:ind w:left="60"/>
              <w:spacing w:after="0"/>
              <w:rPr>
                <w:sz w:val="20"/>
                <w:szCs w:val="20"/>
                <w:color w:val="auto"/>
              </w:rPr>
            </w:pPr>
            <w:r>
              <w:rPr>
                <w:rFonts w:ascii="Arial" w:cs="Arial" w:eastAsia="Arial" w:hAnsi="Arial"/>
                <w:sz w:val="13"/>
                <w:szCs w:val="13"/>
                <w:color w:val="auto"/>
              </w:rPr>
              <w:t>Benefit payments</w:t>
            </w:r>
          </w:p>
        </w:tc>
        <w:tc>
          <w:tcPr>
            <w:tcW w:w="1480" w:type="dxa"/>
            <w:vAlign w:val="bottom"/>
          </w:tcPr>
          <w:p>
            <w:pPr>
              <w:jc w:val="right"/>
              <w:ind w:right="36"/>
              <w:spacing w:after="0"/>
              <w:rPr>
                <w:sz w:val="20"/>
                <w:szCs w:val="20"/>
                <w:color w:val="auto"/>
              </w:rPr>
            </w:pPr>
            <w:r>
              <w:rPr>
                <w:rFonts w:ascii="Arial" w:cs="Arial" w:eastAsia="Arial" w:hAnsi="Arial"/>
                <w:sz w:val="13"/>
                <w:szCs w:val="13"/>
                <w:color w:val="auto"/>
              </w:rPr>
              <w:t>724</w:t>
            </w:r>
          </w:p>
        </w:tc>
        <w:tc>
          <w:tcPr>
            <w:tcW w:w="2180" w:type="dxa"/>
            <w:vAlign w:val="bottom"/>
          </w:tcPr>
          <w:p>
            <w:pPr>
              <w:jc w:val="right"/>
              <w:ind w:right="616"/>
              <w:spacing w:after="0"/>
              <w:rPr>
                <w:sz w:val="20"/>
                <w:szCs w:val="20"/>
                <w:color w:val="auto"/>
              </w:rPr>
            </w:pPr>
            <w:r>
              <w:rPr>
                <w:rFonts w:ascii="Arial" w:cs="Arial" w:eastAsia="Arial" w:hAnsi="Arial"/>
                <w:sz w:val="13"/>
                <w:szCs w:val="13"/>
                <w:color w:val="auto"/>
              </w:rPr>
              <w:t>(724)</w:t>
            </w:r>
          </w:p>
        </w:tc>
        <w:tc>
          <w:tcPr>
            <w:tcW w:w="10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62"/>
        </w:trPr>
        <w:tc>
          <w:tcPr>
            <w:tcW w:w="6620" w:type="dxa"/>
            <w:vAlign w:val="bottom"/>
            <w:tcBorders>
              <w:top w:val="single" w:sz="8" w:color="auto"/>
              <w:bottom w:val="single" w:sz="8" w:color="auto"/>
            </w:tcBorders>
            <w:shd w:val="clear" w:color="auto" w:fill="CCEEFF"/>
          </w:tcPr>
          <w:p>
            <w:pPr>
              <w:spacing w:after="0"/>
              <w:rPr>
                <w:sz w:val="14"/>
                <w:szCs w:val="14"/>
                <w:color w:val="auto"/>
              </w:rPr>
            </w:pPr>
          </w:p>
        </w:tc>
        <w:tc>
          <w:tcPr>
            <w:tcW w:w="14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702</w:t>
            </w:r>
          </w:p>
        </w:tc>
        <w:tc>
          <w:tcPr>
            <w:tcW w:w="2180" w:type="dxa"/>
            <w:vAlign w:val="bottom"/>
            <w:tcBorders>
              <w:top w:val="single" w:sz="8" w:color="auto"/>
              <w:bottom w:val="single" w:sz="8" w:color="auto"/>
            </w:tcBorders>
            <w:shd w:val="clear" w:color="auto" w:fill="CCEEFF"/>
          </w:tcPr>
          <w:p>
            <w:pPr>
              <w:jc w:val="right"/>
              <w:ind w:right="616"/>
              <w:spacing w:after="0"/>
              <w:rPr>
                <w:sz w:val="20"/>
                <w:szCs w:val="20"/>
                <w:color w:val="auto"/>
              </w:rPr>
            </w:pPr>
            <w:r>
              <w:rPr>
                <w:rFonts w:ascii="Arial" w:cs="Arial" w:eastAsia="Arial" w:hAnsi="Arial"/>
                <w:sz w:val="13"/>
                <w:szCs w:val="13"/>
                <w:b w:val="1"/>
                <w:bCs w:val="1"/>
                <w:color w:val="auto"/>
              </w:rPr>
              <w:t>(593)</w:t>
            </w:r>
          </w:p>
        </w:tc>
        <w:tc>
          <w:tcPr>
            <w:tcW w:w="9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109</w:t>
            </w:r>
          </w:p>
        </w:tc>
        <w:tc>
          <w:tcPr>
            <w:tcW w:w="20" w:type="dxa"/>
            <w:vAlign w:val="bottom"/>
          </w:tcPr>
          <w:p>
            <w:pPr>
              <w:spacing w:after="0"/>
              <w:rPr>
                <w:sz w:val="14"/>
                <w:szCs w:val="14"/>
                <w:color w:val="auto"/>
              </w:rPr>
            </w:pPr>
          </w:p>
        </w:tc>
      </w:tr>
      <w:tr>
        <w:trPr>
          <w:trHeight w:val="160"/>
        </w:trPr>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At 31 December 2020</w:t>
            </w:r>
          </w:p>
        </w:tc>
        <w:tc>
          <w:tcPr>
            <w:tcW w:w="14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(43,988)</w:t>
            </w:r>
          </w:p>
        </w:tc>
        <w:tc>
          <w:tcPr>
            <w:tcW w:w="2180" w:type="dxa"/>
            <w:vAlign w:val="bottom"/>
            <w:tcBorders>
              <w:bottom w:val="single" w:sz="8" w:color="auto"/>
            </w:tcBorders>
          </w:tcPr>
          <w:p>
            <w:pPr>
              <w:jc w:val="right"/>
              <w:ind w:right="616"/>
              <w:spacing w:after="0"/>
              <w:rPr>
                <w:sz w:val="20"/>
                <w:szCs w:val="20"/>
                <w:color w:val="auto"/>
              </w:rPr>
            </w:pPr>
            <w:r>
              <w:rPr>
                <w:rFonts w:ascii="Arial" w:cs="Arial" w:eastAsia="Arial" w:hAnsi="Arial"/>
                <w:sz w:val="13"/>
                <w:szCs w:val="13"/>
                <w:b w:val="1"/>
                <w:bCs w:val="1"/>
                <w:color w:val="auto"/>
              </w:rPr>
              <w:t>34,612</w:t>
            </w: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(9,376)</w:t>
            </w:r>
          </w:p>
        </w:tc>
        <w:tc>
          <w:tcPr>
            <w:tcW w:w="20" w:type="dxa"/>
            <w:vAlign w:val="bottom"/>
          </w:tcPr>
          <w:p>
            <w:pPr>
              <w:spacing w:after="0"/>
              <w:rPr>
                <w:sz w:val="13"/>
                <w:szCs w:val="13"/>
                <w:color w:val="auto"/>
              </w:rPr>
            </w:pPr>
          </w:p>
        </w:tc>
      </w:tr>
      <w:tr>
        <w:trPr>
          <w:trHeight w:val="402"/>
        </w:trPr>
        <w:tc>
          <w:tcPr>
            <w:tcW w:w="6620" w:type="dxa"/>
            <w:vAlign w:val="bottom"/>
          </w:tcPr>
          <w:p>
            <w:pPr>
              <w:spacing w:after="0"/>
              <w:rPr>
                <w:sz w:val="20"/>
                <w:szCs w:val="20"/>
                <w:color w:val="auto"/>
              </w:rPr>
            </w:pPr>
            <w:r>
              <w:rPr>
                <w:rFonts w:ascii="Arial" w:cs="Arial" w:eastAsia="Arial" w:hAnsi="Arial"/>
                <w:sz w:val="13"/>
                <w:szCs w:val="13"/>
                <w:color w:val="auto"/>
              </w:rPr>
              <w:t>Re-measurements are recognised in the Consolidated Statement of Comprehensive Income as follows:</w:t>
            </w:r>
          </w:p>
        </w:tc>
        <w:tc>
          <w:tcPr>
            <w:tcW w:w="14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8"/>
        </w:trPr>
        <w:tc>
          <w:tcPr>
            <w:tcW w:w="66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3180" w:type="dxa"/>
            <w:vAlign w:val="bottom"/>
            <w:gridSpan w:val="3"/>
          </w:tcPr>
          <w:p>
            <w:pPr>
              <w:spacing w:after="0"/>
              <w:rPr>
                <w:sz w:val="8"/>
                <w:szCs w:val="8"/>
                <w:color w:val="auto"/>
              </w:rPr>
            </w:pPr>
          </w:p>
        </w:tc>
      </w:tr>
      <w:tr>
        <w:trPr>
          <w:trHeight w:val="127"/>
        </w:trPr>
        <w:tc>
          <w:tcPr>
            <w:tcW w:w="662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3180" w:type="dxa"/>
            <w:vAlign w:val="bottom"/>
            <w:gridSpan w:val="3"/>
            <w:shd w:val="clear" w:color="auto" w:fill="CCEEFF"/>
          </w:tcPr>
          <w:p>
            <w:pPr>
              <w:jc w:val="right"/>
              <w:ind w:right="20"/>
              <w:spacing w:after="0" w:line="128" w:lineRule="exact"/>
              <w:rPr>
                <w:sz w:val="20"/>
                <w:szCs w:val="20"/>
                <w:color w:val="auto"/>
              </w:rPr>
            </w:pPr>
            <w:r>
              <w:rPr>
                <w:rFonts w:ascii="Arial" w:cs="Arial" w:eastAsia="Arial" w:hAnsi="Arial"/>
                <w:sz w:val="13"/>
                <w:szCs w:val="13"/>
                <w:b w:val="1"/>
                <w:bCs w:val="1"/>
                <w:color w:val="auto"/>
              </w:rPr>
              <w:t xml:space="preserve">Year ended 31 </w:t>
            </w:r>
            <w:r>
              <w:rPr>
                <w:rFonts w:ascii="Arial" w:cs="Arial" w:eastAsia="Arial" w:hAnsi="Arial"/>
                <w:sz w:val="13"/>
                <w:szCs w:val="13"/>
                <w:color w:val="auto"/>
              </w:rPr>
              <w:t>Year ended 31 December</w:t>
            </w:r>
          </w:p>
        </w:tc>
      </w:tr>
      <w:tr>
        <w:trPr>
          <w:trHeight w:val="170"/>
        </w:trPr>
        <w:tc>
          <w:tcPr>
            <w:tcW w:w="662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spacing w:after="0"/>
              <w:rPr>
                <w:sz w:val="14"/>
                <w:szCs w:val="14"/>
                <w:color w:val="auto"/>
              </w:rPr>
            </w:pPr>
          </w:p>
        </w:tc>
        <w:tc>
          <w:tcPr>
            <w:tcW w:w="218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December 2021</w:t>
            </w:r>
          </w:p>
        </w:tc>
        <w:tc>
          <w:tcPr>
            <w:tcW w:w="10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2020</w:t>
            </w:r>
          </w:p>
        </w:tc>
      </w:tr>
      <w:tr>
        <w:trPr>
          <w:trHeight w:val="160"/>
        </w:trPr>
        <w:tc>
          <w:tcPr>
            <w:tcW w:w="66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180" w:type="dxa"/>
            <w:vAlign w:val="bottom"/>
          </w:tcPr>
          <w:p>
            <w:pPr>
              <w:jc w:val="right"/>
              <w:ind w:right="436"/>
              <w:spacing w:after="0"/>
              <w:rPr>
                <w:sz w:val="20"/>
                <w:szCs w:val="20"/>
                <w:color w:val="auto"/>
              </w:rPr>
            </w:pPr>
            <w:r>
              <w:rPr>
                <w:rFonts w:ascii="Arial" w:cs="Arial" w:eastAsia="Arial" w:hAnsi="Arial"/>
                <w:sz w:val="13"/>
                <w:szCs w:val="13"/>
                <w:b w:val="1"/>
                <w:bCs w:val="1"/>
                <w:color w:val="auto"/>
              </w:rPr>
              <w:t>$’000</w:t>
            </w:r>
          </w:p>
        </w:tc>
        <w:tc>
          <w:tcPr>
            <w:tcW w:w="1000" w:type="dxa"/>
            <w:vAlign w:val="bottom"/>
            <w:gridSpan w:val="2"/>
          </w:tcPr>
          <w:p>
            <w:pPr>
              <w:jc w:val="right"/>
              <w:ind w:right="20"/>
              <w:spacing w:after="0"/>
              <w:rPr>
                <w:sz w:val="20"/>
                <w:szCs w:val="20"/>
                <w:color w:val="auto"/>
              </w:rPr>
            </w:pPr>
            <w:r>
              <w:rPr>
                <w:rFonts w:ascii="Arial" w:cs="Arial" w:eastAsia="Arial" w:hAnsi="Arial"/>
                <w:sz w:val="13"/>
                <w:szCs w:val="13"/>
                <w:color w:val="auto"/>
              </w:rPr>
              <w:t>$’000</w:t>
            </w:r>
          </w:p>
        </w:tc>
      </w:tr>
      <w:tr>
        <w:trPr>
          <w:trHeight w:val="202"/>
        </w:trPr>
        <w:tc>
          <w:tcPr>
            <w:tcW w:w="66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178"/>
        </w:trPr>
        <w:tc>
          <w:tcPr>
            <w:tcW w:w="6620" w:type="dxa"/>
            <w:vAlign w:val="bottom"/>
          </w:tcPr>
          <w:p>
            <w:pPr>
              <w:ind w:left="20"/>
              <w:spacing w:after="0"/>
              <w:rPr>
                <w:sz w:val="20"/>
                <w:szCs w:val="20"/>
                <w:color w:val="auto"/>
              </w:rPr>
            </w:pPr>
            <w:r>
              <w:rPr>
                <w:rFonts w:ascii="Arial" w:cs="Arial" w:eastAsia="Arial" w:hAnsi="Arial"/>
                <w:sz w:val="13"/>
                <w:szCs w:val="13"/>
                <w:color w:val="auto"/>
              </w:rPr>
              <w:t>Return on plan assets (excl. amounts included in interest income/expense)</w:t>
            </w:r>
          </w:p>
        </w:tc>
        <w:tc>
          <w:tcPr>
            <w:tcW w:w="1480" w:type="dxa"/>
            <w:vAlign w:val="bottom"/>
          </w:tcPr>
          <w:p>
            <w:pPr>
              <w:spacing w:after="0"/>
              <w:rPr>
                <w:sz w:val="15"/>
                <w:szCs w:val="15"/>
                <w:color w:val="auto"/>
              </w:rPr>
            </w:pPr>
          </w:p>
        </w:tc>
        <w:tc>
          <w:tcPr>
            <w:tcW w:w="2180" w:type="dxa"/>
            <w:vAlign w:val="bottom"/>
          </w:tcPr>
          <w:p>
            <w:pPr>
              <w:jc w:val="right"/>
              <w:ind w:right="476"/>
              <w:spacing w:after="0"/>
              <w:rPr>
                <w:sz w:val="20"/>
                <w:szCs w:val="20"/>
                <w:color w:val="auto"/>
              </w:rPr>
            </w:pPr>
            <w:r>
              <w:rPr>
                <w:rFonts w:ascii="Arial" w:cs="Arial" w:eastAsia="Arial" w:hAnsi="Arial"/>
                <w:sz w:val="13"/>
                <w:szCs w:val="13"/>
                <w:b w:val="1"/>
                <w:bCs w:val="1"/>
                <w:color w:val="auto"/>
              </w:rPr>
              <w:t>1,826</w:t>
            </w:r>
          </w:p>
        </w:tc>
        <w:tc>
          <w:tcPr>
            <w:tcW w:w="980" w:type="dxa"/>
            <w:vAlign w:val="bottom"/>
          </w:tcPr>
          <w:p>
            <w:pPr>
              <w:jc w:val="right"/>
              <w:spacing w:after="0"/>
              <w:rPr>
                <w:sz w:val="20"/>
                <w:szCs w:val="20"/>
                <w:color w:val="auto"/>
              </w:rPr>
            </w:pPr>
            <w:r>
              <w:rPr>
                <w:rFonts w:ascii="Arial" w:cs="Arial" w:eastAsia="Arial" w:hAnsi="Arial"/>
                <w:sz w:val="13"/>
                <w:szCs w:val="13"/>
                <w:color w:val="auto"/>
              </w:rPr>
              <w:t>1,448</w:t>
            </w:r>
          </w:p>
        </w:tc>
        <w:tc>
          <w:tcPr>
            <w:tcW w:w="20" w:type="dxa"/>
            <w:vAlign w:val="bottom"/>
          </w:tcPr>
          <w:p>
            <w:pPr>
              <w:spacing w:after="0"/>
              <w:rPr>
                <w:sz w:val="15"/>
                <w:szCs w:val="15"/>
                <w:color w:val="auto"/>
              </w:rPr>
            </w:pPr>
          </w:p>
        </w:tc>
      </w:tr>
      <w:tr>
        <w:trPr>
          <w:trHeight w:val="24"/>
        </w:trPr>
        <w:tc>
          <w:tcPr>
            <w:tcW w:w="66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0"/>
        </w:trPr>
        <w:tc>
          <w:tcPr>
            <w:tcW w:w="6620" w:type="dxa"/>
            <w:vAlign w:val="bottom"/>
            <w:shd w:val="clear" w:color="auto" w:fill="CCEEFF"/>
          </w:tcPr>
          <w:p>
            <w:pPr>
              <w:ind w:left="60"/>
              <w:spacing w:after="0"/>
              <w:rPr>
                <w:sz w:val="20"/>
                <w:szCs w:val="20"/>
                <w:color w:val="auto"/>
              </w:rPr>
            </w:pPr>
            <w:r>
              <w:rPr>
                <w:rFonts w:ascii="Arial" w:cs="Arial" w:eastAsia="Arial" w:hAnsi="Arial"/>
                <w:sz w:val="13"/>
                <w:szCs w:val="13"/>
                <w:color w:val="auto"/>
              </w:rPr>
              <w:t>Gain or loss from change in demographic assumptions</w:t>
            </w:r>
          </w:p>
        </w:tc>
        <w:tc>
          <w:tcPr>
            <w:tcW w:w="1480" w:type="dxa"/>
            <w:vAlign w:val="bottom"/>
            <w:shd w:val="clear" w:color="auto" w:fill="CCEEFF"/>
          </w:tcPr>
          <w:p>
            <w:pPr>
              <w:spacing w:after="0"/>
              <w:rPr>
                <w:sz w:val="14"/>
                <w:szCs w:val="14"/>
                <w:color w:val="auto"/>
              </w:rPr>
            </w:pPr>
          </w:p>
        </w:tc>
        <w:tc>
          <w:tcPr>
            <w:tcW w:w="2180" w:type="dxa"/>
            <w:vAlign w:val="bottom"/>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97</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w:t>
            </w:r>
          </w:p>
        </w:tc>
        <w:tc>
          <w:tcPr>
            <w:tcW w:w="20" w:type="dxa"/>
            <w:vAlign w:val="bottom"/>
            <w:shd w:val="clear" w:color="auto" w:fill="CCEEFF"/>
          </w:tcPr>
          <w:p>
            <w:pPr>
              <w:spacing w:after="0"/>
              <w:rPr>
                <w:sz w:val="14"/>
                <w:szCs w:val="14"/>
                <w:color w:val="auto"/>
              </w:rPr>
            </w:pPr>
          </w:p>
        </w:tc>
      </w:tr>
      <w:tr>
        <w:trPr>
          <w:trHeight w:val="170"/>
        </w:trPr>
        <w:tc>
          <w:tcPr>
            <w:tcW w:w="6620" w:type="dxa"/>
            <w:vAlign w:val="bottom"/>
          </w:tcPr>
          <w:p>
            <w:pPr>
              <w:ind w:left="60"/>
              <w:spacing w:after="0"/>
              <w:rPr>
                <w:sz w:val="20"/>
                <w:szCs w:val="20"/>
                <w:color w:val="auto"/>
              </w:rPr>
            </w:pPr>
            <w:r>
              <w:rPr>
                <w:rFonts w:ascii="Arial" w:cs="Arial" w:eastAsia="Arial" w:hAnsi="Arial"/>
                <w:sz w:val="13"/>
                <w:szCs w:val="13"/>
                <w:color w:val="auto"/>
              </w:rPr>
              <w:t>Gain or loss from change in financial assumptions</w:t>
            </w:r>
          </w:p>
        </w:tc>
        <w:tc>
          <w:tcPr>
            <w:tcW w:w="1480" w:type="dxa"/>
            <w:vAlign w:val="bottom"/>
          </w:tcPr>
          <w:p>
            <w:pPr>
              <w:spacing w:after="0"/>
              <w:rPr>
                <w:sz w:val="14"/>
                <w:szCs w:val="14"/>
                <w:color w:val="auto"/>
              </w:rPr>
            </w:pPr>
          </w:p>
        </w:tc>
        <w:tc>
          <w:tcPr>
            <w:tcW w:w="2180" w:type="dxa"/>
            <w:vAlign w:val="bottom"/>
          </w:tcPr>
          <w:p>
            <w:pPr>
              <w:jc w:val="right"/>
              <w:ind w:right="476"/>
              <w:spacing w:after="0"/>
              <w:rPr>
                <w:sz w:val="20"/>
                <w:szCs w:val="20"/>
                <w:color w:val="auto"/>
              </w:rPr>
            </w:pPr>
            <w:r>
              <w:rPr>
                <w:rFonts w:ascii="Arial" w:cs="Arial" w:eastAsia="Arial" w:hAnsi="Arial"/>
                <w:sz w:val="13"/>
                <w:szCs w:val="13"/>
                <w:b w:val="1"/>
                <w:bCs w:val="1"/>
                <w:color w:val="auto"/>
              </w:rPr>
              <w:t>2,090</w:t>
            </w:r>
          </w:p>
        </w:tc>
        <w:tc>
          <w:tcPr>
            <w:tcW w:w="980" w:type="dxa"/>
            <w:vAlign w:val="bottom"/>
          </w:tcPr>
          <w:p>
            <w:pPr>
              <w:jc w:val="right"/>
              <w:spacing w:after="0"/>
              <w:rPr>
                <w:sz w:val="20"/>
                <w:szCs w:val="20"/>
                <w:color w:val="auto"/>
              </w:rPr>
            </w:pPr>
            <w:r>
              <w:rPr>
                <w:rFonts w:ascii="Arial" w:cs="Arial" w:eastAsia="Arial" w:hAnsi="Arial"/>
                <w:sz w:val="13"/>
                <w:szCs w:val="13"/>
                <w:color w:val="auto"/>
              </w:rPr>
              <w:t>(6,039)</w:t>
            </w:r>
          </w:p>
        </w:tc>
        <w:tc>
          <w:tcPr>
            <w:tcW w:w="20" w:type="dxa"/>
            <w:vAlign w:val="bottom"/>
          </w:tcPr>
          <w:p>
            <w:pPr>
              <w:spacing w:after="0"/>
              <w:rPr>
                <w:sz w:val="14"/>
                <w:szCs w:val="14"/>
                <w:color w:val="auto"/>
              </w:rPr>
            </w:pPr>
          </w:p>
        </w:tc>
      </w:tr>
      <w:tr>
        <w:trPr>
          <w:trHeight w:val="170"/>
        </w:trPr>
        <w:tc>
          <w:tcPr>
            <w:tcW w:w="66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Experience gain or loss</w:t>
            </w:r>
          </w:p>
        </w:tc>
        <w:tc>
          <w:tcPr>
            <w:tcW w:w="1480" w:type="dxa"/>
            <w:vAlign w:val="bottom"/>
            <w:tcBorders>
              <w:bottom w:val="single" w:sz="8" w:color="auto"/>
            </w:tcBorders>
            <w:shd w:val="clear" w:color="auto" w:fill="CCEEFF"/>
          </w:tcPr>
          <w:p>
            <w:pPr>
              <w:spacing w:after="0"/>
              <w:rPr>
                <w:sz w:val="14"/>
                <w:szCs w:val="14"/>
                <w:color w:val="auto"/>
              </w:rPr>
            </w:pPr>
          </w:p>
        </w:tc>
        <w:tc>
          <w:tcPr>
            <w:tcW w:w="218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(90)</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558</w:t>
            </w:r>
          </w:p>
        </w:tc>
        <w:tc>
          <w:tcPr>
            <w:tcW w:w="20" w:type="dxa"/>
            <w:vAlign w:val="bottom"/>
            <w:tcBorders>
              <w:bottom w:val="single" w:sz="8" w:color="auto"/>
            </w:tcBorders>
            <w:shd w:val="clear" w:color="auto" w:fill="CCEEFF"/>
          </w:tcPr>
          <w:p>
            <w:pPr>
              <w:spacing w:after="0"/>
              <w:rPr>
                <w:sz w:val="14"/>
                <w:szCs w:val="14"/>
                <w:color w:val="auto"/>
              </w:rPr>
            </w:pPr>
          </w:p>
        </w:tc>
      </w:tr>
      <w:tr>
        <w:trPr>
          <w:trHeight w:val="182"/>
        </w:trPr>
        <w:tc>
          <w:tcPr>
            <w:tcW w:w="66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1"/>
        </w:trPr>
        <w:tc>
          <w:tcPr>
            <w:tcW w:w="6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Comprehensive income at end of year</w:t>
            </w:r>
          </w:p>
        </w:tc>
        <w:tc>
          <w:tcPr>
            <w:tcW w:w="1480" w:type="dxa"/>
            <w:vAlign w:val="bottom"/>
            <w:tcBorders>
              <w:bottom w:val="single" w:sz="8" w:color="auto"/>
            </w:tcBorders>
            <w:shd w:val="clear" w:color="auto" w:fill="CCEEFF"/>
          </w:tcPr>
          <w:p>
            <w:pPr>
              <w:spacing w:after="0"/>
              <w:rPr>
                <w:sz w:val="14"/>
                <w:szCs w:val="14"/>
                <w:color w:val="auto"/>
              </w:rPr>
            </w:pPr>
          </w:p>
        </w:tc>
        <w:tc>
          <w:tcPr>
            <w:tcW w:w="218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3,923</w:t>
            </w:r>
          </w:p>
        </w:tc>
        <w:tc>
          <w:tcPr>
            <w:tcW w:w="10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(3,846)</w:t>
            </w:r>
          </w:p>
        </w:tc>
      </w:tr>
      <w:tr>
        <w:trPr>
          <w:trHeight w:val="411"/>
        </w:trPr>
        <w:tc>
          <w:tcPr>
            <w:tcW w:w="6620" w:type="dxa"/>
            <w:vAlign w:val="bottom"/>
          </w:tcPr>
          <w:p>
            <w:pPr>
              <w:spacing w:after="0"/>
              <w:rPr>
                <w:sz w:val="20"/>
                <w:szCs w:val="20"/>
                <w:color w:val="auto"/>
              </w:rPr>
            </w:pPr>
            <w:r>
              <w:rPr>
                <w:rFonts w:ascii="Arial" w:cs="Arial" w:eastAsia="Arial" w:hAnsi="Arial"/>
                <w:sz w:val="13"/>
                <w:szCs w:val="13"/>
                <w:color w:val="auto"/>
              </w:rPr>
              <w:t>Defined benefit pension expense recognised in the Consolidated Statement of Profit and Loss was as follows:</w:t>
            </w:r>
          </w:p>
        </w:tc>
        <w:tc>
          <w:tcPr>
            <w:tcW w:w="14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8"/>
        </w:trPr>
        <w:tc>
          <w:tcPr>
            <w:tcW w:w="66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3180" w:type="dxa"/>
            <w:vAlign w:val="bottom"/>
            <w:gridSpan w:val="3"/>
          </w:tcPr>
          <w:p>
            <w:pPr>
              <w:spacing w:after="0"/>
              <w:rPr>
                <w:sz w:val="8"/>
                <w:szCs w:val="8"/>
                <w:color w:val="auto"/>
              </w:rPr>
            </w:pPr>
          </w:p>
        </w:tc>
      </w:tr>
      <w:tr>
        <w:trPr>
          <w:trHeight w:val="127"/>
        </w:trPr>
        <w:tc>
          <w:tcPr>
            <w:tcW w:w="662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3180" w:type="dxa"/>
            <w:vAlign w:val="bottom"/>
            <w:gridSpan w:val="3"/>
            <w:shd w:val="clear" w:color="auto" w:fill="CCEEFF"/>
          </w:tcPr>
          <w:p>
            <w:pPr>
              <w:jc w:val="right"/>
              <w:ind w:right="20"/>
              <w:spacing w:after="0" w:line="128" w:lineRule="exact"/>
              <w:rPr>
                <w:sz w:val="20"/>
                <w:szCs w:val="20"/>
                <w:color w:val="auto"/>
              </w:rPr>
            </w:pPr>
            <w:r>
              <w:rPr>
                <w:rFonts w:ascii="Arial" w:cs="Arial" w:eastAsia="Arial" w:hAnsi="Arial"/>
                <w:sz w:val="13"/>
                <w:szCs w:val="13"/>
                <w:b w:val="1"/>
                <w:bCs w:val="1"/>
                <w:color w:val="auto"/>
              </w:rPr>
              <w:t xml:space="preserve">Year ended 31 </w:t>
            </w:r>
            <w:r>
              <w:rPr>
                <w:rFonts w:ascii="Arial" w:cs="Arial" w:eastAsia="Arial" w:hAnsi="Arial"/>
                <w:sz w:val="13"/>
                <w:szCs w:val="13"/>
                <w:color w:val="auto"/>
              </w:rPr>
              <w:t>Year ended 31 December</w:t>
            </w:r>
          </w:p>
        </w:tc>
      </w:tr>
      <w:tr>
        <w:trPr>
          <w:trHeight w:val="170"/>
        </w:trPr>
        <w:tc>
          <w:tcPr>
            <w:tcW w:w="662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spacing w:after="0"/>
              <w:rPr>
                <w:sz w:val="14"/>
                <w:szCs w:val="14"/>
                <w:color w:val="auto"/>
              </w:rPr>
            </w:pPr>
          </w:p>
        </w:tc>
        <w:tc>
          <w:tcPr>
            <w:tcW w:w="218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December 2021</w:t>
            </w:r>
          </w:p>
        </w:tc>
        <w:tc>
          <w:tcPr>
            <w:tcW w:w="10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2020</w:t>
            </w:r>
          </w:p>
        </w:tc>
      </w:tr>
      <w:tr>
        <w:trPr>
          <w:trHeight w:val="160"/>
        </w:trPr>
        <w:tc>
          <w:tcPr>
            <w:tcW w:w="66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180" w:type="dxa"/>
            <w:vAlign w:val="bottom"/>
          </w:tcPr>
          <w:p>
            <w:pPr>
              <w:jc w:val="right"/>
              <w:ind w:right="436"/>
              <w:spacing w:after="0"/>
              <w:rPr>
                <w:sz w:val="20"/>
                <w:szCs w:val="20"/>
                <w:color w:val="auto"/>
              </w:rPr>
            </w:pPr>
            <w:r>
              <w:rPr>
                <w:rFonts w:ascii="Arial" w:cs="Arial" w:eastAsia="Arial" w:hAnsi="Arial"/>
                <w:sz w:val="13"/>
                <w:szCs w:val="13"/>
                <w:b w:val="1"/>
                <w:bCs w:val="1"/>
                <w:color w:val="auto"/>
              </w:rPr>
              <w:t>$’000</w:t>
            </w:r>
          </w:p>
        </w:tc>
        <w:tc>
          <w:tcPr>
            <w:tcW w:w="1000" w:type="dxa"/>
            <w:vAlign w:val="bottom"/>
            <w:gridSpan w:val="2"/>
          </w:tcPr>
          <w:p>
            <w:pPr>
              <w:jc w:val="right"/>
              <w:ind w:right="20"/>
              <w:spacing w:after="0"/>
              <w:rPr>
                <w:sz w:val="20"/>
                <w:szCs w:val="20"/>
                <w:color w:val="auto"/>
              </w:rPr>
            </w:pPr>
            <w:r>
              <w:rPr>
                <w:rFonts w:ascii="Arial" w:cs="Arial" w:eastAsia="Arial" w:hAnsi="Arial"/>
                <w:sz w:val="13"/>
                <w:szCs w:val="13"/>
                <w:color w:val="auto"/>
              </w:rPr>
              <w:t>$’000</w:t>
            </w:r>
          </w:p>
        </w:tc>
      </w:tr>
      <w:tr>
        <w:trPr>
          <w:trHeight w:val="202"/>
        </w:trPr>
        <w:tc>
          <w:tcPr>
            <w:tcW w:w="66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178"/>
        </w:trPr>
        <w:tc>
          <w:tcPr>
            <w:tcW w:w="6620" w:type="dxa"/>
            <w:vAlign w:val="bottom"/>
          </w:tcPr>
          <w:p>
            <w:pPr>
              <w:ind w:left="20"/>
              <w:spacing w:after="0"/>
              <w:rPr>
                <w:sz w:val="20"/>
                <w:szCs w:val="20"/>
                <w:color w:val="auto"/>
              </w:rPr>
            </w:pPr>
            <w:r>
              <w:rPr>
                <w:rFonts w:ascii="Arial" w:cs="Arial" w:eastAsia="Arial" w:hAnsi="Arial"/>
                <w:sz w:val="13"/>
                <w:szCs w:val="13"/>
                <w:color w:val="auto"/>
              </w:rPr>
              <w:t>Current service cost recognised in profit or loss</w:t>
            </w:r>
          </w:p>
        </w:tc>
        <w:tc>
          <w:tcPr>
            <w:tcW w:w="1480" w:type="dxa"/>
            <w:vAlign w:val="bottom"/>
          </w:tcPr>
          <w:p>
            <w:pPr>
              <w:spacing w:after="0"/>
              <w:rPr>
                <w:sz w:val="15"/>
                <w:szCs w:val="15"/>
                <w:color w:val="auto"/>
              </w:rPr>
            </w:pPr>
          </w:p>
        </w:tc>
        <w:tc>
          <w:tcPr>
            <w:tcW w:w="2180" w:type="dxa"/>
            <w:vAlign w:val="bottom"/>
          </w:tcPr>
          <w:p>
            <w:pPr>
              <w:jc w:val="right"/>
              <w:ind w:right="476"/>
              <w:spacing w:after="0"/>
              <w:rPr>
                <w:sz w:val="20"/>
                <w:szCs w:val="20"/>
                <w:color w:val="auto"/>
              </w:rPr>
            </w:pPr>
            <w:r>
              <w:rPr>
                <w:rFonts w:ascii="Arial" w:cs="Arial" w:eastAsia="Arial" w:hAnsi="Arial"/>
                <w:sz w:val="13"/>
                <w:szCs w:val="13"/>
                <w:b w:val="1"/>
                <w:bCs w:val="1"/>
                <w:color w:val="auto"/>
              </w:rPr>
              <w:t>134</w:t>
            </w:r>
          </w:p>
        </w:tc>
        <w:tc>
          <w:tcPr>
            <w:tcW w:w="980" w:type="dxa"/>
            <w:vAlign w:val="bottom"/>
          </w:tcPr>
          <w:p>
            <w:pPr>
              <w:jc w:val="right"/>
              <w:spacing w:after="0"/>
              <w:rPr>
                <w:sz w:val="20"/>
                <w:szCs w:val="20"/>
                <w:color w:val="auto"/>
              </w:rPr>
            </w:pPr>
            <w:r>
              <w:rPr>
                <w:rFonts w:ascii="Arial" w:cs="Arial" w:eastAsia="Arial" w:hAnsi="Arial"/>
                <w:sz w:val="13"/>
                <w:szCs w:val="13"/>
                <w:color w:val="auto"/>
              </w:rPr>
              <w:t>100</w:t>
            </w:r>
          </w:p>
        </w:tc>
        <w:tc>
          <w:tcPr>
            <w:tcW w:w="20" w:type="dxa"/>
            <w:vAlign w:val="bottom"/>
          </w:tcPr>
          <w:p>
            <w:pPr>
              <w:spacing w:after="0"/>
              <w:rPr>
                <w:sz w:val="15"/>
                <w:szCs w:val="15"/>
                <w:color w:val="auto"/>
              </w:rPr>
            </w:pPr>
          </w:p>
        </w:tc>
      </w:tr>
      <w:tr>
        <w:trPr>
          <w:trHeight w:val="24"/>
        </w:trPr>
        <w:tc>
          <w:tcPr>
            <w:tcW w:w="66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7"/>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interest expense recognised in profit or loss</w:t>
            </w:r>
          </w:p>
        </w:tc>
        <w:tc>
          <w:tcPr>
            <w:tcW w:w="1480" w:type="dxa"/>
            <w:vAlign w:val="bottom"/>
            <w:tcBorders>
              <w:bottom w:val="single" w:sz="8" w:color="CCEEFF"/>
            </w:tcBorders>
            <w:shd w:val="clear" w:color="auto" w:fill="CCEEFF"/>
          </w:tcPr>
          <w:p>
            <w:pPr>
              <w:spacing w:after="0"/>
              <w:rPr>
                <w:sz w:val="17"/>
                <w:szCs w:val="17"/>
                <w:color w:val="auto"/>
              </w:rPr>
            </w:pPr>
          </w:p>
        </w:tc>
        <w:tc>
          <w:tcPr>
            <w:tcW w:w="2180" w:type="dxa"/>
            <w:vAlign w:val="bottom"/>
            <w:tcBorders>
              <w:bottom w:val="single" w:sz="8" w:color="CCEEFF"/>
            </w:tcBorders>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144</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102</w:t>
            </w:r>
          </w:p>
        </w:tc>
        <w:tc>
          <w:tcPr>
            <w:tcW w:w="20" w:type="dxa"/>
            <w:vAlign w:val="bottom"/>
            <w:tcBorders>
              <w:bottom w:val="single" w:sz="8" w:color="CCEEFF"/>
            </w:tcBorders>
            <w:shd w:val="clear" w:color="auto" w:fill="CCEEFF"/>
          </w:tcPr>
          <w:p>
            <w:pPr>
              <w:spacing w:after="0"/>
              <w:rPr>
                <w:sz w:val="17"/>
                <w:szCs w:val="17"/>
                <w:color w:val="auto"/>
              </w:rPr>
            </w:pPr>
          </w:p>
        </w:tc>
      </w:tr>
      <w:tr>
        <w:trPr>
          <w:trHeight w:val="182"/>
        </w:trPr>
        <w:tc>
          <w:tcPr>
            <w:tcW w:w="662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21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r>
      <w:tr>
        <w:trPr>
          <w:trHeight w:val="171"/>
        </w:trPr>
        <w:tc>
          <w:tcPr>
            <w:tcW w:w="6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Net periodic pension cost</w:t>
            </w:r>
          </w:p>
        </w:tc>
        <w:tc>
          <w:tcPr>
            <w:tcW w:w="1480" w:type="dxa"/>
            <w:vAlign w:val="bottom"/>
            <w:tcBorders>
              <w:bottom w:val="single" w:sz="8" w:color="auto"/>
            </w:tcBorders>
            <w:shd w:val="clear" w:color="auto" w:fill="CCEEFF"/>
          </w:tcPr>
          <w:p>
            <w:pPr>
              <w:spacing w:after="0"/>
              <w:rPr>
                <w:sz w:val="14"/>
                <w:szCs w:val="14"/>
                <w:color w:val="auto"/>
              </w:rPr>
            </w:pPr>
          </w:p>
        </w:tc>
        <w:tc>
          <w:tcPr>
            <w:tcW w:w="218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278</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w:t>
            </w:r>
          </w:p>
        </w:tc>
        <w:tc>
          <w:tcPr>
            <w:tcW w:w="20" w:type="dxa"/>
            <w:vAlign w:val="bottom"/>
            <w:tcBorders>
              <w:bottom w:val="single" w:sz="8" w:color="auto"/>
            </w:tcBorders>
            <w:shd w:val="clear" w:color="auto" w:fill="CCEEFF"/>
          </w:tcPr>
          <w:p>
            <w:pPr>
              <w:spacing w:after="0"/>
              <w:rPr>
                <w:sz w:val="14"/>
                <w:szCs w:val="14"/>
                <w:color w:val="auto"/>
              </w:rPr>
            </w:pPr>
          </w:p>
        </w:tc>
      </w:tr>
    </w:tbl>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ectPr>
          <w:pgSz w:w="11900" w:h="16838" w:orient="portrait"/>
          <w:cols w:equalWidth="0" w:num="1">
            <w:col w:w="11280"/>
          </w:cols>
          <w:pgMar w:left="300" w:top="698" w:right="319" w:bottom="1440" w:gutter="0" w:footer="0" w:header="0"/>
        </w:sectPr>
      </w:pPr>
    </w:p>
    <w:bookmarkStart w:id="92" w:name="page93"/>
    <w:bookmarkEnd w:id="92"/>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190" w:lineRule="exact"/>
        <w:rPr>
          <w:sz w:val="20"/>
          <w:szCs w:val="20"/>
          <w:color w:val="auto"/>
        </w:rPr>
      </w:pPr>
    </w:p>
    <w:p>
      <w:pPr>
        <w:spacing w:after="0"/>
        <w:tabs>
          <w:tab w:leader="none" w:pos="300" w:val="left"/>
        </w:tabs>
        <w:rPr>
          <w:sz w:val="20"/>
          <w:szCs w:val="20"/>
          <w:color w:val="auto"/>
        </w:rPr>
      </w:pPr>
      <w:r>
        <w:rPr>
          <w:rFonts w:ascii="Arial" w:cs="Arial" w:eastAsia="Arial" w:hAnsi="Arial"/>
          <w:sz w:val="13"/>
          <w:szCs w:val="13"/>
          <w:b w:val="1"/>
          <w:bCs w:val="1"/>
          <w:color w:val="auto"/>
        </w:rPr>
        <w:t>10.</w:t>
      </w:r>
      <w:r>
        <w:rPr>
          <w:sz w:val="20"/>
          <w:szCs w:val="20"/>
          <w:color w:val="auto"/>
        </w:rPr>
        <w:tab/>
      </w:r>
      <w:r>
        <w:rPr>
          <w:rFonts w:ascii="Arial" w:cs="Arial" w:eastAsia="Arial" w:hAnsi="Arial"/>
          <w:sz w:val="12"/>
          <w:szCs w:val="12"/>
          <w:b w:val="1"/>
          <w:bCs w:val="1"/>
          <w:color w:val="auto"/>
        </w:rPr>
        <w:t>Retirement benefit obligations (</w:t>
      </w:r>
      <w:r>
        <w:rPr>
          <w:rFonts w:ascii="Arial" w:cs="Arial" w:eastAsia="Arial" w:hAnsi="Arial"/>
          <w:sz w:val="12"/>
          <w:szCs w:val="12"/>
          <w:b w:val="1"/>
          <w:bCs w:val="1"/>
          <w:i w:val="1"/>
          <w:iCs w:val="1"/>
          <w:color w:val="auto"/>
        </w:rPr>
        <w:t>continued</w:t>
      </w:r>
      <w:r>
        <w:rPr>
          <w:rFonts w:ascii="Arial" w:cs="Arial" w:eastAsia="Arial" w:hAnsi="Arial"/>
          <w:sz w:val="12"/>
          <w:szCs w:val="12"/>
          <w:b w:val="1"/>
          <w:bCs w:val="1"/>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Plan Assets Fair Value</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The fair value of plan assets at 31 December 2021 is analysed as follows: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80" w:type="dxa"/>
            <w:vAlign w:val="bottom"/>
            <w:shd w:val="clear" w:color="auto" w:fill="CCEEFF"/>
          </w:tcPr>
          <w:p>
            <w:pPr>
              <w:spacing w:after="0"/>
              <w:rPr>
                <w:sz w:val="13"/>
                <w:szCs w:val="13"/>
                <w:color w:val="auto"/>
              </w:rPr>
            </w:pPr>
          </w:p>
        </w:tc>
        <w:tc>
          <w:tcPr>
            <w:tcW w:w="536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0"/>
        </w:trPr>
        <w:tc>
          <w:tcPr>
            <w:tcW w:w="4780" w:type="dxa"/>
            <w:vAlign w:val="bottom"/>
            <w:tcBorders>
              <w:bottom w:val="single" w:sz="8" w:color="auto"/>
            </w:tcBorders>
            <w:shd w:val="clear" w:color="auto" w:fill="CCEEFF"/>
          </w:tcPr>
          <w:p>
            <w:pPr>
              <w:spacing w:after="0"/>
              <w:rPr>
                <w:sz w:val="14"/>
                <w:szCs w:val="14"/>
                <w:color w:val="auto"/>
              </w:rPr>
            </w:pPr>
          </w:p>
        </w:tc>
        <w:tc>
          <w:tcPr>
            <w:tcW w:w="536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2021</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2020</w:t>
            </w:r>
          </w:p>
        </w:tc>
      </w:tr>
      <w:tr>
        <w:trPr>
          <w:trHeight w:val="160"/>
        </w:trPr>
        <w:tc>
          <w:tcPr>
            <w:tcW w:w="4780" w:type="dxa"/>
            <w:vAlign w:val="bottom"/>
          </w:tcPr>
          <w:p>
            <w:pPr>
              <w:spacing w:after="0"/>
              <w:rPr>
                <w:sz w:val="13"/>
                <w:szCs w:val="13"/>
                <w:color w:val="auto"/>
              </w:rPr>
            </w:pPr>
          </w:p>
        </w:tc>
        <w:tc>
          <w:tcPr>
            <w:tcW w:w="536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202"/>
        </w:trPr>
        <w:tc>
          <w:tcPr>
            <w:tcW w:w="4780" w:type="dxa"/>
            <w:vAlign w:val="bottom"/>
            <w:shd w:val="clear" w:color="auto" w:fill="CCEEFF"/>
          </w:tcPr>
          <w:p>
            <w:pPr>
              <w:spacing w:after="0"/>
              <w:rPr>
                <w:sz w:val="17"/>
                <w:szCs w:val="17"/>
                <w:color w:val="auto"/>
              </w:rPr>
            </w:pPr>
          </w:p>
        </w:tc>
        <w:tc>
          <w:tcPr>
            <w:tcW w:w="5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71"/>
        </w:trPr>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Unit funds</w:t>
            </w:r>
          </w:p>
        </w:tc>
        <w:tc>
          <w:tcPr>
            <w:tcW w:w="536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36,198</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34,612</w:t>
            </w:r>
          </w:p>
        </w:tc>
      </w:tr>
    </w:tbl>
    <w:p>
      <w:pPr>
        <w:spacing w:after="0" w:line="255" w:lineRule="exact"/>
        <w:rPr>
          <w:sz w:val="20"/>
          <w:szCs w:val="20"/>
          <w:color w:val="auto"/>
        </w:rPr>
      </w:pPr>
    </w:p>
    <w:p>
      <w:pPr>
        <w:spacing w:after="0"/>
        <w:rPr>
          <w:sz w:val="20"/>
          <w:szCs w:val="20"/>
          <w:color w:val="auto"/>
        </w:rPr>
      </w:pPr>
      <w:r>
        <w:rPr>
          <w:rFonts w:ascii="Arial" w:cs="Arial" w:eastAsia="Arial" w:hAnsi="Arial"/>
          <w:sz w:val="13"/>
          <w:szCs w:val="13"/>
          <w:color w:val="auto"/>
        </w:rPr>
        <w:t>The plan’s assets do not include any of the Group’s own financial instruments, nor any property occupied by, or other assets used by the Group.</w:t>
      </w:r>
    </w:p>
    <w:p>
      <w:pPr>
        <w:spacing w:after="0" w:line="19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At 31 December 2021 the long-term expected rate of return on cash is determined by reference to traditional corporate bond rates at the latest reporting date. The long-term expected returns on traditional corporate and government bonds are determined by reference to corporate bond yields and gilt yields respectively at the reporting date. The long-term expected returns on equities is based on the rate of return on government bonds with an allowance for out-performance. The long-term expected return on high yield bonds, secured loans and multi asset credit is based on the return on traditional corporate bonds with an allowance for out-performance.</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color w:val="auto"/>
        </w:rPr>
        <w:t>The underlying asset split of the funds at 31 December 2021 and 31 December 2020 was as follows: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80" w:type="dxa"/>
            <w:vAlign w:val="bottom"/>
            <w:shd w:val="clear" w:color="auto" w:fill="CCEEFF"/>
          </w:tcPr>
          <w:p>
            <w:pPr>
              <w:spacing w:after="0"/>
              <w:rPr>
                <w:sz w:val="13"/>
                <w:szCs w:val="13"/>
                <w:color w:val="auto"/>
              </w:rPr>
            </w:pPr>
          </w:p>
        </w:tc>
        <w:tc>
          <w:tcPr>
            <w:tcW w:w="4220" w:type="dxa"/>
            <w:vAlign w:val="bottom"/>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31 December</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0"/>
        </w:trPr>
        <w:tc>
          <w:tcPr>
            <w:tcW w:w="5880" w:type="dxa"/>
            <w:vAlign w:val="bottom"/>
            <w:tcBorders>
              <w:bottom w:val="single" w:sz="8" w:color="auto"/>
            </w:tcBorders>
            <w:shd w:val="clear" w:color="auto" w:fill="CCEEFF"/>
          </w:tcPr>
          <w:p>
            <w:pPr>
              <w:spacing w:after="0"/>
              <w:rPr>
                <w:sz w:val="14"/>
                <w:szCs w:val="14"/>
                <w:color w:val="auto"/>
              </w:rPr>
            </w:pPr>
          </w:p>
        </w:tc>
        <w:tc>
          <w:tcPr>
            <w:tcW w:w="422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2021</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2020</w:t>
            </w:r>
          </w:p>
        </w:tc>
      </w:tr>
      <w:tr>
        <w:trPr>
          <w:trHeight w:val="182"/>
        </w:trPr>
        <w:tc>
          <w:tcPr>
            <w:tcW w:w="588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2"/>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Corporate Bonds (including 50% high yield bonds)</w:t>
            </w:r>
          </w:p>
        </w:tc>
        <w:tc>
          <w:tcPr>
            <w:tcW w:w="4220" w:type="dxa"/>
            <w:vAlign w:val="bottom"/>
            <w:tcBorders>
              <w:bottom w:val="single" w:sz="8" w:color="CCEEFF"/>
            </w:tcBorders>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37 %</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40 %</w:t>
            </w:r>
          </w:p>
        </w:tc>
      </w:tr>
      <w:tr>
        <w:trPr>
          <w:trHeight w:val="178"/>
        </w:trPr>
        <w:tc>
          <w:tcPr>
            <w:tcW w:w="5880" w:type="dxa"/>
            <w:vAlign w:val="bottom"/>
          </w:tcPr>
          <w:p>
            <w:pPr>
              <w:ind w:left="20"/>
              <w:spacing w:after="0"/>
              <w:rPr>
                <w:sz w:val="20"/>
                <w:szCs w:val="20"/>
                <w:color w:val="auto"/>
              </w:rPr>
            </w:pPr>
            <w:r>
              <w:rPr>
                <w:rFonts w:ascii="Arial" w:cs="Arial" w:eastAsia="Arial" w:hAnsi="Arial"/>
                <w:sz w:val="13"/>
                <w:szCs w:val="13"/>
                <w:color w:val="auto"/>
              </w:rPr>
              <w:t>Equities</w:t>
            </w:r>
          </w:p>
        </w:tc>
        <w:tc>
          <w:tcPr>
            <w:tcW w:w="4220" w:type="dxa"/>
            <w:vAlign w:val="bottom"/>
          </w:tcPr>
          <w:p>
            <w:pPr>
              <w:jc w:val="right"/>
              <w:ind w:right="356"/>
              <w:spacing w:after="0"/>
              <w:rPr>
                <w:sz w:val="20"/>
                <w:szCs w:val="20"/>
                <w:color w:val="auto"/>
              </w:rPr>
            </w:pPr>
            <w:r>
              <w:rPr>
                <w:rFonts w:ascii="Arial" w:cs="Arial" w:eastAsia="Arial" w:hAnsi="Arial"/>
                <w:sz w:val="13"/>
                <w:szCs w:val="13"/>
                <w:b w:val="1"/>
                <w:bCs w:val="1"/>
                <w:color w:val="auto"/>
              </w:rPr>
              <w:t>24 %</w:t>
            </w:r>
          </w:p>
        </w:tc>
        <w:tc>
          <w:tcPr>
            <w:tcW w:w="1180" w:type="dxa"/>
            <w:vAlign w:val="bottom"/>
          </w:tcPr>
          <w:p>
            <w:pPr>
              <w:jc w:val="right"/>
              <w:spacing w:after="0"/>
              <w:rPr>
                <w:sz w:val="20"/>
                <w:szCs w:val="20"/>
                <w:color w:val="auto"/>
              </w:rPr>
            </w:pPr>
            <w:r>
              <w:rPr>
                <w:rFonts w:ascii="Arial" w:cs="Arial" w:eastAsia="Arial" w:hAnsi="Arial"/>
                <w:sz w:val="13"/>
                <w:szCs w:val="13"/>
                <w:color w:val="auto"/>
              </w:rPr>
              <w:t>21 %</w:t>
            </w:r>
          </w:p>
        </w:tc>
      </w:tr>
      <w:tr>
        <w:trPr>
          <w:trHeight w:val="24"/>
        </w:trPr>
        <w:tc>
          <w:tcPr>
            <w:tcW w:w="58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78"/>
        </w:trPr>
        <w:tc>
          <w:tcPr>
            <w:tcW w:w="5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Secured Loans and Multi Asset Credit</w:t>
            </w:r>
          </w:p>
        </w:tc>
        <w:tc>
          <w:tcPr>
            <w:tcW w:w="4220" w:type="dxa"/>
            <w:vAlign w:val="bottom"/>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39 %</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39 %</w:t>
            </w:r>
          </w:p>
        </w:tc>
      </w:tr>
      <w:tr>
        <w:trPr>
          <w:trHeight w:val="24"/>
        </w:trPr>
        <w:tc>
          <w:tcPr>
            <w:tcW w:w="5880" w:type="dxa"/>
            <w:vAlign w:val="bottom"/>
            <w:shd w:val="clear" w:color="auto" w:fill="CCEEFF"/>
          </w:tcPr>
          <w:p>
            <w:pPr>
              <w:spacing w:after="0"/>
              <w:rPr>
                <w:sz w:val="2"/>
                <w:szCs w:val="2"/>
                <w:color w:val="auto"/>
              </w:rPr>
            </w:pPr>
          </w:p>
        </w:tc>
        <w:tc>
          <w:tcPr>
            <w:tcW w:w="42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4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assets of the scheme are held on an investment platform with Mobius Life Limited which invests in a number of investment funds with Legal &amp; General, Stone Harbor, Ninety One and Barings. The overall investment strategy is that approximately 20% of investments are in senior secured loans, 18% in corporate bonds, 19% in high yield bonds and multi-asset credit fund and 24% in world equities. There is no self-investment in employer related assets.</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Sensitivity assumptions</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The sensitivity of the defined benefit obligation to changes in the weighted principal assumptions is: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00" w:type="dxa"/>
            <w:vAlign w:val="bottom"/>
            <w:tcBorders>
              <w:bottom w:val="single" w:sz="8" w:color="auto"/>
            </w:tcBorders>
            <w:shd w:val="clear" w:color="auto" w:fill="CCEEFF"/>
          </w:tcPr>
          <w:p>
            <w:pPr>
              <w:spacing w:after="0"/>
              <w:rPr>
                <w:sz w:val="14"/>
                <w:szCs w:val="14"/>
                <w:color w:val="auto"/>
              </w:rPr>
            </w:pPr>
          </w:p>
        </w:tc>
        <w:tc>
          <w:tcPr>
            <w:tcW w:w="4740" w:type="dxa"/>
            <w:vAlign w:val="bottom"/>
            <w:tcBorders>
              <w:bottom w:val="single" w:sz="8" w:color="auto"/>
            </w:tcBorders>
            <w:shd w:val="clear" w:color="auto" w:fill="CCEEFF"/>
          </w:tcPr>
          <w:p>
            <w:pPr>
              <w:ind w:left="1340"/>
              <w:spacing w:after="0"/>
              <w:rPr>
                <w:sz w:val="20"/>
                <w:szCs w:val="20"/>
                <w:color w:val="auto"/>
              </w:rPr>
            </w:pPr>
            <w:r>
              <w:rPr>
                <w:rFonts w:ascii="Arial" w:cs="Arial" w:eastAsia="Arial" w:hAnsi="Arial"/>
                <w:sz w:val="13"/>
                <w:szCs w:val="13"/>
                <w:b w:val="1"/>
                <w:bCs w:val="1"/>
                <w:color w:val="auto"/>
              </w:rPr>
              <w:t>Change in Assumption</w:t>
            </w:r>
          </w:p>
        </w:tc>
        <w:tc>
          <w:tcPr>
            <w:tcW w:w="3920" w:type="dxa"/>
            <w:vAlign w:val="bottom"/>
            <w:tcBorders>
              <w:bottom w:val="single" w:sz="8" w:color="auto"/>
            </w:tcBorders>
            <w:shd w:val="clear" w:color="auto" w:fill="CCEEFF"/>
          </w:tcPr>
          <w:p>
            <w:pPr>
              <w:jc w:val="center"/>
              <w:ind w:left="16"/>
              <w:spacing w:after="0"/>
              <w:rPr>
                <w:sz w:val="20"/>
                <w:szCs w:val="20"/>
                <w:color w:val="auto"/>
              </w:rPr>
            </w:pPr>
            <w:r>
              <w:rPr>
                <w:rFonts w:ascii="Arial" w:cs="Arial" w:eastAsia="Arial" w:hAnsi="Arial"/>
                <w:sz w:val="13"/>
                <w:szCs w:val="13"/>
                <w:b w:val="1"/>
                <w:bCs w:val="1"/>
                <w:color w:val="auto"/>
                <w:w w:val="98"/>
              </w:rPr>
              <w:t>Change in Liabilities</w:t>
            </w:r>
          </w:p>
        </w:tc>
      </w:tr>
      <w:tr>
        <w:trPr>
          <w:trHeight w:val="182"/>
        </w:trPr>
        <w:tc>
          <w:tcPr>
            <w:tcW w:w="260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3920" w:type="dxa"/>
            <w:vAlign w:val="bottom"/>
          </w:tcPr>
          <w:p>
            <w:pPr>
              <w:spacing w:after="0"/>
              <w:rPr>
                <w:sz w:val="15"/>
                <w:szCs w:val="15"/>
                <w:color w:val="auto"/>
              </w:rPr>
            </w:pPr>
          </w:p>
        </w:tc>
      </w:tr>
      <w:tr>
        <w:trPr>
          <w:trHeight w:val="170"/>
        </w:trPr>
        <w:tc>
          <w:tcPr>
            <w:tcW w:w="2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Discount Rate</w:t>
            </w:r>
          </w:p>
        </w:tc>
        <w:tc>
          <w:tcPr>
            <w:tcW w:w="4740" w:type="dxa"/>
            <w:vAlign w:val="bottom"/>
            <w:shd w:val="clear" w:color="auto" w:fill="CCEEFF"/>
          </w:tcPr>
          <w:p>
            <w:pPr>
              <w:ind w:left="1340"/>
              <w:spacing w:after="0"/>
              <w:rPr>
                <w:sz w:val="20"/>
                <w:szCs w:val="20"/>
                <w:color w:val="auto"/>
              </w:rPr>
            </w:pPr>
            <w:r>
              <w:rPr>
                <w:rFonts w:ascii="Arial" w:cs="Arial" w:eastAsia="Arial" w:hAnsi="Arial"/>
                <w:sz w:val="13"/>
                <w:szCs w:val="13"/>
                <w:color w:val="auto"/>
              </w:rPr>
              <w:t>Decrease of 0.25% p.a.</w:t>
            </w:r>
          </w:p>
        </w:tc>
        <w:tc>
          <w:tcPr>
            <w:tcW w:w="3920" w:type="dxa"/>
            <w:vAlign w:val="bottom"/>
            <w:shd w:val="clear" w:color="auto" w:fill="CCEEFF"/>
          </w:tcPr>
          <w:p>
            <w:pPr>
              <w:jc w:val="center"/>
              <w:ind w:left="16"/>
              <w:spacing w:after="0"/>
              <w:rPr>
                <w:sz w:val="20"/>
                <w:szCs w:val="20"/>
                <w:color w:val="auto"/>
              </w:rPr>
            </w:pPr>
            <w:r>
              <w:rPr>
                <w:rFonts w:ascii="Arial" w:cs="Arial" w:eastAsia="Arial" w:hAnsi="Arial"/>
                <w:sz w:val="13"/>
                <w:szCs w:val="13"/>
                <w:color w:val="auto"/>
                <w:w w:val="99"/>
              </w:rPr>
              <w:t>Increase by 6.6%</w:t>
            </w:r>
          </w:p>
        </w:tc>
      </w:tr>
      <w:tr>
        <w:trPr>
          <w:trHeight w:val="169"/>
        </w:trPr>
        <w:tc>
          <w:tcPr>
            <w:tcW w:w="2600" w:type="dxa"/>
            <w:vAlign w:val="bottom"/>
          </w:tcPr>
          <w:p>
            <w:pPr>
              <w:ind w:left="20"/>
              <w:spacing w:after="0"/>
              <w:rPr>
                <w:sz w:val="20"/>
                <w:szCs w:val="20"/>
                <w:color w:val="auto"/>
              </w:rPr>
            </w:pPr>
            <w:r>
              <w:rPr>
                <w:rFonts w:ascii="Arial" w:cs="Arial" w:eastAsia="Arial" w:hAnsi="Arial"/>
                <w:sz w:val="13"/>
                <w:szCs w:val="13"/>
                <w:color w:val="auto"/>
              </w:rPr>
              <w:t>Rate of Inflation</w:t>
            </w:r>
          </w:p>
        </w:tc>
        <w:tc>
          <w:tcPr>
            <w:tcW w:w="4740" w:type="dxa"/>
            <w:vAlign w:val="bottom"/>
          </w:tcPr>
          <w:p>
            <w:pPr>
              <w:ind w:left="1340"/>
              <w:spacing w:after="0"/>
              <w:rPr>
                <w:sz w:val="20"/>
                <w:szCs w:val="20"/>
                <w:color w:val="auto"/>
              </w:rPr>
            </w:pPr>
            <w:r>
              <w:rPr>
                <w:rFonts w:ascii="Arial" w:cs="Arial" w:eastAsia="Arial" w:hAnsi="Arial"/>
                <w:sz w:val="13"/>
                <w:szCs w:val="13"/>
                <w:color w:val="auto"/>
              </w:rPr>
              <w:t>Increase of 0.25% p.a.</w:t>
            </w:r>
          </w:p>
        </w:tc>
        <w:tc>
          <w:tcPr>
            <w:tcW w:w="3920" w:type="dxa"/>
            <w:vAlign w:val="bottom"/>
          </w:tcPr>
          <w:p>
            <w:pPr>
              <w:jc w:val="center"/>
              <w:ind w:left="16"/>
              <w:spacing w:after="0"/>
              <w:rPr>
                <w:sz w:val="20"/>
                <w:szCs w:val="20"/>
                <w:color w:val="auto"/>
              </w:rPr>
            </w:pPr>
            <w:r>
              <w:rPr>
                <w:rFonts w:ascii="Arial" w:cs="Arial" w:eastAsia="Arial" w:hAnsi="Arial"/>
                <w:sz w:val="13"/>
                <w:szCs w:val="13"/>
                <w:color w:val="auto"/>
                <w:w w:val="99"/>
              </w:rPr>
              <w:t>Increase by 1.3%</w:t>
            </w:r>
          </w:p>
        </w:tc>
      </w:tr>
      <w:tr>
        <w:trPr>
          <w:trHeight w:val="171"/>
        </w:trPr>
        <w:tc>
          <w:tcPr>
            <w:tcW w:w="2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Rate of Salary Growth</w:t>
            </w:r>
          </w:p>
        </w:tc>
        <w:tc>
          <w:tcPr>
            <w:tcW w:w="4740" w:type="dxa"/>
            <w:vAlign w:val="bottom"/>
            <w:shd w:val="clear" w:color="auto" w:fill="CCEEFF"/>
          </w:tcPr>
          <w:p>
            <w:pPr>
              <w:ind w:left="1340"/>
              <w:spacing w:after="0"/>
              <w:rPr>
                <w:sz w:val="20"/>
                <w:szCs w:val="20"/>
                <w:color w:val="auto"/>
              </w:rPr>
            </w:pPr>
            <w:r>
              <w:rPr>
                <w:rFonts w:ascii="Arial" w:cs="Arial" w:eastAsia="Arial" w:hAnsi="Arial"/>
                <w:sz w:val="13"/>
                <w:szCs w:val="13"/>
                <w:color w:val="auto"/>
              </w:rPr>
              <w:t>Increase of 0.25% p.a.</w:t>
            </w:r>
          </w:p>
        </w:tc>
        <w:tc>
          <w:tcPr>
            <w:tcW w:w="3920" w:type="dxa"/>
            <w:vAlign w:val="bottom"/>
            <w:shd w:val="clear" w:color="auto" w:fill="CCEEFF"/>
          </w:tcPr>
          <w:p>
            <w:pPr>
              <w:jc w:val="center"/>
              <w:ind w:left="16"/>
              <w:spacing w:after="0"/>
              <w:rPr>
                <w:sz w:val="20"/>
                <w:szCs w:val="20"/>
                <w:color w:val="auto"/>
              </w:rPr>
            </w:pPr>
            <w:r>
              <w:rPr>
                <w:rFonts w:ascii="Arial" w:cs="Arial" w:eastAsia="Arial" w:hAnsi="Arial"/>
                <w:sz w:val="13"/>
                <w:szCs w:val="13"/>
                <w:color w:val="auto"/>
                <w:w w:val="99"/>
              </w:rPr>
              <w:t>Increase by 0.1%</w:t>
            </w:r>
          </w:p>
        </w:tc>
      </w:tr>
      <w:tr>
        <w:trPr>
          <w:trHeight w:val="169"/>
        </w:trPr>
        <w:tc>
          <w:tcPr>
            <w:tcW w:w="2600" w:type="dxa"/>
            <w:vAlign w:val="bottom"/>
            <w:tcBorders>
              <w:bottom w:val="single" w:sz="8" w:color="00000A"/>
            </w:tcBorders>
          </w:tcPr>
          <w:p>
            <w:pPr>
              <w:ind w:left="20"/>
              <w:spacing w:after="0"/>
              <w:rPr>
                <w:sz w:val="20"/>
                <w:szCs w:val="20"/>
                <w:color w:val="auto"/>
              </w:rPr>
            </w:pPr>
            <w:r>
              <w:rPr>
                <w:rFonts w:ascii="Arial" w:cs="Arial" w:eastAsia="Arial" w:hAnsi="Arial"/>
                <w:sz w:val="13"/>
                <w:szCs w:val="13"/>
                <w:color w:val="auto"/>
              </w:rPr>
              <w:t>Rate of Mortality</w:t>
            </w:r>
          </w:p>
        </w:tc>
        <w:tc>
          <w:tcPr>
            <w:tcW w:w="4740" w:type="dxa"/>
            <w:vAlign w:val="bottom"/>
            <w:tcBorders>
              <w:bottom w:val="single" w:sz="8" w:color="00000A"/>
            </w:tcBorders>
          </w:tcPr>
          <w:p>
            <w:pPr>
              <w:ind w:left="1340"/>
              <w:spacing w:after="0"/>
              <w:rPr>
                <w:sz w:val="20"/>
                <w:szCs w:val="20"/>
                <w:color w:val="auto"/>
              </w:rPr>
            </w:pPr>
            <w:r>
              <w:rPr>
                <w:rFonts w:ascii="Arial" w:cs="Arial" w:eastAsia="Arial" w:hAnsi="Arial"/>
                <w:sz w:val="13"/>
                <w:szCs w:val="13"/>
                <w:color w:val="auto"/>
              </w:rPr>
              <w:t>Increase in life expectancy of 1 year</w:t>
            </w:r>
          </w:p>
        </w:tc>
        <w:tc>
          <w:tcPr>
            <w:tcW w:w="3920" w:type="dxa"/>
            <w:vAlign w:val="bottom"/>
            <w:tcBorders>
              <w:bottom w:val="single" w:sz="8" w:color="00000A"/>
            </w:tcBorders>
          </w:tcPr>
          <w:p>
            <w:pPr>
              <w:jc w:val="center"/>
              <w:ind w:left="16"/>
              <w:spacing w:after="0"/>
              <w:rPr>
                <w:sz w:val="20"/>
                <w:szCs w:val="20"/>
                <w:color w:val="auto"/>
              </w:rPr>
            </w:pPr>
            <w:r>
              <w:rPr>
                <w:rFonts w:ascii="Arial" w:cs="Arial" w:eastAsia="Arial" w:hAnsi="Arial"/>
                <w:sz w:val="13"/>
                <w:szCs w:val="13"/>
                <w:color w:val="auto"/>
                <w:w w:val="99"/>
              </w:rPr>
              <w:t>Increase by 3.9%</w:t>
            </w:r>
          </w:p>
        </w:tc>
      </w:tr>
    </w:tbl>
    <w:p>
      <w:pPr>
        <w:spacing w:after="0" w:line="255"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sensitivities shown above are approximate. Each sensitivity considers one change in isolation. The inflation sensitivity includes the impact of changes to the assumptions for revaluation, pension increases and salary growth.</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The plan typically exposes the Company to actuarial risks such as investment risk, interest rate risk, salary growth risk, mortality risk and longevity risk. A decrease in corporate bond yields, a rise in inflation or an increase in life expectancy would result in an increase to plan liabilities. This would detrimentally impact the Statement of Financial Position and may give rise to increased charges in future Statements of Profit and Loss. This effect would be partially offset by an increase in the value of the plan’s bond holdings, and in qualifying death in service insurance policies that cover mortality risk. Additionally, caps on inflationary increases are in place to protect the plan against extreme inflation.</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ectPr>
          <w:pgSz w:w="11900" w:h="16838" w:orient="portrait"/>
          <w:cols w:equalWidth="0" w:num="1">
            <w:col w:w="11280"/>
          </w:cols>
          <w:pgMar w:left="300" w:top="698" w:right="319" w:bottom="1440" w:gutter="0" w:footer="0" w:header="0"/>
        </w:sectPr>
      </w:pPr>
    </w:p>
    <w:bookmarkStart w:id="93" w:name="page94"/>
    <w:bookmarkEnd w:id="93"/>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190" w:lineRule="exact"/>
        <w:rPr>
          <w:sz w:val="20"/>
          <w:szCs w:val="20"/>
          <w:color w:val="auto"/>
        </w:rPr>
      </w:pPr>
    </w:p>
    <w:p>
      <w:pPr>
        <w:ind w:left="320" w:hanging="315"/>
        <w:spacing w:after="0"/>
        <w:tabs>
          <w:tab w:leader="none" w:pos="320" w:val="left"/>
        </w:tabs>
        <w:numPr>
          <w:ilvl w:val="0"/>
          <w:numId w:val="80"/>
        </w:numPr>
        <w:rPr>
          <w:rFonts w:ascii="Arial" w:cs="Arial" w:eastAsia="Arial" w:hAnsi="Arial"/>
          <w:sz w:val="13"/>
          <w:szCs w:val="13"/>
          <w:b w:val="1"/>
          <w:bCs w:val="1"/>
          <w:color w:val="auto"/>
        </w:rPr>
      </w:pPr>
      <w:r>
        <w:rPr>
          <w:rFonts w:ascii="Arial" w:cs="Arial" w:eastAsia="Arial" w:hAnsi="Arial"/>
          <w:sz w:val="13"/>
          <w:szCs w:val="13"/>
          <w:b w:val="1"/>
          <w:bCs w:val="1"/>
          <w:color w:val="auto"/>
        </w:rPr>
        <w:t>Retirement benefit obligations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Cash flows and Maturity Profiles</w:t>
      </w:r>
    </w:p>
    <w:p>
      <w:pPr>
        <w:spacing w:after="0" w:line="19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Group expects to contribute approximately $0.1 million of normal contribution to the defined benefit pension scheme for the year ended 31 December 2022. The average duration of the defined benefit obligation at the period ending 31 December 2021 is 26 years.</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Aptiv Solutions Pension Plan</w:t>
      </w:r>
    </w:p>
    <w:p>
      <w:pPr>
        <w:spacing w:after="0" w:line="201"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On 7 May 2014, the Company acquired 100% of the common stock of Aptiv Solutions (“Aptiv”). The acquisition of Aptiv was accounted for as a business combination in accordance with IFRS 3 Business Combinations. The Company has a defined benefit plan covering its employees in Switzerland as mandated by the Swiss government. Benefits are based on the employee’s years of service and compensation. The plan is managed externally and the related pension costs and liabilities are assessed in accordance with the advice of a professionally qualified actuary. Plan assets at 31 December 2021 and 31 December 2020 consist of units held in independently administered funds.</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Funding status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80" w:type="dxa"/>
            <w:vAlign w:val="bottom"/>
            <w:shd w:val="clear" w:color="auto" w:fill="CCEEFF"/>
          </w:tcPr>
          <w:p>
            <w:pPr>
              <w:spacing w:after="0"/>
              <w:rPr>
                <w:sz w:val="13"/>
                <w:szCs w:val="13"/>
                <w:color w:val="auto"/>
              </w:rPr>
            </w:pPr>
          </w:p>
        </w:tc>
        <w:tc>
          <w:tcPr>
            <w:tcW w:w="2220" w:type="dxa"/>
            <w:vAlign w:val="bottom"/>
            <w:shd w:val="clear" w:color="auto" w:fill="CCEEFF"/>
          </w:tcPr>
          <w:p>
            <w:pPr>
              <w:spacing w:after="0"/>
              <w:rPr>
                <w:sz w:val="13"/>
                <w:szCs w:val="13"/>
                <w:color w:val="auto"/>
              </w:rPr>
            </w:pPr>
          </w:p>
        </w:tc>
        <w:tc>
          <w:tcPr>
            <w:tcW w:w="204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31 December</w:t>
            </w:r>
          </w:p>
        </w:tc>
      </w:tr>
      <w:tr>
        <w:trPr>
          <w:trHeight w:val="170"/>
        </w:trPr>
        <w:tc>
          <w:tcPr>
            <w:tcW w:w="5880" w:type="dxa"/>
            <w:vAlign w:val="bottom"/>
            <w:tcBorders>
              <w:bottom w:val="single" w:sz="8" w:color="auto"/>
            </w:tcBorders>
            <w:shd w:val="clear" w:color="auto" w:fill="CCEEFF"/>
          </w:tcPr>
          <w:p>
            <w:pPr>
              <w:spacing w:after="0"/>
              <w:rPr>
                <w:sz w:val="14"/>
                <w:szCs w:val="14"/>
                <w:color w:val="auto"/>
              </w:rPr>
            </w:pPr>
          </w:p>
        </w:tc>
        <w:tc>
          <w:tcPr>
            <w:tcW w:w="2220" w:type="dxa"/>
            <w:vAlign w:val="bottom"/>
            <w:tcBorders>
              <w:bottom w:val="single" w:sz="8" w:color="auto"/>
            </w:tcBorders>
            <w:shd w:val="clear" w:color="auto" w:fill="CCEEFF"/>
          </w:tcPr>
          <w:p>
            <w:pPr>
              <w:spacing w:after="0"/>
              <w:rPr>
                <w:sz w:val="14"/>
                <w:szCs w:val="14"/>
                <w:color w:val="auto"/>
              </w:rPr>
            </w:pPr>
          </w:p>
        </w:tc>
        <w:tc>
          <w:tcPr>
            <w:tcW w:w="204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2021</w:t>
            </w:r>
          </w:p>
        </w:tc>
        <w:tc>
          <w:tcPr>
            <w:tcW w:w="11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2020</w:t>
            </w:r>
          </w:p>
        </w:tc>
      </w:tr>
      <w:tr>
        <w:trPr>
          <w:trHeight w:val="160"/>
        </w:trPr>
        <w:tc>
          <w:tcPr>
            <w:tcW w:w="588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04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gridSpan w:val="2"/>
          </w:tcPr>
          <w:p>
            <w:pPr>
              <w:jc w:val="right"/>
              <w:ind w:right="20"/>
              <w:spacing w:after="0"/>
              <w:rPr>
                <w:sz w:val="20"/>
                <w:szCs w:val="20"/>
                <w:color w:val="auto"/>
              </w:rPr>
            </w:pPr>
            <w:r>
              <w:rPr>
                <w:rFonts w:ascii="Arial" w:cs="Arial" w:eastAsia="Arial" w:hAnsi="Arial"/>
                <w:sz w:val="13"/>
                <w:szCs w:val="13"/>
                <w:color w:val="auto"/>
              </w:rPr>
              <w:t>$’000</w:t>
            </w:r>
          </w:p>
        </w:tc>
      </w:tr>
      <w:tr>
        <w:trPr>
          <w:trHeight w:val="170"/>
        </w:trPr>
        <w:tc>
          <w:tcPr>
            <w:tcW w:w="5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Projected benefit obligation</w:t>
            </w:r>
          </w:p>
        </w:tc>
        <w:tc>
          <w:tcPr>
            <w:tcW w:w="2220" w:type="dxa"/>
            <w:vAlign w:val="bottom"/>
            <w:shd w:val="clear" w:color="auto" w:fill="CCEEFF"/>
          </w:tcPr>
          <w:p>
            <w:pPr>
              <w:spacing w:after="0"/>
              <w:rPr>
                <w:sz w:val="14"/>
                <w:szCs w:val="14"/>
                <w:color w:val="auto"/>
              </w:rPr>
            </w:pPr>
          </w:p>
        </w:tc>
        <w:tc>
          <w:tcPr>
            <w:tcW w:w="204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(7,644)</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(8,620)</w:t>
            </w:r>
          </w:p>
        </w:tc>
        <w:tc>
          <w:tcPr>
            <w:tcW w:w="20" w:type="dxa"/>
            <w:vAlign w:val="bottom"/>
            <w:shd w:val="clear" w:color="auto" w:fill="CCEEFF"/>
          </w:tcPr>
          <w:p>
            <w:pPr>
              <w:spacing w:after="0"/>
              <w:rPr>
                <w:sz w:val="14"/>
                <w:szCs w:val="14"/>
                <w:color w:val="auto"/>
              </w:rPr>
            </w:pPr>
          </w:p>
        </w:tc>
      </w:tr>
      <w:tr>
        <w:trPr>
          <w:trHeight w:val="170"/>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Fair value of plan assets</w:t>
            </w:r>
          </w:p>
        </w:tc>
        <w:tc>
          <w:tcPr>
            <w:tcW w:w="22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6,965</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7,601</w:t>
            </w:r>
          </w:p>
        </w:tc>
        <w:tc>
          <w:tcPr>
            <w:tcW w:w="20" w:type="dxa"/>
            <w:vAlign w:val="bottom"/>
            <w:tcBorders>
              <w:bottom w:val="single" w:sz="8" w:color="auto"/>
            </w:tcBorders>
          </w:tcPr>
          <w:p>
            <w:pPr>
              <w:spacing w:after="0"/>
              <w:rPr>
                <w:sz w:val="14"/>
                <w:szCs w:val="14"/>
                <w:color w:val="auto"/>
              </w:rPr>
            </w:pPr>
          </w:p>
        </w:tc>
      </w:tr>
      <w:tr>
        <w:trPr>
          <w:trHeight w:val="160"/>
        </w:trPr>
        <w:tc>
          <w:tcPr>
            <w:tcW w:w="5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Retirement benefit plan net obligation</w:t>
            </w:r>
          </w:p>
        </w:tc>
        <w:tc>
          <w:tcPr>
            <w:tcW w:w="2220" w:type="dxa"/>
            <w:vAlign w:val="bottom"/>
            <w:tcBorders>
              <w:bottom w:val="single" w:sz="8" w:color="auto"/>
            </w:tcBorders>
            <w:shd w:val="clear" w:color="auto" w:fill="CCEEFF"/>
          </w:tcPr>
          <w:p>
            <w:pPr>
              <w:spacing w:after="0"/>
              <w:rPr>
                <w:sz w:val="13"/>
                <w:szCs w:val="13"/>
                <w:color w:val="auto"/>
              </w:rPr>
            </w:pPr>
          </w:p>
        </w:tc>
        <w:tc>
          <w:tcPr>
            <w:tcW w:w="204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(679)</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(1,019)</w:t>
            </w:r>
          </w:p>
        </w:tc>
        <w:tc>
          <w:tcPr>
            <w:tcW w:w="20" w:type="dxa"/>
            <w:vAlign w:val="bottom"/>
            <w:tcBorders>
              <w:bottom w:val="single" w:sz="8" w:color="auto"/>
            </w:tcBorders>
            <w:shd w:val="clear" w:color="auto" w:fill="CCEEFF"/>
          </w:tcPr>
          <w:p>
            <w:pPr>
              <w:spacing w:after="0"/>
              <w:rPr>
                <w:sz w:val="13"/>
                <w:szCs w:val="13"/>
                <w:color w:val="auto"/>
              </w:rPr>
            </w:pPr>
          </w:p>
        </w:tc>
      </w:tr>
      <w:tr>
        <w:trPr>
          <w:trHeight w:val="402"/>
        </w:trPr>
        <w:tc>
          <w:tcPr>
            <w:tcW w:w="5880" w:type="dxa"/>
            <w:vAlign w:val="bottom"/>
          </w:tcPr>
          <w:p>
            <w:pPr>
              <w:spacing w:after="0"/>
              <w:rPr>
                <w:sz w:val="20"/>
                <w:szCs w:val="20"/>
                <w:color w:val="auto"/>
              </w:rPr>
            </w:pPr>
            <w:r>
              <w:rPr>
                <w:rFonts w:ascii="Arial" w:cs="Arial" w:eastAsia="Arial" w:hAnsi="Arial"/>
                <w:sz w:val="13"/>
                <w:szCs w:val="13"/>
                <w:color w:val="auto"/>
              </w:rPr>
              <w:t>Movement in the net benefit obligation recognised in accrued and other liabilities was as follows:</w:t>
            </w:r>
          </w:p>
        </w:tc>
        <w:tc>
          <w:tcPr>
            <w:tcW w:w="22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5880" w:type="dxa"/>
            <w:vAlign w:val="bottom"/>
          </w:tcPr>
          <w:p>
            <w:pPr>
              <w:spacing w:after="0"/>
              <w:rPr>
                <w:sz w:val="7"/>
                <w:szCs w:val="7"/>
                <w:color w:val="auto"/>
              </w:rPr>
            </w:pPr>
          </w:p>
        </w:tc>
        <w:tc>
          <w:tcPr>
            <w:tcW w:w="222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140" w:type="dxa"/>
            <w:vAlign w:val="bottom"/>
            <w:gridSpan w:val="2"/>
          </w:tcPr>
          <w:p>
            <w:pPr>
              <w:spacing w:after="0"/>
              <w:rPr>
                <w:sz w:val="7"/>
                <w:szCs w:val="7"/>
                <w:color w:val="auto"/>
              </w:rPr>
            </w:pPr>
          </w:p>
        </w:tc>
      </w:tr>
      <w:tr>
        <w:trPr>
          <w:trHeight w:val="297"/>
        </w:trPr>
        <w:tc>
          <w:tcPr>
            <w:tcW w:w="5880" w:type="dxa"/>
            <w:vAlign w:val="bottom"/>
            <w:tcBorders>
              <w:bottom w:val="single" w:sz="8" w:color="auto"/>
            </w:tcBorders>
            <w:shd w:val="clear" w:color="auto" w:fill="CCEEFF"/>
          </w:tcPr>
          <w:p>
            <w:pPr>
              <w:spacing w:after="0"/>
              <w:rPr>
                <w:sz w:val="24"/>
                <w:szCs w:val="24"/>
                <w:color w:val="auto"/>
              </w:rPr>
            </w:pP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Present Value of Obligations</w:t>
            </w:r>
          </w:p>
        </w:tc>
        <w:tc>
          <w:tcPr>
            <w:tcW w:w="204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w w:val="99"/>
              </w:rPr>
              <w:t>Fair Value of Plan Assets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24"/>
                <w:szCs w:val="24"/>
                <w:color w:val="auto"/>
              </w:rPr>
            </w:pPr>
          </w:p>
        </w:tc>
      </w:tr>
      <w:tr>
        <w:trPr>
          <w:trHeight w:val="160"/>
        </w:trPr>
        <w:tc>
          <w:tcPr>
            <w:tcW w:w="5880" w:type="dxa"/>
            <w:vAlign w:val="bottom"/>
          </w:tcPr>
          <w:p>
            <w:pPr>
              <w:spacing w:after="0"/>
              <w:rPr>
                <w:sz w:val="13"/>
                <w:szCs w:val="13"/>
                <w:color w:val="auto"/>
              </w:rPr>
            </w:pPr>
          </w:p>
        </w:tc>
        <w:tc>
          <w:tcPr>
            <w:tcW w:w="222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2040" w:type="dxa"/>
            <w:vAlign w:val="bottom"/>
          </w:tcPr>
          <w:p>
            <w:pPr>
              <w:jc w:val="right"/>
              <w:ind w:right="416"/>
              <w:spacing w:after="0"/>
              <w:rPr>
                <w:sz w:val="20"/>
                <w:szCs w:val="20"/>
                <w:color w:val="auto"/>
              </w:rPr>
            </w:pPr>
            <w:r>
              <w:rPr>
                <w:rFonts w:ascii="Arial" w:cs="Arial" w:eastAsia="Arial" w:hAnsi="Arial"/>
                <w:sz w:val="13"/>
                <w:szCs w:val="13"/>
                <w:b w:val="1"/>
                <w:bCs w:val="1"/>
                <w:color w:val="auto"/>
              </w:rPr>
              <w:t>$’000</w:t>
            </w:r>
          </w:p>
        </w:tc>
        <w:tc>
          <w:tcPr>
            <w:tcW w:w="114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$’000</w:t>
            </w:r>
          </w:p>
        </w:tc>
      </w:tr>
      <w:tr>
        <w:trPr>
          <w:trHeight w:val="202"/>
        </w:trPr>
        <w:tc>
          <w:tcPr>
            <w:tcW w:w="588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69"/>
        </w:trPr>
        <w:tc>
          <w:tcPr>
            <w:tcW w:w="5880" w:type="dxa"/>
            <w:vAlign w:val="bottom"/>
          </w:tcPr>
          <w:p>
            <w:pPr>
              <w:ind w:left="20"/>
              <w:spacing w:after="0"/>
              <w:rPr>
                <w:sz w:val="20"/>
                <w:szCs w:val="20"/>
                <w:color w:val="auto"/>
              </w:rPr>
            </w:pPr>
            <w:r>
              <w:rPr>
                <w:rFonts w:ascii="Arial" w:cs="Arial" w:eastAsia="Arial" w:hAnsi="Arial"/>
                <w:sz w:val="13"/>
                <w:szCs w:val="13"/>
                <w:color w:val="auto"/>
              </w:rPr>
              <w:t>At 1 January 2021</w:t>
            </w:r>
          </w:p>
        </w:tc>
        <w:tc>
          <w:tcPr>
            <w:tcW w:w="2220" w:type="dxa"/>
            <w:vAlign w:val="bottom"/>
          </w:tcPr>
          <w:p>
            <w:pPr>
              <w:jc w:val="right"/>
              <w:ind w:right="36"/>
              <w:spacing w:after="0"/>
              <w:rPr>
                <w:sz w:val="20"/>
                <w:szCs w:val="20"/>
                <w:color w:val="auto"/>
              </w:rPr>
            </w:pPr>
            <w:r>
              <w:rPr>
                <w:rFonts w:ascii="Arial" w:cs="Arial" w:eastAsia="Arial" w:hAnsi="Arial"/>
                <w:sz w:val="13"/>
                <w:szCs w:val="13"/>
                <w:color w:val="auto"/>
              </w:rPr>
              <w:t>(8,620)</w:t>
            </w:r>
          </w:p>
        </w:tc>
        <w:tc>
          <w:tcPr>
            <w:tcW w:w="2040" w:type="dxa"/>
            <w:vAlign w:val="bottom"/>
          </w:tcPr>
          <w:p>
            <w:pPr>
              <w:jc w:val="right"/>
              <w:ind w:right="476"/>
              <w:spacing w:after="0"/>
              <w:rPr>
                <w:sz w:val="20"/>
                <w:szCs w:val="20"/>
                <w:color w:val="auto"/>
              </w:rPr>
            </w:pPr>
            <w:r>
              <w:rPr>
                <w:rFonts w:ascii="Arial" w:cs="Arial" w:eastAsia="Arial" w:hAnsi="Arial"/>
                <w:sz w:val="13"/>
                <w:szCs w:val="13"/>
                <w:color w:val="auto"/>
              </w:rPr>
              <w:t>7,601</w:t>
            </w:r>
          </w:p>
        </w:tc>
        <w:tc>
          <w:tcPr>
            <w:tcW w:w="1120" w:type="dxa"/>
            <w:vAlign w:val="bottom"/>
          </w:tcPr>
          <w:p>
            <w:pPr>
              <w:jc w:val="right"/>
              <w:ind w:right="16"/>
              <w:spacing w:after="0"/>
              <w:rPr>
                <w:sz w:val="20"/>
                <w:szCs w:val="20"/>
                <w:color w:val="auto"/>
              </w:rPr>
            </w:pPr>
            <w:r>
              <w:rPr>
                <w:rFonts w:ascii="Arial" w:cs="Arial" w:eastAsia="Arial" w:hAnsi="Arial"/>
                <w:sz w:val="13"/>
                <w:szCs w:val="13"/>
                <w:color w:val="auto"/>
              </w:rPr>
              <w:t>(1,019)</w:t>
            </w:r>
          </w:p>
        </w:tc>
        <w:tc>
          <w:tcPr>
            <w:tcW w:w="20" w:type="dxa"/>
            <w:vAlign w:val="bottom"/>
          </w:tcPr>
          <w:p>
            <w:pPr>
              <w:spacing w:after="0"/>
              <w:rPr>
                <w:sz w:val="14"/>
                <w:szCs w:val="14"/>
                <w:color w:val="auto"/>
              </w:rPr>
            </w:pPr>
          </w:p>
        </w:tc>
      </w:tr>
      <w:tr>
        <w:trPr>
          <w:trHeight w:val="171"/>
        </w:trPr>
        <w:tc>
          <w:tcPr>
            <w:tcW w:w="5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Current service costs</w:t>
            </w:r>
          </w:p>
        </w:tc>
        <w:tc>
          <w:tcPr>
            <w:tcW w:w="22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(150)</w:t>
            </w:r>
          </w:p>
        </w:tc>
        <w:tc>
          <w:tcPr>
            <w:tcW w:w="2040" w:type="dxa"/>
            <w:vAlign w:val="bottom"/>
            <w:shd w:val="clear" w:color="auto" w:fill="CCEEFF"/>
          </w:tcPr>
          <w:p>
            <w:pPr>
              <w:jc w:val="right"/>
              <w:ind w:right="476"/>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(150)</w:t>
            </w:r>
          </w:p>
        </w:tc>
        <w:tc>
          <w:tcPr>
            <w:tcW w:w="20" w:type="dxa"/>
            <w:vAlign w:val="bottom"/>
          </w:tcPr>
          <w:p>
            <w:pPr>
              <w:spacing w:after="0"/>
              <w:rPr>
                <w:sz w:val="14"/>
                <w:szCs w:val="14"/>
                <w:color w:val="auto"/>
              </w:rPr>
            </w:pPr>
          </w:p>
        </w:tc>
      </w:tr>
      <w:tr>
        <w:trPr>
          <w:trHeight w:val="169"/>
        </w:trPr>
        <w:tc>
          <w:tcPr>
            <w:tcW w:w="5880" w:type="dxa"/>
            <w:vAlign w:val="bottom"/>
          </w:tcPr>
          <w:p>
            <w:pPr>
              <w:ind w:left="20"/>
              <w:spacing w:after="0"/>
              <w:rPr>
                <w:sz w:val="20"/>
                <w:szCs w:val="20"/>
                <w:color w:val="auto"/>
              </w:rPr>
            </w:pPr>
            <w:r>
              <w:rPr>
                <w:rFonts w:ascii="Arial" w:cs="Arial" w:eastAsia="Arial" w:hAnsi="Arial"/>
                <w:sz w:val="13"/>
                <w:szCs w:val="13"/>
                <w:color w:val="auto"/>
              </w:rPr>
              <w:t>Interest (income)/expense</w:t>
            </w:r>
          </w:p>
        </w:tc>
        <w:tc>
          <w:tcPr>
            <w:tcW w:w="2220" w:type="dxa"/>
            <w:vAlign w:val="bottom"/>
          </w:tcPr>
          <w:p>
            <w:pPr>
              <w:jc w:val="right"/>
              <w:ind w:right="36"/>
              <w:spacing w:after="0"/>
              <w:rPr>
                <w:sz w:val="20"/>
                <w:szCs w:val="20"/>
                <w:color w:val="auto"/>
              </w:rPr>
            </w:pPr>
            <w:r>
              <w:rPr>
                <w:rFonts w:ascii="Arial" w:cs="Arial" w:eastAsia="Arial" w:hAnsi="Arial"/>
                <w:sz w:val="13"/>
                <w:szCs w:val="13"/>
                <w:color w:val="auto"/>
              </w:rPr>
              <w:t>(12)</w:t>
            </w:r>
          </w:p>
        </w:tc>
        <w:tc>
          <w:tcPr>
            <w:tcW w:w="2040" w:type="dxa"/>
            <w:vAlign w:val="bottom"/>
          </w:tcPr>
          <w:p>
            <w:pPr>
              <w:jc w:val="right"/>
              <w:ind w:right="476"/>
              <w:spacing w:after="0"/>
              <w:rPr>
                <w:sz w:val="20"/>
                <w:szCs w:val="20"/>
                <w:color w:val="auto"/>
              </w:rPr>
            </w:pPr>
            <w:r>
              <w:rPr>
                <w:rFonts w:ascii="Arial" w:cs="Arial" w:eastAsia="Arial" w:hAnsi="Arial"/>
                <w:sz w:val="13"/>
                <w:szCs w:val="13"/>
                <w:color w:val="auto"/>
              </w:rPr>
              <w:t>11</w:t>
            </w:r>
          </w:p>
        </w:tc>
        <w:tc>
          <w:tcPr>
            <w:tcW w:w="1120" w:type="dxa"/>
            <w:vAlign w:val="bottom"/>
          </w:tcPr>
          <w:p>
            <w:pPr>
              <w:jc w:val="right"/>
              <w:ind w:right="16"/>
              <w:spacing w:after="0"/>
              <w:rPr>
                <w:sz w:val="20"/>
                <w:szCs w:val="20"/>
                <w:color w:val="auto"/>
              </w:rPr>
            </w:pPr>
            <w:r>
              <w:rPr>
                <w:rFonts w:ascii="Arial" w:cs="Arial" w:eastAsia="Arial" w:hAnsi="Arial"/>
                <w:sz w:val="13"/>
                <w:szCs w:val="13"/>
                <w:color w:val="auto"/>
              </w:rPr>
              <w:t>(1)</w:t>
            </w:r>
          </w:p>
        </w:tc>
        <w:tc>
          <w:tcPr>
            <w:tcW w:w="20" w:type="dxa"/>
            <w:vAlign w:val="bottom"/>
          </w:tcPr>
          <w:p>
            <w:pPr>
              <w:spacing w:after="0"/>
              <w:rPr>
                <w:sz w:val="14"/>
                <w:szCs w:val="14"/>
                <w:color w:val="auto"/>
              </w:rPr>
            </w:pPr>
          </w:p>
        </w:tc>
      </w:tr>
      <w:tr>
        <w:trPr>
          <w:trHeight w:val="170"/>
        </w:trPr>
        <w:tc>
          <w:tcPr>
            <w:tcW w:w="5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Past service cost</w:t>
            </w:r>
          </w:p>
        </w:tc>
        <w:tc>
          <w:tcPr>
            <w:tcW w:w="2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82</w:t>
            </w:r>
          </w:p>
        </w:tc>
        <w:tc>
          <w:tcPr>
            <w:tcW w:w="204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82</w:t>
            </w:r>
          </w:p>
        </w:tc>
        <w:tc>
          <w:tcPr>
            <w:tcW w:w="20" w:type="dxa"/>
            <w:vAlign w:val="bottom"/>
          </w:tcPr>
          <w:p>
            <w:pPr>
              <w:spacing w:after="0"/>
              <w:rPr>
                <w:sz w:val="14"/>
                <w:szCs w:val="14"/>
                <w:color w:val="auto"/>
              </w:rPr>
            </w:pPr>
          </w:p>
        </w:tc>
      </w:tr>
      <w:tr>
        <w:trPr>
          <w:trHeight w:val="162"/>
        </w:trPr>
        <w:tc>
          <w:tcPr>
            <w:tcW w:w="58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(8,700)</w:t>
            </w:r>
          </w:p>
        </w:tc>
        <w:tc>
          <w:tcPr>
            <w:tcW w:w="204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7,612</w:t>
            </w: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(1,088)</w:t>
            </w:r>
          </w:p>
        </w:tc>
        <w:tc>
          <w:tcPr>
            <w:tcW w:w="20" w:type="dxa"/>
            <w:vAlign w:val="bottom"/>
          </w:tcPr>
          <w:p>
            <w:pPr>
              <w:spacing w:after="0"/>
              <w:rPr>
                <w:sz w:val="14"/>
                <w:szCs w:val="14"/>
                <w:color w:val="auto"/>
              </w:rPr>
            </w:pPr>
          </w:p>
        </w:tc>
      </w:tr>
      <w:tr>
        <w:trPr>
          <w:trHeight w:val="182"/>
        </w:trPr>
        <w:tc>
          <w:tcPr>
            <w:tcW w:w="588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5880" w:type="dxa"/>
            <w:vAlign w:val="bottom"/>
          </w:tcPr>
          <w:p>
            <w:pPr>
              <w:ind w:left="20"/>
              <w:spacing w:after="0"/>
              <w:rPr>
                <w:sz w:val="20"/>
                <w:szCs w:val="20"/>
                <w:color w:val="auto"/>
              </w:rPr>
            </w:pPr>
            <w:r>
              <w:rPr>
                <w:rFonts w:ascii="Arial" w:cs="Arial" w:eastAsia="Arial" w:hAnsi="Arial"/>
                <w:sz w:val="13"/>
                <w:szCs w:val="13"/>
                <w:color w:val="auto"/>
              </w:rPr>
              <w:t>Re-measurements</w:t>
            </w:r>
          </w:p>
        </w:tc>
        <w:tc>
          <w:tcPr>
            <w:tcW w:w="22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5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Experience adjustment</w:t>
            </w:r>
          </w:p>
        </w:tc>
        <w:tc>
          <w:tcPr>
            <w:tcW w:w="22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2040" w:type="dxa"/>
            <w:vAlign w:val="bottom"/>
            <w:shd w:val="clear" w:color="auto" w:fill="CCEEFF"/>
          </w:tcPr>
          <w:p>
            <w:pPr>
              <w:jc w:val="right"/>
              <w:ind w:right="476"/>
              <w:spacing w:after="0"/>
              <w:rPr>
                <w:sz w:val="20"/>
                <w:szCs w:val="20"/>
                <w:color w:val="auto"/>
              </w:rPr>
            </w:pPr>
            <w:r>
              <w:rPr>
                <w:rFonts w:ascii="Arial" w:cs="Arial" w:eastAsia="Arial" w:hAnsi="Arial"/>
                <w:sz w:val="13"/>
                <w:szCs w:val="13"/>
                <w:color w:val="auto"/>
              </w:rPr>
              <w:t>(234)</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(234)</w:t>
            </w:r>
          </w:p>
        </w:tc>
        <w:tc>
          <w:tcPr>
            <w:tcW w:w="20" w:type="dxa"/>
            <w:vAlign w:val="bottom"/>
          </w:tcPr>
          <w:p>
            <w:pPr>
              <w:spacing w:after="0"/>
              <w:rPr>
                <w:sz w:val="14"/>
                <w:szCs w:val="14"/>
                <w:color w:val="auto"/>
              </w:rPr>
            </w:pPr>
          </w:p>
        </w:tc>
      </w:tr>
      <w:tr>
        <w:trPr>
          <w:trHeight w:val="169"/>
        </w:trPr>
        <w:tc>
          <w:tcPr>
            <w:tcW w:w="5880" w:type="dxa"/>
            <w:vAlign w:val="bottom"/>
          </w:tcPr>
          <w:p>
            <w:pPr>
              <w:ind w:left="20"/>
              <w:spacing w:after="0"/>
              <w:rPr>
                <w:sz w:val="20"/>
                <w:szCs w:val="20"/>
                <w:color w:val="auto"/>
              </w:rPr>
            </w:pPr>
            <w:r>
              <w:rPr>
                <w:rFonts w:ascii="Arial" w:cs="Arial" w:eastAsia="Arial" w:hAnsi="Arial"/>
                <w:sz w:val="13"/>
                <w:szCs w:val="13"/>
                <w:color w:val="auto"/>
              </w:rPr>
              <w:t>Gain or loss from change in demographic assumptions</w:t>
            </w:r>
          </w:p>
        </w:tc>
        <w:tc>
          <w:tcPr>
            <w:tcW w:w="2220" w:type="dxa"/>
            <w:vAlign w:val="bottom"/>
          </w:tcPr>
          <w:p>
            <w:pPr>
              <w:jc w:val="right"/>
              <w:ind w:right="36"/>
              <w:spacing w:after="0"/>
              <w:rPr>
                <w:sz w:val="20"/>
                <w:szCs w:val="20"/>
                <w:color w:val="auto"/>
              </w:rPr>
            </w:pPr>
            <w:r>
              <w:rPr>
                <w:rFonts w:ascii="Arial" w:cs="Arial" w:eastAsia="Arial" w:hAnsi="Arial"/>
                <w:sz w:val="13"/>
                <w:szCs w:val="13"/>
                <w:color w:val="auto"/>
              </w:rPr>
              <w:t>180</w:t>
            </w:r>
          </w:p>
        </w:tc>
        <w:tc>
          <w:tcPr>
            <w:tcW w:w="2040" w:type="dxa"/>
            <w:vAlign w:val="bottom"/>
          </w:tcPr>
          <w:p>
            <w:pPr>
              <w:jc w:val="right"/>
              <w:ind w:right="476"/>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16"/>
              <w:spacing w:after="0"/>
              <w:rPr>
                <w:sz w:val="20"/>
                <w:szCs w:val="20"/>
                <w:color w:val="auto"/>
              </w:rPr>
            </w:pPr>
            <w:r>
              <w:rPr>
                <w:rFonts w:ascii="Arial" w:cs="Arial" w:eastAsia="Arial" w:hAnsi="Arial"/>
                <w:sz w:val="13"/>
                <w:szCs w:val="13"/>
                <w:color w:val="auto"/>
              </w:rPr>
              <w:t>180</w:t>
            </w:r>
          </w:p>
        </w:tc>
        <w:tc>
          <w:tcPr>
            <w:tcW w:w="20" w:type="dxa"/>
            <w:vAlign w:val="bottom"/>
          </w:tcPr>
          <w:p>
            <w:pPr>
              <w:spacing w:after="0"/>
              <w:rPr>
                <w:sz w:val="14"/>
                <w:szCs w:val="14"/>
                <w:color w:val="auto"/>
              </w:rPr>
            </w:pPr>
          </w:p>
        </w:tc>
      </w:tr>
      <w:tr>
        <w:trPr>
          <w:trHeight w:val="171"/>
        </w:trPr>
        <w:tc>
          <w:tcPr>
            <w:tcW w:w="5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Gain or loss from change in financial assumptions</w:t>
            </w:r>
          </w:p>
        </w:tc>
        <w:tc>
          <w:tcPr>
            <w:tcW w:w="22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280</w:t>
            </w:r>
          </w:p>
        </w:tc>
        <w:tc>
          <w:tcPr>
            <w:tcW w:w="2040" w:type="dxa"/>
            <w:vAlign w:val="bottom"/>
            <w:shd w:val="clear" w:color="auto" w:fill="CCEEFF"/>
          </w:tcPr>
          <w:p>
            <w:pPr>
              <w:jc w:val="right"/>
              <w:ind w:right="476"/>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280</w:t>
            </w:r>
          </w:p>
        </w:tc>
        <w:tc>
          <w:tcPr>
            <w:tcW w:w="20" w:type="dxa"/>
            <w:vAlign w:val="bottom"/>
          </w:tcPr>
          <w:p>
            <w:pPr>
              <w:spacing w:after="0"/>
              <w:rPr>
                <w:sz w:val="14"/>
                <w:szCs w:val="14"/>
                <w:color w:val="auto"/>
              </w:rPr>
            </w:pPr>
          </w:p>
        </w:tc>
      </w:tr>
      <w:tr>
        <w:trPr>
          <w:trHeight w:val="169"/>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Experience gain or loss</w:t>
            </w:r>
          </w:p>
        </w:tc>
        <w:tc>
          <w:tcPr>
            <w:tcW w:w="22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24</w:t>
            </w:r>
          </w:p>
        </w:tc>
        <w:tc>
          <w:tcPr>
            <w:tcW w:w="204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24</w:t>
            </w:r>
          </w:p>
        </w:tc>
        <w:tc>
          <w:tcPr>
            <w:tcW w:w="20" w:type="dxa"/>
            <w:vAlign w:val="bottom"/>
          </w:tcPr>
          <w:p>
            <w:pPr>
              <w:spacing w:after="0"/>
              <w:rPr>
                <w:sz w:val="14"/>
                <w:szCs w:val="14"/>
                <w:color w:val="auto"/>
              </w:rPr>
            </w:pPr>
          </w:p>
        </w:tc>
      </w:tr>
      <w:tr>
        <w:trPr>
          <w:trHeight w:val="162"/>
        </w:trPr>
        <w:tc>
          <w:tcPr>
            <w:tcW w:w="5880" w:type="dxa"/>
            <w:vAlign w:val="bottom"/>
            <w:tcBorders>
              <w:bottom w:val="single" w:sz="8" w:color="auto"/>
            </w:tcBorders>
            <w:shd w:val="clear" w:color="auto" w:fill="CCEEFF"/>
          </w:tcPr>
          <w:p>
            <w:pPr>
              <w:spacing w:after="0"/>
              <w:rPr>
                <w:sz w:val="14"/>
                <w:szCs w:val="14"/>
                <w:color w:val="auto"/>
              </w:rPr>
            </w:pPr>
          </w:p>
        </w:tc>
        <w:tc>
          <w:tcPr>
            <w:tcW w:w="2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484</w:t>
            </w:r>
          </w:p>
        </w:tc>
        <w:tc>
          <w:tcPr>
            <w:tcW w:w="204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(234)</w:t>
            </w: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250</w:t>
            </w:r>
          </w:p>
        </w:tc>
        <w:tc>
          <w:tcPr>
            <w:tcW w:w="20" w:type="dxa"/>
            <w:vAlign w:val="bottom"/>
          </w:tcPr>
          <w:p>
            <w:pPr>
              <w:spacing w:after="0"/>
              <w:rPr>
                <w:sz w:val="14"/>
                <w:szCs w:val="14"/>
                <w:color w:val="auto"/>
              </w:rPr>
            </w:pPr>
          </w:p>
        </w:tc>
      </w:tr>
      <w:tr>
        <w:trPr>
          <w:trHeight w:val="159"/>
        </w:trPr>
        <w:tc>
          <w:tcPr>
            <w:tcW w:w="5880" w:type="dxa"/>
            <w:vAlign w:val="bottom"/>
          </w:tcPr>
          <w:p>
            <w:pPr>
              <w:ind w:left="20"/>
              <w:spacing w:after="0"/>
              <w:rPr>
                <w:sz w:val="20"/>
                <w:szCs w:val="20"/>
                <w:color w:val="auto"/>
              </w:rPr>
            </w:pPr>
            <w:r>
              <w:rPr>
                <w:rFonts w:ascii="Arial" w:cs="Arial" w:eastAsia="Arial" w:hAnsi="Arial"/>
                <w:sz w:val="13"/>
                <w:szCs w:val="13"/>
                <w:color w:val="auto"/>
              </w:rPr>
              <w:t>Exchange differences</w:t>
            </w:r>
          </w:p>
        </w:tc>
        <w:tc>
          <w:tcPr>
            <w:tcW w:w="2220" w:type="dxa"/>
            <w:vAlign w:val="bottom"/>
          </w:tcPr>
          <w:p>
            <w:pPr>
              <w:jc w:val="right"/>
              <w:ind w:right="36"/>
              <w:spacing w:after="0"/>
              <w:rPr>
                <w:sz w:val="20"/>
                <w:szCs w:val="20"/>
                <w:color w:val="auto"/>
              </w:rPr>
            </w:pPr>
            <w:r>
              <w:rPr>
                <w:rFonts w:ascii="Arial" w:cs="Arial" w:eastAsia="Arial" w:hAnsi="Arial"/>
                <w:sz w:val="13"/>
                <w:szCs w:val="13"/>
                <w:color w:val="auto"/>
              </w:rPr>
              <w:t>261</w:t>
            </w:r>
          </w:p>
        </w:tc>
        <w:tc>
          <w:tcPr>
            <w:tcW w:w="2040" w:type="dxa"/>
            <w:vAlign w:val="bottom"/>
          </w:tcPr>
          <w:p>
            <w:pPr>
              <w:jc w:val="right"/>
              <w:ind w:right="476"/>
              <w:spacing w:after="0"/>
              <w:rPr>
                <w:sz w:val="20"/>
                <w:szCs w:val="20"/>
                <w:color w:val="auto"/>
              </w:rPr>
            </w:pPr>
            <w:r>
              <w:rPr>
                <w:rFonts w:ascii="Arial" w:cs="Arial" w:eastAsia="Arial" w:hAnsi="Arial"/>
                <w:sz w:val="13"/>
                <w:szCs w:val="13"/>
                <w:color w:val="auto"/>
              </w:rPr>
              <w:t>(230)</w:t>
            </w:r>
          </w:p>
        </w:tc>
        <w:tc>
          <w:tcPr>
            <w:tcW w:w="1120" w:type="dxa"/>
            <w:vAlign w:val="bottom"/>
          </w:tcPr>
          <w:p>
            <w:pPr>
              <w:jc w:val="right"/>
              <w:ind w:right="16"/>
              <w:spacing w:after="0"/>
              <w:rPr>
                <w:sz w:val="20"/>
                <w:szCs w:val="20"/>
                <w:color w:val="auto"/>
              </w:rPr>
            </w:pPr>
            <w:r>
              <w:rPr>
                <w:rFonts w:ascii="Arial" w:cs="Arial" w:eastAsia="Arial" w:hAnsi="Arial"/>
                <w:sz w:val="13"/>
                <w:szCs w:val="13"/>
                <w:color w:val="auto"/>
              </w:rPr>
              <w:t>31</w:t>
            </w:r>
          </w:p>
        </w:tc>
        <w:tc>
          <w:tcPr>
            <w:tcW w:w="20" w:type="dxa"/>
            <w:vAlign w:val="bottom"/>
          </w:tcPr>
          <w:p>
            <w:pPr>
              <w:spacing w:after="0"/>
              <w:rPr>
                <w:sz w:val="13"/>
                <w:szCs w:val="13"/>
                <w:color w:val="auto"/>
              </w:rPr>
            </w:pPr>
          </w:p>
        </w:tc>
      </w:tr>
      <w:tr>
        <w:trPr>
          <w:trHeight w:val="203"/>
        </w:trPr>
        <w:tc>
          <w:tcPr>
            <w:tcW w:w="588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69"/>
        </w:trPr>
        <w:tc>
          <w:tcPr>
            <w:tcW w:w="5880" w:type="dxa"/>
            <w:vAlign w:val="bottom"/>
          </w:tcPr>
          <w:p>
            <w:pPr>
              <w:ind w:left="20"/>
              <w:spacing w:after="0"/>
              <w:rPr>
                <w:sz w:val="20"/>
                <w:szCs w:val="20"/>
                <w:color w:val="auto"/>
              </w:rPr>
            </w:pPr>
            <w:r>
              <w:rPr>
                <w:rFonts w:ascii="Arial" w:cs="Arial" w:eastAsia="Arial" w:hAnsi="Arial"/>
                <w:sz w:val="13"/>
                <w:szCs w:val="13"/>
                <w:color w:val="auto"/>
              </w:rPr>
              <w:t>Contributions:</w:t>
            </w:r>
          </w:p>
        </w:tc>
        <w:tc>
          <w:tcPr>
            <w:tcW w:w="22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5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 Employers</w:t>
            </w:r>
          </w:p>
        </w:tc>
        <w:tc>
          <w:tcPr>
            <w:tcW w:w="22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2040" w:type="dxa"/>
            <w:vAlign w:val="bottom"/>
            <w:shd w:val="clear" w:color="auto" w:fill="CCEEFF"/>
          </w:tcPr>
          <w:p>
            <w:pPr>
              <w:jc w:val="right"/>
              <w:ind w:right="476"/>
              <w:spacing w:after="0"/>
              <w:rPr>
                <w:sz w:val="20"/>
                <w:szCs w:val="20"/>
                <w:color w:val="auto"/>
              </w:rPr>
            </w:pPr>
            <w:r>
              <w:rPr>
                <w:rFonts w:ascii="Arial" w:cs="Arial" w:eastAsia="Arial" w:hAnsi="Arial"/>
                <w:sz w:val="13"/>
                <w:szCs w:val="13"/>
                <w:color w:val="auto"/>
              </w:rPr>
              <w:t>128</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128</w:t>
            </w:r>
          </w:p>
        </w:tc>
        <w:tc>
          <w:tcPr>
            <w:tcW w:w="20" w:type="dxa"/>
            <w:vAlign w:val="bottom"/>
          </w:tcPr>
          <w:p>
            <w:pPr>
              <w:spacing w:after="0"/>
              <w:rPr>
                <w:sz w:val="14"/>
                <w:szCs w:val="14"/>
                <w:color w:val="auto"/>
              </w:rPr>
            </w:pPr>
          </w:p>
        </w:tc>
      </w:tr>
      <w:tr>
        <w:trPr>
          <w:trHeight w:val="169"/>
        </w:trPr>
        <w:tc>
          <w:tcPr>
            <w:tcW w:w="5880" w:type="dxa"/>
            <w:vAlign w:val="bottom"/>
          </w:tcPr>
          <w:p>
            <w:pPr>
              <w:ind w:left="20"/>
              <w:spacing w:after="0"/>
              <w:rPr>
                <w:sz w:val="20"/>
                <w:szCs w:val="20"/>
                <w:color w:val="auto"/>
              </w:rPr>
            </w:pPr>
            <w:r>
              <w:rPr>
                <w:rFonts w:ascii="Arial" w:cs="Arial" w:eastAsia="Arial" w:hAnsi="Arial"/>
                <w:sz w:val="13"/>
                <w:szCs w:val="13"/>
                <w:color w:val="auto"/>
              </w:rPr>
              <w:t>- Plan participants</w:t>
            </w:r>
          </w:p>
        </w:tc>
        <w:tc>
          <w:tcPr>
            <w:tcW w:w="2220" w:type="dxa"/>
            <w:vAlign w:val="bottom"/>
          </w:tcPr>
          <w:p>
            <w:pPr>
              <w:jc w:val="right"/>
              <w:ind w:right="36"/>
              <w:spacing w:after="0"/>
              <w:rPr>
                <w:sz w:val="20"/>
                <w:szCs w:val="20"/>
                <w:color w:val="auto"/>
              </w:rPr>
            </w:pPr>
            <w:r>
              <w:rPr>
                <w:rFonts w:ascii="Arial" w:cs="Arial" w:eastAsia="Arial" w:hAnsi="Arial"/>
                <w:sz w:val="13"/>
                <w:szCs w:val="13"/>
                <w:color w:val="auto"/>
              </w:rPr>
              <w:t>(95)</w:t>
            </w:r>
          </w:p>
        </w:tc>
        <w:tc>
          <w:tcPr>
            <w:tcW w:w="2040" w:type="dxa"/>
            <w:vAlign w:val="bottom"/>
          </w:tcPr>
          <w:p>
            <w:pPr>
              <w:jc w:val="right"/>
              <w:ind w:right="476"/>
              <w:spacing w:after="0"/>
              <w:rPr>
                <w:sz w:val="20"/>
                <w:szCs w:val="20"/>
                <w:color w:val="auto"/>
              </w:rPr>
            </w:pPr>
            <w:r>
              <w:rPr>
                <w:rFonts w:ascii="Arial" w:cs="Arial" w:eastAsia="Arial" w:hAnsi="Arial"/>
                <w:sz w:val="13"/>
                <w:szCs w:val="13"/>
                <w:color w:val="auto"/>
              </w:rPr>
              <w:t>95</w:t>
            </w:r>
          </w:p>
        </w:tc>
        <w:tc>
          <w:tcPr>
            <w:tcW w:w="11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71"/>
        </w:trPr>
        <w:tc>
          <w:tcPr>
            <w:tcW w:w="5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Benefit payments</w:t>
            </w:r>
          </w:p>
        </w:tc>
        <w:tc>
          <w:tcPr>
            <w:tcW w:w="22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406</w:t>
            </w:r>
          </w:p>
        </w:tc>
        <w:tc>
          <w:tcPr>
            <w:tcW w:w="2040" w:type="dxa"/>
            <w:vAlign w:val="bottom"/>
            <w:shd w:val="clear" w:color="auto" w:fill="CCEEFF"/>
          </w:tcPr>
          <w:p>
            <w:pPr>
              <w:jc w:val="right"/>
              <w:ind w:right="476"/>
              <w:spacing w:after="0"/>
              <w:rPr>
                <w:sz w:val="20"/>
                <w:szCs w:val="20"/>
                <w:color w:val="auto"/>
              </w:rPr>
            </w:pPr>
            <w:r>
              <w:rPr>
                <w:rFonts w:ascii="Arial" w:cs="Arial" w:eastAsia="Arial" w:hAnsi="Arial"/>
                <w:sz w:val="13"/>
                <w:szCs w:val="13"/>
                <w:color w:val="auto"/>
              </w:rPr>
              <w:t>(406)</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r>
      <w:tr>
        <w:trPr>
          <w:trHeight w:val="171"/>
        </w:trPr>
        <w:tc>
          <w:tcPr>
            <w:tcW w:w="58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311</w:t>
            </w:r>
          </w:p>
        </w:tc>
        <w:tc>
          <w:tcPr>
            <w:tcW w:w="204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(183)</w:t>
            </w: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128</w:t>
            </w:r>
          </w:p>
        </w:tc>
        <w:tc>
          <w:tcPr>
            <w:tcW w:w="20" w:type="dxa"/>
            <w:vAlign w:val="bottom"/>
          </w:tcPr>
          <w:p>
            <w:pPr>
              <w:spacing w:after="0"/>
              <w:rPr>
                <w:sz w:val="14"/>
                <w:szCs w:val="14"/>
                <w:color w:val="auto"/>
              </w:rPr>
            </w:pPr>
          </w:p>
        </w:tc>
      </w:tr>
      <w:tr>
        <w:trPr>
          <w:trHeight w:val="171"/>
        </w:trPr>
        <w:tc>
          <w:tcPr>
            <w:tcW w:w="5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At 31 December 2021</w:t>
            </w:r>
          </w:p>
        </w:tc>
        <w:tc>
          <w:tcPr>
            <w:tcW w:w="2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(7,644)</w:t>
            </w:r>
          </w:p>
        </w:tc>
        <w:tc>
          <w:tcPr>
            <w:tcW w:w="204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6,965</w:t>
            </w: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(679)</w:t>
            </w:r>
          </w:p>
        </w:tc>
        <w:tc>
          <w:tcPr>
            <w:tcW w:w="20" w:type="dxa"/>
            <w:vAlign w:val="bottom"/>
          </w:tcPr>
          <w:p>
            <w:pPr>
              <w:spacing w:after="0"/>
              <w:rPr>
                <w:sz w:val="14"/>
                <w:szCs w:val="14"/>
                <w:color w:val="auto"/>
              </w:rPr>
            </w:pPr>
          </w:p>
        </w:tc>
      </w:tr>
    </w:tbl>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ectPr>
          <w:pgSz w:w="11900" w:h="16838" w:orient="portrait"/>
          <w:cols w:equalWidth="0" w:num="1">
            <w:col w:w="11280"/>
          </w:cols>
          <w:pgMar w:left="300" w:top="698" w:right="319" w:bottom="1440" w:gutter="0" w:footer="0" w:header="0"/>
        </w:sectPr>
      </w:pPr>
    </w:p>
    <w:bookmarkStart w:id="94" w:name="page95"/>
    <w:bookmarkEnd w:id="94"/>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190" w:lineRule="exact"/>
        <w:rPr>
          <w:sz w:val="20"/>
          <w:szCs w:val="20"/>
          <w:color w:val="auto"/>
        </w:rPr>
      </w:pPr>
    </w:p>
    <w:p>
      <w:pPr>
        <w:spacing w:after="0"/>
        <w:tabs>
          <w:tab w:leader="none" w:pos="300" w:val="left"/>
        </w:tabs>
        <w:rPr>
          <w:sz w:val="20"/>
          <w:szCs w:val="20"/>
          <w:color w:val="auto"/>
        </w:rPr>
      </w:pPr>
      <w:r>
        <w:rPr>
          <w:rFonts w:ascii="Arial" w:cs="Arial" w:eastAsia="Arial" w:hAnsi="Arial"/>
          <w:sz w:val="13"/>
          <w:szCs w:val="13"/>
          <w:b w:val="1"/>
          <w:bCs w:val="1"/>
          <w:color w:val="auto"/>
        </w:rPr>
        <w:t>10.</w:t>
      </w:r>
      <w:r>
        <w:rPr>
          <w:sz w:val="20"/>
          <w:szCs w:val="20"/>
          <w:color w:val="auto"/>
        </w:rPr>
        <w:tab/>
      </w:r>
      <w:r>
        <w:rPr>
          <w:rFonts w:ascii="Arial" w:cs="Arial" w:eastAsia="Arial" w:hAnsi="Arial"/>
          <w:sz w:val="12"/>
          <w:szCs w:val="12"/>
          <w:b w:val="1"/>
          <w:bCs w:val="1"/>
          <w:color w:val="auto"/>
        </w:rPr>
        <w:t>Retirement benefit obligations (</w:t>
      </w:r>
      <w:r>
        <w:rPr>
          <w:rFonts w:ascii="Arial" w:cs="Arial" w:eastAsia="Arial" w:hAnsi="Arial"/>
          <w:sz w:val="12"/>
          <w:szCs w:val="12"/>
          <w:b w:val="1"/>
          <w:bCs w:val="1"/>
          <w:i w:val="1"/>
          <w:iCs w:val="1"/>
          <w:color w:val="auto"/>
        </w:rPr>
        <w:t>continued</w:t>
      </w:r>
      <w:r>
        <w:rPr>
          <w:rFonts w:ascii="Arial" w:cs="Arial" w:eastAsia="Arial" w:hAnsi="Arial"/>
          <w:sz w:val="12"/>
          <w:szCs w:val="12"/>
          <w:b w:val="1"/>
          <w:bCs w:val="1"/>
          <w:color w:val="auto"/>
        </w:rPr>
        <w:t>)</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600" w:type="dxa"/>
            <w:vAlign w:val="bottom"/>
            <w:shd w:val="clear" w:color="auto" w:fill="CCEEFF"/>
          </w:tcPr>
          <w:p>
            <w:pPr>
              <w:spacing w:after="0"/>
              <w:rPr>
                <w:sz w:val="16"/>
                <w:szCs w:val="16"/>
                <w:color w:val="auto"/>
              </w:rPr>
            </w:pPr>
          </w:p>
        </w:tc>
        <w:tc>
          <w:tcPr>
            <w:tcW w:w="35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Present Value of Obligations</w:t>
            </w:r>
          </w:p>
        </w:tc>
        <w:tc>
          <w:tcPr>
            <w:tcW w:w="2120" w:type="dxa"/>
            <w:vAlign w:val="bottom"/>
            <w:shd w:val="clear" w:color="auto" w:fill="CCEEFF"/>
          </w:tcPr>
          <w:p>
            <w:pPr>
              <w:jc w:val="right"/>
              <w:ind w:right="496"/>
              <w:spacing w:after="0"/>
              <w:rPr>
                <w:sz w:val="20"/>
                <w:szCs w:val="20"/>
                <w:color w:val="auto"/>
              </w:rPr>
            </w:pPr>
            <w:r>
              <w:rPr>
                <w:rFonts w:ascii="Arial" w:cs="Arial" w:eastAsia="Arial" w:hAnsi="Arial"/>
                <w:sz w:val="13"/>
                <w:szCs w:val="13"/>
                <w:b w:val="1"/>
                <w:bCs w:val="1"/>
                <w:color w:val="auto"/>
                <w:w w:val="99"/>
              </w:rPr>
              <w:t>Fair Value of Plan Assets</w:t>
            </w:r>
          </w:p>
        </w:tc>
        <w:tc>
          <w:tcPr>
            <w:tcW w:w="1040" w:type="dxa"/>
            <w:vAlign w:val="bottom"/>
            <w:shd w:val="clear" w:color="auto" w:fill="CCEEFF"/>
          </w:tcPr>
          <w:p>
            <w:pPr>
              <w:spacing w:after="0"/>
              <w:rPr>
                <w:sz w:val="16"/>
                <w:szCs w:val="16"/>
                <w:color w:val="auto"/>
              </w:rPr>
            </w:pPr>
          </w:p>
        </w:tc>
      </w:tr>
      <w:tr>
        <w:trPr>
          <w:trHeight w:val="191"/>
        </w:trPr>
        <w:tc>
          <w:tcPr>
            <w:tcW w:w="4600" w:type="dxa"/>
            <w:vAlign w:val="bottom"/>
            <w:tcBorders>
              <w:bottom w:val="single" w:sz="8" w:color="auto"/>
            </w:tcBorders>
            <w:shd w:val="clear" w:color="auto" w:fill="CCEEFF"/>
          </w:tcPr>
          <w:p>
            <w:pPr>
              <w:spacing w:after="0"/>
              <w:rPr>
                <w:sz w:val="16"/>
                <w:szCs w:val="16"/>
                <w:color w:val="auto"/>
              </w:rPr>
            </w:pPr>
          </w:p>
        </w:tc>
        <w:tc>
          <w:tcPr>
            <w:tcW w:w="3500" w:type="dxa"/>
            <w:vAlign w:val="bottom"/>
            <w:tcBorders>
              <w:bottom w:val="single" w:sz="8" w:color="auto"/>
            </w:tcBorders>
            <w:shd w:val="clear" w:color="auto" w:fill="CCEEFF"/>
          </w:tcPr>
          <w:p>
            <w:pPr>
              <w:spacing w:after="0"/>
              <w:rPr>
                <w:sz w:val="16"/>
                <w:szCs w:val="16"/>
                <w:color w:val="auto"/>
              </w:rPr>
            </w:pPr>
          </w:p>
        </w:tc>
        <w:tc>
          <w:tcPr>
            <w:tcW w:w="21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Total</w:t>
            </w:r>
          </w:p>
        </w:tc>
      </w:tr>
      <w:tr>
        <w:trPr>
          <w:trHeight w:val="192"/>
        </w:trPr>
        <w:tc>
          <w:tcPr>
            <w:tcW w:w="4600" w:type="dxa"/>
            <w:vAlign w:val="bottom"/>
          </w:tcPr>
          <w:p>
            <w:pPr>
              <w:spacing w:after="0"/>
              <w:rPr>
                <w:sz w:val="16"/>
                <w:szCs w:val="16"/>
                <w:color w:val="auto"/>
              </w:rPr>
            </w:pPr>
          </w:p>
        </w:tc>
        <w:tc>
          <w:tcPr>
            <w:tcW w:w="350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2120" w:type="dxa"/>
            <w:vAlign w:val="bottom"/>
          </w:tcPr>
          <w:p>
            <w:pPr>
              <w:jc w:val="right"/>
              <w:ind w:right="496"/>
              <w:spacing w:after="0"/>
              <w:rPr>
                <w:sz w:val="20"/>
                <w:szCs w:val="20"/>
                <w:color w:val="auto"/>
              </w:rPr>
            </w:pPr>
            <w:r>
              <w:rPr>
                <w:rFonts w:ascii="Arial" w:cs="Arial" w:eastAsia="Arial" w:hAnsi="Arial"/>
                <w:sz w:val="13"/>
                <w:szCs w:val="13"/>
                <w:b w:val="1"/>
                <w:bCs w:val="1"/>
                <w:color w:val="auto"/>
              </w:rPr>
              <w:t>$’000</w:t>
            </w: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$’000</w:t>
            </w:r>
          </w:p>
        </w:tc>
      </w:tr>
      <w:tr>
        <w:trPr>
          <w:trHeight w:val="210"/>
        </w:trPr>
        <w:tc>
          <w:tcPr>
            <w:tcW w:w="460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169"/>
        </w:trPr>
        <w:tc>
          <w:tcPr>
            <w:tcW w:w="4600" w:type="dxa"/>
            <w:vAlign w:val="bottom"/>
          </w:tcPr>
          <w:p>
            <w:pPr>
              <w:ind w:left="20"/>
              <w:spacing w:after="0"/>
              <w:rPr>
                <w:sz w:val="20"/>
                <w:szCs w:val="20"/>
                <w:color w:val="auto"/>
              </w:rPr>
            </w:pPr>
            <w:r>
              <w:rPr>
                <w:rFonts w:ascii="Arial" w:cs="Arial" w:eastAsia="Arial" w:hAnsi="Arial"/>
                <w:sz w:val="13"/>
                <w:szCs w:val="13"/>
                <w:color w:val="auto"/>
              </w:rPr>
              <w:t>At 1 January 2020</w:t>
            </w:r>
          </w:p>
        </w:tc>
        <w:tc>
          <w:tcPr>
            <w:tcW w:w="3500" w:type="dxa"/>
            <w:vAlign w:val="bottom"/>
          </w:tcPr>
          <w:p>
            <w:pPr>
              <w:jc w:val="right"/>
              <w:ind w:right="36"/>
              <w:spacing w:after="0"/>
              <w:rPr>
                <w:sz w:val="20"/>
                <w:szCs w:val="20"/>
                <w:color w:val="auto"/>
              </w:rPr>
            </w:pPr>
            <w:r>
              <w:rPr>
                <w:rFonts w:ascii="Arial" w:cs="Arial" w:eastAsia="Arial" w:hAnsi="Arial"/>
                <w:sz w:val="13"/>
                <w:szCs w:val="13"/>
                <w:color w:val="auto"/>
              </w:rPr>
              <w:t>(7,047)</w:t>
            </w:r>
          </w:p>
        </w:tc>
        <w:tc>
          <w:tcPr>
            <w:tcW w:w="2120" w:type="dxa"/>
            <w:vAlign w:val="bottom"/>
          </w:tcPr>
          <w:p>
            <w:pPr>
              <w:jc w:val="right"/>
              <w:ind w:right="556"/>
              <w:spacing w:after="0"/>
              <w:rPr>
                <w:sz w:val="20"/>
                <w:szCs w:val="20"/>
                <w:color w:val="auto"/>
              </w:rPr>
            </w:pPr>
            <w:r>
              <w:rPr>
                <w:rFonts w:ascii="Arial" w:cs="Arial" w:eastAsia="Arial" w:hAnsi="Arial"/>
                <w:sz w:val="13"/>
                <w:szCs w:val="13"/>
                <w:color w:val="auto"/>
              </w:rPr>
              <w:t>6,014</w:t>
            </w:r>
          </w:p>
        </w:tc>
        <w:tc>
          <w:tcPr>
            <w:tcW w:w="1040" w:type="dxa"/>
            <w:vAlign w:val="bottom"/>
          </w:tcPr>
          <w:p>
            <w:pPr>
              <w:jc w:val="right"/>
              <w:ind w:right="16"/>
              <w:spacing w:after="0"/>
              <w:rPr>
                <w:sz w:val="20"/>
                <w:szCs w:val="20"/>
                <w:color w:val="auto"/>
              </w:rPr>
            </w:pPr>
            <w:r>
              <w:rPr>
                <w:rFonts w:ascii="Arial" w:cs="Arial" w:eastAsia="Arial" w:hAnsi="Arial"/>
                <w:sz w:val="13"/>
                <w:szCs w:val="13"/>
                <w:color w:val="auto"/>
              </w:rPr>
              <w:t>(1,033)</w:t>
            </w:r>
          </w:p>
        </w:tc>
      </w:tr>
      <w:tr>
        <w:trPr>
          <w:trHeight w:val="171"/>
        </w:trPr>
        <w:tc>
          <w:tcPr>
            <w:tcW w:w="4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Current service costs</w:t>
            </w:r>
          </w:p>
        </w:tc>
        <w:tc>
          <w:tcPr>
            <w:tcW w:w="35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(139)</w:t>
            </w:r>
          </w:p>
        </w:tc>
        <w:tc>
          <w:tcPr>
            <w:tcW w:w="2120" w:type="dxa"/>
            <w:vAlign w:val="bottom"/>
            <w:shd w:val="clear" w:color="auto" w:fill="CCEEFF"/>
          </w:tcPr>
          <w:p>
            <w:pPr>
              <w:jc w:val="right"/>
              <w:ind w:right="556"/>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(139)</w:t>
            </w:r>
          </w:p>
        </w:tc>
      </w:tr>
      <w:tr>
        <w:trPr>
          <w:trHeight w:val="169"/>
        </w:trPr>
        <w:tc>
          <w:tcPr>
            <w:tcW w:w="4600" w:type="dxa"/>
            <w:vAlign w:val="bottom"/>
          </w:tcPr>
          <w:p>
            <w:pPr>
              <w:ind w:left="60"/>
              <w:spacing w:after="0"/>
              <w:rPr>
                <w:sz w:val="20"/>
                <w:szCs w:val="20"/>
                <w:color w:val="auto"/>
              </w:rPr>
            </w:pPr>
            <w:r>
              <w:rPr>
                <w:rFonts w:ascii="Arial" w:cs="Arial" w:eastAsia="Arial" w:hAnsi="Arial"/>
                <w:sz w:val="13"/>
                <w:szCs w:val="13"/>
                <w:color w:val="auto"/>
              </w:rPr>
              <w:t>Interest expense/(income)</w:t>
            </w:r>
          </w:p>
        </w:tc>
        <w:tc>
          <w:tcPr>
            <w:tcW w:w="3500" w:type="dxa"/>
            <w:vAlign w:val="bottom"/>
          </w:tcPr>
          <w:p>
            <w:pPr>
              <w:jc w:val="right"/>
              <w:ind w:right="36"/>
              <w:spacing w:after="0"/>
              <w:rPr>
                <w:sz w:val="20"/>
                <w:szCs w:val="20"/>
                <w:color w:val="auto"/>
              </w:rPr>
            </w:pPr>
            <w:r>
              <w:rPr>
                <w:rFonts w:ascii="Arial" w:cs="Arial" w:eastAsia="Arial" w:hAnsi="Arial"/>
                <w:sz w:val="13"/>
                <w:szCs w:val="13"/>
                <w:color w:val="auto"/>
              </w:rPr>
              <w:t>(21)</w:t>
            </w:r>
          </w:p>
        </w:tc>
        <w:tc>
          <w:tcPr>
            <w:tcW w:w="2120" w:type="dxa"/>
            <w:vAlign w:val="bottom"/>
          </w:tcPr>
          <w:p>
            <w:pPr>
              <w:jc w:val="right"/>
              <w:ind w:right="556"/>
              <w:spacing w:after="0"/>
              <w:rPr>
                <w:sz w:val="20"/>
                <w:szCs w:val="20"/>
                <w:color w:val="auto"/>
              </w:rPr>
            </w:pPr>
            <w:r>
              <w:rPr>
                <w:rFonts w:ascii="Arial" w:cs="Arial" w:eastAsia="Arial" w:hAnsi="Arial"/>
                <w:sz w:val="13"/>
                <w:szCs w:val="13"/>
                <w:color w:val="auto"/>
              </w:rPr>
              <w:t>18</w:t>
            </w:r>
          </w:p>
        </w:tc>
        <w:tc>
          <w:tcPr>
            <w:tcW w:w="1040" w:type="dxa"/>
            <w:vAlign w:val="bottom"/>
          </w:tcPr>
          <w:p>
            <w:pPr>
              <w:jc w:val="right"/>
              <w:ind w:right="16"/>
              <w:spacing w:after="0"/>
              <w:rPr>
                <w:sz w:val="20"/>
                <w:szCs w:val="20"/>
                <w:color w:val="auto"/>
              </w:rPr>
            </w:pPr>
            <w:r>
              <w:rPr>
                <w:rFonts w:ascii="Arial" w:cs="Arial" w:eastAsia="Arial" w:hAnsi="Arial"/>
                <w:sz w:val="13"/>
                <w:szCs w:val="13"/>
                <w:color w:val="auto"/>
              </w:rPr>
              <w:t>(3)</w:t>
            </w:r>
          </w:p>
        </w:tc>
      </w:tr>
      <w:tr>
        <w:trPr>
          <w:trHeight w:val="170"/>
        </w:trPr>
        <w:tc>
          <w:tcPr>
            <w:tcW w:w="46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Past service cost</w:t>
            </w:r>
          </w:p>
        </w:tc>
        <w:tc>
          <w:tcPr>
            <w:tcW w:w="35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23</w:t>
            </w:r>
          </w:p>
        </w:tc>
        <w:tc>
          <w:tcPr>
            <w:tcW w:w="212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23</w:t>
            </w:r>
          </w:p>
        </w:tc>
      </w:tr>
      <w:tr>
        <w:trPr>
          <w:trHeight w:val="162"/>
        </w:trPr>
        <w:tc>
          <w:tcPr>
            <w:tcW w:w="460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(7,184)</w:t>
            </w:r>
          </w:p>
        </w:tc>
        <w:tc>
          <w:tcPr>
            <w:tcW w:w="212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b w:val="1"/>
                <w:bCs w:val="1"/>
                <w:color w:val="auto"/>
              </w:rPr>
              <w:t>6,032</w:t>
            </w:r>
          </w:p>
        </w:tc>
        <w:tc>
          <w:tcPr>
            <w:tcW w:w="10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(1,152)</w:t>
            </w:r>
          </w:p>
        </w:tc>
      </w:tr>
      <w:tr>
        <w:trPr>
          <w:trHeight w:val="182"/>
        </w:trPr>
        <w:tc>
          <w:tcPr>
            <w:tcW w:w="4600" w:type="dxa"/>
            <w:vAlign w:val="bottom"/>
            <w:shd w:val="clear" w:color="auto" w:fill="CCEEFF"/>
          </w:tcPr>
          <w:p>
            <w:pPr>
              <w:spacing w:after="0"/>
              <w:rPr>
                <w:sz w:val="15"/>
                <w:szCs w:val="15"/>
                <w:color w:val="auto"/>
              </w:rPr>
            </w:pPr>
          </w:p>
        </w:tc>
        <w:tc>
          <w:tcPr>
            <w:tcW w:w="350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70"/>
        </w:trPr>
        <w:tc>
          <w:tcPr>
            <w:tcW w:w="4600" w:type="dxa"/>
            <w:vAlign w:val="bottom"/>
          </w:tcPr>
          <w:p>
            <w:pPr>
              <w:ind w:left="60"/>
              <w:spacing w:after="0"/>
              <w:rPr>
                <w:sz w:val="20"/>
                <w:szCs w:val="20"/>
                <w:color w:val="auto"/>
              </w:rPr>
            </w:pPr>
            <w:r>
              <w:rPr>
                <w:rFonts w:ascii="Arial" w:cs="Arial" w:eastAsia="Arial" w:hAnsi="Arial"/>
                <w:sz w:val="13"/>
                <w:szCs w:val="13"/>
                <w:b w:val="1"/>
                <w:bCs w:val="1"/>
                <w:color w:val="auto"/>
              </w:rPr>
              <w:t>Re-measurements</w:t>
            </w:r>
          </w:p>
        </w:tc>
        <w:tc>
          <w:tcPr>
            <w:tcW w:w="35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4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Experience adjustment</w:t>
            </w:r>
          </w:p>
        </w:tc>
        <w:tc>
          <w:tcPr>
            <w:tcW w:w="35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2120" w:type="dxa"/>
            <w:vAlign w:val="bottom"/>
            <w:shd w:val="clear" w:color="auto" w:fill="CCEEFF"/>
          </w:tcPr>
          <w:p>
            <w:pPr>
              <w:jc w:val="right"/>
              <w:ind w:right="556"/>
              <w:spacing w:after="0"/>
              <w:rPr>
                <w:sz w:val="20"/>
                <w:szCs w:val="20"/>
                <w:color w:val="auto"/>
              </w:rPr>
            </w:pPr>
            <w:r>
              <w:rPr>
                <w:rFonts w:ascii="Arial" w:cs="Arial" w:eastAsia="Arial" w:hAnsi="Arial"/>
                <w:sz w:val="13"/>
                <w:szCs w:val="13"/>
                <w:color w:val="auto"/>
              </w:rPr>
              <w:t>522</w:t>
            </w: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522</w:t>
            </w:r>
          </w:p>
        </w:tc>
      </w:tr>
      <w:tr>
        <w:trPr>
          <w:trHeight w:val="169"/>
        </w:trPr>
        <w:tc>
          <w:tcPr>
            <w:tcW w:w="4600" w:type="dxa"/>
            <w:vAlign w:val="bottom"/>
          </w:tcPr>
          <w:p>
            <w:pPr>
              <w:ind w:left="60"/>
              <w:spacing w:after="0"/>
              <w:rPr>
                <w:sz w:val="20"/>
                <w:szCs w:val="20"/>
                <w:color w:val="auto"/>
              </w:rPr>
            </w:pPr>
            <w:r>
              <w:rPr>
                <w:rFonts w:ascii="Arial" w:cs="Arial" w:eastAsia="Arial" w:hAnsi="Arial"/>
                <w:sz w:val="13"/>
                <w:szCs w:val="13"/>
                <w:color w:val="auto"/>
              </w:rPr>
              <w:t>Gain or loss from change in financial assumptions</w:t>
            </w:r>
          </w:p>
        </w:tc>
        <w:tc>
          <w:tcPr>
            <w:tcW w:w="3500" w:type="dxa"/>
            <w:vAlign w:val="bottom"/>
          </w:tcPr>
          <w:p>
            <w:pPr>
              <w:jc w:val="right"/>
              <w:ind w:right="36"/>
              <w:spacing w:after="0"/>
              <w:rPr>
                <w:sz w:val="20"/>
                <w:szCs w:val="20"/>
                <w:color w:val="auto"/>
              </w:rPr>
            </w:pPr>
            <w:r>
              <w:rPr>
                <w:rFonts w:ascii="Arial" w:cs="Arial" w:eastAsia="Arial" w:hAnsi="Arial"/>
                <w:sz w:val="13"/>
                <w:szCs w:val="13"/>
                <w:color w:val="auto"/>
              </w:rPr>
              <w:t>(177)</w:t>
            </w:r>
          </w:p>
        </w:tc>
        <w:tc>
          <w:tcPr>
            <w:tcW w:w="2120" w:type="dxa"/>
            <w:vAlign w:val="bottom"/>
          </w:tcPr>
          <w:p>
            <w:pPr>
              <w:jc w:val="right"/>
              <w:ind w:right="556"/>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6"/>
              <w:spacing w:after="0"/>
              <w:rPr>
                <w:sz w:val="20"/>
                <w:szCs w:val="20"/>
                <w:color w:val="auto"/>
              </w:rPr>
            </w:pPr>
            <w:r>
              <w:rPr>
                <w:rFonts w:ascii="Arial" w:cs="Arial" w:eastAsia="Arial" w:hAnsi="Arial"/>
                <w:sz w:val="13"/>
                <w:szCs w:val="13"/>
                <w:color w:val="auto"/>
              </w:rPr>
              <w:t>(177)</w:t>
            </w:r>
          </w:p>
        </w:tc>
      </w:tr>
      <w:tr>
        <w:trPr>
          <w:trHeight w:val="170"/>
        </w:trPr>
        <w:tc>
          <w:tcPr>
            <w:tcW w:w="46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Experience gain or loss</w:t>
            </w:r>
          </w:p>
        </w:tc>
        <w:tc>
          <w:tcPr>
            <w:tcW w:w="35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(229)</w:t>
            </w:r>
          </w:p>
        </w:tc>
        <w:tc>
          <w:tcPr>
            <w:tcW w:w="212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(229)</w:t>
            </w:r>
          </w:p>
        </w:tc>
      </w:tr>
      <w:tr>
        <w:trPr>
          <w:trHeight w:val="162"/>
        </w:trPr>
        <w:tc>
          <w:tcPr>
            <w:tcW w:w="460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(406)</w:t>
            </w:r>
          </w:p>
        </w:tc>
        <w:tc>
          <w:tcPr>
            <w:tcW w:w="212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b w:val="1"/>
                <w:bCs w:val="1"/>
                <w:color w:val="auto"/>
              </w:rPr>
              <w:t>522</w:t>
            </w:r>
          </w:p>
        </w:tc>
        <w:tc>
          <w:tcPr>
            <w:tcW w:w="10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116</w:t>
            </w:r>
          </w:p>
        </w:tc>
      </w:tr>
      <w:tr>
        <w:trPr>
          <w:trHeight w:val="160"/>
        </w:trPr>
        <w:tc>
          <w:tcPr>
            <w:tcW w:w="4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Exchange differences</w:t>
            </w:r>
          </w:p>
        </w:tc>
        <w:tc>
          <w:tcPr>
            <w:tcW w:w="35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(704)</w:t>
            </w:r>
          </w:p>
        </w:tc>
        <w:tc>
          <w:tcPr>
            <w:tcW w:w="2120" w:type="dxa"/>
            <w:vAlign w:val="bottom"/>
            <w:shd w:val="clear" w:color="auto" w:fill="CCEEFF"/>
          </w:tcPr>
          <w:p>
            <w:pPr>
              <w:jc w:val="right"/>
              <w:ind w:right="556"/>
              <w:spacing w:after="0"/>
              <w:rPr>
                <w:sz w:val="20"/>
                <w:szCs w:val="20"/>
                <w:color w:val="auto"/>
              </w:rPr>
            </w:pPr>
            <w:r>
              <w:rPr>
                <w:rFonts w:ascii="Arial" w:cs="Arial" w:eastAsia="Arial" w:hAnsi="Arial"/>
                <w:sz w:val="13"/>
                <w:szCs w:val="13"/>
                <w:color w:val="auto"/>
              </w:rPr>
              <w:t>616</w:t>
            </w: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(88)</w:t>
            </w:r>
          </w:p>
        </w:tc>
      </w:tr>
      <w:tr>
        <w:trPr>
          <w:trHeight w:val="170"/>
        </w:trPr>
        <w:tc>
          <w:tcPr>
            <w:tcW w:w="4600" w:type="dxa"/>
            <w:vAlign w:val="bottom"/>
          </w:tcPr>
          <w:p>
            <w:pPr>
              <w:ind w:left="60"/>
              <w:spacing w:after="0"/>
              <w:rPr>
                <w:sz w:val="20"/>
                <w:szCs w:val="20"/>
                <w:color w:val="auto"/>
              </w:rPr>
            </w:pPr>
            <w:r>
              <w:rPr>
                <w:rFonts w:ascii="Arial" w:cs="Arial" w:eastAsia="Arial" w:hAnsi="Arial"/>
                <w:sz w:val="13"/>
                <w:szCs w:val="13"/>
                <w:b w:val="1"/>
                <w:bCs w:val="1"/>
                <w:color w:val="auto"/>
              </w:rPr>
              <w:t>Contributions:</w:t>
            </w:r>
          </w:p>
        </w:tc>
        <w:tc>
          <w:tcPr>
            <w:tcW w:w="35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4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 Employers</w:t>
            </w:r>
          </w:p>
        </w:tc>
        <w:tc>
          <w:tcPr>
            <w:tcW w:w="35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2120" w:type="dxa"/>
            <w:vAlign w:val="bottom"/>
            <w:shd w:val="clear" w:color="auto" w:fill="CCEEFF"/>
          </w:tcPr>
          <w:p>
            <w:pPr>
              <w:jc w:val="right"/>
              <w:ind w:right="556"/>
              <w:spacing w:after="0"/>
              <w:rPr>
                <w:sz w:val="20"/>
                <w:szCs w:val="20"/>
                <w:color w:val="auto"/>
              </w:rPr>
            </w:pPr>
            <w:r>
              <w:rPr>
                <w:rFonts w:ascii="Arial" w:cs="Arial" w:eastAsia="Arial" w:hAnsi="Arial"/>
                <w:sz w:val="13"/>
                <w:szCs w:val="13"/>
                <w:color w:val="auto"/>
              </w:rPr>
              <w:t>105</w:t>
            </w: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105</w:t>
            </w:r>
          </w:p>
        </w:tc>
      </w:tr>
      <w:tr>
        <w:trPr>
          <w:trHeight w:val="169"/>
        </w:trPr>
        <w:tc>
          <w:tcPr>
            <w:tcW w:w="4600" w:type="dxa"/>
            <w:vAlign w:val="bottom"/>
          </w:tcPr>
          <w:p>
            <w:pPr>
              <w:ind w:left="60"/>
              <w:spacing w:after="0"/>
              <w:rPr>
                <w:sz w:val="20"/>
                <w:szCs w:val="20"/>
                <w:color w:val="auto"/>
              </w:rPr>
            </w:pPr>
            <w:r>
              <w:rPr>
                <w:rFonts w:ascii="Arial" w:cs="Arial" w:eastAsia="Arial" w:hAnsi="Arial"/>
                <w:sz w:val="13"/>
                <w:szCs w:val="13"/>
                <w:color w:val="auto"/>
              </w:rPr>
              <w:t>- Plan participants</w:t>
            </w:r>
          </w:p>
        </w:tc>
        <w:tc>
          <w:tcPr>
            <w:tcW w:w="3500" w:type="dxa"/>
            <w:vAlign w:val="bottom"/>
          </w:tcPr>
          <w:p>
            <w:pPr>
              <w:jc w:val="right"/>
              <w:ind w:right="36"/>
              <w:spacing w:after="0"/>
              <w:rPr>
                <w:sz w:val="20"/>
                <w:szCs w:val="20"/>
                <w:color w:val="auto"/>
              </w:rPr>
            </w:pPr>
            <w:r>
              <w:rPr>
                <w:rFonts w:ascii="Arial" w:cs="Arial" w:eastAsia="Arial" w:hAnsi="Arial"/>
                <w:sz w:val="13"/>
                <w:szCs w:val="13"/>
                <w:color w:val="auto"/>
              </w:rPr>
              <w:t>(81)</w:t>
            </w:r>
          </w:p>
        </w:tc>
        <w:tc>
          <w:tcPr>
            <w:tcW w:w="2120" w:type="dxa"/>
            <w:vAlign w:val="bottom"/>
          </w:tcPr>
          <w:p>
            <w:pPr>
              <w:jc w:val="right"/>
              <w:ind w:right="556"/>
              <w:spacing w:after="0"/>
              <w:rPr>
                <w:sz w:val="20"/>
                <w:szCs w:val="20"/>
                <w:color w:val="auto"/>
              </w:rPr>
            </w:pPr>
            <w:r>
              <w:rPr>
                <w:rFonts w:ascii="Arial" w:cs="Arial" w:eastAsia="Arial" w:hAnsi="Arial"/>
                <w:sz w:val="13"/>
                <w:szCs w:val="13"/>
                <w:color w:val="auto"/>
              </w:rPr>
              <w:t>81</w:t>
            </w:r>
          </w:p>
        </w:tc>
        <w:tc>
          <w:tcPr>
            <w:tcW w:w="1040" w:type="dxa"/>
            <w:vAlign w:val="bottom"/>
          </w:tcPr>
          <w:p>
            <w:pPr>
              <w:jc w:val="right"/>
              <w:ind w:right="16"/>
              <w:spacing w:after="0"/>
              <w:rPr>
                <w:sz w:val="20"/>
                <w:szCs w:val="20"/>
                <w:color w:val="auto"/>
              </w:rPr>
            </w:pPr>
            <w:r>
              <w:rPr>
                <w:rFonts w:ascii="Arial" w:cs="Arial" w:eastAsia="Arial" w:hAnsi="Arial"/>
                <w:sz w:val="13"/>
                <w:szCs w:val="13"/>
                <w:color w:val="auto"/>
              </w:rPr>
              <w:t>—</w:t>
            </w:r>
          </w:p>
        </w:tc>
      </w:tr>
      <w:tr>
        <w:trPr>
          <w:trHeight w:val="170"/>
        </w:trPr>
        <w:tc>
          <w:tcPr>
            <w:tcW w:w="46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Benefit payments</w:t>
            </w:r>
          </w:p>
        </w:tc>
        <w:tc>
          <w:tcPr>
            <w:tcW w:w="35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(245)</w:t>
            </w:r>
          </w:p>
        </w:tc>
        <w:tc>
          <w:tcPr>
            <w:tcW w:w="212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3"/>
                <w:szCs w:val="13"/>
                <w:color w:val="auto"/>
              </w:rPr>
              <w:t>245</w:t>
            </w:r>
          </w:p>
        </w:tc>
        <w:tc>
          <w:tcPr>
            <w:tcW w:w="10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r>
      <w:tr>
        <w:trPr>
          <w:trHeight w:val="162"/>
        </w:trPr>
        <w:tc>
          <w:tcPr>
            <w:tcW w:w="460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(326)</w:t>
            </w:r>
          </w:p>
        </w:tc>
        <w:tc>
          <w:tcPr>
            <w:tcW w:w="212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b w:val="1"/>
                <w:bCs w:val="1"/>
                <w:color w:val="auto"/>
              </w:rPr>
              <w:t>431</w:t>
            </w:r>
          </w:p>
        </w:tc>
        <w:tc>
          <w:tcPr>
            <w:tcW w:w="10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105</w:t>
            </w:r>
          </w:p>
        </w:tc>
      </w:tr>
      <w:tr>
        <w:trPr>
          <w:trHeight w:val="162"/>
        </w:trPr>
        <w:tc>
          <w:tcPr>
            <w:tcW w:w="4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At 31 December 2020</w:t>
            </w:r>
          </w:p>
        </w:tc>
        <w:tc>
          <w:tcPr>
            <w:tcW w:w="35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(8,620)</w:t>
            </w:r>
          </w:p>
        </w:tc>
        <w:tc>
          <w:tcPr>
            <w:tcW w:w="212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3"/>
                <w:szCs w:val="13"/>
                <w:b w:val="1"/>
                <w:bCs w:val="1"/>
                <w:color w:val="auto"/>
              </w:rPr>
              <w:t>7,601</w:t>
            </w:r>
          </w:p>
        </w:tc>
        <w:tc>
          <w:tcPr>
            <w:tcW w:w="10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(1,019)</w:t>
            </w:r>
          </w:p>
        </w:tc>
      </w:tr>
    </w:tbl>
    <w:p>
      <w:pPr>
        <w:spacing w:after="0" w:line="24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PRA Switzerland AG Pension Plan</w:t>
      </w:r>
    </w:p>
    <w:p>
      <w:pPr>
        <w:spacing w:after="0" w:line="201"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On 1 July 2021, the Company completed the Acquisition of PRA. PRA Switzerland AG, a subsidiary of the Company has a defined benefit plan covering its employees in Switzerland as mandated by the Swiss government. Benefits are based on the employee's years of service and compensation. The plan is managed externally and the related pension costs and liabilities are assessed in accordance with the advice of a professionally qualified actuary. Plan assets at 31 December 2021 consist of units held in independently administered funds.</w:t>
      </w:r>
    </w:p>
    <w:p>
      <w:pPr>
        <w:spacing w:after="0" w:line="19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Funding status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340" w:type="dxa"/>
            <w:vAlign w:val="bottom"/>
            <w:tcBorders>
              <w:bottom w:val="single" w:sz="8" w:color="auto"/>
            </w:tcBorders>
            <w:shd w:val="clear" w:color="auto" w:fill="CCEEFF"/>
          </w:tcPr>
          <w:p>
            <w:pPr>
              <w:spacing w:after="0"/>
              <w:rPr>
                <w:sz w:val="14"/>
                <w:szCs w:val="14"/>
                <w:color w:val="auto"/>
              </w:rPr>
            </w:pPr>
          </w:p>
        </w:tc>
        <w:tc>
          <w:tcPr>
            <w:tcW w:w="2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At 31 December 2021</w:t>
            </w:r>
          </w:p>
        </w:tc>
      </w:tr>
      <w:tr>
        <w:trPr>
          <w:trHeight w:val="160"/>
        </w:trPr>
        <w:tc>
          <w:tcPr>
            <w:tcW w:w="8340" w:type="dxa"/>
            <w:vAlign w:val="bottom"/>
          </w:tcPr>
          <w:p>
            <w:pPr>
              <w:spacing w:after="0"/>
              <w:rPr>
                <w:sz w:val="13"/>
                <w:szCs w:val="13"/>
                <w:color w:val="auto"/>
              </w:rPr>
            </w:pPr>
          </w:p>
        </w:tc>
        <w:tc>
          <w:tcPr>
            <w:tcW w:w="2920" w:type="dxa"/>
            <w:vAlign w:val="bottom"/>
          </w:tcPr>
          <w:p>
            <w:pPr>
              <w:jc w:val="right"/>
              <w:spacing w:after="0"/>
              <w:rPr>
                <w:sz w:val="20"/>
                <w:szCs w:val="20"/>
                <w:color w:val="auto"/>
              </w:rPr>
            </w:pPr>
            <w:r>
              <w:rPr>
                <w:rFonts w:ascii="Arial" w:cs="Arial" w:eastAsia="Arial" w:hAnsi="Arial"/>
                <w:sz w:val="13"/>
                <w:szCs w:val="13"/>
                <w:b w:val="1"/>
                <w:bCs w:val="1"/>
                <w:color w:val="auto"/>
              </w:rPr>
              <w:t>$’000</w:t>
            </w:r>
          </w:p>
        </w:tc>
      </w:tr>
      <w:tr>
        <w:trPr>
          <w:trHeight w:val="170"/>
        </w:trPr>
        <w:tc>
          <w:tcPr>
            <w:tcW w:w="8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Projected benefit obligation</w:t>
            </w:r>
          </w:p>
        </w:tc>
        <w:tc>
          <w:tcPr>
            <w:tcW w:w="29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(4,990)</w:t>
            </w:r>
          </w:p>
        </w:tc>
      </w:tr>
      <w:tr>
        <w:trPr>
          <w:trHeight w:val="171"/>
        </w:trPr>
        <w:tc>
          <w:tcPr>
            <w:tcW w:w="83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Fair value of plan assets</w:t>
            </w:r>
          </w:p>
        </w:tc>
        <w:tc>
          <w:tcPr>
            <w:tcW w:w="2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3,017</w:t>
            </w:r>
          </w:p>
        </w:tc>
      </w:tr>
      <w:tr>
        <w:trPr>
          <w:trHeight w:val="171"/>
        </w:trPr>
        <w:tc>
          <w:tcPr>
            <w:tcW w:w="8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Retirement benefit plan net obligation</w:t>
            </w:r>
          </w:p>
        </w:tc>
        <w:tc>
          <w:tcPr>
            <w:tcW w:w="2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(1,973)</w:t>
            </w:r>
          </w:p>
        </w:tc>
      </w:tr>
    </w:tbl>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ectPr>
          <w:pgSz w:w="11900" w:h="16838" w:orient="portrait"/>
          <w:cols w:equalWidth="0" w:num="1">
            <w:col w:w="11280"/>
          </w:cols>
          <w:pgMar w:left="300" w:top="698" w:right="319" w:bottom="1440" w:gutter="0" w:footer="0" w:header="0"/>
        </w:sectPr>
      </w:pPr>
    </w:p>
    <w:bookmarkStart w:id="95" w:name="page96"/>
    <w:bookmarkEnd w:id="95"/>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190" w:lineRule="exact"/>
        <w:rPr>
          <w:sz w:val="20"/>
          <w:szCs w:val="20"/>
          <w:color w:val="auto"/>
        </w:rPr>
      </w:pPr>
    </w:p>
    <w:p>
      <w:pPr>
        <w:spacing w:after="0"/>
        <w:tabs>
          <w:tab w:leader="none" w:pos="300" w:val="left"/>
        </w:tabs>
        <w:rPr>
          <w:sz w:val="20"/>
          <w:szCs w:val="20"/>
          <w:color w:val="auto"/>
        </w:rPr>
      </w:pPr>
      <w:r>
        <w:rPr>
          <w:rFonts w:ascii="Arial" w:cs="Arial" w:eastAsia="Arial" w:hAnsi="Arial"/>
          <w:sz w:val="13"/>
          <w:szCs w:val="13"/>
          <w:b w:val="1"/>
          <w:bCs w:val="1"/>
          <w:color w:val="auto"/>
        </w:rPr>
        <w:t>10.</w:t>
      </w:r>
      <w:r>
        <w:rPr>
          <w:sz w:val="20"/>
          <w:szCs w:val="20"/>
          <w:color w:val="auto"/>
        </w:rPr>
        <w:tab/>
      </w:r>
      <w:r>
        <w:rPr>
          <w:rFonts w:ascii="Arial" w:cs="Arial" w:eastAsia="Arial" w:hAnsi="Arial"/>
          <w:sz w:val="12"/>
          <w:szCs w:val="12"/>
          <w:b w:val="1"/>
          <w:bCs w:val="1"/>
          <w:color w:val="auto"/>
        </w:rPr>
        <w:t>Retirement benefit obligations (</w:t>
      </w:r>
      <w:r>
        <w:rPr>
          <w:rFonts w:ascii="Arial" w:cs="Arial" w:eastAsia="Arial" w:hAnsi="Arial"/>
          <w:sz w:val="12"/>
          <w:szCs w:val="12"/>
          <w:b w:val="1"/>
          <w:bCs w:val="1"/>
          <w:i w:val="1"/>
          <w:iCs w:val="1"/>
          <w:color w:val="auto"/>
        </w:rPr>
        <w:t>continued</w:t>
      </w:r>
      <w:r>
        <w:rPr>
          <w:rFonts w:ascii="Arial" w:cs="Arial" w:eastAsia="Arial" w:hAnsi="Arial"/>
          <w:sz w:val="12"/>
          <w:szCs w:val="12"/>
          <w:b w:val="1"/>
          <w:bCs w:val="1"/>
          <w:color w:val="auto"/>
        </w:rPr>
        <w:t>)</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3"/>
          <w:szCs w:val="13"/>
          <w:color w:val="auto"/>
        </w:rPr>
        <w:t>Movement in the net benefit obligation recognised in non-current other liabilities was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40" w:type="dxa"/>
            <w:vAlign w:val="bottom"/>
            <w:shd w:val="clear" w:color="auto" w:fill="CCEEFF"/>
          </w:tcPr>
          <w:p>
            <w:pPr>
              <w:spacing w:after="0"/>
              <w:rPr>
                <w:sz w:val="16"/>
                <w:szCs w:val="16"/>
                <w:color w:val="auto"/>
              </w:rPr>
            </w:pPr>
          </w:p>
        </w:tc>
        <w:tc>
          <w:tcPr>
            <w:tcW w:w="42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Present Value of Obligations</w:t>
            </w:r>
          </w:p>
        </w:tc>
        <w:tc>
          <w:tcPr>
            <w:tcW w:w="2140" w:type="dxa"/>
            <w:vAlign w:val="bottom"/>
            <w:shd w:val="clear" w:color="auto" w:fill="CCEEFF"/>
          </w:tcPr>
          <w:p>
            <w:pPr>
              <w:jc w:val="right"/>
              <w:ind w:right="516"/>
              <w:spacing w:after="0"/>
              <w:rPr>
                <w:sz w:val="20"/>
                <w:szCs w:val="20"/>
                <w:color w:val="auto"/>
              </w:rPr>
            </w:pPr>
            <w:r>
              <w:rPr>
                <w:rFonts w:ascii="Arial" w:cs="Arial" w:eastAsia="Arial" w:hAnsi="Arial"/>
                <w:sz w:val="13"/>
                <w:szCs w:val="13"/>
                <w:b w:val="1"/>
                <w:bCs w:val="1"/>
                <w:color w:val="auto"/>
                <w:w w:val="99"/>
              </w:rPr>
              <w:t>Fair Value of Plan Assets</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04"/>
        </w:trPr>
        <w:tc>
          <w:tcPr>
            <w:tcW w:w="3840" w:type="dxa"/>
            <w:vAlign w:val="bottom"/>
            <w:tcBorders>
              <w:bottom w:val="single" w:sz="8" w:color="auto"/>
            </w:tcBorders>
            <w:shd w:val="clear" w:color="auto" w:fill="CCEEFF"/>
          </w:tcPr>
          <w:p>
            <w:pPr>
              <w:spacing w:after="0"/>
              <w:rPr>
                <w:sz w:val="9"/>
                <w:szCs w:val="9"/>
                <w:color w:val="auto"/>
              </w:rPr>
            </w:pPr>
          </w:p>
        </w:tc>
        <w:tc>
          <w:tcPr>
            <w:tcW w:w="4260" w:type="dxa"/>
            <w:vAlign w:val="bottom"/>
            <w:tcBorders>
              <w:bottom w:val="single" w:sz="8" w:color="auto"/>
            </w:tcBorders>
            <w:shd w:val="clear" w:color="auto" w:fill="CCEEFF"/>
          </w:tcPr>
          <w:p>
            <w:pPr>
              <w:spacing w:after="0"/>
              <w:rPr>
                <w:sz w:val="9"/>
                <w:szCs w:val="9"/>
                <w:color w:val="auto"/>
              </w:rPr>
            </w:pPr>
          </w:p>
        </w:tc>
        <w:tc>
          <w:tcPr>
            <w:tcW w:w="2140" w:type="dxa"/>
            <w:vAlign w:val="bottom"/>
            <w:tcBorders>
              <w:bottom w:val="single" w:sz="8" w:color="auto"/>
            </w:tcBorders>
            <w:shd w:val="clear" w:color="auto" w:fill="CCEEFF"/>
          </w:tcPr>
          <w:p>
            <w:pPr>
              <w:spacing w:after="0"/>
              <w:rPr>
                <w:sz w:val="9"/>
                <w:szCs w:val="9"/>
                <w:color w:val="auto"/>
              </w:rPr>
            </w:pPr>
          </w:p>
        </w:tc>
        <w:tc>
          <w:tcPr>
            <w:tcW w:w="1020" w:type="dxa"/>
            <w:vAlign w:val="bottom"/>
            <w:tcBorders>
              <w:bottom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3840" w:type="dxa"/>
            <w:vAlign w:val="bottom"/>
          </w:tcPr>
          <w:p>
            <w:pPr>
              <w:spacing w:after="0"/>
              <w:rPr>
                <w:sz w:val="13"/>
                <w:szCs w:val="13"/>
                <w:color w:val="auto"/>
              </w:rPr>
            </w:pPr>
          </w:p>
        </w:tc>
        <w:tc>
          <w:tcPr>
            <w:tcW w:w="426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2140" w:type="dxa"/>
            <w:vAlign w:val="bottom"/>
          </w:tcPr>
          <w:p>
            <w:pPr>
              <w:jc w:val="right"/>
              <w:ind w:right="516"/>
              <w:spacing w:after="0"/>
              <w:rPr>
                <w:sz w:val="20"/>
                <w:szCs w:val="20"/>
                <w:color w:val="auto"/>
              </w:rPr>
            </w:pPr>
            <w:r>
              <w:rPr>
                <w:rFonts w:ascii="Arial" w:cs="Arial" w:eastAsia="Arial" w:hAnsi="Arial"/>
                <w:sz w:val="13"/>
                <w:szCs w:val="13"/>
                <w:b w:val="1"/>
                <w:bCs w:val="1"/>
                <w:color w:val="auto"/>
              </w:rPr>
              <w:t>$’000</w:t>
            </w: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0" w:type="dxa"/>
            <w:vAlign w:val="bottom"/>
          </w:tcPr>
          <w:p>
            <w:pPr>
              <w:spacing w:after="0"/>
              <w:rPr>
                <w:sz w:val="1"/>
                <w:szCs w:val="1"/>
                <w:color w:val="auto"/>
              </w:rPr>
            </w:pPr>
          </w:p>
        </w:tc>
      </w:tr>
      <w:tr>
        <w:trPr>
          <w:trHeight w:val="202"/>
        </w:trPr>
        <w:tc>
          <w:tcPr>
            <w:tcW w:w="3840" w:type="dxa"/>
            <w:vAlign w:val="bottom"/>
            <w:shd w:val="clear" w:color="auto" w:fill="CCEEFF"/>
          </w:tcPr>
          <w:p>
            <w:pPr>
              <w:spacing w:after="0"/>
              <w:rPr>
                <w:sz w:val="17"/>
                <w:szCs w:val="17"/>
                <w:color w:val="auto"/>
              </w:rPr>
            </w:pPr>
          </w:p>
        </w:tc>
        <w:tc>
          <w:tcPr>
            <w:tcW w:w="426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3840" w:type="dxa"/>
            <w:vAlign w:val="bottom"/>
          </w:tcPr>
          <w:p>
            <w:pPr>
              <w:ind w:left="20"/>
              <w:spacing w:after="0"/>
              <w:rPr>
                <w:sz w:val="20"/>
                <w:szCs w:val="20"/>
                <w:color w:val="auto"/>
              </w:rPr>
            </w:pPr>
            <w:r>
              <w:rPr>
                <w:rFonts w:ascii="Arial" w:cs="Arial" w:eastAsia="Arial" w:hAnsi="Arial"/>
                <w:sz w:val="13"/>
                <w:szCs w:val="13"/>
                <w:color w:val="auto"/>
              </w:rPr>
              <w:t>At 1 July 2021</w:t>
            </w:r>
          </w:p>
        </w:tc>
        <w:tc>
          <w:tcPr>
            <w:tcW w:w="4260" w:type="dxa"/>
            <w:vAlign w:val="bottom"/>
          </w:tcPr>
          <w:p>
            <w:pPr>
              <w:jc w:val="right"/>
              <w:spacing w:after="0"/>
              <w:rPr>
                <w:sz w:val="20"/>
                <w:szCs w:val="20"/>
                <w:color w:val="auto"/>
              </w:rPr>
            </w:pPr>
            <w:r>
              <w:rPr>
                <w:rFonts w:ascii="Arial" w:cs="Arial" w:eastAsia="Arial" w:hAnsi="Arial"/>
                <w:sz w:val="13"/>
                <w:szCs w:val="13"/>
                <w:color w:val="auto"/>
              </w:rPr>
              <w:t>(4,890)</w:t>
            </w:r>
          </w:p>
        </w:tc>
        <w:tc>
          <w:tcPr>
            <w:tcW w:w="2140" w:type="dxa"/>
            <w:vAlign w:val="bottom"/>
          </w:tcPr>
          <w:p>
            <w:pPr>
              <w:jc w:val="right"/>
              <w:ind w:right="556"/>
              <w:spacing w:after="0"/>
              <w:rPr>
                <w:sz w:val="20"/>
                <w:szCs w:val="20"/>
                <w:color w:val="auto"/>
              </w:rPr>
            </w:pPr>
            <w:r>
              <w:rPr>
                <w:rFonts w:ascii="Arial" w:cs="Arial" w:eastAsia="Arial" w:hAnsi="Arial"/>
                <w:sz w:val="13"/>
                <w:szCs w:val="13"/>
                <w:color w:val="auto"/>
              </w:rPr>
              <w:t>2,935</w:t>
            </w:r>
          </w:p>
        </w:tc>
        <w:tc>
          <w:tcPr>
            <w:tcW w:w="1020" w:type="dxa"/>
            <w:vAlign w:val="bottom"/>
          </w:tcPr>
          <w:p>
            <w:pPr>
              <w:jc w:val="right"/>
              <w:spacing w:after="0"/>
              <w:rPr>
                <w:sz w:val="20"/>
                <w:szCs w:val="20"/>
                <w:color w:val="auto"/>
              </w:rPr>
            </w:pPr>
            <w:r>
              <w:rPr>
                <w:rFonts w:ascii="Arial" w:cs="Arial" w:eastAsia="Arial" w:hAnsi="Arial"/>
                <w:sz w:val="13"/>
                <w:szCs w:val="13"/>
                <w:color w:val="auto"/>
              </w:rPr>
              <w:t>(1,955)</w:t>
            </w:r>
          </w:p>
        </w:tc>
        <w:tc>
          <w:tcPr>
            <w:tcW w:w="0" w:type="dxa"/>
            <w:vAlign w:val="bottom"/>
          </w:tcPr>
          <w:p>
            <w:pPr>
              <w:spacing w:after="0"/>
              <w:rPr>
                <w:sz w:val="1"/>
                <w:szCs w:val="1"/>
                <w:color w:val="auto"/>
              </w:rPr>
            </w:pPr>
          </w:p>
        </w:tc>
      </w:tr>
      <w:tr>
        <w:trPr>
          <w:trHeight w:val="171"/>
        </w:trPr>
        <w:tc>
          <w:tcPr>
            <w:tcW w:w="3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Current service cost</w:t>
            </w:r>
          </w:p>
        </w:tc>
        <w:tc>
          <w:tcPr>
            <w:tcW w:w="4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(207)</w:t>
            </w:r>
          </w:p>
        </w:tc>
        <w:tc>
          <w:tcPr>
            <w:tcW w:w="2140" w:type="dxa"/>
            <w:vAlign w:val="bottom"/>
            <w:shd w:val="clear" w:color="auto" w:fill="CCEEFF"/>
          </w:tcPr>
          <w:p>
            <w:pPr>
              <w:jc w:val="right"/>
              <w:ind w:right="556"/>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(207)</w:t>
            </w:r>
          </w:p>
        </w:tc>
        <w:tc>
          <w:tcPr>
            <w:tcW w:w="0" w:type="dxa"/>
            <w:vAlign w:val="bottom"/>
          </w:tcPr>
          <w:p>
            <w:pPr>
              <w:spacing w:after="0"/>
              <w:rPr>
                <w:sz w:val="1"/>
                <w:szCs w:val="1"/>
                <w:color w:val="auto"/>
              </w:rPr>
            </w:pPr>
          </w:p>
        </w:tc>
      </w:tr>
      <w:tr>
        <w:trPr>
          <w:trHeight w:val="169"/>
        </w:trPr>
        <w:tc>
          <w:tcPr>
            <w:tcW w:w="3840" w:type="dxa"/>
            <w:vAlign w:val="bottom"/>
          </w:tcPr>
          <w:p>
            <w:pPr>
              <w:ind w:left="20"/>
              <w:spacing w:after="0"/>
              <w:rPr>
                <w:sz w:val="20"/>
                <w:szCs w:val="20"/>
                <w:color w:val="auto"/>
              </w:rPr>
            </w:pPr>
            <w:r>
              <w:rPr>
                <w:rFonts w:ascii="Arial" w:cs="Arial" w:eastAsia="Arial" w:hAnsi="Arial"/>
                <w:sz w:val="13"/>
                <w:szCs w:val="13"/>
                <w:color w:val="auto"/>
              </w:rPr>
              <w:t>Interest expense</w:t>
            </w:r>
          </w:p>
        </w:tc>
        <w:tc>
          <w:tcPr>
            <w:tcW w:w="4260" w:type="dxa"/>
            <w:vAlign w:val="bottom"/>
          </w:tcPr>
          <w:p>
            <w:pPr>
              <w:jc w:val="right"/>
              <w:spacing w:after="0"/>
              <w:rPr>
                <w:sz w:val="20"/>
                <w:szCs w:val="20"/>
                <w:color w:val="auto"/>
              </w:rPr>
            </w:pPr>
            <w:r>
              <w:rPr>
                <w:rFonts w:ascii="Arial" w:cs="Arial" w:eastAsia="Arial" w:hAnsi="Arial"/>
                <w:sz w:val="13"/>
                <w:szCs w:val="13"/>
                <w:color w:val="auto"/>
              </w:rPr>
              <w:t>(19)</w:t>
            </w:r>
          </w:p>
        </w:tc>
        <w:tc>
          <w:tcPr>
            <w:tcW w:w="2140" w:type="dxa"/>
            <w:vAlign w:val="bottom"/>
          </w:tcPr>
          <w:p>
            <w:pPr>
              <w:jc w:val="right"/>
              <w:ind w:right="556"/>
              <w:spacing w:after="0"/>
              <w:rPr>
                <w:sz w:val="20"/>
                <w:szCs w:val="20"/>
                <w:color w:val="auto"/>
              </w:rPr>
            </w:pPr>
            <w:r>
              <w:rPr>
                <w:rFonts w:ascii="Arial" w:cs="Arial" w:eastAsia="Arial" w:hAnsi="Arial"/>
                <w:sz w:val="13"/>
                <w:szCs w:val="13"/>
                <w:color w:val="auto"/>
              </w:rPr>
              <w:t>11</w:t>
            </w:r>
          </w:p>
        </w:tc>
        <w:tc>
          <w:tcPr>
            <w:tcW w:w="1020" w:type="dxa"/>
            <w:vAlign w:val="bottom"/>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71"/>
        </w:trPr>
        <w:tc>
          <w:tcPr>
            <w:tcW w:w="3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Past service cost</w:t>
            </w:r>
          </w:p>
        </w:tc>
        <w:tc>
          <w:tcPr>
            <w:tcW w:w="42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w:t>
            </w:r>
          </w:p>
        </w:tc>
        <w:tc>
          <w:tcPr>
            <w:tcW w:w="214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3"/>
                <w:szCs w:val="13"/>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60"/>
        </w:trPr>
        <w:tc>
          <w:tcPr>
            <w:tcW w:w="3840" w:type="dxa"/>
            <w:vAlign w:val="bottom"/>
            <w:tcBorders>
              <w:bottom w:val="single" w:sz="8" w:color="auto"/>
            </w:tcBorders>
          </w:tcPr>
          <w:p>
            <w:pPr>
              <w:spacing w:after="0"/>
              <w:rPr>
                <w:sz w:val="13"/>
                <w:szCs w:val="13"/>
                <w:color w:val="auto"/>
              </w:rPr>
            </w:pPr>
          </w:p>
        </w:tc>
        <w:tc>
          <w:tcPr>
            <w:tcW w:w="42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(5,116)</w:t>
            </w:r>
          </w:p>
        </w:tc>
        <w:tc>
          <w:tcPr>
            <w:tcW w:w="214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b w:val="1"/>
                <w:bCs w:val="1"/>
                <w:color w:val="auto"/>
              </w:rPr>
              <w:t>2,946</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(2,170)</w:t>
            </w:r>
          </w:p>
        </w:tc>
        <w:tc>
          <w:tcPr>
            <w:tcW w:w="0" w:type="dxa"/>
            <w:vAlign w:val="bottom"/>
          </w:tcPr>
          <w:p>
            <w:pPr>
              <w:spacing w:after="0"/>
              <w:rPr>
                <w:sz w:val="1"/>
                <w:szCs w:val="1"/>
                <w:color w:val="auto"/>
              </w:rPr>
            </w:pPr>
          </w:p>
        </w:tc>
      </w:tr>
      <w:tr>
        <w:trPr>
          <w:trHeight w:val="160"/>
        </w:trPr>
        <w:tc>
          <w:tcPr>
            <w:tcW w:w="38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Re-measurements</w:t>
            </w:r>
          </w:p>
        </w:tc>
        <w:tc>
          <w:tcPr>
            <w:tcW w:w="4260" w:type="dxa"/>
            <w:vAlign w:val="bottom"/>
            <w:shd w:val="clear" w:color="auto" w:fill="CCEEFF"/>
          </w:tcPr>
          <w:p>
            <w:pPr>
              <w:spacing w:after="0"/>
              <w:rPr>
                <w:sz w:val="13"/>
                <w:szCs w:val="13"/>
                <w:color w:val="auto"/>
              </w:rPr>
            </w:pPr>
          </w:p>
        </w:tc>
        <w:tc>
          <w:tcPr>
            <w:tcW w:w="2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Experience gain or loss</w:t>
            </w:r>
          </w:p>
        </w:tc>
        <w:tc>
          <w:tcPr>
            <w:tcW w:w="4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214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color w:val="auto"/>
              </w:rPr>
              <w:t>3</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62"/>
        </w:trPr>
        <w:tc>
          <w:tcPr>
            <w:tcW w:w="3840" w:type="dxa"/>
            <w:vAlign w:val="bottom"/>
            <w:tcBorders>
              <w:bottom w:val="single" w:sz="8" w:color="auto"/>
            </w:tcBorders>
            <w:shd w:val="clear" w:color="auto" w:fill="CCEEFF"/>
          </w:tcPr>
          <w:p>
            <w:pPr>
              <w:spacing w:after="0"/>
              <w:rPr>
                <w:sz w:val="14"/>
                <w:szCs w:val="14"/>
                <w:color w:val="auto"/>
              </w:rPr>
            </w:pPr>
          </w:p>
        </w:tc>
        <w:tc>
          <w:tcPr>
            <w:tcW w:w="4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w:t>
            </w:r>
          </w:p>
        </w:tc>
        <w:tc>
          <w:tcPr>
            <w:tcW w:w="214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3"/>
                <w:szCs w:val="13"/>
                <w:b w:val="1"/>
                <w:bCs w:val="1"/>
                <w:color w:val="auto"/>
              </w:rPr>
              <w:t>3</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w:t>
            </w:r>
          </w:p>
        </w:tc>
        <w:tc>
          <w:tcPr>
            <w:tcW w:w="0" w:type="dxa"/>
            <w:vAlign w:val="bottom"/>
          </w:tcPr>
          <w:p>
            <w:pPr>
              <w:spacing w:after="0"/>
              <w:rPr>
                <w:sz w:val="1"/>
                <w:szCs w:val="1"/>
                <w:color w:val="auto"/>
              </w:rPr>
            </w:pPr>
          </w:p>
        </w:tc>
      </w:tr>
      <w:tr>
        <w:trPr>
          <w:trHeight w:val="159"/>
        </w:trPr>
        <w:tc>
          <w:tcPr>
            <w:tcW w:w="3840" w:type="dxa"/>
            <w:vAlign w:val="bottom"/>
          </w:tcPr>
          <w:p>
            <w:pPr>
              <w:ind w:left="20"/>
              <w:spacing w:after="0"/>
              <w:rPr>
                <w:sz w:val="20"/>
                <w:szCs w:val="20"/>
                <w:color w:val="auto"/>
              </w:rPr>
            </w:pPr>
            <w:r>
              <w:rPr>
                <w:rFonts w:ascii="Arial" w:cs="Arial" w:eastAsia="Arial" w:hAnsi="Arial"/>
                <w:sz w:val="13"/>
                <w:szCs w:val="13"/>
                <w:color w:val="auto"/>
              </w:rPr>
              <w:t>Exchange differences</w:t>
            </w:r>
          </w:p>
        </w:tc>
        <w:tc>
          <w:tcPr>
            <w:tcW w:w="4260" w:type="dxa"/>
            <w:vAlign w:val="bottom"/>
          </w:tcPr>
          <w:p>
            <w:pPr>
              <w:jc w:val="right"/>
              <w:ind w:right="16"/>
              <w:spacing w:after="0"/>
              <w:rPr>
                <w:sz w:val="20"/>
                <w:szCs w:val="20"/>
                <w:color w:val="auto"/>
              </w:rPr>
            </w:pPr>
            <w:r>
              <w:rPr>
                <w:rFonts w:ascii="Arial" w:cs="Arial" w:eastAsia="Arial" w:hAnsi="Arial"/>
                <w:sz w:val="13"/>
                <w:szCs w:val="13"/>
                <w:color w:val="auto"/>
              </w:rPr>
              <w:t>149</w:t>
            </w:r>
          </w:p>
        </w:tc>
        <w:tc>
          <w:tcPr>
            <w:tcW w:w="2140" w:type="dxa"/>
            <w:vAlign w:val="bottom"/>
          </w:tcPr>
          <w:p>
            <w:pPr>
              <w:jc w:val="right"/>
              <w:ind w:right="536"/>
              <w:spacing w:after="0"/>
              <w:rPr>
                <w:sz w:val="20"/>
                <w:szCs w:val="20"/>
                <w:color w:val="auto"/>
              </w:rPr>
            </w:pPr>
            <w:r>
              <w:rPr>
                <w:rFonts w:ascii="Arial" w:cs="Arial" w:eastAsia="Arial" w:hAnsi="Arial"/>
                <w:sz w:val="13"/>
                <w:szCs w:val="13"/>
                <w:color w:val="auto"/>
              </w:rPr>
              <w:t>(89)</w:t>
            </w:r>
          </w:p>
        </w:tc>
        <w:tc>
          <w:tcPr>
            <w:tcW w:w="1020" w:type="dxa"/>
            <w:vAlign w:val="bottom"/>
          </w:tcPr>
          <w:p>
            <w:pPr>
              <w:jc w:val="right"/>
              <w:spacing w:after="0"/>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171"/>
        </w:trPr>
        <w:tc>
          <w:tcPr>
            <w:tcW w:w="38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Contributions:</w:t>
            </w:r>
          </w:p>
        </w:tc>
        <w:tc>
          <w:tcPr>
            <w:tcW w:w="426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840" w:type="dxa"/>
            <w:vAlign w:val="bottom"/>
          </w:tcPr>
          <w:p>
            <w:pPr>
              <w:ind w:left="20"/>
              <w:spacing w:after="0"/>
              <w:rPr>
                <w:sz w:val="20"/>
                <w:szCs w:val="20"/>
                <w:color w:val="auto"/>
              </w:rPr>
            </w:pPr>
            <w:r>
              <w:rPr>
                <w:rFonts w:ascii="Arial" w:cs="Arial" w:eastAsia="Arial" w:hAnsi="Arial"/>
                <w:sz w:val="13"/>
                <w:szCs w:val="13"/>
                <w:color w:val="auto"/>
              </w:rPr>
              <w:t>Employers</w:t>
            </w:r>
          </w:p>
        </w:tc>
        <w:tc>
          <w:tcPr>
            <w:tcW w:w="426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140" w:type="dxa"/>
            <w:vAlign w:val="bottom"/>
          </w:tcPr>
          <w:p>
            <w:pPr>
              <w:jc w:val="right"/>
              <w:ind w:right="556"/>
              <w:spacing w:after="0"/>
              <w:rPr>
                <w:sz w:val="20"/>
                <w:szCs w:val="20"/>
                <w:color w:val="auto"/>
              </w:rPr>
            </w:pPr>
            <w:r>
              <w:rPr>
                <w:rFonts w:ascii="Arial" w:cs="Arial" w:eastAsia="Arial" w:hAnsi="Arial"/>
                <w:sz w:val="13"/>
                <w:szCs w:val="13"/>
                <w:color w:val="auto"/>
              </w:rPr>
              <w:t>135</w:t>
            </w:r>
          </w:p>
        </w:tc>
        <w:tc>
          <w:tcPr>
            <w:tcW w:w="1020" w:type="dxa"/>
            <w:vAlign w:val="bottom"/>
          </w:tcPr>
          <w:p>
            <w:pPr>
              <w:jc w:val="right"/>
              <w:spacing w:after="0"/>
              <w:rPr>
                <w:sz w:val="20"/>
                <w:szCs w:val="20"/>
                <w:color w:val="auto"/>
              </w:rPr>
            </w:pPr>
            <w:r>
              <w:rPr>
                <w:rFonts w:ascii="Arial" w:cs="Arial" w:eastAsia="Arial" w:hAnsi="Arial"/>
                <w:sz w:val="13"/>
                <w:szCs w:val="13"/>
                <w:color w:val="auto"/>
              </w:rPr>
              <w:t>135</w:t>
            </w:r>
          </w:p>
        </w:tc>
        <w:tc>
          <w:tcPr>
            <w:tcW w:w="0" w:type="dxa"/>
            <w:vAlign w:val="bottom"/>
          </w:tcPr>
          <w:p>
            <w:pPr>
              <w:spacing w:after="0"/>
              <w:rPr>
                <w:sz w:val="1"/>
                <w:szCs w:val="1"/>
                <w:color w:val="auto"/>
              </w:rPr>
            </w:pPr>
          </w:p>
        </w:tc>
      </w:tr>
      <w:tr>
        <w:trPr>
          <w:trHeight w:val="171"/>
        </w:trPr>
        <w:tc>
          <w:tcPr>
            <w:tcW w:w="3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Plan participants</w:t>
            </w:r>
          </w:p>
        </w:tc>
        <w:tc>
          <w:tcPr>
            <w:tcW w:w="4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w:t>
            </w:r>
          </w:p>
        </w:tc>
        <w:tc>
          <w:tcPr>
            <w:tcW w:w="2140" w:type="dxa"/>
            <w:vAlign w:val="bottom"/>
            <w:shd w:val="clear" w:color="auto" w:fill="CCEEFF"/>
          </w:tcPr>
          <w:p>
            <w:pPr>
              <w:jc w:val="right"/>
              <w:ind w:right="556"/>
              <w:spacing w:after="0"/>
              <w:rPr>
                <w:sz w:val="20"/>
                <w:szCs w:val="20"/>
                <w:color w:val="auto"/>
              </w:rPr>
            </w:pPr>
            <w:r>
              <w:rPr>
                <w:rFonts w:ascii="Arial" w:cs="Arial" w:eastAsia="Arial" w:hAnsi="Arial"/>
                <w:sz w:val="13"/>
                <w:szCs w:val="13"/>
                <w:color w:val="auto"/>
              </w:rPr>
              <w:t>135</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Benefit payments</w:t>
            </w:r>
          </w:p>
        </w:tc>
        <w:tc>
          <w:tcPr>
            <w:tcW w:w="42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113</w:t>
            </w:r>
          </w:p>
        </w:tc>
        <w:tc>
          <w:tcPr>
            <w:tcW w:w="214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color w:val="auto"/>
              </w:rPr>
              <w:t>(113)</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3840" w:type="dxa"/>
            <w:vAlign w:val="bottom"/>
            <w:tcBorders>
              <w:bottom w:val="single" w:sz="8" w:color="auto"/>
            </w:tcBorders>
            <w:shd w:val="clear" w:color="auto" w:fill="CCEEFF"/>
          </w:tcPr>
          <w:p>
            <w:pPr>
              <w:spacing w:after="0"/>
              <w:rPr>
                <w:sz w:val="14"/>
                <w:szCs w:val="14"/>
                <w:color w:val="auto"/>
              </w:rPr>
            </w:pPr>
          </w:p>
        </w:tc>
        <w:tc>
          <w:tcPr>
            <w:tcW w:w="4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(22)</w:t>
            </w:r>
          </w:p>
        </w:tc>
        <w:tc>
          <w:tcPr>
            <w:tcW w:w="214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3"/>
                <w:szCs w:val="13"/>
                <w:b w:val="1"/>
                <w:bCs w:val="1"/>
                <w:color w:val="auto"/>
              </w:rPr>
              <w:t>157</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135</w:t>
            </w:r>
          </w:p>
        </w:tc>
        <w:tc>
          <w:tcPr>
            <w:tcW w:w="0" w:type="dxa"/>
            <w:vAlign w:val="bottom"/>
          </w:tcPr>
          <w:p>
            <w:pPr>
              <w:spacing w:after="0"/>
              <w:rPr>
                <w:sz w:val="1"/>
                <w:szCs w:val="1"/>
                <w:color w:val="auto"/>
              </w:rPr>
            </w:pPr>
          </w:p>
        </w:tc>
      </w:tr>
      <w:tr>
        <w:trPr>
          <w:trHeight w:val="162"/>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At 31 December 2021</w:t>
            </w:r>
          </w:p>
        </w:tc>
        <w:tc>
          <w:tcPr>
            <w:tcW w:w="42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(4,990)</w:t>
            </w:r>
          </w:p>
        </w:tc>
        <w:tc>
          <w:tcPr>
            <w:tcW w:w="214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b w:val="1"/>
                <w:bCs w:val="1"/>
                <w:color w:val="auto"/>
              </w:rPr>
              <w:t>3,017</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(1,973)</w:t>
            </w:r>
          </w:p>
        </w:tc>
        <w:tc>
          <w:tcPr>
            <w:tcW w:w="0" w:type="dxa"/>
            <w:vAlign w:val="bottom"/>
          </w:tcPr>
          <w:p>
            <w:pPr>
              <w:spacing w:after="0"/>
              <w:rPr>
                <w:sz w:val="1"/>
                <w:szCs w:val="1"/>
                <w:color w:val="auto"/>
              </w:rPr>
            </w:pPr>
          </w:p>
        </w:tc>
      </w:tr>
    </w:tbl>
    <w:p>
      <w:pPr>
        <w:spacing w:after="0" w:line="244" w:lineRule="exact"/>
        <w:rPr>
          <w:sz w:val="20"/>
          <w:szCs w:val="20"/>
          <w:color w:val="auto"/>
        </w:rPr>
      </w:pPr>
    </w:p>
    <w:p>
      <w:pPr>
        <w:spacing w:after="0"/>
        <w:tabs>
          <w:tab w:leader="none" w:pos="300" w:val="left"/>
        </w:tabs>
        <w:rPr>
          <w:sz w:val="20"/>
          <w:szCs w:val="20"/>
          <w:color w:val="auto"/>
        </w:rPr>
      </w:pPr>
      <w:r>
        <w:rPr>
          <w:rFonts w:ascii="Arial" w:cs="Arial" w:eastAsia="Arial" w:hAnsi="Arial"/>
          <w:sz w:val="13"/>
          <w:szCs w:val="13"/>
          <w:b w:val="1"/>
          <w:bCs w:val="1"/>
          <w:color w:val="auto"/>
        </w:rPr>
        <w:t>11.</w:t>
      </w:r>
      <w:r>
        <w:rPr>
          <w:sz w:val="20"/>
          <w:szCs w:val="20"/>
          <w:color w:val="auto"/>
        </w:rPr>
        <w:tab/>
      </w:r>
      <w:r>
        <w:rPr>
          <w:rFonts w:ascii="Arial" w:cs="Arial" w:eastAsia="Arial" w:hAnsi="Arial"/>
          <w:sz w:val="12"/>
          <w:szCs w:val="12"/>
          <w:b w:val="1"/>
          <w:bCs w:val="1"/>
          <w:color w:val="auto"/>
        </w:rPr>
        <w:t>Share-based payments</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3"/>
          <w:szCs w:val="13"/>
          <w:i w:val="1"/>
          <w:iCs w:val="1"/>
          <w:color w:val="auto"/>
        </w:rPr>
        <w:t>Share Options</w:t>
      </w:r>
    </w:p>
    <w:p>
      <w:pPr>
        <w:spacing w:after="0" w:line="124"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On 21 July 2008 the Company adopted the Employee Share Option Plan 2008 (the “2008 Employee Plan”) pursuant to which the Compensation and Organisation Committee of the Company’s Board of Directors may grant options to any employee, or any director holding a salaried office or employment with the Company or a Subsidiary for the purchase of ordinary shares. On the same date, the Company also adopted the Consultants Share Option Plan 2008 (the “2008 Consultants Plan”), pursuant to which the Compensation and Organisation Committee of the Company’s Board of Directors may grant options to any consultant, adviser or non-Executive Director retained by the Company or any Subsidiary for the purchase of ordinary shares.</w:t>
      </w:r>
    </w:p>
    <w:p>
      <w:pPr>
        <w:spacing w:after="0" w:line="11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On 14 February 2017 both the 2008 Employee Plan and the 2008 Consultants Plan (together the “2008 Option Plans”) were amended and restated in order to increase the number of options that can be issued under the 2008 Consultants Plan from 0.4 million to 1.0 million and to extend the date for options to be granted under the 2008 Option Plans.</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An aggregate of 6.0 million ordinary shares have been reserved under the 2008 Employee Plan, as reduced by any shares issued or to be issued pursuant to options granted under the 2008 Consultants Plan, under which a limit of 1.0 million shares applies. Further, the maximum number of ordinary shares with respect to which options may be granted under the 2008 Employee Option Plan, during any calendar year to any employee shall be 0.4 million ordinary shares. There is no individual limit under the 2008 Consultants Plan. No options may be granted under the 2008 Option Plans after 14 February 2027.</w:t>
      </w:r>
    </w:p>
    <w:p>
      <w:pPr>
        <w:spacing w:after="0" w:line="112"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Each option granted under the 2008 Employees Plan or the 2008 Consultants Plan (together the “2008 Option plans”) will be evidenced by a Stock Option Agreement between the optionee and the Company. The exercise price will be specified in each Stock Option Agreement, however, option prices will not be less than 100% of the fair market value of an ordinary share on the date the option is granted.</w:t>
      </w:r>
    </w:p>
    <w:p>
      <w:pPr>
        <w:spacing w:after="0" w:line="9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On 17 January 2003 the Company adopted the Share Option Plan 2003 (“the 2003 Plan”), pursuant to which the Compensation and Organisation Committee of the Company’s Board of Directors could grant options to employees of the Company or its subsidiaries for the purchase of ordinary shares. Each grant of an option under the 2003 Plan was to be evidenced by a Stock Option Agreement between the individual and the Company. The exercise price was to be specified in each Stock Option Agreement; however, option prices could not be less than 100% of the fair market value of an ordinary share on the date the option was granted.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ectPr>
          <w:pgSz w:w="11900" w:h="16838" w:orient="portrait"/>
          <w:cols w:equalWidth="0" w:num="1">
            <w:col w:w="11280"/>
          </w:cols>
          <w:pgMar w:left="300" w:top="698" w:right="319" w:bottom="1440" w:gutter="0" w:footer="0" w:header="0"/>
        </w:sectPr>
      </w:pPr>
    </w:p>
    <w:bookmarkStart w:id="96" w:name="page97"/>
    <w:bookmarkEnd w:id="96"/>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190" w:lineRule="exact"/>
        <w:rPr>
          <w:sz w:val="20"/>
          <w:szCs w:val="20"/>
          <w:color w:val="auto"/>
        </w:rPr>
      </w:pPr>
    </w:p>
    <w:p>
      <w:pPr>
        <w:ind w:left="320" w:hanging="315"/>
        <w:spacing w:after="0"/>
        <w:tabs>
          <w:tab w:leader="none" w:pos="320" w:val="left"/>
        </w:tabs>
        <w:numPr>
          <w:ilvl w:val="0"/>
          <w:numId w:val="81"/>
        </w:numPr>
        <w:rPr>
          <w:rFonts w:ascii="Arial" w:cs="Arial" w:eastAsia="Arial" w:hAnsi="Arial"/>
          <w:sz w:val="13"/>
          <w:szCs w:val="13"/>
          <w:b w:val="1"/>
          <w:bCs w:val="1"/>
          <w:color w:val="auto"/>
        </w:rPr>
      </w:pPr>
      <w:r>
        <w:rPr>
          <w:rFonts w:ascii="Arial" w:cs="Arial" w:eastAsia="Arial" w:hAnsi="Arial"/>
          <w:sz w:val="13"/>
          <w:szCs w:val="13"/>
          <w:b w:val="1"/>
          <w:bCs w:val="1"/>
          <w:color w:val="auto"/>
        </w:rPr>
        <w:t>Share-based payments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202" w:lineRule="exact"/>
        <w:rPr>
          <w:sz w:val="20"/>
          <w:szCs w:val="20"/>
          <w:color w:val="auto"/>
        </w:rPr>
      </w:pPr>
    </w:p>
    <w:p>
      <w:pPr>
        <w:jc w:val="both"/>
        <w:spacing w:after="0" w:line="283" w:lineRule="auto"/>
        <w:rPr>
          <w:sz w:val="20"/>
          <w:szCs w:val="20"/>
          <w:color w:val="auto"/>
        </w:rPr>
      </w:pPr>
      <w:r>
        <w:rPr>
          <w:rFonts w:ascii="Arial" w:cs="Arial" w:eastAsia="Arial" w:hAnsi="Arial"/>
          <w:sz w:val="12"/>
          <w:szCs w:val="12"/>
          <w:color w:val="auto"/>
        </w:rPr>
        <w:t>An aggregate of 6.0 million ordinary shares were reserved under the 2003 Plan; and, in no event could the number of ordinary shares that may be issued pursuant to options awarded under the 2003 Plan exceed 10% of the outstanding shares, as defined in the 2003 Plan, at the time of the grant. Further, the maximum number of ordinary shares with respect to which options could be granted under the 2003 Plan during any calendar year to any employee was 0.4 million ordinary shares. The 2003 Share Option Plan expired on 17 January 2013. No new options may be granted under this plan.</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Legacy PRA Equity Incentive Plans</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The following represents the legacy PRA equity incentive plans, which still have equity outstanding but have been terminated as of 1 July 2021, as to grants of future awards.</w:t>
      </w:r>
    </w:p>
    <w:p>
      <w:pPr>
        <w:spacing w:after="0" w:line="190" w:lineRule="exact"/>
        <w:rPr>
          <w:sz w:val="20"/>
          <w:szCs w:val="20"/>
          <w:color w:val="auto"/>
        </w:rPr>
      </w:pPr>
    </w:p>
    <w:p>
      <w:pPr>
        <w:jc w:val="both"/>
        <w:spacing w:after="0" w:line="222" w:lineRule="auto"/>
        <w:rPr>
          <w:sz w:val="20"/>
          <w:szCs w:val="20"/>
          <w:color w:val="auto"/>
        </w:rPr>
      </w:pPr>
      <w:r>
        <w:rPr>
          <w:rFonts w:ascii="Arial" w:cs="Arial" w:eastAsia="Arial" w:hAnsi="Arial"/>
          <w:sz w:val="13"/>
          <w:szCs w:val="13"/>
          <w:color w:val="auto"/>
        </w:rPr>
        <w:t>Pursuant to the Merger Agreement, effective on 1 July 2021, each outstanding stock option and restricted stock unit under the PRA Plans was assumed by the Company and converted into a stock option or Restricted Share Unit exercisable for or payable in Ordinary Shares based on the ratio of the average trading price per Ordinary Share for the ten days prior to 1 July 2021, and the</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corresponding value of the Merger consideration for each PRA Share. Accordingly, the plans as detailed below were assumed by the Company.</w:t>
      </w:r>
    </w:p>
    <w:p>
      <w:pPr>
        <w:spacing w:after="0" w:line="167" w:lineRule="exact"/>
        <w:rPr>
          <w:sz w:val="20"/>
          <w:szCs w:val="20"/>
          <w:color w:val="auto"/>
        </w:rPr>
      </w:pPr>
    </w:p>
    <w:p>
      <w:pPr>
        <w:jc w:val="both"/>
        <w:spacing w:after="0" w:line="233" w:lineRule="auto"/>
        <w:rPr>
          <w:sz w:val="20"/>
          <w:szCs w:val="20"/>
          <w:color w:val="auto"/>
        </w:rPr>
      </w:pPr>
      <w:r>
        <w:rPr>
          <w:rFonts w:ascii="Arial" w:cs="Arial" w:eastAsia="Arial" w:hAnsi="Arial"/>
          <w:sz w:val="13"/>
          <w:szCs w:val="13"/>
          <w:color w:val="auto"/>
        </w:rPr>
        <w:t>PRA Health Sciences, Inc. 2020 Stock Incentive Plan was amended and restated and assumed by ICON effective as of 1 July 2021. The 2020 Stock Incentive Plan (“the 2020 Plan”), was approved by the PRA stockholders at their annual meeting on 18 May 2020. The 2020 Plan allowed for the issuance of stock options, stock appreciation rights, restricted shares and restricted stock units, other stock-based awards, and performance compensation awards as permitted by applicable laws. The 2020 Plan authorised the issuance of 2,500,000 shares of common stock plus all shares that remained available under the prior plan on 18 May 2020.</w:t>
      </w:r>
    </w:p>
    <w:p>
      <w:pPr>
        <w:spacing w:after="0" w:line="152" w:lineRule="exact"/>
        <w:rPr>
          <w:sz w:val="20"/>
          <w:szCs w:val="20"/>
          <w:color w:val="auto"/>
        </w:rPr>
      </w:pPr>
    </w:p>
    <w:p>
      <w:pPr>
        <w:jc w:val="both"/>
        <w:spacing w:after="0" w:line="233" w:lineRule="auto"/>
        <w:rPr>
          <w:sz w:val="20"/>
          <w:szCs w:val="20"/>
          <w:color w:val="auto"/>
        </w:rPr>
      </w:pPr>
      <w:r>
        <w:rPr>
          <w:rFonts w:ascii="Arial" w:cs="Arial" w:eastAsia="Arial" w:hAnsi="Arial"/>
          <w:sz w:val="13"/>
          <w:szCs w:val="13"/>
          <w:color w:val="auto"/>
        </w:rPr>
        <w:t>The PRA Health Sciences, Inc. 2018 Stock Incentive Plan was amended and restated and assumed by the Company effective as of 1 July 2021. The 2018 Stock Incentive Plan (the “2018 Plan”), was approved by the PRA stockholders at their annual meeting on 31 May 2018. The 2018 Plan allowed for the issuance of stock options, stock appreciation rights, restricted shares and restricted stock units, other stock-based awards, and performance compensation awards as permitted by applicable laws. The 2018 Plan authorised the issuance of 2,000,000 shares of common stock plus all shares that remained available under the 2014 Plan on 31 May 2018 (which included shares carried over from the 2013 Plan).</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color w:val="auto"/>
        </w:rPr>
        <w:t>The PRA Health Sciences, Inc. 2014 Omnibus Incentive Plan was amended and restated and assumed by the Company effective as of 1 July 2021 (the “2014 Plan”). On 23 November 2014, the PRA</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3"/>
          <w:szCs w:val="13"/>
          <w:color w:val="auto"/>
        </w:rPr>
        <w:t>Health Sciences, Inc. Board of Directors approved the formation of the 2014 Plan for Key PRA Employees. The 2014 Plan allowed for the issuance of stock options, stock appreciation rights, restricted shares and restricted stock units, other stock-based awards, and performance compensation awards as permitted by applicable laws.</w:t>
      </w:r>
    </w:p>
    <w:p>
      <w:pPr>
        <w:spacing w:after="0" w:line="163" w:lineRule="exact"/>
        <w:rPr>
          <w:sz w:val="20"/>
          <w:szCs w:val="20"/>
          <w:color w:val="auto"/>
        </w:rPr>
      </w:pPr>
    </w:p>
    <w:p>
      <w:pPr>
        <w:jc w:val="both"/>
        <w:spacing w:after="0" w:line="233" w:lineRule="auto"/>
        <w:rPr>
          <w:sz w:val="20"/>
          <w:szCs w:val="20"/>
          <w:color w:val="auto"/>
        </w:rPr>
      </w:pPr>
      <w:r>
        <w:rPr>
          <w:rFonts w:ascii="Arial" w:cs="Arial" w:eastAsia="Arial" w:hAnsi="Arial"/>
          <w:sz w:val="13"/>
          <w:szCs w:val="13"/>
          <w:color w:val="auto"/>
        </w:rPr>
        <w:t>The 2013 Stock Incentive Plan for Key Employees of PRA Health Sciences and its Subsidiaries was amended and restated and assumed by ICON effective as of 1 July 2021 (the “2013 Plan”). On 23 September 2013, the PRA Health Sciences, Inc. Board of Directors approved the formation of the 2013 Plan for Key Employees of Pinnacle Holdco Parent, Inc. and its subsidiaries. The 2013 Plan allowed for the issuance of stock options and other stock-based awards as permitted by applicable laws. The number of shares available for grant under the 2013 Plan was 12.5% of the outstanding shares at closing on a fully diluted basis. The 2013 Plan authorised the issuance of 2,052,909 shares of common stock.</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Overall</w:t>
      </w:r>
    </w:p>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Share option awards are granted with an exercise price equal to the market price of the Company’s ordinary shares at date of grant. Share options typically vest over a period of five years from date of grant and expire eight to ten years from date of grant. Share options granted to non-executive directors during 2018 vest over 12 months and expire eight years from the date of grant. The maximum contractual term of options outstanding at 31 December 2021 is ten years.</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Set out below is a summary of the total number of options outstanding and number of options available to grant under each plan as at 31 December 2021:</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60" w:type="dxa"/>
            <w:vAlign w:val="bottom"/>
            <w:tcBorders>
              <w:bottom w:val="single" w:sz="8" w:color="auto"/>
            </w:tcBorders>
            <w:shd w:val="clear" w:color="auto" w:fill="CCEEFF"/>
          </w:tcPr>
          <w:p>
            <w:pPr>
              <w:spacing w:after="0"/>
              <w:rPr>
                <w:sz w:val="14"/>
                <w:szCs w:val="14"/>
                <w:color w:val="auto"/>
              </w:rPr>
            </w:pPr>
          </w:p>
        </w:tc>
        <w:tc>
          <w:tcPr>
            <w:tcW w:w="36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Outstanding</w:t>
            </w:r>
          </w:p>
        </w:tc>
        <w:tc>
          <w:tcPr>
            <w:tcW w:w="1280" w:type="dxa"/>
            <w:vAlign w:val="bottom"/>
            <w:tcBorders>
              <w:bottom w:val="single" w:sz="8" w:color="auto"/>
            </w:tcBorders>
            <w:shd w:val="clear" w:color="auto" w:fill="CCEEFF"/>
          </w:tcPr>
          <w:p>
            <w:pPr>
              <w:spacing w:after="0"/>
              <w:rPr>
                <w:sz w:val="14"/>
                <w:szCs w:val="14"/>
                <w:color w:val="auto"/>
              </w:rPr>
            </w:pPr>
          </w:p>
        </w:tc>
        <w:tc>
          <w:tcPr>
            <w:tcW w:w="17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Available to Grant</w:t>
            </w:r>
          </w:p>
        </w:tc>
        <w:tc>
          <w:tcPr>
            <w:tcW w:w="860" w:type="dxa"/>
            <w:vAlign w:val="bottom"/>
            <w:tcBorders>
              <w:bottom w:val="single" w:sz="8" w:color="auto"/>
            </w:tcBorders>
            <w:shd w:val="clear" w:color="auto" w:fill="CCEEFF"/>
          </w:tcPr>
          <w:p>
            <w:pPr>
              <w:spacing w:after="0"/>
              <w:rPr>
                <w:sz w:val="14"/>
                <w:szCs w:val="14"/>
                <w:color w:val="auto"/>
              </w:rPr>
            </w:pPr>
          </w:p>
        </w:tc>
      </w:tr>
      <w:tr>
        <w:trPr>
          <w:trHeight w:val="118"/>
        </w:trPr>
        <w:tc>
          <w:tcPr>
            <w:tcW w:w="3760" w:type="dxa"/>
            <w:vAlign w:val="bottom"/>
          </w:tcPr>
          <w:p>
            <w:pPr>
              <w:spacing w:after="0"/>
              <w:rPr>
                <w:sz w:val="10"/>
                <w:szCs w:val="10"/>
                <w:color w:val="auto"/>
              </w:rPr>
            </w:pPr>
          </w:p>
        </w:tc>
        <w:tc>
          <w:tcPr>
            <w:tcW w:w="3600" w:type="dxa"/>
            <w:vAlign w:val="bottom"/>
          </w:tcPr>
          <w:p>
            <w:pPr>
              <w:jc w:val="right"/>
              <w:ind w:right="496"/>
              <w:spacing w:after="0" w:line="118" w:lineRule="exact"/>
              <w:rPr>
                <w:sz w:val="20"/>
                <w:szCs w:val="20"/>
                <w:color w:val="auto"/>
              </w:rPr>
            </w:pPr>
            <w:r>
              <w:rPr>
                <w:rFonts w:ascii="Arial" w:cs="Arial" w:eastAsia="Arial" w:hAnsi="Arial"/>
                <w:sz w:val="13"/>
                <w:szCs w:val="13"/>
                <w:b w:val="1"/>
                <w:bCs w:val="1"/>
                <w:color w:val="auto"/>
              </w:rPr>
              <w:t>31 December</w:t>
            </w:r>
          </w:p>
        </w:tc>
        <w:tc>
          <w:tcPr>
            <w:tcW w:w="1280" w:type="dxa"/>
            <w:vAlign w:val="bottom"/>
          </w:tcPr>
          <w:p>
            <w:pPr>
              <w:jc w:val="right"/>
              <w:ind w:right="296"/>
              <w:spacing w:after="0" w:line="118" w:lineRule="exact"/>
              <w:rPr>
                <w:sz w:val="20"/>
                <w:szCs w:val="20"/>
                <w:color w:val="auto"/>
              </w:rPr>
            </w:pPr>
            <w:r>
              <w:rPr>
                <w:rFonts w:ascii="Arial" w:cs="Arial" w:eastAsia="Arial" w:hAnsi="Arial"/>
                <w:sz w:val="13"/>
                <w:szCs w:val="13"/>
                <w:color w:val="auto"/>
              </w:rPr>
              <w:t>31 December</w:t>
            </w:r>
          </w:p>
        </w:tc>
        <w:tc>
          <w:tcPr>
            <w:tcW w:w="1780" w:type="dxa"/>
            <w:vAlign w:val="bottom"/>
          </w:tcPr>
          <w:p>
            <w:pPr>
              <w:jc w:val="right"/>
              <w:ind w:right="576"/>
              <w:spacing w:after="0" w:line="118" w:lineRule="exact"/>
              <w:rPr>
                <w:sz w:val="20"/>
                <w:szCs w:val="20"/>
                <w:color w:val="auto"/>
              </w:rPr>
            </w:pPr>
            <w:r>
              <w:rPr>
                <w:rFonts w:ascii="Arial" w:cs="Arial" w:eastAsia="Arial" w:hAnsi="Arial"/>
                <w:sz w:val="13"/>
                <w:szCs w:val="13"/>
                <w:b w:val="1"/>
                <w:bCs w:val="1"/>
                <w:color w:val="auto"/>
              </w:rPr>
              <w:t>31 December</w:t>
            </w:r>
          </w:p>
        </w:tc>
        <w:tc>
          <w:tcPr>
            <w:tcW w:w="860" w:type="dxa"/>
            <w:vAlign w:val="bottom"/>
          </w:tcPr>
          <w:p>
            <w:pPr>
              <w:jc w:val="right"/>
              <w:spacing w:after="0" w:line="118" w:lineRule="exact"/>
              <w:rPr>
                <w:sz w:val="20"/>
                <w:szCs w:val="20"/>
                <w:color w:val="auto"/>
              </w:rPr>
            </w:pPr>
            <w:r>
              <w:rPr>
                <w:rFonts w:ascii="Arial" w:cs="Arial" w:eastAsia="Arial" w:hAnsi="Arial"/>
                <w:sz w:val="13"/>
                <w:szCs w:val="13"/>
                <w:color w:val="auto"/>
              </w:rPr>
              <w:t>31 December</w:t>
            </w:r>
          </w:p>
        </w:tc>
      </w:tr>
      <w:tr>
        <w:trPr>
          <w:trHeight w:val="170"/>
        </w:trPr>
        <w:tc>
          <w:tcPr>
            <w:tcW w:w="3760" w:type="dxa"/>
            <w:vAlign w:val="bottom"/>
            <w:tcBorders>
              <w:bottom w:val="single" w:sz="8" w:color="auto"/>
            </w:tcBorders>
          </w:tcPr>
          <w:p>
            <w:pPr>
              <w:spacing w:after="0"/>
              <w:rPr>
                <w:sz w:val="14"/>
                <w:szCs w:val="14"/>
                <w:color w:val="auto"/>
              </w:rPr>
            </w:pPr>
          </w:p>
        </w:tc>
        <w:tc>
          <w:tcPr>
            <w:tcW w:w="360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2021</w:t>
            </w:r>
          </w:p>
        </w:tc>
        <w:tc>
          <w:tcPr>
            <w:tcW w:w="128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rPr>
              <w:t>2020</w:t>
            </w:r>
          </w:p>
        </w:tc>
        <w:tc>
          <w:tcPr>
            <w:tcW w:w="1780" w:type="dxa"/>
            <w:vAlign w:val="bottom"/>
            <w:tcBorders>
              <w:bottom w:val="single" w:sz="8" w:color="auto"/>
            </w:tcBorders>
          </w:tcPr>
          <w:p>
            <w:pPr>
              <w:jc w:val="right"/>
              <w:ind w:right="576"/>
              <w:spacing w:after="0"/>
              <w:rPr>
                <w:sz w:val="20"/>
                <w:szCs w:val="20"/>
                <w:color w:val="auto"/>
              </w:rPr>
            </w:pPr>
            <w:r>
              <w:rPr>
                <w:rFonts w:ascii="Arial" w:cs="Arial" w:eastAsia="Arial" w:hAnsi="Arial"/>
                <w:sz w:val="13"/>
                <w:szCs w:val="13"/>
                <w:b w:val="1"/>
                <w:bCs w:val="1"/>
                <w:color w:val="auto"/>
              </w:rPr>
              <w:t>2021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2020</w:t>
            </w:r>
          </w:p>
        </w:tc>
      </w:tr>
      <w:tr>
        <w:trPr>
          <w:trHeight w:val="182"/>
        </w:trPr>
        <w:tc>
          <w:tcPr>
            <w:tcW w:w="3760" w:type="dxa"/>
            <w:vAlign w:val="bottom"/>
            <w:shd w:val="clear" w:color="auto" w:fill="CCEEFF"/>
          </w:tcPr>
          <w:p>
            <w:pPr>
              <w:spacing w:after="0"/>
              <w:rPr>
                <w:sz w:val="15"/>
                <w:szCs w:val="15"/>
                <w:color w:val="auto"/>
              </w:rPr>
            </w:pPr>
          </w:p>
        </w:tc>
        <w:tc>
          <w:tcPr>
            <w:tcW w:w="36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70"/>
        </w:trPr>
        <w:tc>
          <w:tcPr>
            <w:tcW w:w="3760" w:type="dxa"/>
            <w:vAlign w:val="bottom"/>
          </w:tcPr>
          <w:p>
            <w:pPr>
              <w:ind w:left="20"/>
              <w:spacing w:after="0"/>
              <w:rPr>
                <w:sz w:val="20"/>
                <w:szCs w:val="20"/>
                <w:color w:val="auto"/>
              </w:rPr>
            </w:pPr>
            <w:r>
              <w:rPr>
                <w:rFonts w:ascii="Arial" w:cs="Arial" w:eastAsia="Arial" w:hAnsi="Arial"/>
                <w:sz w:val="13"/>
                <w:szCs w:val="13"/>
                <w:color w:val="auto"/>
              </w:rPr>
              <w:t>2008 Stock Option Plans *</w:t>
            </w:r>
          </w:p>
        </w:tc>
        <w:tc>
          <w:tcPr>
            <w:tcW w:w="3600" w:type="dxa"/>
            <w:vAlign w:val="bottom"/>
          </w:tcPr>
          <w:p>
            <w:pPr>
              <w:jc w:val="right"/>
              <w:ind w:right="536"/>
              <w:spacing w:after="0"/>
              <w:rPr>
                <w:sz w:val="20"/>
                <w:szCs w:val="20"/>
                <w:color w:val="auto"/>
              </w:rPr>
            </w:pPr>
            <w:r>
              <w:rPr>
                <w:rFonts w:ascii="Arial" w:cs="Arial" w:eastAsia="Arial" w:hAnsi="Arial"/>
                <w:sz w:val="13"/>
                <w:szCs w:val="13"/>
                <w:b w:val="1"/>
                <w:bCs w:val="1"/>
                <w:color w:val="auto"/>
              </w:rPr>
              <w:t>1,695,460</w:t>
            </w:r>
          </w:p>
        </w:tc>
        <w:tc>
          <w:tcPr>
            <w:tcW w:w="1280" w:type="dxa"/>
            <w:vAlign w:val="bottom"/>
          </w:tcPr>
          <w:p>
            <w:pPr>
              <w:jc w:val="right"/>
              <w:ind w:right="336"/>
              <w:spacing w:after="0"/>
              <w:rPr>
                <w:sz w:val="20"/>
                <w:szCs w:val="20"/>
                <w:color w:val="auto"/>
              </w:rPr>
            </w:pPr>
            <w:r>
              <w:rPr>
                <w:rFonts w:ascii="Arial" w:cs="Arial" w:eastAsia="Arial" w:hAnsi="Arial"/>
                <w:sz w:val="13"/>
                <w:szCs w:val="13"/>
                <w:color w:val="auto"/>
              </w:rPr>
              <w:t>553,746</w:t>
            </w:r>
          </w:p>
        </w:tc>
        <w:tc>
          <w:tcPr>
            <w:tcW w:w="1780" w:type="dxa"/>
            <w:vAlign w:val="bottom"/>
          </w:tcPr>
          <w:p>
            <w:pPr>
              <w:jc w:val="right"/>
              <w:ind w:right="616"/>
              <w:spacing w:after="0"/>
              <w:rPr>
                <w:sz w:val="20"/>
                <w:szCs w:val="20"/>
                <w:color w:val="auto"/>
              </w:rPr>
            </w:pPr>
            <w:r>
              <w:rPr>
                <w:rFonts w:ascii="Arial" w:cs="Arial" w:eastAsia="Arial" w:hAnsi="Arial"/>
                <w:sz w:val="13"/>
                <w:szCs w:val="13"/>
                <w:b w:val="1"/>
                <w:bCs w:val="1"/>
                <w:color w:val="auto"/>
              </w:rPr>
              <w:t>757,315</w:t>
            </w:r>
          </w:p>
        </w:tc>
        <w:tc>
          <w:tcPr>
            <w:tcW w:w="860" w:type="dxa"/>
            <w:vAlign w:val="bottom"/>
          </w:tcPr>
          <w:p>
            <w:pPr>
              <w:jc w:val="right"/>
              <w:spacing w:after="0"/>
              <w:rPr>
                <w:sz w:val="20"/>
                <w:szCs w:val="20"/>
                <w:color w:val="auto"/>
              </w:rPr>
            </w:pPr>
            <w:r>
              <w:rPr>
                <w:rFonts w:ascii="Arial" w:cs="Arial" w:eastAsia="Arial" w:hAnsi="Arial"/>
                <w:sz w:val="13"/>
                <w:szCs w:val="13"/>
                <w:color w:val="auto"/>
              </w:rPr>
              <w:t>3,029,580</w:t>
            </w:r>
          </w:p>
        </w:tc>
      </w:tr>
      <w:tr>
        <w:trPr>
          <w:trHeight w:val="202"/>
        </w:trPr>
        <w:tc>
          <w:tcPr>
            <w:tcW w:w="3760" w:type="dxa"/>
            <w:vAlign w:val="bottom"/>
            <w:shd w:val="clear" w:color="auto" w:fill="CCEEFF"/>
          </w:tcPr>
          <w:p>
            <w:pPr>
              <w:spacing w:after="0"/>
              <w:rPr>
                <w:sz w:val="17"/>
                <w:szCs w:val="17"/>
                <w:color w:val="auto"/>
              </w:rPr>
            </w:pPr>
          </w:p>
        </w:tc>
        <w:tc>
          <w:tcPr>
            <w:tcW w:w="36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171"/>
        </w:trPr>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w:t>
            </w:r>
          </w:p>
        </w:tc>
        <w:tc>
          <w:tcPr>
            <w:tcW w:w="360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1,695,460</w:t>
            </w:r>
          </w:p>
        </w:tc>
        <w:tc>
          <w:tcPr>
            <w:tcW w:w="128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color w:val="auto"/>
              </w:rPr>
              <w:t>553,746</w:t>
            </w:r>
          </w:p>
        </w:tc>
        <w:tc>
          <w:tcPr>
            <w:tcW w:w="1780" w:type="dxa"/>
            <w:vAlign w:val="bottom"/>
            <w:tcBorders>
              <w:bottom w:val="single" w:sz="8" w:color="auto"/>
            </w:tcBorders>
          </w:tcPr>
          <w:p>
            <w:pPr>
              <w:jc w:val="right"/>
              <w:ind w:right="616"/>
              <w:spacing w:after="0"/>
              <w:rPr>
                <w:sz w:val="20"/>
                <w:szCs w:val="20"/>
                <w:color w:val="auto"/>
              </w:rPr>
            </w:pPr>
            <w:r>
              <w:rPr>
                <w:rFonts w:ascii="Arial" w:cs="Arial" w:eastAsia="Arial" w:hAnsi="Arial"/>
                <w:sz w:val="13"/>
                <w:szCs w:val="13"/>
                <w:b w:val="1"/>
                <w:bCs w:val="1"/>
                <w:color w:val="auto"/>
              </w:rPr>
              <w:t>757,315</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3,029,580</w:t>
            </w:r>
          </w:p>
        </w:tc>
      </w:tr>
    </w:tbl>
    <w:p>
      <w:pPr>
        <w:spacing w:after="0" w:line="244" w:lineRule="exact"/>
        <w:rPr>
          <w:sz w:val="20"/>
          <w:szCs w:val="20"/>
          <w:color w:val="auto"/>
        </w:rPr>
      </w:pPr>
    </w:p>
    <w:p>
      <w:pPr>
        <w:ind w:left="80" w:hanging="75"/>
        <w:spacing w:after="0"/>
        <w:tabs>
          <w:tab w:leader="none" w:pos="80" w:val="left"/>
        </w:tabs>
        <w:numPr>
          <w:ilvl w:val="0"/>
          <w:numId w:val="82"/>
        </w:numPr>
        <w:rPr>
          <w:rFonts w:ascii="Arial" w:cs="Arial" w:eastAsia="Arial" w:hAnsi="Arial"/>
          <w:sz w:val="13"/>
          <w:szCs w:val="13"/>
          <w:color w:val="auto"/>
        </w:rPr>
      </w:pPr>
      <w:r>
        <w:rPr>
          <w:rFonts w:ascii="Arial" w:cs="Arial" w:eastAsia="Arial" w:hAnsi="Arial"/>
          <w:sz w:val="13"/>
          <w:szCs w:val="13"/>
          <w:color w:val="auto"/>
        </w:rPr>
        <w:t>Reflects the issuance of 2,177,130 share options associated with the completion of the Merger on 1 July 2021</w:t>
      </w: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326" w:lineRule="exact"/>
        <w:rPr>
          <w:rFonts w:ascii="Arial" w:cs="Arial" w:eastAsia="Arial" w:hAnsi="Arial"/>
          <w:sz w:val="13"/>
          <w:szCs w:val="13"/>
          <w:color w:val="auto"/>
        </w:rPr>
      </w:pPr>
    </w:p>
    <w:p>
      <w:pPr>
        <w:ind w:left="5560"/>
        <w:spacing w:after="0"/>
        <w:rPr>
          <w:rFonts w:ascii="Arial" w:cs="Arial" w:eastAsia="Arial" w:hAnsi="Arial"/>
          <w:sz w:val="13"/>
          <w:szCs w:val="13"/>
          <w:color w:val="auto"/>
        </w:rPr>
      </w:pPr>
      <w:r>
        <w:rPr>
          <w:rFonts w:ascii="Arial" w:cs="Arial" w:eastAsia="Arial" w:hAnsi="Arial"/>
          <w:sz w:val="14"/>
          <w:szCs w:val="14"/>
          <w:color w:val="auto"/>
        </w:rPr>
        <w:t>80</w:t>
      </w:r>
    </w:p>
    <w:p>
      <w:pPr>
        <w:sectPr>
          <w:pgSz w:w="11900" w:h="16838" w:orient="portrait"/>
          <w:cols w:equalWidth="0" w:num="1">
            <w:col w:w="11280"/>
          </w:cols>
          <w:pgMar w:left="300" w:top="698" w:right="319" w:bottom="1440" w:gutter="0" w:footer="0" w:header="0"/>
        </w:sectPr>
      </w:pPr>
    </w:p>
    <w:bookmarkStart w:id="97" w:name="page98"/>
    <w:bookmarkEnd w:id="97"/>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190" w:lineRule="exact"/>
        <w:rPr>
          <w:sz w:val="20"/>
          <w:szCs w:val="20"/>
          <w:color w:val="auto"/>
        </w:rPr>
      </w:pPr>
    </w:p>
    <w:p>
      <w:pPr>
        <w:spacing w:after="0"/>
        <w:tabs>
          <w:tab w:leader="none" w:pos="300" w:val="left"/>
        </w:tabs>
        <w:rPr>
          <w:sz w:val="20"/>
          <w:szCs w:val="20"/>
          <w:color w:val="auto"/>
        </w:rPr>
      </w:pPr>
      <w:r>
        <w:rPr>
          <w:rFonts w:ascii="Arial" w:cs="Arial" w:eastAsia="Arial" w:hAnsi="Arial"/>
          <w:sz w:val="13"/>
          <w:szCs w:val="13"/>
          <w:b w:val="1"/>
          <w:bCs w:val="1"/>
          <w:color w:val="auto"/>
        </w:rPr>
        <w:t>11.</w:t>
      </w:r>
      <w:r>
        <w:rPr>
          <w:sz w:val="20"/>
          <w:szCs w:val="20"/>
          <w:color w:val="auto"/>
        </w:rPr>
        <w:tab/>
      </w:r>
      <w:r>
        <w:rPr>
          <w:rFonts w:ascii="Arial" w:cs="Arial" w:eastAsia="Arial" w:hAnsi="Arial"/>
          <w:sz w:val="12"/>
          <w:szCs w:val="12"/>
          <w:b w:val="1"/>
          <w:bCs w:val="1"/>
          <w:color w:val="auto"/>
        </w:rPr>
        <w:t>Share-based payments (</w:t>
      </w:r>
      <w:r>
        <w:rPr>
          <w:rFonts w:ascii="Arial" w:cs="Arial" w:eastAsia="Arial" w:hAnsi="Arial"/>
          <w:sz w:val="12"/>
          <w:szCs w:val="12"/>
          <w:b w:val="1"/>
          <w:bCs w:val="1"/>
          <w:i w:val="1"/>
          <w:iCs w:val="1"/>
          <w:color w:val="auto"/>
        </w:rPr>
        <w:t>continued</w:t>
      </w:r>
      <w:r>
        <w:rPr>
          <w:rFonts w:ascii="Arial" w:cs="Arial" w:eastAsia="Arial" w:hAnsi="Arial"/>
          <w:sz w:val="12"/>
          <w:szCs w:val="12"/>
          <w:b w:val="1"/>
          <w:bCs w:val="1"/>
          <w:color w:val="auto"/>
        </w:rPr>
        <w:t>)</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3"/>
          <w:szCs w:val="13"/>
          <w:color w:val="auto"/>
        </w:rPr>
        <w:t>The total number of share options outstanding and exercisable at 31 December 2021 is as follows: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380" w:type="dxa"/>
            <w:vAlign w:val="bottom"/>
            <w:shd w:val="clear" w:color="auto" w:fill="CCEEFF"/>
          </w:tcPr>
          <w:p>
            <w:pPr>
              <w:spacing w:after="0"/>
              <w:rPr>
                <w:sz w:val="13"/>
                <w:szCs w:val="13"/>
                <w:color w:val="auto"/>
              </w:rPr>
            </w:pPr>
          </w:p>
        </w:tc>
        <w:tc>
          <w:tcPr>
            <w:tcW w:w="4380" w:type="dxa"/>
            <w:vAlign w:val="bottom"/>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Number of</w:t>
            </w: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Weighted Average</w:t>
            </w:r>
          </w:p>
        </w:tc>
      </w:tr>
      <w:tr>
        <w:trPr>
          <w:trHeight w:val="170"/>
        </w:trPr>
        <w:tc>
          <w:tcPr>
            <w:tcW w:w="5380" w:type="dxa"/>
            <w:vAlign w:val="bottom"/>
            <w:tcBorders>
              <w:bottom w:val="single" w:sz="8" w:color="auto"/>
            </w:tcBorders>
            <w:shd w:val="clear" w:color="auto" w:fill="CCEEFF"/>
          </w:tcPr>
          <w:p>
            <w:pPr>
              <w:spacing w:after="0"/>
              <w:rPr>
                <w:sz w:val="14"/>
                <w:szCs w:val="14"/>
                <w:color w:val="auto"/>
              </w:rPr>
            </w:pPr>
          </w:p>
        </w:tc>
        <w:tc>
          <w:tcPr>
            <w:tcW w:w="438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Options</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Exercise Price</w:t>
            </w:r>
          </w:p>
        </w:tc>
      </w:tr>
      <w:tr>
        <w:trPr>
          <w:trHeight w:val="182"/>
        </w:trPr>
        <w:tc>
          <w:tcPr>
            <w:tcW w:w="538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202"/>
        </w:trPr>
        <w:tc>
          <w:tcPr>
            <w:tcW w:w="5380" w:type="dxa"/>
            <w:vAlign w:val="bottom"/>
            <w:shd w:val="clear" w:color="auto" w:fill="CCEEFF"/>
          </w:tcPr>
          <w:p>
            <w:pPr>
              <w:spacing w:after="0"/>
              <w:rPr>
                <w:sz w:val="17"/>
                <w:szCs w:val="17"/>
                <w:color w:val="auto"/>
              </w:rPr>
            </w:pPr>
          </w:p>
        </w:tc>
        <w:tc>
          <w:tcPr>
            <w:tcW w:w="43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169"/>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Outstanding at 31 December 2019</w:t>
            </w:r>
          </w:p>
        </w:tc>
        <w:tc>
          <w:tcPr>
            <w:tcW w:w="438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color w:val="auto"/>
              </w:rPr>
              <w:t>656,107</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$87.80</w:t>
            </w:r>
          </w:p>
        </w:tc>
      </w:tr>
      <w:tr>
        <w:trPr>
          <w:trHeight w:val="183"/>
        </w:trPr>
        <w:tc>
          <w:tcPr>
            <w:tcW w:w="5380" w:type="dxa"/>
            <w:vAlign w:val="bottom"/>
            <w:shd w:val="clear" w:color="auto" w:fill="CCEEFF"/>
          </w:tcPr>
          <w:p>
            <w:pPr>
              <w:spacing w:after="0"/>
              <w:rPr>
                <w:sz w:val="15"/>
                <w:szCs w:val="15"/>
                <w:color w:val="auto"/>
              </w:rPr>
            </w:pPr>
          </w:p>
        </w:tc>
        <w:tc>
          <w:tcPr>
            <w:tcW w:w="43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Granted</w:t>
            </w:r>
          </w:p>
        </w:tc>
        <w:tc>
          <w:tcPr>
            <w:tcW w:w="4380" w:type="dxa"/>
            <w:vAlign w:val="bottom"/>
          </w:tcPr>
          <w:p>
            <w:pPr>
              <w:jc w:val="right"/>
              <w:ind w:right="396"/>
              <w:spacing w:after="0"/>
              <w:rPr>
                <w:sz w:val="20"/>
                <w:szCs w:val="20"/>
                <w:color w:val="auto"/>
              </w:rPr>
            </w:pPr>
            <w:r>
              <w:rPr>
                <w:rFonts w:ascii="Arial" w:cs="Arial" w:eastAsia="Arial" w:hAnsi="Arial"/>
                <w:sz w:val="13"/>
                <w:szCs w:val="13"/>
                <w:color w:val="auto"/>
              </w:rPr>
              <w:t>107,737</w:t>
            </w:r>
          </w:p>
        </w:tc>
        <w:tc>
          <w:tcPr>
            <w:tcW w:w="1520" w:type="dxa"/>
            <w:vAlign w:val="bottom"/>
          </w:tcPr>
          <w:p>
            <w:pPr>
              <w:jc w:val="right"/>
              <w:spacing w:after="0"/>
              <w:rPr>
                <w:sz w:val="20"/>
                <w:szCs w:val="20"/>
                <w:color w:val="auto"/>
              </w:rPr>
            </w:pPr>
            <w:r>
              <w:rPr>
                <w:rFonts w:ascii="Arial" w:cs="Arial" w:eastAsia="Arial" w:hAnsi="Arial"/>
                <w:sz w:val="13"/>
                <w:szCs w:val="13"/>
                <w:color w:val="auto"/>
              </w:rPr>
              <w:t>$159.83</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Exercised</w:t>
            </w:r>
          </w:p>
        </w:tc>
        <w:tc>
          <w:tcPr>
            <w:tcW w:w="4380" w:type="dxa"/>
            <w:vAlign w:val="bottom"/>
            <w:shd w:val="clear" w:color="auto" w:fill="CCEEFF"/>
          </w:tcPr>
          <w:p>
            <w:pPr>
              <w:jc w:val="right"/>
              <w:ind w:right="356"/>
              <w:spacing w:after="0"/>
              <w:rPr>
                <w:sz w:val="20"/>
                <w:szCs w:val="20"/>
                <w:color w:val="auto"/>
              </w:rPr>
            </w:pPr>
            <w:r>
              <w:rPr>
                <w:rFonts w:ascii="Arial" w:cs="Arial" w:eastAsia="Arial" w:hAnsi="Arial"/>
                <w:sz w:val="13"/>
                <w:szCs w:val="13"/>
                <w:color w:val="auto"/>
              </w:rPr>
              <w:t>(193,417)</w:t>
            </w: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$68.19</w:t>
            </w:r>
          </w:p>
        </w:tc>
      </w:tr>
      <w:tr>
        <w:trPr>
          <w:trHeight w:val="169"/>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Forfeited</w:t>
            </w:r>
          </w:p>
        </w:tc>
        <w:tc>
          <w:tcPr>
            <w:tcW w:w="438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color w:val="auto"/>
              </w:rPr>
              <w:t>(16,681)</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$92.21</w:t>
            </w:r>
          </w:p>
        </w:tc>
      </w:tr>
      <w:tr>
        <w:trPr>
          <w:trHeight w:val="183"/>
        </w:trPr>
        <w:tc>
          <w:tcPr>
            <w:tcW w:w="5380" w:type="dxa"/>
            <w:vAlign w:val="bottom"/>
            <w:shd w:val="clear" w:color="auto" w:fill="CCEEFF"/>
          </w:tcPr>
          <w:p>
            <w:pPr>
              <w:spacing w:after="0"/>
              <w:rPr>
                <w:sz w:val="15"/>
                <w:szCs w:val="15"/>
                <w:color w:val="auto"/>
              </w:rPr>
            </w:pPr>
          </w:p>
        </w:tc>
        <w:tc>
          <w:tcPr>
            <w:tcW w:w="43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r>
      <w:tr>
        <w:trPr>
          <w:trHeight w:val="169"/>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Outstanding at 31 December 2020</w:t>
            </w:r>
          </w:p>
        </w:tc>
        <w:tc>
          <w:tcPr>
            <w:tcW w:w="438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color w:val="auto"/>
              </w:rPr>
              <w:t>553,746</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$108.53</w:t>
            </w:r>
          </w:p>
        </w:tc>
      </w:tr>
      <w:tr>
        <w:trPr>
          <w:trHeight w:val="183"/>
        </w:trPr>
        <w:tc>
          <w:tcPr>
            <w:tcW w:w="5380" w:type="dxa"/>
            <w:vAlign w:val="bottom"/>
            <w:shd w:val="clear" w:color="auto" w:fill="CCEEFF"/>
          </w:tcPr>
          <w:p>
            <w:pPr>
              <w:spacing w:after="0"/>
              <w:rPr>
                <w:sz w:val="15"/>
                <w:szCs w:val="15"/>
                <w:color w:val="auto"/>
              </w:rPr>
            </w:pPr>
          </w:p>
        </w:tc>
        <w:tc>
          <w:tcPr>
            <w:tcW w:w="43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Replacement awards on acquisition</w:t>
            </w:r>
          </w:p>
        </w:tc>
        <w:tc>
          <w:tcPr>
            <w:tcW w:w="4380" w:type="dxa"/>
            <w:vAlign w:val="bottom"/>
          </w:tcPr>
          <w:p>
            <w:pPr>
              <w:jc w:val="right"/>
              <w:ind w:right="396"/>
              <w:spacing w:after="0"/>
              <w:rPr>
                <w:sz w:val="20"/>
                <w:szCs w:val="20"/>
                <w:color w:val="auto"/>
              </w:rPr>
            </w:pPr>
            <w:r>
              <w:rPr>
                <w:rFonts w:ascii="Arial" w:cs="Arial" w:eastAsia="Arial" w:hAnsi="Arial"/>
                <w:sz w:val="13"/>
                <w:szCs w:val="13"/>
                <w:color w:val="auto"/>
              </w:rPr>
              <w:t>2,177,130</w:t>
            </w:r>
          </w:p>
        </w:tc>
        <w:tc>
          <w:tcPr>
            <w:tcW w:w="1520" w:type="dxa"/>
            <w:vAlign w:val="bottom"/>
          </w:tcPr>
          <w:p>
            <w:pPr>
              <w:jc w:val="right"/>
              <w:spacing w:after="0"/>
              <w:rPr>
                <w:sz w:val="20"/>
                <w:szCs w:val="20"/>
                <w:color w:val="auto"/>
              </w:rPr>
            </w:pPr>
            <w:r>
              <w:rPr>
                <w:rFonts w:ascii="Arial" w:cs="Arial" w:eastAsia="Arial" w:hAnsi="Arial"/>
                <w:sz w:val="13"/>
                <w:szCs w:val="13"/>
                <w:color w:val="auto"/>
              </w:rPr>
              <w:t>$108.78</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Granted</w:t>
            </w:r>
          </w:p>
        </w:tc>
        <w:tc>
          <w:tcPr>
            <w:tcW w:w="4380" w:type="dxa"/>
            <w:vAlign w:val="bottom"/>
            <w:shd w:val="clear" w:color="auto" w:fill="CCEEFF"/>
          </w:tcPr>
          <w:p>
            <w:pPr>
              <w:jc w:val="right"/>
              <w:ind w:right="396"/>
              <w:spacing w:after="0"/>
              <w:rPr>
                <w:sz w:val="20"/>
                <w:szCs w:val="20"/>
                <w:color w:val="auto"/>
              </w:rPr>
            </w:pPr>
            <w:r>
              <w:rPr>
                <w:rFonts w:ascii="Arial" w:cs="Arial" w:eastAsia="Arial" w:hAnsi="Arial"/>
                <w:sz w:val="13"/>
                <w:szCs w:val="13"/>
                <w:color w:val="auto"/>
              </w:rPr>
              <w:t>100,299</w:t>
            </w: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$177.76</w:t>
            </w: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Exercised</w:t>
            </w:r>
          </w:p>
        </w:tc>
        <w:tc>
          <w:tcPr>
            <w:tcW w:w="4380" w:type="dxa"/>
            <w:vAlign w:val="bottom"/>
          </w:tcPr>
          <w:p>
            <w:pPr>
              <w:jc w:val="right"/>
              <w:ind w:right="356"/>
              <w:spacing w:after="0"/>
              <w:rPr>
                <w:sz w:val="20"/>
                <w:szCs w:val="20"/>
                <w:color w:val="auto"/>
              </w:rPr>
            </w:pPr>
            <w:r>
              <w:rPr>
                <w:rFonts w:ascii="Arial" w:cs="Arial" w:eastAsia="Arial" w:hAnsi="Arial"/>
                <w:sz w:val="13"/>
                <w:szCs w:val="13"/>
                <w:color w:val="auto"/>
              </w:rPr>
              <w:t>(1,065,529)</w:t>
            </w:r>
          </w:p>
        </w:tc>
        <w:tc>
          <w:tcPr>
            <w:tcW w:w="1520" w:type="dxa"/>
            <w:vAlign w:val="bottom"/>
          </w:tcPr>
          <w:p>
            <w:pPr>
              <w:jc w:val="right"/>
              <w:spacing w:after="0"/>
              <w:rPr>
                <w:sz w:val="20"/>
                <w:szCs w:val="20"/>
                <w:color w:val="auto"/>
              </w:rPr>
            </w:pPr>
            <w:r>
              <w:rPr>
                <w:rFonts w:ascii="Arial" w:cs="Arial" w:eastAsia="Arial" w:hAnsi="Arial"/>
                <w:sz w:val="13"/>
                <w:szCs w:val="13"/>
                <w:color w:val="auto"/>
              </w:rPr>
              <w:t>$111.29</w:t>
            </w:r>
          </w:p>
        </w:tc>
      </w:tr>
      <w:tr>
        <w:trPr>
          <w:trHeight w:val="170"/>
        </w:trPr>
        <w:tc>
          <w:tcPr>
            <w:tcW w:w="5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Forfeited</w:t>
            </w:r>
          </w:p>
        </w:tc>
        <w:tc>
          <w:tcPr>
            <w:tcW w:w="438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color w:val="auto"/>
              </w:rPr>
              <w:t>(70,186)</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$128.46</w:t>
            </w:r>
          </w:p>
        </w:tc>
      </w:tr>
      <w:tr>
        <w:trPr>
          <w:trHeight w:val="183"/>
        </w:trPr>
        <w:tc>
          <w:tcPr>
            <w:tcW w:w="538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71"/>
        </w:trPr>
        <w:tc>
          <w:tcPr>
            <w:tcW w:w="5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Outstanding at 31 December 2021</w:t>
            </w:r>
          </w:p>
        </w:tc>
        <w:tc>
          <w:tcPr>
            <w:tcW w:w="438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b w:val="1"/>
                <w:bCs w:val="1"/>
                <w:color w:val="auto"/>
              </w:rPr>
              <w:t>1,695,460</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$104.79</w:t>
            </w:r>
          </w:p>
        </w:tc>
      </w:tr>
      <w:tr>
        <w:trPr>
          <w:trHeight w:val="191"/>
        </w:trPr>
        <w:tc>
          <w:tcPr>
            <w:tcW w:w="538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171"/>
        </w:trPr>
        <w:tc>
          <w:tcPr>
            <w:tcW w:w="5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Exercisable at 31 December 2021</w:t>
            </w:r>
          </w:p>
        </w:tc>
        <w:tc>
          <w:tcPr>
            <w:tcW w:w="438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b w:val="1"/>
                <w:bCs w:val="1"/>
                <w:color w:val="auto"/>
              </w:rPr>
              <w:t>989,419</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$91.70</w:t>
            </w:r>
          </w:p>
        </w:tc>
      </w:tr>
    </w:tbl>
    <w:p>
      <w:pPr>
        <w:spacing w:after="0" w:line="255" w:lineRule="exact"/>
        <w:rPr>
          <w:sz w:val="20"/>
          <w:szCs w:val="20"/>
          <w:color w:val="auto"/>
        </w:rPr>
      </w:pPr>
    </w:p>
    <w:p>
      <w:pPr>
        <w:spacing w:after="0"/>
        <w:rPr>
          <w:sz w:val="20"/>
          <w:szCs w:val="20"/>
          <w:color w:val="auto"/>
        </w:rPr>
      </w:pPr>
      <w:r>
        <w:rPr>
          <w:rFonts w:ascii="Arial" w:cs="Arial" w:eastAsia="Arial" w:hAnsi="Arial"/>
          <w:sz w:val="13"/>
          <w:szCs w:val="13"/>
          <w:color w:val="auto"/>
        </w:rPr>
        <w:t>The weighted average intrinsic value of the Company’s shares on date of exercise of share options during the year ended 31 December 2021 was $126.90 (31 December 2020: $110.09).</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At 31 December 2021, the range of exercise prices and weighted average remaining contractual life of outstanding and exercisable options was as follows: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60" w:type="dxa"/>
            <w:vAlign w:val="bottom"/>
            <w:tcBorders>
              <w:bottom w:val="single" w:sz="8" w:color="auto"/>
            </w:tcBorders>
            <w:shd w:val="clear" w:color="auto" w:fill="CCEEFF"/>
          </w:tcPr>
          <w:p>
            <w:pPr>
              <w:spacing w:after="0"/>
              <w:rPr>
                <w:sz w:val="14"/>
                <w:szCs w:val="14"/>
                <w:color w:val="auto"/>
              </w:rPr>
            </w:pPr>
          </w:p>
        </w:tc>
        <w:tc>
          <w:tcPr>
            <w:tcW w:w="20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Options Outstanding</w:t>
            </w:r>
          </w:p>
        </w:tc>
        <w:tc>
          <w:tcPr>
            <w:tcW w:w="110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720" w:type="dxa"/>
            <w:vAlign w:val="bottom"/>
            <w:tcBorders>
              <w:bottom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700" w:type="dxa"/>
            <w:vAlign w:val="bottom"/>
            <w:tcBorders>
              <w:bottom w:val="single" w:sz="8" w:color="auto"/>
            </w:tcBorders>
            <w:gridSpan w:val="3"/>
            <w:shd w:val="clear" w:color="auto" w:fill="CCEEFF"/>
          </w:tcPr>
          <w:p>
            <w:pPr>
              <w:jc w:val="right"/>
              <w:ind w:right="1176"/>
              <w:spacing w:after="0"/>
              <w:rPr>
                <w:sz w:val="20"/>
                <w:szCs w:val="20"/>
                <w:color w:val="auto"/>
              </w:rPr>
            </w:pPr>
            <w:r>
              <w:rPr>
                <w:rFonts w:ascii="Arial" w:cs="Arial" w:eastAsia="Arial" w:hAnsi="Arial"/>
                <w:sz w:val="13"/>
                <w:szCs w:val="13"/>
                <w:b w:val="1"/>
                <w:bCs w:val="1"/>
                <w:color w:val="auto"/>
              </w:rPr>
              <w:t>Options Exercisable</w:t>
            </w:r>
          </w:p>
        </w:tc>
      </w:tr>
      <w:tr>
        <w:trPr>
          <w:trHeight w:val="118"/>
        </w:trPr>
        <w:tc>
          <w:tcPr>
            <w:tcW w:w="2460" w:type="dxa"/>
            <w:vAlign w:val="bottom"/>
          </w:tcPr>
          <w:p>
            <w:pPr>
              <w:jc w:val="right"/>
              <w:ind w:right="556"/>
              <w:spacing w:after="0" w:line="118" w:lineRule="exact"/>
              <w:rPr>
                <w:sz w:val="20"/>
                <w:szCs w:val="20"/>
                <w:color w:val="auto"/>
              </w:rPr>
            </w:pPr>
            <w:r>
              <w:rPr>
                <w:rFonts w:ascii="Arial" w:cs="Arial" w:eastAsia="Arial" w:hAnsi="Arial"/>
                <w:sz w:val="13"/>
                <w:szCs w:val="13"/>
                <w:b w:val="1"/>
                <w:bCs w:val="1"/>
                <w:color w:val="auto"/>
              </w:rPr>
              <w:t>Range Exercise</w:t>
            </w:r>
          </w:p>
        </w:tc>
        <w:tc>
          <w:tcPr>
            <w:tcW w:w="2020" w:type="dxa"/>
            <w:vAlign w:val="bottom"/>
          </w:tcPr>
          <w:p>
            <w:pPr>
              <w:jc w:val="right"/>
              <w:ind w:right="716"/>
              <w:spacing w:after="0" w:line="118" w:lineRule="exact"/>
              <w:rPr>
                <w:sz w:val="20"/>
                <w:szCs w:val="20"/>
                <w:color w:val="auto"/>
              </w:rPr>
            </w:pPr>
            <w:r>
              <w:rPr>
                <w:rFonts w:ascii="Arial" w:cs="Arial" w:eastAsia="Arial" w:hAnsi="Arial"/>
                <w:sz w:val="13"/>
                <w:szCs w:val="13"/>
                <w:b w:val="1"/>
                <w:bCs w:val="1"/>
                <w:color w:val="auto"/>
              </w:rPr>
              <w:t>Number of</w:t>
            </w:r>
          </w:p>
        </w:tc>
        <w:tc>
          <w:tcPr>
            <w:tcW w:w="1100" w:type="dxa"/>
            <w:vAlign w:val="bottom"/>
          </w:tcPr>
          <w:p>
            <w:pPr>
              <w:jc w:val="right"/>
              <w:spacing w:after="0" w:line="118" w:lineRule="exact"/>
              <w:rPr>
                <w:sz w:val="20"/>
                <w:szCs w:val="20"/>
                <w:color w:val="auto"/>
              </w:rPr>
            </w:pPr>
            <w:r>
              <w:rPr>
                <w:rFonts w:ascii="Arial" w:cs="Arial" w:eastAsia="Arial" w:hAnsi="Arial"/>
                <w:sz w:val="13"/>
                <w:szCs w:val="13"/>
                <w:b w:val="1"/>
                <w:bCs w:val="1"/>
                <w:color w:val="auto"/>
              </w:rPr>
              <w:t>Weighted</w:t>
            </w:r>
          </w:p>
        </w:tc>
        <w:tc>
          <w:tcPr>
            <w:tcW w:w="140" w:type="dxa"/>
            <w:vAlign w:val="bottom"/>
          </w:tcPr>
          <w:p>
            <w:pPr>
              <w:spacing w:after="0"/>
              <w:rPr>
                <w:sz w:val="10"/>
                <w:szCs w:val="10"/>
                <w:color w:val="auto"/>
              </w:rPr>
            </w:pPr>
          </w:p>
        </w:tc>
        <w:tc>
          <w:tcPr>
            <w:tcW w:w="1860" w:type="dxa"/>
            <w:vAlign w:val="bottom"/>
            <w:gridSpan w:val="2"/>
          </w:tcPr>
          <w:p>
            <w:pPr>
              <w:jc w:val="right"/>
              <w:ind w:right="160"/>
              <w:spacing w:after="0" w:line="118" w:lineRule="exact"/>
              <w:rPr>
                <w:sz w:val="20"/>
                <w:szCs w:val="20"/>
                <w:color w:val="auto"/>
              </w:rPr>
            </w:pPr>
            <w:r>
              <w:rPr>
                <w:rFonts w:ascii="Arial" w:cs="Arial" w:eastAsia="Arial" w:hAnsi="Arial"/>
                <w:sz w:val="13"/>
                <w:szCs w:val="13"/>
                <w:b w:val="1"/>
                <w:bCs w:val="1"/>
                <w:color w:val="auto"/>
                <w:w w:val="98"/>
              </w:rPr>
              <w:t>Weighted Average Exercise</w:t>
            </w:r>
          </w:p>
        </w:tc>
        <w:tc>
          <w:tcPr>
            <w:tcW w:w="1840" w:type="dxa"/>
            <w:vAlign w:val="bottom"/>
          </w:tcPr>
          <w:p>
            <w:pPr>
              <w:jc w:val="right"/>
              <w:spacing w:after="0" w:line="118" w:lineRule="exact"/>
              <w:rPr>
                <w:sz w:val="20"/>
                <w:szCs w:val="20"/>
                <w:color w:val="auto"/>
              </w:rPr>
            </w:pPr>
            <w:r>
              <w:rPr>
                <w:rFonts w:ascii="Arial" w:cs="Arial" w:eastAsia="Arial" w:hAnsi="Arial"/>
                <w:sz w:val="13"/>
                <w:szCs w:val="13"/>
                <w:b w:val="1"/>
                <w:bCs w:val="1"/>
                <w:color w:val="auto"/>
              </w:rPr>
              <w:t>Number of</w:t>
            </w:r>
          </w:p>
        </w:tc>
        <w:tc>
          <w:tcPr>
            <w:tcW w:w="140" w:type="dxa"/>
            <w:vAlign w:val="bottom"/>
          </w:tcPr>
          <w:p>
            <w:pPr>
              <w:spacing w:after="0"/>
              <w:rPr>
                <w:sz w:val="10"/>
                <w:szCs w:val="10"/>
                <w:color w:val="auto"/>
              </w:rPr>
            </w:pPr>
          </w:p>
        </w:tc>
        <w:tc>
          <w:tcPr>
            <w:tcW w:w="1720" w:type="dxa"/>
            <w:vAlign w:val="bottom"/>
          </w:tcPr>
          <w:p>
            <w:pPr>
              <w:jc w:val="right"/>
              <w:spacing w:after="0" w:line="118" w:lineRule="exact"/>
              <w:rPr>
                <w:sz w:val="20"/>
                <w:szCs w:val="20"/>
                <w:color w:val="auto"/>
              </w:rPr>
            </w:pPr>
            <w:r>
              <w:rPr>
                <w:rFonts w:ascii="Arial" w:cs="Arial" w:eastAsia="Arial" w:hAnsi="Arial"/>
                <w:sz w:val="13"/>
                <w:szCs w:val="13"/>
                <w:b w:val="1"/>
                <w:bCs w:val="1"/>
                <w:color w:val="auto"/>
                <w:w w:val="98"/>
              </w:rPr>
              <w:t>Weighted Average Exercise</w:t>
            </w:r>
          </w:p>
        </w:tc>
      </w:tr>
      <w:tr>
        <w:trPr>
          <w:trHeight w:val="127"/>
        </w:trPr>
        <w:tc>
          <w:tcPr>
            <w:tcW w:w="2460" w:type="dxa"/>
            <w:vAlign w:val="bottom"/>
          </w:tcPr>
          <w:p>
            <w:pPr>
              <w:jc w:val="right"/>
              <w:ind w:right="556"/>
              <w:spacing w:after="0" w:line="128" w:lineRule="exact"/>
              <w:rPr>
                <w:sz w:val="20"/>
                <w:szCs w:val="20"/>
                <w:color w:val="auto"/>
              </w:rPr>
            </w:pPr>
            <w:r>
              <w:rPr>
                <w:rFonts w:ascii="Arial" w:cs="Arial" w:eastAsia="Arial" w:hAnsi="Arial"/>
                <w:sz w:val="13"/>
                <w:szCs w:val="13"/>
                <w:b w:val="1"/>
                <w:bCs w:val="1"/>
                <w:color w:val="auto"/>
              </w:rPr>
              <w:t>Price</w:t>
            </w:r>
          </w:p>
        </w:tc>
        <w:tc>
          <w:tcPr>
            <w:tcW w:w="2020" w:type="dxa"/>
            <w:vAlign w:val="bottom"/>
          </w:tcPr>
          <w:p>
            <w:pPr>
              <w:jc w:val="right"/>
              <w:ind w:right="716"/>
              <w:spacing w:after="0" w:line="128" w:lineRule="exact"/>
              <w:rPr>
                <w:sz w:val="20"/>
                <w:szCs w:val="20"/>
                <w:color w:val="auto"/>
              </w:rPr>
            </w:pPr>
            <w:r>
              <w:rPr>
                <w:rFonts w:ascii="Arial" w:cs="Arial" w:eastAsia="Arial" w:hAnsi="Arial"/>
                <w:sz w:val="13"/>
                <w:szCs w:val="13"/>
                <w:b w:val="1"/>
                <w:bCs w:val="1"/>
                <w:color w:val="auto"/>
              </w:rPr>
              <w:t>Shares</w:t>
            </w:r>
          </w:p>
        </w:tc>
        <w:tc>
          <w:tcPr>
            <w:tcW w:w="1100" w:type="dxa"/>
            <w:vAlign w:val="bottom"/>
          </w:tcPr>
          <w:p>
            <w:pPr>
              <w:jc w:val="right"/>
              <w:spacing w:after="0" w:line="128" w:lineRule="exact"/>
              <w:rPr>
                <w:sz w:val="20"/>
                <w:szCs w:val="20"/>
                <w:color w:val="auto"/>
              </w:rPr>
            </w:pPr>
            <w:r>
              <w:rPr>
                <w:rFonts w:ascii="Arial" w:cs="Arial" w:eastAsia="Arial" w:hAnsi="Arial"/>
                <w:sz w:val="13"/>
                <w:szCs w:val="13"/>
                <w:b w:val="1"/>
                <w:bCs w:val="1"/>
                <w:color w:val="auto"/>
              </w:rPr>
              <w:t>Average</w:t>
            </w:r>
          </w:p>
        </w:tc>
        <w:tc>
          <w:tcPr>
            <w:tcW w:w="140" w:type="dxa"/>
            <w:vAlign w:val="bottom"/>
          </w:tcPr>
          <w:p>
            <w:pPr>
              <w:spacing w:after="0"/>
              <w:rPr>
                <w:sz w:val="11"/>
                <w:szCs w:val="11"/>
                <w:color w:val="auto"/>
              </w:rPr>
            </w:pPr>
          </w:p>
        </w:tc>
        <w:tc>
          <w:tcPr>
            <w:tcW w:w="1860" w:type="dxa"/>
            <w:vAlign w:val="bottom"/>
            <w:gridSpan w:val="2"/>
          </w:tcPr>
          <w:p>
            <w:pPr>
              <w:jc w:val="right"/>
              <w:ind w:right="160"/>
              <w:spacing w:after="0" w:line="128" w:lineRule="exact"/>
              <w:rPr>
                <w:sz w:val="20"/>
                <w:szCs w:val="20"/>
                <w:color w:val="auto"/>
              </w:rPr>
            </w:pPr>
            <w:r>
              <w:rPr>
                <w:rFonts w:ascii="Arial" w:cs="Arial" w:eastAsia="Arial" w:hAnsi="Arial"/>
                <w:sz w:val="13"/>
                <w:szCs w:val="13"/>
                <w:b w:val="1"/>
                <w:bCs w:val="1"/>
                <w:color w:val="auto"/>
              </w:rPr>
              <w:t>Price</w:t>
            </w:r>
          </w:p>
        </w:tc>
        <w:tc>
          <w:tcPr>
            <w:tcW w:w="1840" w:type="dxa"/>
            <w:vAlign w:val="bottom"/>
          </w:tcPr>
          <w:p>
            <w:pPr>
              <w:jc w:val="right"/>
              <w:spacing w:after="0" w:line="128" w:lineRule="exact"/>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1"/>
                <w:szCs w:val="11"/>
                <w:color w:val="auto"/>
              </w:rPr>
            </w:pPr>
          </w:p>
        </w:tc>
        <w:tc>
          <w:tcPr>
            <w:tcW w:w="1720" w:type="dxa"/>
            <w:vAlign w:val="bottom"/>
          </w:tcPr>
          <w:p>
            <w:pPr>
              <w:jc w:val="right"/>
              <w:spacing w:after="0" w:line="128" w:lineRule="exact"/>
              <w:rPr>
                <w:sz w:val="20"/>
                <w:szCs w:val="20"/>
                <w:color w:val="auto"/>
              </w:rPr>
            </w:pPr>
            <w:r>
              <w:rPr>
                <w:rFonts w:ascii="Arial" w:cs="Arial" w:eastAsia="Arial" w:hAnsi="Arial"/>
                <w:sz w:val="13"/>
                <w:szCs w:val="13"/>
                <w:b w:val="1"/>
                <w:bCs w:val="1"/>
                <w:color w:val="auto"/>
              </w:rPr>
              <w:t>Price</w:t>
            </w:r>
          </w:p>
        </w:tc>
      </w:tr>
      <w:tr>
        <w:trPr>
          <w:trHeight w:val="127"/>
        </w:trPr>
        <w:tc>
          <w:tcPr>
            <w:tcW w:w="246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100" w:type="dxa"/>
            <w:vAlign w:val="bottom"/>
          </w:tcPr>
          <w:p>
            <w:pPr>
              <w:jc w:val="right"/>
              <w:spacing w:after="0" w:line="128" w:lineRule="exact"/>
              <w:rPr>
                <w:sz w:val="20"/>
                <w:szCs w:val="20"/>
                <w:color w:val="auto"/>
              </w:rPr>
            </w:pPr>
            <w:r>
              <w:rPr>
                <w:rFonts w:ascii="Arial" w:cs="Arial" w:eastAsia="Arial" w:hAnsi="Arial"/>
                <w:sz w:val="13"/>
                <w:szCs w:val="13"/>
                <w:b w:val="1"/>
                <w:bCs w:val="1"/>
                <w:color w:val="auto"/>
              </w:rPr>
              <w:t>Remaining</w:t>
            </w:r>
          </w:p>
        </w:tc>
        <w:tc>
          <w:tcPr>
            <w:tcW w:w="1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20" w:type="dxa"/>
            <w:vAlign w:val="bottom"/>
          </w:tcPr>
          <w:p>
            <w:pPr>
              <w:spacing w:after="0"/>
              <w:rPr>
                <w:sz w:val="11"/>
                <w:szCs w:val="11"/>
                <w:color w:val="auto"/>
              </w:rPr>
            </w:pPr>
          </w:p>
        </w:tc>
      </w:tr>
      <w:tr>
        <w:trPr>
          <w:trHeight w:val="170"/>
        </w:trPr>
        <w:tc>
          <w:tcPr>
            <w:tcW w:w="24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Contractual Life</w:t>
            </w:r>
          </w:p>
        </w:tc>
        <w:tc>
          <w:tcPr>
            <w:tcW w:w="1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r>
      <w:tr>
        <w:trPr>
          <w:trHeight w:val="182"/>
        </w:trPr>
        <w:tc>
          <w:tcPr>
            <w:tcW w:w="246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r>
      <w:tr>
        <w:trPr>
          <w:trHeight w:val="169"/>
        </w:trPr>
        <w:tc>
          <w:tcPr>
            <w:tcW w:w="2460" w:type="dxa"/>
            <w:vAlign w:val="bottom"/>
          </w:tcPr>
          <w:p>
            <w:pPr>
              <w:ind w:left="20"/>
              <w:spacing w:after="0"/>
              <w:rPr>
                <w:sz w:val="20"/>
                <w:szCs w:val="20"/>
                <w:color w:val="auto"/>
              </w:rPr>
            </w:pPr>
            <w:r>
              <w:rPr>
                <w:rFonts w:ascii="Arial" w:cs="Arial" w:eastAsia="Arial" w:hAnsi="Arial"/>
                <w:sz w:val="13"/>
                <w:szCs w:val="13"/>
                <w:color w:val="auto"/>
              </w:rPr>
              <w:t>14.80 - 97.30</w:t>
            </w:r>
          </w:p>
        </w:tc>
        <w:tc>
          <w:tcPr>
            <w:tcW w:w="2020" w:type="dxa"/>
            <w:vAlign w:val="bottom"/>
          </w:tcPr>
          <w:p>
            <w:pPr>
              <w:jc w:val="right"/>
              <w:ind w:right="756"/>
              <w:spacing w:after="0"/>
              <w:rPr>
                <w:sz w:val="20"/>
                <w:szCs w:val="20"/>
                <w:color w:val="auto"/>
              </w:rPr>
            </w:pPr>
            <w:r>
              <w:rPr>
                <w:rFonts w:ascii="Arial" w:cs="Arial" w:eastAsia="Arial" w:hAnsi="Arial"/>
                <w:sz w:val="13"/>
                <w:szCs w:val="13"/>
                <w:color w:val="auto"/>
              </w:rPr>
              <w:t>638,118</w:t>
            </w:r>
          </w:p>
        </w:tc>
        <w:tc>
          <w:tcPr>
            <w:tcW w:w="1100" w:type="dxa"/>
            <w:vAlign w:val="bottom"/>
          </w:tcPr>
          <w:p>
            <w:pPr>
              <w:jc w:val="right"/>
              <w:spacing w:after="0"/>
              <w:rPr>
                <w:sz w:val="20"/>
                <w:szCs w:val="20"/>
                <w:color w:val="auto"/>
              </w:rPr>
            </w:pPr>
            <w:r>
              <w:rPr>
                <w:rFonts w:ascii="Arial" w:cs="Arial" w:eastAsia="Arial" w:hAnsi="Arial"/>
                <w:sz w:val="13"/>
                <w:szCs w:val="13"/>
                <w:color w:val="auto"/>
              </w:rPr>
              <w:t>3.45</w:t>
            </w:r>
          </w:p>
        </w:tc>
        <w:tc>
          <w:tcPr>
            <w:tcW w:w="1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Arial" w:cs="Arial" w:eastAsia="Arial" w:hAnsi="Arial"/>
                <w:sz w:val="13"/>
                <w:szCs w:val="13"/>
                <w:color w:val="auto"/>
              </w:rPr>
              <w:t>605,624</w:t>
            </w:r>
          </w:p>
        </w:tc>
        <w:tc>
          <w:tcPr>
            <w:tcW w:w="14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71"/>
        </w:trPr>
        <w:tc>
          <w:tcPr>
            <w:tcW w:w="2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103.81 - 124.00</w:t>
            </w:r>
          </w:p>
        </w:tc>
        <w:tc>
          <w:tcPr>
            <w:tcW w:w="2020" w:type="dxa"/>
            <w:vAlign w:val="bottom"/>
            <w:shd w:val="clear" w:color="auto" w:fill="CCEEFF"/>
          </w:tcPr>
          <w:p>
            <w:pPr>
              <w:jc w:val="right"/>
              <w:ind w:right="756"/>
              <w:spacing w:after="0"/>
              <w:rPr>
                <w:sz w:val="20"/>
                <w:szCs w:val="20"/>
                <w:color w:val="auto"/>
              </w:rPr>
            </w:pPr>
            <w:r>
              <w:rPr>
                <w:rFonts w:ascii="Arial" w:cs="Arial" w:eastAsia="Arial" w:hAnsi="Arial"/>
                <w:sz w:val="13"/>
                <w:szCs w:val="13"/>
                <w:color w:val="auto"/>
              </w:rPr>
              <w:t>320,310</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6.49</w:t>
            </w:r>
          </w:p>
        </w:tc>
        <w:tc>
          <w:tcPr>
            <w:tcW w:w="14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130,920</w:t>
            </w:r>
          </w:p>
        </w:tc>
        <w:tc>
          <w:tcPr>
            <w:tcW w:w="14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r>
      <w:tr>
        <w:trPr>
          <w:trHeight w:val="169"/>
        </w:trPr>
        <w:tc>
          <w:tcPr>
            <w:tcW w:w="2460" w:type="dxa"/>
            <w:vAlign w:val="bottom"/>
          </w:tcPr>
          <w:p>
            <w:pPr>
              <w:ind w:left="20"/>
              <w:spacing w:after="0"/>
              <w:rPr>
                <w:sz w:val="20"/>
                <w:szCs w:val="20"/>
                <w:color w:val="auto"/>
              </w:rPr>
            </w:pPr>
            <w:r>
              <w:rPr>
                <w:rFonts w:ascii="Arial" w:cs="Arial" w:eastAsia="Arial" w:hAnsi="Arial"/>
                <w:sz w:val="13"/>
                <w:szCs w:val="13"/>
                <w:color w:val="auto"/>
              </w:rPr>
              <w:t>125.74 - 147.26</w:t>
            </w:r>
          </w:p>
        </w:tc>
        <w:tc>
          <w:tcPr>
            <w:tcW w:w="2020" w:type="dxa"/>
            <w:vAlign w:val="bottom"/>
          </w:tcPr>
          <w:p>
            <w:pPr>
              <w:jc w:val="right"/>
              <w:ind w:right="756"/>
              <w:spacing w:after="0"/>
              <w:rPr>
                <w:sz w:val="20"/>
                <w:szCs w:val="20"/>
                <w:color w:val="auto"/>
              </w:rPr>
            </w:pPr>
            <w:r>
              <w:rPr>
                <w:rFonts w:ascii="Arial" w:cs="Arial" w:eastAsia="Arial" w:hAnsi="Arial"/>
                <w:sz w:val="13"/>
                <w:szCs w:val="13"/>
                <w:color w:val="auto"/>
              </w:rPr>
              <w:t>540,296</w:t>
            </w:r>
          </w:p>
        </w:tc>
        <w:tc>
          <w:tcPr>
            <w:tcW w:w="1100" w:type="dxa"/>
            <w:vAlign w:val="bottom"/>
          </w:tcPr>
          <w:p>
            <w:pPr>
              <w:jc w:val="right"/>
              <w:spacing w:after="0"/>
              <w:rPr>
                <w:sz w:val="20"/>
                <w:szCs w:val="20"/>
                <w:color w:val="auto"/>
              </w:rPr>
            </w:pPr>
            <w:r>
              <w:rPr>
                <w:rFonts w:ascii="Arial" w:cs="Arial" w:eastAsia="Arial" w:hAnsi="Arial"/>
                <w:sz w:val="13"/>
                <w:szCs w:val="13"/>
                <w:color w:val="auto"/>
              </w:rPr>
              <w:t>6.56</w:t>
            </w:r>
          </w:p>
        </w:tc>
        <w:tc>
          <w:tcPr>
            <w:tcW w:w="1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Arial" w:cs="Arial" w:eastAsia="Arial" w:hAnsi="Arial"/>
                <w:sz w:val="13"/>
                <w:szCs w:val="13"/>
                <w:color w:val="auto"/>
              </w:rPr>
              <w:t>235,808</w:t>
            </w:r>
          </w:p>
        </w:tc>
        <w:tc>
          <w:tcPr>
            <w:tcW w:w="14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71"/>
        </w:trPr>
        <w:tc>
          <w:tcPr>
            <w:tcW w:w="2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159.33 - 231.08</w:t>
            </w:r>
          </w:p>
        </w:tc>
        <w:tc>
          <w:tcPr>
            <w:tcW w:w="2020" w:type="dxa"/>
            <w:vAlign w:val="bottom"/>
            <w:shd w:val="clear" w:color="auto" w:fill="CCEEFF"/>
          </w:tcPr>
          <w:p>
            <w:pPr>
              <w:jc w:val="right"/>
              <w:ind w:right="756"/>
              <w:spacing w:after="0"/>
              <w:rPr>
                <w:sz w:val="20"/>
                <w:szCs w:val="20"/>
                <w:color w:val="auto"/>
              </w:rPr>
            </w:pPr>
            <w:r>
              <w:rPr>
                <w:rFonts w:ascii="Arial" w:cs="Arial" w:eastAsia="Arial" w:hAnsi="Arial"/>
                <w:sz w:val="13"/>
                <w:szCs w:val="13"/>
                <w:color w:val="auto"/>
              </w:rPr>
              <w:t>196,736</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6.68</w:t>
            </w:r>
          </w:p>
        </w:tc>
        <w:tc>
          <w:tcPr>
            <w:tcW w:w="14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17,067</w:t>
            </w:r>
          </w:p>
        </w:tc>
        <w:tc>
          <w:tcPr>
            <w:tcW w:w="14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r>
      <w:tr>
        <w:trPr>
          <w:trHeight w:val="107"/>
        </w:trPr>
        <w:tc>
          <w:tcPr>
            <w:tcW w:w="2460" w:type="dxa"/>
            <w:vAlign w:val="bottom"/>
            <w:tcBorders>
              <w:bottom w:val="single" w:sz="8" w:color="auto"/>
            </w:tcBorders>
          </w:tcPr>
          <w:p>
            <w:pPr>
              <w:spacing w:after="0"/>
              <w:rPr>
                <w:sz w:val="9"/>
                <w:szCs w:val="9"/>
                <w:color w:val="auto"/>
              </w:rPr>
            </w:pPr>
          </w:p>
        </w:tc>
        <w:tc>
          <w:tcPr>
            <w:tcW w:w="20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8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r>
      <w:tr>
        <w:trPr>
          <w:trHeight w:val="171"/>
        </w:trPr>
        <w:tc>
          <w:tcPr>
            <w:tcW w:w="2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14.80 - 231.08</w:t>
            </w:r>
          </w:p>
        </w:tc>
        <w:tc>
          <w:tcPr>
            <w:tcW w:w="202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3"/>
                <w:szCs w:val="13"/>
                <w:b w:val="1"/>
                <w:bCs w:val="1"/>
                <w:color w:val="auto"/>
              </w:rPr>
              <w:t>1,695,460</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5.39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104.79</w:t>
            </w:r>
          </w:p>
        </w:tc>
        <w:tc>
          <w:tcPr>
            <w:tcW w:w="140" w:type="dxa"/>
            <w:vAlign w:val="bottom"/>
            <w:tcBorders>
              <w:bottom w:val="single" w:sz="8" w:color="auto"/>
            </w:tcBorders>
            <w:shd w:val="clear" w:color="auto" w:fill="CCEEFF"/>
          </w:tcPr>
          <w:p>
            <w:pPr>
              <w:spacing w:after="0"/>
              <w:rPr>
                <w:sz w:val="14"/>
                <w:szCs w:val="14"/>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989,419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91.70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ectPr>
          <w:pgSz w:w="11900" w:h="16838" w:orient="portrait"/>
          <w:cols w:equalWidth="0" w:num="1">
            <w:col w:w="11280"/>
          </w:cols>
          <w:pgMar w:left="300" w:top="698" w:right="319" w:bottom="1440" w:gutter="0" w:footer="0" w:header="0"/>
        </w:sectPr>
      </w:pPr>
    </w:p>
    <w:bookmarkStart w:id="98" w:name="page99"/>
    <w:bookmarkEnd w:id="98"/>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190" w:lineRule="exact"/>
        <w:rPr>
          <w:sz w:val="20"/>
          <w:szCs w:val="20"/>
          <w:color w:val="auto"/>
        </w:rPr>
      </w:pPr>
    </w:p>
    <w:p>
      <w:pPr>
        <w:ind w:left="320" w:hanging="315"/>
        <w:spacing w:after="0"/>
        <w:tabs>
          <w:tab w:leader="none" w:pos="320" w:val="left"/>
        </w:tabs>
        <w:numPr>
          <w:ilvl w:val="0"/>
          <w:numId w:val="83"/>
        </w:numPr>
        <w:rPr>
          <w:rFonts w:ascii="Arial" w:cs="Arial" w:eastAsia="Arial" w:hAnsi="Arial"/>
          <w:sz w:val="13"/>
          <w:szCs w:val="13"/>
          <w:b w:val="1"/>
          <w:bCs w:val="1"/>
          <w:color w:val="auto"/>
        </w:rPr>
      </w:pPr>
      <w:r>
        <w:rPr>
          <w:rFonts w:ascii="Arial" w:cs="Arial" w:eastAsia="Arial" w:hAnsi="Arial"/>
          <w:sz w:val="13"/>
          <w:szCs w:val="13"/>
          <w:b w:val="1"/>
          <w:bCs w:val="1"/>
          <w:color w:val="auto"/>
        </w:rPr>
        <w:t>Share-based payments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Share option fair values 2021</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The weighted average grant date fair value of share options granted by the Company during the year ended 31 December 2021 was $45.16 based on the following grants: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00" w:type="dxa"/>
            <w:vAlign w:val="bottom"/>
            <w:tcBorders>
              <w:bottom w:val="single" w:sz="8" w:color="auto"/>
            </w:tcBorders>
            <w:shd w:val="clear" w:color="auto" w:fill="CCEEFF"/>
          </w:tcPr>
          <w:p>
            <w:pPr>
              <w:jc w:val="right"/>
              <w:ind w:right="1496"/>
              <w:spacing w:after="0"/>
              <w:rPr>
                <w:sz w:val="20"/>
                <w:szCs w:val="20"/>
                <w:color w:val="auto"/>
              </w:rPr>
            </w:pPr>
            <w:r>
              <w:rPr>
                <w:rFonts w:ascii="Arial" w:cs="Arial" w:eastAsia="Arial" w:hAnsi="Arial"/>
                <w:sz w:val="13"/>
                <w:szCs w:val="13"/>
                <w:b w:val="1"/>
                <w:bCs w:val="1"/>
                <w:color w:val="auto"/>
              </w:rPr>
              <w:t>Grant Date</w:t>
            </w:r>
          </w:p>
        </w:tc>
        <w:tc>
          <w:tcPr>
            <w:tcW w:w="348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3"/>
                <w:szCs w:val="13"/>
                <w:b w:val="1"/>
                <w:bCs w:val="1"/>
                <w:color w:val="auto"/>
              </w:rPr>
              <w:t>Number of Shares</w:t>
            </w:r>
          </w:p>
        </w:tc>
        <w:tc>
          <w:tcPr>
            <w:tcW w:w="2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Weighted Average Exercise Price</w:t>
            </w:r>
          </w:p>
        </w:tc>
      </w:tr>
      <w:tr>
        <w:trPr>
          <w:trHeight w:val="159"/>
        </w:trPr>
        <w:tc>
          <w:tcPr>
            <w:tcW w:w="4900" w:type="dxa"/>
            <w:vAlign w:val="bottom"/>
          </w:tcPr>
          <w:p>
            <w:pPr>
              <w:jc w:val="right"/>
              <w:ind w:right="1496"/>
              <w:spacing w:after="0"/>
              <w:rPr>
                <w:sz w:val="20"/>
                <w:szCs w:val="20"/>
                <w:color w:val="auto"/>
              </w:rPr>
            </w:pPr>
            <w:r>
              <w:rPr>
                <w:rFonts w:ascii="Arial" w:cs="Arial" w:eastAsia="Arial" w:hAnsi="Arial"/>
                <w:sz w:val="13"/>
                <w:szCs w:val="13"/>
                <w:color w:val="auto"/>
              </w:rPr>
              <w:t>03 Mar 21</w:t>
            </w:r>
          </w:p>
        </w:tc>
        <w:tc>
          <w:tcPr>
            <w:tcW w:w="3480" w:type="dxa"/>
            <w:vAlign w:val="bottom"/>
          </w:tcPr>
          <w:p>
            <w:pPr>
              <w:jc w:val="right"/>
              <w:ind w:right="816"/>
              <w:spacing w:after="0"/>
              <w:rPr>
                <w:sz w:val="20"/>
                <w:szCs w:val="20"/>
                <w:color w:val="auto"/>
              </w:rPr>
            </w:pPr>
            <w:r>
              <w:rPr>
                <w:rFonts w:ascii="Arial" w:cs="Arial" w:eastAsia="Arial" w:hAnsi="Arial"/>
                <w:sz w:val="13"/>
                <w:szCs w:val="13"/>
                <w:color w:val="auto"/>
              </w:rPr>
              <w:t>95,287</w:t>
            </w:r>
          </w:p>
        </w:tc>
        <w:tc>
          <w:tcPr>
            <w:tcW w:w="2880" w:type="dxa"/>
            <w:vAlign w:val="bottom"/>
          </w:tcPr>
          <w:p>
            <w:pPr>
              <w:jc w:val="right"/>
              <w:spacing w:after="0"/>
              <w:rPr>
                <w:sz w:val="20"/>
                <w:szCs w:val="20"/>
                <w:color w:val="auto"/>
              </w:rPr>
            </w:pPr>
            <w:r>
              <w:rPr>
                <w:rFonts w:ascii="Arial" w:cs="Arial" w:eastAsia="Arial" w:hAnsi="Arial"/>
                <w:sz w:val="13"/>
                <w:szCs w:val="13"/>
                <w:color w:val="auto"/>
              </w:rPr>
              <w:t>$174.96</w:t>
            </w:r>
          </w:p>
        </w:tc>
      </w:tr>
      <w:tr>
        <w:trPr>
          <w:trHeight w:val="170"/>
        </w:trPr>
        <w:tc>
          <w:tcPr>
            <w:tcW w:w="4900" w:type="dxa"/>
            <w:vAlign w:val="bottom"/>
            <w:tcBorders>
              <w:bottom w:val="single" w:sz="8" w:color="auto"/>
            </w:tcBorders>
            <w:shd w:val="clear" w:color="auto" w:fill="CCEEFF"/>
          </w:tcPr>
          <w:p>
            <w:pPr>
              <w:jc w:val="right"/>
              <w:ind w:right="1496"/>
              <w:spacing w:after="0"/>
              <w:rPr>
                <w:sz w:val="20"/>
                <w:szCs w:val="20"/>
                <w:color w:val="auto"/>
              </w:rPr>
            </w:pPr>
            <w:r>
              <w:rPr>
                <w:rFonts w:ascii="Arial" w:cs="Arial" w:eastAsia="Arial" w:hAnsi="Arial"/>
                <w:sz w:val="13"/>
                <w:szCs w:val="13"/>
                <w:color w:val="auto"/>
              </w:rPr>
              <w:t>21 May 21</w:t>
            </w:r>
          </w:p>
        </w:tc>
        <w:tc>
          <w:tcPr>
            <w:tcW w:w="348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3"/>
                <w:szCs w:val="13"/>
                <w:color w:val="auto"/>
              </w:rPr>
              <w:t>5,012</w:t>
            </w:r>
          </w:p>
        </w:tc>
        <w:tc>
          <w:tcPr>
            <w:tcW w:w="2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$231.08</w:t>
            </w:r>
          </w:p>
        </w:tc>
      </w:tr>
      <w:tr>
        <w:trPr>
          <w:trHeight w:val="183"/>
        </w:trPr>
        <w:tc>
          <w:tcPr>
            <w:tcW w:w="490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2880" w:type="dxa"/>
            <w:vAlign w:val="bottom"/>
          </w:tcPr>
          <w:p>
            <w:pPr>
              <w:spacing w:after="0"/>
              <w:rPr>
                <w:sz w:val="15"/>
                <w:szCs w:val="15"/>
                <w:color w:val="auto"/>
              </w:rPr>
            </w:pPr>
          </w:p>
        </w:tc>
      </w:tr>
      <w:tr>
        <w:trPr>
          <w:trHeight w:val="171"/>
        </w:trPr>
        <w:tc>
          <w:tcPr>
            <w:tcW w:w="4900" w:type="dxa"/>
            <w:vAlign w:val="bottom"/>
            <w:tcBorders>
              <w:bottom w:val="single" w:sz="8" w:color="auto"/>
            </w:tcBorders>
            <w:shd w:val="clear" w:color="auto" w:fill="CCEEFF"/>
          </w:tcPr>
          <w:p>
            <w:pPr>
              <w:spacing w:after="0"/>
              <w:rPr>
                <w:sz w:val="14"/>
                <w:szCs w:val="14"/>
                <w:color w:val="auto"/>
              </w:rPr>
            </w:pPr>
          </w:p>
        </w:tc>
        <w:tc>
          <w:tcPr>
            <w:tcW w:w="348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3"/>
                <w:szCs w:val="13"/>
                <w:b w:val="1"/>
                <w:bCs w:val="1"/>
                <w:color w:val="auto"/>
              </w:rPr>
              <w:t>100,299</w:t>
            </w:r>
          </w:p>
        </w:tc>
        <w:tc>
          <w:tcPr>
            <w:tcW w:w="2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$177.76</w:t>
            </w:r>
          </w:p>
        </w:tc>
      </w:tr>
    </w:tbl>
    <w:p>
      <w:pPr>
        <w:spacing w:after="0" w:line="25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Replacement awards</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The fair value of share options granted by the Company as replacement awards during the year ended 31 December 2021 was $107.21 based on the following grant: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00" w:type="dxa"/>
            <w:vAlign w:val="bottom"/>
            <w:tcBorders>
              <w:bottom w:val="single" w:sz="8" w:color="auto"/>
            </w:tcBorders>
            <w:shd w:val="clear" w:color="auto" w:fill="CCEEFF"/>
          </w:tcPr>
          <w:p>
            <w:pPr>
              <w:jc w:val="right"/>
              <w:ind w:right="1496"/>
              <w:spacing w:after="0"/>
              <w:rPr>
                <w:sz w:val="20"/>
                <w:szCs w:val="20"/>
                <w:color w:val="auto"/>
              </w:rPr>
            </w:pPr>
            <w:r>
              <w:rPr>
                <w:rFonts w:ascii="Arial" w:cs="Arial" w:eastAsia="Arial" w:hAnsi="Arial"/>
                <w:sz w:val="13"/>
                <w:szCs w:val="13"/>
                <w:b w:val="1"/>
                <w:bCs w:val="1"/>
                <w:color w:val="auto"/>
              </w:rPr>
              <w:t>Grant Date</w:t>
            </w:r>
          </w:p>
        </w:tc>
        <w:tc>
          <w:tcPr>
            <w:tcW w:w="348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3"/>
                <w:szCs w:val="13"/>
                <w:b w:val="1"/>
                <w:bCs w:val="1"/>
                <w:color w:val="auto"/>
              </w:rPr>
              <w:t>Number of Shares</w:t>
            </w:r>
          </w:p>
        </w:tc>
        <w:tc>
          <w:tcPr>
            <w:tcW w:w="2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Weighted Average Exercise Price</w:t>
            </w:r>
          </w:p>
        </w:tc>
      </w:tr>
      <w:tr>
        <w:trPr>
          <w:trHeight w:val="162"/>
        </w:trPr>
        <w:tc>
          <w:tcPr>
            <w:tcW w:w="4900" w:type="dxa"/>
            <w:vAlign w:val="bottom"/>
            <w:tcBorders>
              <w:bottom w:val="single" w:sz="8" w:color="auto"/>
            </w:tcBorders>
          </w:tcPr>
          <w:p>
            <w:pPr>
              <w:jc w:val="right"/>
              <w:ind w:right="1496"/>
              <w:spacing w:after="0"/>
              <w:rPr>
                <w:sz w:val="20"/>
                <w:szCs w:val="20"/>
                <w:color w:val="auto"/>
              </w:rPr>
            </w:pPr>
            <w:r>
              <w:rPr>
                <w:rFonts w:ascii="Arial" w:cs="Arial" w:eastAsia="Arial" w:hAnsi="Arial"/>
                <w:sz w:val="13"/>
                <w:szCs w:val="13"/>
                <w:color w:val="auto"/>
              </w:rPr>
              <w:t>1 Jul 21</w:t>
            </w:r>
          </w:p>
        </w:tc>
        <w:tc>
          <w:tcPr>
            <w:tcW w:w="3480" w:type="dxa"/>
            <w:vAlign w:val="bottom"/>
            <w:tcBorders>
              <w:bottom w:val="single" w:sz="8" w:color="auto"/>
            </w:tcBorders>
          </w:tcPr>
          <w:p>
            <w:pPr>
              <w:jc w:val="right"/>
              <w:ind w:right="816"/>
              <w:spacing w:after="0"/>
              <w:rPr>
                <w:sz w:val="20"/>
                <w:szCs w:val="20"/>
                <w:color w:val="auto"/>
              </w:rPr>
            </w:pPr>
            <w:r>
              <w:rPr>
                <w:rFonts w:ascii="Arial" w:cs="Arial" w:eastAsia="Arial" w:hAnsi="Arial"/>
                <w:sz w:val="13"/>
                <w:szCs w:val="13"/>
                <w:color w:val="auto"/>
              </w:rPr>
              <w:t>2,177,130</w:t>
            </w:r>
          </w:p>
        </w:tc>
        <w:tc>
          <w:tcPr>
            <w:tcW w:w="2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$108.78</w:t>
            </w:r>
          </w:p>
        </w:tc>
      </w:tr>
    </w:tbl>
    <w:p>
      <w:pPr>
        <w:spacing w:after="0" w:line="24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Share option fair values 2020</w:t>
      </w:r>
    </w:p>
    <w:p>
      <w:pPr>
        <w:spacing w:after="0" w:line="199" w:lineRule="exact"/>
        <w:rPr>
          <w:sz w:val="20"/>
          <w:szCs w:val="20"/>
          <w:color w:val="auto"/>
        </w:rPr>
      </w:pPr>
    </w:p>
    <w:p>
      <w:pPr>
        <w:spacing w:after="0"/>
        <w:rPr>
          <w:sz w:val="20"/>
          <w:szCs w:val="20"/>
          <w:color w:val="auto"/>
        </w:rPr>
      </w:pPr>
      <w:r>
        <w:rPr>
          <w:rFonts w:ascii="Arial" w:cs="Arial" w:eastAsia="Arial" w:hAnsi="Arial"/>
          <w:sz w:val="13"/>
          <w:szCs w:val="13"/>
          <w:color w:val="auto"/>
        </w:rPr>
        <w:t>The weighted average grant date fair value of share options granted by the Company during the year ended 31 December 2020 was $39.93 based on the following grants: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00" w:type="dxa"/>
            <w:vAlign w:val="bottom"/>
            <w:tcBorders>
              <w:bottom w:val="single" w:sz="8" w:color="auto"/>
            </w:tcBorders>
            <w:shd w:val="clear" w:color="auto" w:fill="CCEEFF"/>
          </w:tcPr>
          <w:p>
            <w:pPr>
              <w:jc w:val="right"/>
              <w:ind w:right="1496"/>
              <w:spacing w:after="0"/>
              <w:rPr>
                <w:sz w:val="20"/>
                <w:szCs w:val="20"/>
                <w:color w:val="auto"/>
              </w:rPr>
            </w:pPr>
            <w:r>
              <w:rPr>
                <w:rFonts w:ascii="Arial" w:cs="Arial" w:eastAsia="Arial" w:hAnsi="Arial"/>
                <w:sz w:val="13"/>
                <w:szCs w:val="13"/>
                <w:b w:val="1"/>
                <w:bCs w:val="1"/>
                <w:color w:val="auto"/>
              </w:rPr>
              <w:t>Grant Date</w:t>
            </w:r>
          </w:p>
        </w:tc>
        <w:tc>
          <w:tcPr>
            <w:tcW w:w="348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3"/>
                <w:szCs w:val="13"/>
                <w:b w:val="1"/>
                <w:bCs w:val="1"/>
                <w:color w:val="auto"/>
              </w:rPr>
              <w:t>Number of Shares</w:t>
            </w:r>
          </w:p>
        </w:tc>
        <w:tc>
          <w:tcPr>
            <w:tcW w:w="2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Weighted Average Exercise Price</w:t>
            </w:r>
          </w:p>
        </w:tc>
      </w:tr>
      <w:tr>
        <w:trPr>
          <w:trHeight w:val="159"/>
        </w:trPr>
        <w:tc>
          <w:tcPr>
            <w:tcW w:w="4900" w:type="dxa"/>
            <w:vAlign w:val="bottom"/>
          </w:tcPr>
          <w:p>
            <w:pPr>
              <w:jc w:val="right"/>
              <w:ind w:right="1496"/>
              <w:spacing w:after="0"/>
              <w:rPr>
                <w:sz w:val="20"/>
                <w:szCs w:val="20"/>
                <w:color w:val="auto"/>
              </w:rPr>
            </w:pPr>
            <w:r>
              <w:rPr>
                <w:rFonts w:ascii="Arial" w:cs="Arial" w:eastAsia="Arial" w:hAnsi="Arial"/>
                <w:sz w:val="13"/>
                <w:szCs w:val="13"/>
                <w:color w:val="auto"/>
              </w:rPr>
              <w:t>3 Mar 20</w:t>
            </w:r>
          </w:p>
        </w:tc>
        <w:tc>
          <w:tcPr>
            <w:tcW w:w="3480" w:type="dxa"/>
            <w:vAlign w:val="bottom"/>
          </w:tcPr>
          <w:p>
            <w:pPr>
              <w:jc w:val="right"/>
              <w:ind w:right="816"/>
              <w:spacing w:after="0"/>
              <w:rPr>
                <w:sz w:val="20"/>
                <w:szCs w:val="20"/>
                <w:color w:val="auto"/>
              </w:rPr>
            </w:pPr>
            <w:r>
              <w:rPr>
                <w:rFonts w:ascii="Arial" w:cs="Arial" w:eastAsia="Arial" w:hAnsi="Arial"/>
                <w:sz w:val="13"/>
                <w:szCs w:val="13"/>
                <w:color w:val="auto"/>
              </w:rPr>
              <w:t>100,207</w:t>
            </w:r>
          </w:p>
        </w:tc>
        <w:tc>
          <w:tcPr>
            <w:tcW w:w="2880" w:type="dxa"/>
            <w:vAlign w:val="bottom"/>
          </w:tcPr>
          <w:p>
            <w:pPr>
              <w:jc w:val="right"/>
              <w:spacing w:after="0"/>
              <w:rPr>
                <w:sz w:val="20"/>
                <w:szCs w:val="20"/>
                <w:color w:val="auto"/>
              </w:rPr>
            </w:pPr>
            <w:r>
              <w:rPr>
                <w:rFonts w:ascii="Arial" w:cs="Arial" w:eastAsia="Arial" w:hAnsi="Arial"/>
                <w:sz w:val="13"/>
                <w:szCs w:val="13"/>
                <w:color w:val="auto"/>
              </w:rPr>
              <w:t>$159.33</w:t>
            </w:r>
          </w:p>
        </w:tc>
      </w:tr>
      <w:tr>
        <w:trPr>
          <w:trHeight w:val="170"/>
        </w:trPr>
        <w:tc>
          <w:tcPr>
            <w:tcW w:w="4900" w:type="dxa"/>
            <w:vAlign w:val="bottom"/>
            <w:tcBorders>
              <w:bottom w:val="single" w:sz="8" w:color="auto"/>
            </w:tcBorders>
            <w:shd w:val="clear" w:color="auto" w:fill="CCEEFF"/>
          </w:tcPr>
          <w:p>
            <w:pPr>
              <w:jc w:val="right"/>
              <w:ind w:right="1496"/>
              <w:spacing w:after="0"/>
              <w:rPr>
                <w:sz w:val="20"/>
                <w:szCs w:val="20"/>
                <w:color w:val="auto"/>
              </w:rPr>
            </w:pPr>
            <w:r>
              <w:rPr>
                <w:rFonts w:ascii="Arial" w:cs="Arial" w:eastAsia="Arial" w:hAnsi="Arial"/>
                <w:sz w:val="13"/>
                <w:szCs w:val="13"/>
                <w:color w:val="auto"/>
              </w:rPr>
              <w:t>22 May 20</w:t>
            </w:r>
          </w:p>
        </w:tc>
        <w:tc>
          <w:tcPr>
            <w:tcW w:w="348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3"/>
                <w:szCs w:val="13"/>
                <w:color w:val="auto"/>
              </w:rPr>
              <w:t>7,530</w:t>
            </w:r>
          </w:p>
        </w:tc>
        <w:tc>
          <w:tcPr>
            <w:tcW w:w="2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$166.51</w:t>
            </w:r>
          </w:p>
        </w:tc>
      </w:tr>
      <w:tr>
        <w:trPr>
          <w:trHeight w:val="183"/>
        </w:trPr>
        <w:tc>
          <w:tcPr>
            <w:tcW w:w="490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2880" w:type="dxa"/>
            <w:vAlign w:val="bottom"/>
          </w:tcPr>
          <w:p>
            <w:pPr>
              <w:spacing w:after="0"/>
              <w:rPr>
                <w:sz w:val="15"/>
                <w:szCs w:val="15"/>
                <w:color w:val="auto"/>
              </w:rPr>
            </w:pPr>
          </w:p>
        </w:tc>
      </w:tr>
      <w:tr>
        <w:trPr>
          <w:trHeight w:val="171"/>
        </w:trPr>
        <w:tc>
          <w:tcPr>
            <w:tcW w:w="4900" w:type="dxa"/>
            <w:vAlign w:val="bottom"/>
            <w:tcBorders>
              <w:bottom w:val="single" w:sz="8" w:color="auto"/>
            </w:tcBorders>
            <w:shd w:val="clear" w:color="auto" w:fill="CCEEFF"/>
          </w:tcPr>
          <w:p>
            <w:pPr>
              <w:spacing w:after="0"/>
              <w:rPr>
                <w:sz w:val="14"/>
                <w:szCs w:val="14"/>
                <w:color w:val="auto"/>
              </w:rPr>
            </w:pPr>
          </w:p>
        </w:tc>
        <w:tc>
          <w:tcPr>
            <w:tcW w:w="348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3"/>
                <w:szCs w:val="13"/>
                <w:b w:val="1"/>
                <w:bCs w:val="1"/>
                <w:color w:val="auto"/>
              </w:rPr>
              <w:t>107,737</w:t>
            </w:r>
          </w:p>
        </w:tc>
        <w:tc>
          <w:tcPr>
            <w:tcW w:w="2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$159.83</w:t>
            </w:r>
          </w:p>
        </w:tc>
      </w:tr>
    </w:tbl>
    <w:p>
      <w:pPr>
        <w:spacing w:after="0" w:line="24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Fair value of share options – Assumptions</w:t>
      </w:r>
    </w:p>
    <w:p>
      <w:pPr>
        <w:spacing w:after="0" w:line="19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fair values of options granted during the year ended 31 December 2021 and the year ended 31 December 2020 were calculated using a binomial option-pricing-model, using the following assumptions: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20" w:type="dxa"/>
            <w:vAlign w:val="bottom"/>
            <w:tcBorders>
              <w:bottom w:val="single" w:sz="8" w:color="auto"/>
            </w:tcBorders>
            <w:shd w:val="clear" w:color="auto" w:fill="CCEEFF"/>
          </w:tcPr>
          <w:p>
            <w:pPr>
              <w:spacing w:after="0"/>
              <w:rPr>
                <w:sz w:val="14"/>
                <w:szCs w:val="14"/>
                <w:color w:val="auto"/>
              </w:rPr>
            </w:pPr>
          </w:p>
        </w:tc>
        <w:tc>
          <w:tcPr>
            <w:tcW w:w="34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Year ended 31 December 2021</w:t>
            </w:r>
          </w:p>
        </w:tc>
        <w:tc>
          <w:tcPr>
            <w:tcW w:w="1740" w:type="dxa"/>
            <w:vAlign w:val="bottom"/>
            <w:tcBorders>
              <w:bottom w:val="single" w:sz="8" w:color="auto"/>
            </w:tcBorders>
            <w:shd w:val="clear" w:color="auto" w:fill="CCEEFF"/>
          </w:tcPr>
          <w:p>
            <w:pPr>
              <w:spacing w:after="0"/>
              <w:rPr>
                <w:sz w:val="14"/>
                <w:szCs w:val="14"/>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Year ended 31 December 2020</w:t>
            </w:r>
          </w:p>
        </w:tc>
      </w:tr>
      <w:tr>
        <w:trPr>
          <w:trHeight w:val="160"/>
        </w:trPr>
        <w:tc>
          <w:tcPr>
            <w:tcW w:w="3920" w:type="dxa"/>
            <w:vAlign w:val="bottom"/>
          </w:tcPr>
          <w:p>
            <w:pPr>
              <w:spacing w:after="0"/>
              <w:rPr>
                <w:sz w:val="13"/>
                <w:szCs w:val="13"/>
                <w:color w:val="auto"/>
              </w:rPr>
            </w:pPr>
          </w:p>
        </w:tc>
        <w:tc>
          <w:tcPr>
            <w:tcW w:w="3480" w:type="dxa"/>
            <w:vAlign w:val="bottom"/>
          </w:tcPr>
          <w:p>
            <w:pPr>
              <w:jc w:val="right"/>
              <w:ind w:right="976"/>
              <w:spacing w:after="0"/>
              <w:rPr>
                <w:sz w:val="20"/>
                <w:szCs w:val="20"/>
                <w:color w:val="auto"/>
              </w:rPr>
            </w:pPr>
            <w:r>
              <w:rPr>
                <w:rFonts w:ascii="Arial" w:cs="Arial" w:eastAsia="Arial" w:hAnsi="Arial"/>
                <w:sz w:val="13"/>
                <w:szCs w:val="13"/>
                <w:b w:val="1"/>
                <w:bCs w:val="1"/>
                <w:color w:val="auto"/>
              </w:rPr>
              <w:t>Annual Awards</w:t>
            </w:r>
          </w:p>
        </w:tc>
        <w:tc>
          <w:tcPr>
            <w:tcW w:w="1740" w:type="dxa"/>
            <w:vAlign w:val="bottom"/>
          </w:tcPr>
          <w:p>
            <w:pPr>
              <w:jc w:val="right"/>
              <w:ind w:right="276"/>
              <w:spacing w:after="0"/>
              <w:rPr>
                <w:sz w:val="20"/>
                <w:szCs w:val="20"/>
                <w:color w:val="auto"/>
              </w:rPr>
            </w:pPr>
            <w:r>
              <w:rPr>
                <w:rFonts w:ascii="Arial" w:cs="Arial" w:eastAsia="Arial" w:hAnsi="Arial"/>
                <w:sz w:val="13"/>
                <w:szCs w:val="13"/>
                <w:b w:val="1"/>
                <w:bCs w:val="1"/>
                <w:color w:val="auto"/>
              </w:rPr>
              <w:t>Replacement Awards</w:t>
            </w:r>
          </w:p>
        </w:tc>
        <w:tc>
          <w:tcPr>
            <w:tcW w:w="2120" w:type="dxa"/>
            <w:vAlign w:val="bottom"/>
          </w:tcPr>
          <w:p>
            <w:pPr>
              <w:jc w:val="right"/>
              <w:spacing w:after="0"/>
              <w:rPr>
                <w:sz w:val="20"/>
                <w:szCs w:val="20"/>
                <w:color w:val="auto"/>
              </w:rPr>
            </w:pPr>
            <w:r>
              <w:rPr>
                <w:rFonts w:ascii="Arial" w:cs="Arial" w:eastAsia="Arial" w:hAnsi="Arial"/>
                <w:sz w:val="13"/>
                <w:szCs w:val="13"/>
                <w:color w:val="auto"/>
              </w:rPr>
              <w:t>Annual Awards</w:t>
            </w:r>
          </w:p>
        </w:tc>
      </w:tr>
      <w:tr>
        <w:trPr>
          <w:trHeight w:val="170"/>
        </w:trPr>
        <w:tc>
          <w:tcPr>
            <w:tcW w:w="3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Weighted average exercise price</w:t>
            </w:r>
          </w:p>
        </w:tc>
        <w:tc>
          <w:tcPr>
            <w:tcW w:w="3480" w:type="dxa"/>
            <w:vAlign w:val="bottom"/>
            <w:shd w:val="clear" w:color="auto" w:fill="CCEEFF"/>
          </w:tcPr>
          <w:p>
            <w:pPr>
              <w:jc w:val="right"/>
              <w:ind w:right="1136"/>
              <w:spacing w:after="0"/>
              <w:rPr>
                <w:sz w:val="20"/>
                <w:szCs w:val="20"/>
                <w:color w:val="auto"/>
              </w:rPr>
            </w:pPr>
            <w:r>
              <w:rPr>
                <w:rFonts w:ascii="Arial" w:cs="Arial" w:eastAsia="Arial" w:hAnsi="Arial"/>
                <w:sz w:val="13"/>
                <w:szCs w:val="13"/>
                <w:b w:val="1"/>
                <w:bCs w:val="1"/>
                <w:color w:val="auto"/>
              </w:rPr>
              <w:t>$177.26</w:t>
            </w:r>
          </w:p>
        </w:tc>
        <w:tc>
          <w:tcPr>
            <w:tcW w:w="1740" w:type="dxa"/>
            <w:vAlign w:val="bottom"/>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$108.78</w:t>
            </w:r>
          </w:p>
        </w:tc>
        <w:tc>
          <w:tcPr>
            <w:tcW w:w="21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$159.83</w:t>
            </w:r>
          </w:p>
        </w:tc>
      </w:tr>
      <w:tr>
        <w:trPr>
          <w:trHeight w:val="170"/>
        </w:trPr>
        <w:tc>
          <w:tcPr>
            <w:tcW w:w="3920" w:type="dxa"/>
            <w:vAlign w:val="bottom"/>
          </w:tcPr>
          <w:p>
            <w:pPr>
              <w:ind w:left="20"/>
              <w:spacing w:after="0" w:line="170" w:lineRule="exact"/>
              <w:rPr>
                <w:sz w:val="20"/>
                <w:szCs w:val="20"/>
                <w:color w:val="auto"/>
              </w:rPr>
            </w:pPr>
            <w:r>
              <w:rPr>
                <w:rFonts w:ascii="Arial" w:cs="Arial" w:eastAsia="Arial" w:hAnsi="Arial"/>
                <w:sz w:val="13"/>
                <w:szCs w:val="13"/>
                <w:color w:val="auto"/>
              </w:rPr>
              <w:t xml:space="preserve">Expected volatility </w:t>
            </w:r>
            <w:r>
              <w:rPr>
                <w:rFonts w:ascii="Arial" w:cs="Arial" w:eastAsia="Arial" w:hAnsi="Arial"/>
                <w:sz w:val="16"/>
                <w:szCs w:val="16"/>
                <w:color w:val="auto"/>
                <w:vertAlign w:val="superscript"/>
              </w:rPr>
              <w:t>(1)</w:t>
            </w:r>
          </w:p>
        </w:tc>
        <w:tc>
          <w:tcPr>
            <w:tcW w:w="3480" w:type="dxa"/>
            <w:vAlign w:val="bottom"/>
          </w:tcPr>
          <w:p>
            <w:pPr>
              <w:jc w:val="right"/>
              <w:ind w:right="976"/>
              <w:spacing w:after="0"/>
              <w:rPr>
                <w:sz w:val="20"/>
                <w:szCs w:val="20"/>
                <w:color w:val="auto"/>
              </w:rPr>
            </w:pPr>
            <w:r>
              <w:rPr>
                <w:rFonts w:ascii="Arial" w:cs="Arial" w:eastAsia="Arial" w:hAnsi="Arial"/>
                <w:sz w:val="13"/>
                <w:szCs w:val="13"/>
                <w:b w:val="1"/>
                <w:bCs w:val="1"/>
                <w:color w:val="auto"/>
              </w:rPr>
              <w:t>25.0 %</w:t>
            </w:r>
          </w:p>
        </w:tc>
        <w:tc>
          <w:tcPr>
            <w:tcW w:w="1740" w:type="dxa"/>
            <w:vAlign w:val="bottom"/>
          </w:tcPr>
          <w:p>
            <w:pPr>
              <w:jc w:val="right"/>
              <w:ind w:right="276"/>
              <w:spacing w:after="0"/>
              <w:rPr>
                <w:sz w:val="20"/>
                <w:szCs w:val="20"/>
                <w:color w:val="auto"/>
              </w:rPr>
            </w:pPr>
            <w:r>
              <w:rPr>
                <w:rFonts w:ascii="Arial" w:cs="Arial" w:eastAsia="Arial" w:hAnsi="Arial"/>
                <w:sz w:val="13"/>
                <w:szCs w:val="13"/>
                <w:b w:val="1"/>
                <w:bCs w:val="1"/>
                <w:color w:val="auto"/>
              </w:rPr>
              <w:t>29.0 %</w:t>
            </w:r>
          </w:p>
        </w:tc>
        <w:tc>
          <w:tcPr>
            <w:tcW w:w="2120" w:type="dxa"/>
            <w:vAlign w:val="bottom"/>
          </w:tcPr>
          <w:p>
            <w:pPr>
              <w:jc w:val="right"/>
              <w:spacing w:after="0"/>
              <w:rPr>
                <w:sz w:val="20"/>
                <w:szCs w:val="20"/>
                <w:color w:val="auto"/>
              </w:rPr>
            </w:pPr>
            <w:r>
              <w:rPr>
                <w:rFonts w:ascii="Arial" w:cs="Arial" w:eastAsia="Arial" w:hAnsi="Arial"/>
                <w:sz w:val="13"/>
                <w:szCs w:val="13"/>
                <w:color w:val="auto"/>
              </w:rPr>
              <w:t>25.0 %</w:t>
            </w:r>
          </w:p>
        </w:tc>
      </w:tr>
      <w:tr>
        <w:trPr>
          <w:trHeight w:val="170"/>
        </w:trPr>
        <w:tc>
          <w:tcPr>
            <w:tcW w:w="3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Expected dividend yield</w:t>
            </w:r>
          </w:p>
        </w:tc>
        <w:tc>
          <w:tcPr>
            <w:tcW w:w="3480" w:type="dxa"/>
            <w:vAlign w:val="bottom"/>
            <w:shd w:val="clear" w:color="auto" w:fill="CCEEFF"/>
          </w:tcPr>
          <w:p>
            <w:pPr>
              <w:jc w:val="right"/>
              <w:ind w:right="1136"/>
              <w:spacing w:after="0"/>
              <w:rPr>
                <w:sz w:val="20"/>
                <w:szCs w:val="20"/>
                <w:color w:val="auto"/>
              </w:rPr>
            </w:pPr>
            <w:r>
              <w:rPr>
                <w:rFonts w:ascii="Arial" w:cs="Arial" w:eastAsia="Arial" w:hAnsi="Arial"/>
                <w:sz w:val="13"/>
                <w:szCs w:val="13"/>
                <w:b w:val="1"/>
                <w:bCs w:val="1"/>
                <w:color w:val="auto"/>
              </w:rPr>
              <w:t>—</w:t>
            </w:r>
          </w:p>
        </w:tc>
        <w:tc>
          <w:tcPr>
            <w:tcW w:w="1740" w:type="dxa"/>
            <w:vAlign w:val="bottom"/>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w:t>
            </w:r>
          </w:p>
        </w:tc>
        <w:tc>
          <w:tcPr>
            <w:tcW w:w="21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r>
      <w:tr>
        <w:trPr>
          <w:trHeight w:val="170"/>
        </w:trPr>
        <w:tc>
          <w:tcPr>
            <w:tcW w:w="3920" w:type="dxa"/>
            <w:vAlign w:val="bottom"/>
          </w:tcPr>
          <w:p>
            <w:pPr>
              <w:ind w:left="20"/>
              <w:spacing w:after="0" w:line="170" w:lineRule="exact"/>
              <w:rPr>
                <w:sz w:val="20"/>
                <w:szCs w:val="20"/>
                <w:color w:val="auto"/>
              </w:rPr>
            </w:pPr>
            <w:r>
              <w:rPr>
                <w:rFonts w:ascii="Arial" w:cs="Arial" w:eastAsia="Arial" w:hAnsi="Arial"/>
                <w:sz w:val="13"/>
                <w:szCs w:val="13"/>
                <w:color w:val="auto"/>
              </w:rPr>
              <w:t xml:space="preserve">Risk-free rate </w:t>
            </w:r>
            <w:r>
              <w:rPr>
                <w:rFonts w:ascii="Arial" w:cs="Arial" w:eastAsia="Arial" w:hAnsi="Arial"/>
                <w:sz w:val="16"/>
                <w:szCs w:val="16"/>
                <w:color w:val="auto"/>
                <w:vertAlign w:val="superscript"/>
              </w:rPr>
              <w:t>(2)</w:t>
            </w:r>
          </w:p>
        </w:tc>
        <w:tc>
          <w:tcPr>
            <w:tcW w:w="3480" w:type="dxa"/>
            <w:vAlign w:val="bottom"/>
          </w:tcPr>
          <w:p>
            <w:pPr>
              <w:jc w:val="right"/>
              <w:ind w:right="976"/>
              <w:spacing w:after="0"/>
              <w:rPr>
                <w:sz w:val="20"/>
                <w:szCs w:val="20"/>
                <w:color w:val="auto"/>
              </w:rPr>
            </w:pPr>
            <w:r>
              <w:rPr>
                <w:rFonts w:ascii="Arial" w:cs="Arial" w:eastAsia="Arial" w:hAnsi="Arial"/>
                <w:sz w:val="13"/>
                <w:szCs w:val="13"/>
                <w:b w:val="1"/>
                <w:bCs w:val="1"/>
                <w:color w:val="auto"/>
              </w:rPr>
              <w:t>1.0% - 1.4%</w:t>
            </w:r>
          </w:p>
        </w:tc>
        <w:tc>
          <w:tcPr>
            <w:tcW w:w="1740" w:type="dxa"/>
            <w:vAlign w:val="bottom"/>
          </w:tcPr>
          <w:p>
            <w:pPr>
              <w:jc w:val="right"/>
              <w:ind w:right="276"/>
              <w:spacing w:after="0"/>
              <w:rPr>
                <w:sz w:val="20"/>
                <w:szCs w:val="20"/>
                <w:color w:val="auto"/>
              </w:rPr>
            </w:pPr>
            <w:r>
              <w:rPr>
                <w:rFonts w:ascii="Arial" w:cs="Arial" w:eastAsia="Arial" w:hAnsi="Arial"/>
                <w:sz w:val="13"/>
                <w:szCs w:val="13"/>
                <w:b w:val="1"/>
                <w:bCs w:val="1"/>
                <w:color w:val="auto"/>
              </w:rPr>
              <w:t>0.1% - 0.8%</w:t>
            </w:r>
          </w:p>
        </w:tc>
        <w:tc>
          <w:tcPr>
            <w:tcW w:w="2120" w:type="dxa"/>
            <w:vAlign w:val="bottom"/>
          </w:tcPr>
          <w:p>
            <w:pPr>
              <w:jc w:val="right"/>
              <w:spacing w:after="0"/>
              <w:rPr>
                <w:sz w:val="20"/>
                <w:szCs w:val="20"/>
                <w:color w:val="auto"/>
              </w:rPr>
            </w:pPr>
            <w:r>
              <w:rPr>
                <w:rFonts w:ascii="Arial" w:cs="Arial" w:eastAsia="Arial" w:hAnsi="Arial"/>
                <w:sz w:val="13"/>
                <w:szCs w:val="13"/>
                <w:color w:val="auto"/>
              </w:rPr>
              <w:t>0.5% - 1.0%</w:t>
            </w:r>
          </w:p>
        </w:tc>
      </w:tr>
      <w:tr>
        <w:trPr>
          <w:trHeight w:val="170"/>
        </w:trPr>
        <w:tc>
          <w:tcPr>
            <w:tcW w:w="3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Rate of forced early exercise</w:t>
            </w:r>
          </w:p>
        </w:tc>
        <w:tc>
          <w:tcPr>
            <w:tcW w:w="3480" w:type="dxa"/>
            <w:vAlign w:val="bottom"/>
            <w:shd w:val="clear" w:color="auto" w:fill="CCEEFF"/>
          </w:tcPr>
          <w:p>
            <w:pPr>
              <w:jc w:val="right"/>
              <w:ind w:right="976"/>
              <w:spacing w:after="0"/>
              <w:rPr>
                <w:sz w:val="20"/>
                <w:szCs w:val="20"/>
                <w:color w:val="auto"/>
              </w:rPr>
            </w:pPr>
            <w:r>
              <w:rPr>
                <w:rFonts w:ascii="Arial" w:cs="Arial" w:eastAsia="Arial" w:hAnsi="Arial"/>
                <w:sz w:val="13"/>
                <w:szCs w:val="13"/>
                <w:b w:val="1"/>
                <w:bCs w:val="1"/>
                <w:color w:val="auto"/>
              </w:rPr>
              <w:t>10% p.a.</w:t>
            </w:r>
          </w:p>
        </w:tc>
        <w:tc>
          <w:tcPr>
            <w:tcW w:w="1740" w:type="dxa"/>
            <w:vAlign w:val="bottom"/>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10% p.a.</w:t>
            </w:r>
          </w:p>
        </w:tc>
        <w:tc>
          <w:tcPr>
            <w:tcW w:w="2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 p.a.</w:t>
            </w:r>
          </w:p>
        </w:tc>
      </w:tr>
      <w:tr>
        <w:trPr>
          <w:trHeight w:val="170"/>
        </w:trPr>
        <w:tc>
          <w:tcPr>
            <w:tcW w:w="3920" w:type="dxa"/>
            <w:vAlign w:val="bottom"/>
          </w:tcPr>
          <w:p>
            <w:pPr>
              <w:ind w:left="20"/>
              <w:spacing w:after="0"/>
              <w:rPr>
                <w:sz w:val="20"/>
                <w:szCs w:val="20"/>
                <w:color w:val="auto"/>
              </w:rPr>
            </w:pPr>
            <w:r>
              <w:rPr>
                <w:rFonts w:ascii="Arial" w:cs="Arial" w:eastAsia="Arial" w:hAnsi="Arial"/>
                <w:sz w:val="13"/>
                <w:szCs w:val="13"/>
                <w:color w:val="auto"/>
              </w:rPr>
              <w:t>Minimum gain for voluntary early exercise</w:t>
            </w:r>
          </w:p>
        </w:tc>
        <w:tc>
          <w:tcPr>
            <w:tcW w:w="3480" w:type="dxa"/>
            <w:vAlign w:val="bottom"/>
          </w:tcPr>
          <w:p>
            <w:pPr>
              <w:jc w:val="right"/>
              <w:ind w:right="976"/>
              <w:spacing w:after="0"/>
              <w:rPr>
                <w:sz w:val="20"/>
                <w:szCs w:val="20"/>
                <w:color w:val="auto"/>
              </w:rPr>
            </w:pPr>
            <w:r>
              <w:rPr>
                <w:rFonts w:ascii="Arial" w:cs="Arial" w:eastAsia="Arial" w:hAnsi="Arial"/>
                <w:sz w:val="13"/>
                <w:szCs w:val="13"/>
                <w:b w:val="1"/>
                <w:bCs w:val="1"/>
                <w:color w:val="auto"/>
              </w:rPr>
              <w:t>25% of exercise price</w:t>
            </w:r>
          </w:p>
        </w:tc>
        <w:tc>
          <w:tcPr>
            <w:tcW w:w="1740" w:type="dxa"/>
            <w:vAlign w:val="bottom"/>
          </w:tcPr>
          <w:p>
            <w:pPr>
              <w:jc w:val="right"/>
              <w:ind w:right="276"/>
              <w:spacing w:after="0"/>
              <w:rPr>
                <w:sz w:val="20"/>
                <w:szCs w:val="20"/>
                <w:color w:val="auto"/>
              </w:rPr>
            </w:pPr>
            <w:r>
              <w:rPr>
                <w:rFonts w:ascii="Arial" w:cs="Arial" w:eastAsia="Arial" w:hAnsi="Arial"/>
                <w:sz w:val="13"/>
                <w:szCs w:val="13"/>
                <w:b w:val="1"/>
                <w:bCs w:val="1"/>
                <w:color w:val="auto"/>
              </w:rPr>
              <w:t>25% of exercise price</w:t>
            </w:r>
          </w:p>
        </w:tc>
        <w:tc>
          <w:tcPr>
            <w:tcW w:w="2120" w:type="dxa"/>
            <w:vAlign w:val="bottom"/>
          </w:tcPr>
          <w:p>
            <w:pPr>
              <w:jc w:val="right"/>
              <w:spacing w:after="0"/>
              <w:rPr>
                <w:sz w:val="20"/>
                <w:szCs w:val="20"/>
                <w:color w:val="auto"/>
              </w:rPr>
            </w:pPr>
            <w:r>
              <w:rPr>
                <w:rFonts w:ascii="Arial" w:cs="Arial" w:eastAsia="Arial" w:hAnsi="Arial"/>
                <w:sz w:val="13"/>
                <w:szCs w:val="13"/>
                <w:color w:val="auto"/>
              </w:rPr>
              <w:t>25% of exercise price</w:t>
            </w:r>
          </w:p>
        </w:tc>
      </w:tr>
      <w:tr>
        <w:trPr>
          <w:trHeight w:val="171"/>
        </w:trPr>
        <w:tc>
          <w:tcPr>
            <w:tcW w:w="3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Rate of voluntary early exercise at minimum gain</w:t>
            </w:r>
          </w:p>
        </w:tc>
        <w:tc>
          <w:tcPr>
            <w:tcW w:w="3480" w:type="dxa"/>
            <w:vAlign w:val="bottom"/>
            <w:tcBorders>
              <w:bottom w:val="single" w:sz="8" w:color="auto"/>
            </w:tcBorders>
            <w:shd w:val="clear" w:color="auto" w:fill="CCEEFF"/>
          </w:tcPr>
          <w:p>
            <w:pPr>
              <w:jc w:val="right"/>
              <w:ind w:right="976"/>
              <w:spacing w:after="0"/>
              <w:rPr>
                <w:sz w:val="20"/>
                <w:szCs w:val="20"/>
                <w:color w:val="auto"/>
              </w:rPr>
            </w:pPr>
            <w:r>
              <w:rPr>
                <w:rFonts w:ascii="Arial" w:cs="Arial" w:eastAsia="Arial" w:hAnsi="Arial"/>
                <w:sz w:val="13"/>
                <w:szCs w:val="13"/>
                <w:b w:val="1"/>
                <w:bCs w:val="1"/>
                <w:color w:val="auto"/>
              </w:rPr>
              <w:t>75% per annum</w:t>
            </w:r>
          </w:p>
        </w:tc>
        <w:tc>
          <w:tcPr>
            <w:tcW w:w="174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75% per annum</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 per annum</w:t>
            </w:r>
          </w:p>
        </w:tc>
      </w:tr>
    </w:tbl>
    <w:p>
      <w:pPr>
        <w:spacing w:after="0" w:line="68" w:lineRule="exact"/>
        <w:rPr>
          <w:sz w:val="20"/>
          <w:szCs w:val="20"/>
          <w:color w:val="auto"/>
        </w:rPr>
      </w:pPr>
    </w:p>
    <w:p>
      <w:pPr>
        <w:ind w:left="180" w:hanging="175"/>
        <w:spacing w:after="0"/>
        <w:tabs>
          <w:tab w:leader="none" w:pos="180" w:val="left"/>
        </w:tabs>
        <w:numPr>
          <w:ilvl w:val="0"/>
          <w:numId w:val="84"/>
        </w:numPr>
        <w:rPr>
          <w:rFonts w:ascii="Arial" w:cs="Arial" w:eastAsia="Arial" w:hAnsi="Arial"/>
          <w:sz w:val="11"/>
          <w:szCs w:val="11"/>
          <w:color w:val="auto"/>
        </w:rPr>
      </w:pPr>
      <w:r>
        <w:rPr>
          <w:rFonts w:ascii="Arial" w:cs="Arial" w:eastAsia="Arial" w:hAnsi="Arial"/>
          <w:sz w:val="11"/>
          <w:szCs w:val="11"/>
          <w:color w:val="auto"/>
        </w:rPr>
        <w:t>Expected volatility has been determined based upon the volatility of the Company’s share price over a period which is commensurate with the expected term of the options granted.</w:t>
      </w:r>
    </w:p>
    <w:p>
      <w:pPr>
        <w:spacing w:after="0" w:line="21" w:lineRule="exact"/>
        <w:rPr>
          <w:rFonts w:ascii="Arial" w:cs="Arial" w:eastAsia="Arial" w:hAnsi="Arial"/>
          <w:sz w:val="11"/>
          <w:szCs w:val="11"/>
          <w:color w:val="auto"/>
        </w:rPr>
      </w:pPr>
    </w:p>
    <w:p>
      <w:pPr>
        <w:ind w:left="180" w:hanging="175"/>
        <w:spacing w:after="0"/>
        <w:tabs>
          <w:tab w:leader="none" w:pos="180" w:val="left"/>
        </w:tabs>
        <w:numPr>
          <w:ilvl w:val="0"/>
          <w:numId w:val="84"/>
        </w:numPr>
        <w:rPr>
          <w:rFonts w:ascii="Arial" w:cs="Arial" w:eastAsia="Arial" w:hAnsi="Arial"/>
          <w:sz w:val="11"/>
          <w:szCs w:val="11"/>
          <w:color w:val="auto"/>
        </w:rPr>
      </w:pPr>
      <w:r>
        <w:rPr>
          <w:rFonts w:ascii="Arial" w:cs="Arial" w:eastAsia="Arial" w:hAnsi="Arial"/>
          <w:sz w:val="11"/>
          <w:szCs w:val="11"/>
          <w:color w:val="auto"/>
        </w:rPr>
        <w:t>Risk-free rate is dependent on the grant date and term of the award.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ectPr>
          <w:pgSz w:w="11900" w:h="16838" w:orient="portrait"/>
          <w:cols w:equalWidth="0" w:num="1">
            <w:col w:w="11280"/>
          </w:cols>
          <w:pgMar w:left="300" w:top="698" w:right="319" w:bottom="1440" w:gutter="0" w:footer="0" w:header="0"/>
        </w:sectPr>
      </w:pPr>
    </w:p>
    <w:bookmarkStart w:id="99" w:name="page100"/>
    <w:bookmarkEnd w:id="99"/>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190" w:lineRule="exact"/>
        <w:rPr>
          <w:sz w:val="20"/>
          <w:szCs w:val="20"/>
          <w:color w:val="auto"/>
        </w:rPr>
      </w:pPr>
    </w:p>
    <w:p>
      <w:pPr>
        <w:ind w:left="320" w:hanging="315"/>
        <w:spacing w:after="0"/>
        <w:tabs>
          <w:tab w:leader="none" w:pos="320" w:val="left"/>
        </w:tabs>
        <w:numPr>
          <w:ilvl w:val="0"/>
          <w:numId w:val="85"/>
        </w:numPr>
        <w:rPr>
          <w:rFonts w:ascii="Arial" w:cs="Arial" w:eastAsia="Arial" w:hAnsi="Arial"/>
          <w:sz w:val="13"/>
          <w:szCs w:val="13"/>
          <w:b w:val="1"/>
          <w:bCs w:val="1"/>
          <w:color w:val="auto"/>
        </w:rPr>
      </w:pPr>
      <w:r>
        <w:rPr>
          <w:rFonts w:ascii="Arial" w:cs="Arial" w:eastAsia="Arial" w:hAnsi="Arial"/>
          <w:sz w:val="13"/>
          <w:szCs w:val="13"/>
          <w:b w:val="1"/>
          <w:bCs w:val="1"/>
          <w:color w:val="auto"/>
        </w:rPr>
        <w:t>Share-based payments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Restricted share units</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On 23 April 2013 the Company adopted the 2013 Employees Restricted Share Unit and Performance Share Unit Plan (the “2013 RSU Plan”) pursuant to which the Compensation and Organisation Committee of the Company’s Board of Directors may select any employee, or any Director holding a salaried office or employment with the Company, or a Subsidiary to receive an award under the plan. On 11 May 2015 the 2013 RSU Plan was amended and restated in order to increase the number of shares that can be issued under the RSU Plan by 2.5 million shares. Accordingly, an aggregate of 4.1 million ordinary shares have been reserved for issuance under the 2013 RSU Plan. The shares are awarded at zero cost and vest over a service period. Awards under the 2013 RSU Plan may be settled in cash or shares at the option of the Company.</w:t>
      </w:r>
    </w:p>
    <w:p>
      <w:pPr>
        <w:spacing w:after="0" w:line="143"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On 30 April 2019 the Company approved the 2019 Consultants and Directors Restricted Share Unit Plan (the “2019 Consultants RSU Plan”), which was effective as of 16 May 2019, pursuant to which the Compensation and Organisation Committee of the Company’s Board of Directors may select any consultant, adviser or non-executive Director retained by the Company, or a Subsidiary to receive an award under the plan. 250,000 ordinary shares have been reserved for issuance under the 2019 Consultants RSU Plan. The awards are at par value and vest over a service period. Awards granted to non-executive directors during 2020 and 2021 vest over twelve months.</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Company has awarded RSUs and PSUs to certain key individuals of the Group. The fair value of RSUs is based on the share price at the date of grant, with the expense spread over the vesting period. The following table summarises RSU and PSU activity for the year ended 31 December 2021:</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60" w:type="dxa"/>
            <w:vAlign w:val="bottom"/>
            <w:shd w:val="clear" w:color="auto" w:fill="CCEEFF"/>
          </w:tcPr>
          <w:p>
            <w:pPr>
              <w:spacing w:after="0"/>
              <w:rPr>
                <w:sz w:val="13"/>
                <w:szCs w:val="13"/>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PSU Outstanding</w:t>
            </w:r>
          </w:p>
        </w:tc>
        <w:tc>
          <w:tcPr>
            <w:tcW w:w="320" w:type="dxa"/>
            <w:vAlign w:val="bottom"/>
            <w:shd w:val="clear" w:color="auto" w:fill="CCEEFF"/>
          </w:tcPr>
          <w:p>
            <w:pPr>
              <w:spacing w:after="0"/>
              <w:rPr>
                <w:sz w:val="13"/>
                <w:szCs w:val="13"/>
                <w:color w:val="auto"/>
              </w:rPr>
            </w:pPr>
          </w:p>
        </w:tc>
        <w:tc>
          <w:tcPr>
            <w:tcW w:w="1660" w:type="dxa"/>
            <w:vAlign w:val="bottom"/>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PSU</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RSU Outstanding</w:t>
            </w:r>
          </w:p>
        </w:tc>
        <w:tc>
          <w:tcPr>
            <w:tcW w:w="24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RSU</w:t>
            </w:r>
          </w:p>
        </w:tc>
      </w:tr>
      <w:tr>
        <w:trPr>
          <w:trHeight w:val="127"/>
        </w:trPr>
        <w:tc>
          <w:tcPr>
            <w:tcW w:w="3660" w:type="dxa"/>
            <w:vAlign w:val="bottom"/>
            <w:shd w:val="clear" w:color="auto" w:fill="CCEEFF"/>
          </w:tcPr>
          <w:p>
            <w:pPr>
              <w:spacing w:after="0"/>
              <w:rPr>
                <w:sz w:val="11"/>
                <w:szCs w:val="11"/>
                <w:color w:val="auto"/>
              </w:rPr>
            </w:pPr>
          </w:p>
        </w:tc>
        <w:tc>
          <w:tcPr>
            <w:tcW w:w="246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Number of Shares</w:t>
            </w:r>
          </w:p>
        </w:tc>
        <w:tc>
          <w:tcPr>
            <w:tcW w:w="320" w:type="dxa"/>
            <w:vAlign w:val="bottom"/>
            <w:shd w:val="clear" w:color="auto" w:fill="CCEEFF"/>
          </w:tcPr>
          <w:p>
            <w:pPr>
              <w:spacing w:after="0"/>
              <w:rPr>
                <w:sz w:val="11"/>
                <w:szCs w:val="11"/>
                <w:color w:val="auto"/>
              </w:rPr>
            </w:pPr>
          </w:p>
        </w:tc>
        <w:tc>
          <w:tcPr>
            <w:tcW w:w="1660" w:type="dxa"/>
            <w:vAlign w:val="bottom"/>
            <w:shd w:val="clear" w:color="auto" w:fill="CCEEFF"/>
          </w:tcPr>
          <w:p>
            <w:pPr>
              <w:jc w:val="right"/>
              <w:ind w:right="256"/>
              <w:spacing w:after="0" w:line="128" w:lineRule="exact"/>
              <w:rPr>
                <w:sz w:val="20"/>
                <w:szCs w:val="20"/>
                <w:color w:val="auto"/>
              </w:rPr>
            </w:pPr>
            <w:r>
              <w:rPr>
                <w:rFonts w:ascii="Arial" w:cs="Arial" w:eastAsia="Arial" w:hAnsi="Arial"/>
                <w:sz w:val="13"/>
                <w:szCs w:val="13"/>
                <w:b w:val="1"/>
                <w:bCs w:val="1"/>
                <w:color w:val="auto"/>
              </w:rPr>
              <w:t>Weighted Average</w:t>
            </w:r>
          </w:p>
        </w:tc>
        <w:tc>
          <w:tcPr>
            <w:tcW w:w="140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Number</w:t>
            </w:r>
          </w:p>
        </w:tc>
        <w:tc>
          <w:tcPr>
            <w:tcW w:w="240" w:type="dxa"/>
            <w:vAlign w:val="bottom"/>
            <w:shd w:val="clear" w:color="auto" w:fill="CCEEFF"/>
          </w:tcPr>
          <w:p>
            <w:pPr>
              <w:spacing w:after="0"/>
              <w:rPr>
                <w:sz w:val="11"/>
                <w:szCs w:val="11"/>
                <w:color w:val="auto"/>
              </w:rPr>
            </w:pPr>
          </w:p>
        </w:tc>
        <w:tc>
          <w:tcPr>
            <w:tcW w:w="146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Weighted Average</w:t>
            </w:r>
          </w:p>
        </w:tc>
      </w:tr>
      <w:tr>
        <w:trPr>
          <w:trHeight w:val="127"/>
        </w:trPr>
        <w:tc>
          <w:tcPr>
            <w:tcW w:w="366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60" w:type="dxa"/>
            <w:vAlign w:val="bottom"/>
            <w:shd w:val="clear" w:color="auto" w:fill="CCEEFF"/>
          </w:tcPr>
          <w:p>
            <w:pPr>
              <w:jc w:val="right"/>
              <w:ind w:right="276"/>
              <w:spacing w:after="0" w:line="128" w:lineRule="exact"/>
              <w:rPr>
                <w:sz w:val="20"/>
                <w:szCs w:val="20"/>
                <w:color w:val="auto"/>
              </w:rPr>
            </w:pPr>
            <w:r>
              <w:rPr>
                <w:rFonts w:ascii="Arial" w:cs="Arial" w:eastAsia="Arial" w:hAnsi="Arial"/>
                <w:sz w:val="13"/>
                <w:szCs w:val="13"/>
                <w:b w:val="1"/>
                <w:bCs w:val="1"/>
                <w:color w:val="auto"/>
              </w:rPr>
              <w:t>Grant Date</w:t>
            </w:r>
          </w:p>
        </w:tc>
        <w:tc>
          <w:tcPr>
            <w:tcW w:w="140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of Shares</w:t>
            </w:r>
          </w:p>
        </w:tc>
        <w:tc>
          <w:tcPr>
            <w:tcW w:w="240" w:type="dxa"/>
            <w:vAlign w:val="bottom"/>
            <w:shd w:val="clear" w:color="auto" w:fill="CCEEFF"/>
          </w:tcPr>
          <w:p>
            <w:pPr>
              <w:spacing w:after="0"/>
              <w:rPr>
                <w:sz w:val="11"/>
                <w:szCs w:val="11"/>
                <w:color w:val="auto"/>
              </w:rPr>
            </w:pPr>
          </w:p>
        </w:tc>
        <w:tc>
          <w:tcPr>
            <w:tcW w:w="146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Grant Date Fair Value</w:t>
            </w:r>
          </w:p>
        </w:tc>
      </w:tr>
      <w:tr>
        <w:trPr>
          <w:trHeight w:val="170"/>
        </w:trPr>
        <w:tc>
          <w:tcPr>
            <w:tcW w:w="3660" w:type="dxa"/>
            <w:vAlign w:val="bottom"/>
            <w:tcBorders>
              <w:bottom w:val="single" w:sz="8" w:color="auto"/>
            </w:tcBorders>
            <w:shd w:val="clear" w:color="auto" w:fill="CCEEFF"/>
          </w:tcPr>
          <w:p>
            <w:pPr>
              <w:spacing w:after="0"/>
              <w:rPr>
                <w:sz w:val="14"/>
                <w:szCs w:val="14"/>
                <w:color w:val="auto"/>
              </w:rPr>
            </w:pPr>
          </w:p>
        </w:tc>
        <w:tc>
          <w:tcPr>
            <w:tcW w:w="246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66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Fair Value</w:t>
            </w:r>
          </w:p>
        </w:tc>
        <w:tc>
          <w:tcPr>
            <w:tcW w:w="140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spacing w:after="0"/>
              <w:rPr>
                <w:sz w:val="14"/>
                <w:szCs w:val="14"/>
                <w:color w:val="auto"/>
              </w:rPr>
            </w:pPr>
          </w:p>
        </w:tc>
      </w:tr>
      <w:tr>
        <w:trPr>
          <w:trHeight w:val="159"/>
        </w:trPr>
        <w:tc>
          <w:tcPr>
            <w:tcW w:w="3660" w:type="dxa"/>
            <w:vAlign w:val="bottom"/>
          </w:tcPr>
          <w:p>
            <w:pPr>
              <w:ind w:left="20"/>
              <w:spacing w:after="0"/>
              <w:rPr>
                <w:sz w:val="20"/>
                <w:szCs w:val="20"/>
                <w:color w:val="auto"/>
              </w:rPr>
            </w:pPr>
            <w:r>
              <w:rPr>
                <w:rFonts w:ascii="Arial" w:cs="Arial" w:eastAsia="Arial" w:hAnsi="Arial"/>
                <w:sz w:val="13"/>
                <w:szCs w:val="13"/>
                <w:color w:val="auto"/>
              </w:rPr>
              <w:t>Outstanding at 31 December 2020</w:t>
            </w:r>
          </w:p>
        </w:tc>
        <w:tc>
          <w:tcPr>
            <w:tcW w:w="2460" w:type="dxa"/>
            <w:vAlign w:val="bottom"/>
          </w:tcPr>
          <w:p>
            <w:pPr>
              <w:jc w:val="right"/>
              <w:spacing w:after="0"/>
              <w:rPr>
                <w:sz w:val="20"/>
                <w:szCs w:val="20"/>
                <w:color w:val="auto"/>
              </w:rPr>
            </w:pPr>
            <w:r>
              <w:rPr>
                <w:rFonts w:ascii="Arial" w:cs="Arial" w:eastAsia="Arial" w:hAnsi="Arial"/>
                <w:sz w:val="13"/>
                <w:szCs w:val="13"/>
                <w:color w:val="auto"/>
              </w:rPr>
              <w:t>159,641</w:t>
            </w: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660" w:type="dxa"/>
            <w:vAlign w:val="bottom"/>
          </w:tcPr>
          <w:p>
            <w:pPr>
              <w:jc w:val="right"/>
              <w:ind w:right="296"/>
              <w:spacing w:after="0"/>
              <w:rPr>
                <w:sz w:val="20"/>
                <w:szCs w:val="20"/>
                <w:color w:val="auto"/>
              </w:rPr>
            </w:pPr>
            <w:r>
              <w:rPr>
                <w:rFonts w:ascii="Arial" w:cs="Arial" w:eastAsia="Arial" w:hAnsi="Arial"/>
                <w:sz w:val="13"/>
                <w:szCs w:val="13"/>
                <w:color w:val="auto"/>
              </w:rPr>
              <w:t>137.64</w:t>
            </w:r>
          </w:p>
        </w:tc>
        <w:tc>
          <w:tcPr>
            <w:tcW w:w="1400" w:type="dxa"/>
            <w:vAlign w:val="bottom"/>
          </w:tcPr>
          <w:p>
            <w:pPr>
              <w:jc w:val="right"/>
              <w:spacing w:after="0"/>
              <w:rPr>
                <w:sz w:val="20"/>
                <w:szCs w:val="20"/>
                <w:color w:val="auto"/>
              </w:rPr>
            </w:pPr>
            <w:r>
              <w:rPr>
                <w:rFonts w:ascii="Arial" w:cs="Arial" w:eastAsia="Arial" w:hAnsi="Arial"/>
                <w:sz w:val="13"/>
                <w:szCs w:val="13"/>
                <w:color w:val="auto"/>
              </w:rPr>
              <w:t>341,424</w:t>
            </w: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1460" w:type="dxa"/>
            <w:vAlign w:val="bottom"/>
          </w:tcPr>
          <w:p>
            <w:pPr>
              <w:jc w:val="right"/>
              <w:spacing w:after="0"/>
              <w:rPr>
                <w:sz w:val="20"/>
                <w:szCs w:val="20"/>
                <w:color w:val="auto"/>
              </w:rPr>
            </w:pPr>
            <w:r>
              <w:rPr>
                <w:rFonts w:ascii="Arial" w:cs="Arial" w:eastAsia="Arial" w:hAnsi="Arial"/>
                <w:sz w:val="13"/>
                <w:szCs w:val="13"/>
                <w:color w:val="auto"/>
              </w:rPr>
              <w:t>145.77</w:t>
            </w:r>
          </w:p>
        </w:tc>
      </w:tr>
      <w:tr>
        <w:trPr>
          <w:trHeight w:val="203"/>
        </w:trPr>
        <w:tc>
          <w:tcPr>
            <w:tcW w:w="3660" w:type="dxa"/>
            <w:vAlign w:val="bottom"/>
            <w:shd w:val="clear" w:color="auto" w:fill="CCEEFF"/>
          </w:tcPr>
          <w:p>
            <w:pPr>
              <w:spacing w:after="0"/>
              <w:rPr>
                <w:sz w:val="17"/>
                <w:szCs w:val="17"/>
                <w:color w:val="auto"/>
              </w:rPr>
            </w:pPr>
          </w:p>
        </w:tc>
        <w:tc>
          <w:tcPr>
            <w:tcW w:w="2780" w:type="dxa"/>
            <w:vAlign w:val="bottom"/>
            <w:gridSpan w:val="2"/>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169"/>
        </w:trPr>
        <w:tc>
          <w:tcPr>
            <w:tcW w:w="3660" w:type="dxa"/>
            <w:vAlign w:val="bottom"/>
          </w:tcPr>
          <w:p>
            <w:pPr>
              <w:ind w:left="20"/>
              <w:spacing w:after="0"/>
              <w:rPr>
                <w:sz w:val="20"/>
                <w:szCs w:val="20"/>
                <w:color w:val="auto"/>
              </w:rPr>
            </w:pPr>
            <w:r>
              <w:rPr>
                <w:rFonts w:ascii="Arial" w:cs="Arial" w:eastAsia="Arial" w:hAnsi="Arial"/>
                <w:sz w:val="13"/>
                <w:szCs w:val="13"/>
                <w:color w:val="auto"/>
              </w:rPr>
              <w:t>Assumed through business combination*</w:t>
            </w:r>
          </w:p>
        </w:tc>
        <w:tc>
          <w:tcPr>
            <w:tcW w:w="2780" w:type="dxa"/>
            <w:vAlign w:val="bottom"/>
            <w:gridSpan w:val="2"/>
          </w:tcPr>
          <w:p>
            <w:pPr>
              <w:jc w:val="right"/>
              <w:ind w:right="176"/>
              <w:spacing w:after="0"/>
              <w:rPr>
                <w:sz w:val="20"/>
                <w:szCs w:val="20"/>
                <w:color w:val="auto"/>
              </w:rPr>
            </w:pPr>
            <w:r>
              <w:rPr>
                <w:rFonts w:ascii="Arial" w:cs="Arial" w:eastAsia="Arial" w:hAnsi="Arial"/>
                <w:sz w:val="13"/>
                <w:szCs w:val="13"/>
                <w:color w:val="auto"/>
              </w:rPr>
              <w:t>— $</w:t>
            </w:r>
          </w:p>
        </w:tc>
        <w:tc>
          <w:tcPr>
            <w:tcW w:w="166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1400" w:type="dxa"/>
            <w:vAlign w:val="bottom"/>
          </w:tcPr>
          <w:p>
            <w:pPr>
              <w:jc w:val="right"/>
              <w:spacing w:after="0"/>
              <w:rPr>
                <w:sz w:val="20"/>
                <w:szCs w:val="20"/>
                <w:color w:val="auto"/>
              </w:rPr>
            </w:pPr>
            <w:r>
              <w:rPr>
                <w:rFonts w:ascii="Arial" w:cs="Arial" w:eastAsia="Arial" w:hAnsi="Arial"/>
                <w:sz w:val="13"/>
                <w:szCs w:val="13"/>
                <w:color w:val="auto"/>
              </w:rPr>
              <w:t>589,517</w:t>
            </w: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1460" w:type="dxa"/>
            <w:vAlign w:val="bottom"/>
          </w:tcPr>
          <w:p>
            <w:pPr>
              <w:jc w:val="right"/>
              <w:spacing w:after="0"/>
              <w:rPr>
                <w:sz w:val="20"/>
                <w:szCs w:val="20"/>
                <w:color w:val="auto"/>
              </w:rPr>
            </w:pPr>
            <w:r>
              <w:rPr>
                <w:rFonts w:ascii="Arial" w:cs="Arial" w:eastAsia="Arial" w:hAnsi="Arial"/>
                <w:sz w:val="13"/>
                <w:szCs w:val="13"/>
                <w:color w:val="auto"/>
              </w:rPr>
              <w:t>206.71</w:t>
            </w:r>
          </w:p>
        </w:tc>
      </w:tr>
      <w:tr>
        <w:trPr>
          <w:trHeight w:val="171"/>
        </w:trPr>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Granted</w:t>
            </w:r>
          </w:p>
        </w:tc>
        <w:tc>
          <w:tcPr>
            <w:tcW w:w="2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55,444</w:t>
            </w: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66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177.77</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171,316</w:t>
            </w: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214.36</w:t>
            </w:r>
          </w:p>
        </w:tc>
      </w:tr>
      <w:tr>
        <w:trPr>
          <w:trHeight w:val="169"/>
        </w:trPr>
        <w:tc>
          <w:tcPr>
            <w:tcW w:w="3660" w:type="dxa"/>
            <w:vAlign w:val="bottom"/>
          </w:tcPr>
          <w:p>
            <w:pPr>
              <w:ind w:left="20"/>
              <w:spacing w:after="0"/>
              <w:rPr>
                <w:sz w:val="20"/>
                <w:szCs w:val="20"/>
                <w:color w:val="auto"/>
              </w:rPr>
            </w:pPr>
            <w:r>
              <w:rPr>
                <w:rFonts w:ascii="Arial" w:cs="Arial" w:eastAsia="Arial" w:hAnsi="Arial"/>
                <w:sz w:val="13"/>
                <w:szCs w:val="13"/>
                <w:color w:val="auto"/>
              </w:rPr>
              <w:t>Shares vested **</w:t>
            </w:r>
          </w:p>
        </w:tc>
        <w:tc>
          <w:tcPr>
            <w:tcW w:w="2460" w:type="dxa"/>
            <w:vAlign w:val="bottom"/>
          </w:tcPr>
          <w:p>
            <w:pPr>
              <w:jc w:val="right"/>
              <w:spacing w:after="0"/>
              <w:rPr>
                <w:sz w:val="20"/>
                <w:szCs w:val="20"/>
                <w:color w:val="auto"/>
              </w:rPr>
            </w:pPr>
            <w:r>
              <w:rPr>
                <w:rFonts w:ascii="Arial" w:cs="Arial" w:eastAsia="Arial" w:hAnsi="Arial"/>
                <w:sz w:val="13"/>
                <w:szCs w:val="13"/>
                <w:color w:val="auto"/>
              </w:rPr>
              <w:t>(44,132)</w:t>
            </w: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660" w:type="dxa"/>
            <w:vAlign w:val="bottom"/>
          </w:tcPr>
          <w:p>
            <w:pPr>
              <w:jc w:val="right"/>
              <w:ind w:right="296"/>
              <w:spacing w:after="0"/>
              <w:rPr>
                <w:sz w:val="20"/>
                <w:szCs w:val="20"/>
                <w:color w:val="auto"/>
              </w:rPr>
            </w:pPr>
            <w:r>
              <w:rPr>
                <w:rFonts w:ascii="Arial" w:cs="Arial" w:eastAsia="Arial" w:hAnsi="Arial"/>
                <w:sz w:val="13"/>
                <w:szCs w:val="13"/>
                <w:color w:val="auto"/>
              </w:rPr>
              <w:t>115.61</w:t>
            </w:r>
          </w:p>
        </w:tc>
        <w:tc>
          <w:tcPr>
            <w:tcW w:w="1400" w:type="dxa"/>
            <w:vAlign w:val="bottom"/>
          </w:tcPr>
          <w:p>
            <w:pPr>
              <w:jc w:val="right"/>
              <w:spacing w:after="0"/>
              <w:rPr>
                <w:sz w:val="20"/>
                <w:szCs w:val="20"/>
                <w:color w:val="auto"/>
              </w:rPr>
            </w:pPr>
            <w:r>
              <w:rPr>
                <w:rFonts w:ascii="Arial" w:cs="Arial" w:eastAsia="Arial" w:hAnsi="Arial"/>
                <w:sz w:val="13"/>
                <w:szCs w:val="13"/>
                <w:color w:val="auto"/>
              </w:rPr>
              <w:t>(446,404)</w:t>
            </w: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1460" w:type="dxa"/>
            <w:vAlign w:val="bottom"/>
          </w:tcPr>
          <w:p>
            <w:pPr>
              <w:jc w:val="right"/>
              <w:spacing w:after="0"/>
              <w:rPr>
                <w:sz w:val="20"/>
                <w:szCs w:val="20"/>
                <w:color w:val="auto"/>
              </w:rPr>
            </w:pPr>
            <w:r>
              <w:rPr>
                <w:rFonts w:ascii="Arial" w:cs="Arial" w:eastAsia="Arial" w:hAnsi="Arial"/>
                <w:sz w:val="13"/>
                <w:szCs w:val="13"/>
                <w:color w:val="auto"/>
              </w:rPr>
              <w:t>186.99</w:t>
            </w:r>
          </w:p>
        </w:tc>
      </w:tr>
      <w:tr>
        <w:trPr>
          <w:trHeight w:val="172"/>
        </w:trPr>
        <w:tc>
          <w:tcPr>
            <w:tcW w:w="3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Forfeited</w:t>
            </w:r>
          </w:p>
        </w:tc>
        <w:tc>
          <w:tcPr>
            <w:tcW w:w="2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(16,763)</w:t>
            </w: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66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rPr>
              <w:t>141.36</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(83,068)</w:t>
            </w: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188.49</w:t>
            </w:r>
          </w:p>
        </w:tc>
      </w:tr>
      <w:tr>
        <w:trPr>
          <w:trHeight w:val="191"/>
        </w:trPr>
        <w:tc>
          <w:tcPr>
            <w:tcW w:w="36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94"/>
        </w:trPr>
        <w:tc>
          <w:tcPr>
            <w:tcW w:w="3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Outstanding at 31 December 2021</w:t>
            </w:r>
          </w:p>
        </w:tc>
        <w:tc>
          <w:tcPr>
            <w:tcW w:w="2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154,190</w:t>
            </w: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66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rPr>
              <w:t>160.23</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572,785</w:t>
            </w: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191.20</w:t>
            </w:r>
          </w:p>
        </w:tc>
      </w:tr>
      <w:tr>
        <w:trPr>
          <w:trHeight w:val="20"/>
        </w:trPr>
        <w:tc>
          <w:tcPr>
            <w:tcW w:w="3660" w:type="dxa"/>
            <w:vAlign w:val="bottom"/>
            <w:tcBorders>
              <w:top w:val="single" w:sz="8" w:color="CCEEFF"/>
              <w:bottom w:val="single" w:sz="8" w:color="auto"/>
            </w:tcBorders>
          </w:tcPr>
          <w:p>
            <w:pPr>
              <w:spacing w:after="0" w:line="20" w:lineRule="exact"/>
              <w:rPr>
                <w:sz w:val="1"/>
                <w:szCs w:val="1"/>
                <w:color w:val="auto"/>
              </w:rPr>
            </w:pPr>
          </w:p>
        </w:tc>
        <w:tc>
          <w:tcPr>
            <w:tcW w:w="24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64" w:lineRule="exact"/>
        <w:rPr>
          <w:sz w:val="20"/>
          <w:szCs w:val="20"/>
          <w:color w:val="auto"/>
        </w:rPr>
      </w:pPr>
    </w:p>
    <w:p>
      <w:pPr>
        <w:ind w:right="5860" w:firstLine="5"/>
        <w:spacing w:after="0" w:line="266" w:lineRule="auto"/>
        <w:tabs>
          <w:tab w:leader="none" w:pos="85" w:val="left"/>
        </w:tabs>
        <w:numPr>
          <w:ilvl w:val="0"/>
          <w:numId w:val="86"/>
        </w:numPr>
        <w:rPr>
          <w:rFonts w:ascii="Arial" w:cs="Arial" w:eastAsia="Arial" w:hAnsi="Arial"/>
          <w:sz w:val="13"/>
          <w:szCs w:val="13"/>
          <w:color w:val="auto"/>
        </w:rPr>
      </w:pPr>
      <w:r>
        <w:rPr>
          <w:rFonts w:ascii="Arial" w:cs="Arial" w:eastAsia="Arial" w:hAnsi="Arial"/>
          <w:sz w:val="13"/>
          <w:szCs w:val="13"/>
          <w:color w:val="auto"/>
        </w:rPr>
        <w:t>Represents restricted stock units issued as replacement awards in connection with the Merger. ** Includes 161,389 RSU's which vested on the date of the Merger.</w:t>
      </w:r>
    </w:p>
    <w:p>
      <w:pPr>
        <w:spacing w:after="0" w:line="157"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The PSUs vest based on service and specified EPS targets over the period 2019 – 2021, 2020 – 2022 and 2021 – 2023. Depending on the actual amount of EPS from 2019 to 2023, up to an additional 71,890 PSUs may also be granted.</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Share-based payment expense</w:t>
      </w:r>
    </w:p>
    <w:p>
      <w:pPr>
        <w:spacing w:after="0" w:line="199"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Operating profit for the year ended 31 December 2021 is stated after charging $105.9 million in respect of share-based payment expense. Share-based payment expense has been allocated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00" w:type="dxa"/>
            <w:vAlign w:val="bottom"/>
            <w:shd w:val="clear" w:color="auto" w:fill="CCEEFF"/>
          </w:tcPr>
          <w:p>
            <w:pPr>
              <w:spacing w:after="0"/>
              <w:rPr>
                <w:sz w:val="12"/>
                <w:szCs w:val="12"/>
                <w:color w:val="auto"/>
              </w:rPr>
            </w:pPr>
          </w:p>
        </w:tc>
        <w:tc>
          <w:tcPr>
            <w:tcW w:w="4120" w:type="dxa"/>
            <w:vAlign w:val="bottom"/>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Year ended 31 December</w:t>
            </w: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Year ended 31 December</w:t>
            </w:r>
          </w:p>
        </w:tc>
      </w:tr>
      <w:tr>
        <w:trPr>
          <w:trHeight w:val="170"/>
        </w:trPr>
        <w:tc>
          <w:tcPr>
            <w:tcW w:w="5600" w:type="dxa"/>
            <w:vAlign w:val="bottom"/>
            <w:tcBorders>
              <w:bottom w:val="single" w:sz="8" w:color="auto"/>
            </w:tcBorders>
            <w:shd w:val="clear" w:color="auto" w:fill="CCEEFF"/>
          </w:tcPr>
          <w:p>
            <w:pPr>
              <w:spacing w:after="0"/>
              <w:rPr>
                <w:sz w:val="14"/>
                <w:szCs w:val="14"/>
                <w:color w:val="auto"/>
              </w:rPr>
            </w:pPr>
          </w:p>
        </w:tc>
        <w:tc>
          <w:tcPr>
            <w:tcW w:w="41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2021</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2020</w:t>
            </w:r>
          </w:p>
        </w:tc>
      </w:tr>
      <w:tr>
        <w:trPr>
          <w:trHeight w:val="160"/>
        </w:trPr>
        <w:tc>
          <w:tcPr>
            <w:tcW w:w="5600" w:type="dxa"/>
            <w:vAlign w:val="bottom"/>
          </w:tcPr>
          <w:p>
            <w:pPr>
              <w:spacing w:after="0"/>
              <w:rPr>
                <w:sz w:val="13"/>
                <w:szCs w:val="13"/>
                <w:color w:val="auto"/>
              </w:rPr>
            </w:pPr>
          </w:p>
        </w:tc>
        <w:tc>
          <w:tcPr>
            <w:tcW w:w="4120" w:type="dxa"/>
            <w:vAlign w:val="bottom"/>
          </w:tcPr>
          <w:p>
            <w:pPr>
              <w:jc w:val="right"/>
              <w:ind w:right="36"/>
              <w:spacing w:after="0"/>
              <w:rPr>
                <w:sz w:val="20"/>
                <w:szCs w:val="20"/>
                <w:color w:val="auto"/>
              </w:rPr>
            </w:pPr>
            <w:r>
              <w:rPr>
                <w:rFonts w:ascii="Arial" w:cs="Arial" w:eastAsia="Arial" w:hAnsi="Arial"/>
                <w:sz w:val="13"/>
                <w:szCs w:val="13"/>
                <w:b w:val="1"/>
                <w:bCs w:val="1"/>
                <w:color w:val="auto"/>
              </w:rPr>
              <w:t>$’000</w:t>
            </w:r>
          </w:p>
        </w:tc>
        <w:tc>
          <w:tcPr>
            <w:tcW w:w="15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202"/>
        </w:trPr>
        <w:tc>
          <w:tcPr>
            <w:tcW w:w="5600" w:type="dxa"/>
            <w:vAlign w:val="bottom"/>
            <w:shd w:val="clear" w:color="auto" w:fill="CCEEFF"/>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170"/>
        </w:trPr>
        <w:tc>
          <w:tcPr>
            <w:tcW w:w="5600" w:type="dxa"/>
            <w:vAlign w:val="bottom"/>
          </w:tcPr>
          <w:p>
            <w:pPr>
              <w:ind w:left="20"/>
              <w:spacing w:after="0"/>
              <w:rPr>
                <w:sz w:val="20"/>
                <w:szCs w:val="20"/>
                <w:color w:val="auto"/>
              </w:rPr>
            </w:pPr>
            <w:r>
              <w:rPr>
                <w:rFonts w:ascii="Arial" w:cs="Arial" w:eastAsia="Arial" w:hAnsi="Arial"/>
                <w:sz w:val="13"/>
                <w:szCs w:val="13"/>
                <w:color w:val="auto"/>
              </w:rPr>
              <w:t>Direct costs</w:t>
            </w:r>
          </w:p>
        </w:tc>
        <w:tc>
          <w:tcPr>
            <w:tcW w:w="4120" w:type="dxa"/>
            <w:vAlign w:val="bottom"/>
          </w:tcPr>
          <w:p>
            <w:pPr>
              <w:jc w:val="right"/>
              <w:ind w:right="76"/>
              <w:spacing w:after="0"/>
              <w:rPr>
                <w:sz w:val="20"/>
                <w:szCs w:val="20"/>
                <w:color w:val="auto"/>
              </w:rPr>
            </w:pPr>
            <w:r>
              <w:rPr>
                <w:rFonts w:ascii="Arial" w:cs="Arial" w:eastAsia="Arial" w:hAnsi="Arial"/>
                <w:sz w:val="13"/>
                <w:szCs w:val="13"/>
                <w:b w:val="1"/>
                <w:bCs w:val="1"/>
                <w:color w:val="auto"/>
              </w:rPr>
              <w:t>19,151</w:t>
            </w:r>
          </w:p>
        </w:tc>
        <w:tc>
          <w:tcPr>
            <w:tcW w:w="1540" w:type="dxa"/>
            <w:vAlign w:val="bottom"/>
          </w:tcPr>
          <w:p>
            <w:pPr>
              <w:jc w:val="right"/>
              <w:spacing w:after="0"/>
              <w:rPr>
                <w:sz w:val="20"/>
                <w:szCs w:val="20"/>
                <w:color w:val="auto"/>
              </w:rPr>
            </w:pPr>
            <w:r>
              <w:rPr>
                <w:rFonts w:ascii="Arial" w:cs="Arial" w:eastAsia="Arial" w:hAnsi="Arial"/>
                <w:sz w:val="13"/>
                <w:szCs w:val="13"/>
                <w:color w:val="auto"/>
              </w:rPr>
              <w:t>9,043</w:t>
            </w:r>
          </w:p>
        </w:tc>
      </w:tr>
      <w:tr>
        <w:trPr>
          <w:trHeight w:val="170"/>
        </w:trPr>
        <w:tc>
          <w:tcPr>
            <w:tcW w:w="5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operating expenses</w:t>
            </w:r>
          </w:p>
        </w:tc>
        <w:tc>
          <w:tcPr>
            <w:tcW w:w="4120" w:type="dxa"/>
            <w:vAlign w:val="bottom"/>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40,521</w:t>
            </w: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17,554</w:t>
            </w:r>
          </w:p>
        </w:tc>
      </w:tr>
      <w:tr>
        <w:trPr>
          <w:trHeight w:val="170"/>
        </w:trPr>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Transaction and integration related - exceptional item *</w:t>
            </w:r>
          </w:p>
        </w:tc>
        <w:tc>
          <w:tcPr>
            <w:tcW w:w="41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46,187</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82"/>
        </w:trPr>
        <w:tc>
          <w:tcPr>
            <w:tcW w:w="5600" w:type="dxa"/>
            <w:vAlign w:val="bottom"/>
            <w:shd w:val="clear" w:color="auto" w:fill="CCEEFF"/>
          </w:tcPr>
          <w:p>
            <w:pPr>
              <w:spacing w:after="0"/>
              <w:rPr>
                <w:sz w:val="15"/>
                <w:szCs w:val="15"/>
                <w:color w:val="auto"/>
              </w:rPr>
            </w:pPr>
          </w:p>
        </w:tc>
        <w:tc>
          <w:tcPr>
            <w:tcW w:w="41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171"/>
        </w:trPr>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w:t>
            </w:r>
          </w:p>
        </w:tc>
        <w:tc>
          <w:tcPr>
            <w:tcW w:w="41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105,859</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26,597</w:t>
            </w:r>
          </w:p>
        </w:tc>
      </w:tr>
    </w:tbl>
    <w:p>
      <w:pPr>
        <w:spacing w:after="0" w:line="127" w:lineRule="exact"/>
        <w:rPr>
          <w:sz w:val="20"/>
          <w:szCs w:val="20"/>
          <w:color w:val="auto"/>
        </w:rPr>
      </w:pPr>
    </w:p>
    <w:p>
      <w:pPr>
        <w:ind w:left="80" w:hanging="75"/>
        <w:spacing w:after="0"/>
        <w:tabs>
          <w:tab w:leader="none" w:pos="80" w:val="left"/>
        </w:tabs>
        <w:numPr>
          <w:ilvl w:val="0"/>
          <w:numId w:val="87"/>
        </w:numPr>
        <w:rPr>
          <w:rFonts w:ascii="Arial" w:cs="Arial" w:eastAsia="Arial" w:hAnsi="Arial"/>
          <w:sz w:val="13"/>
          <w:szCs w:val="13"/>
          <w:color w:val="auto"/>
        </w:rPr>
      </w:pPr>
      <w:r>
        <w:rPr>
          <w:rFonts w:ascii="Arial" w:cs="Arial" w:eastAsia="Arial" w:hAnsi="Arial"/>
          <w:sz w:val="13"/>
          <w:szCs w:val="13"/>
          <w:color w:val="auto"/>
        </w:rPr>
        <w:t>Represents the post combination portion of the accelerated vesting of awards following the completion of the Merger</w:t>
      </w:r>
    </w:p>
    <w:p>
      <w:pPr>
        <w:spacing w:after="0" w:line="200" w:lineRule="exact"/>
        <w:rPr>
          <w:rFonts w:ascii="Arial" w:cs="Arial" w:eastAsia="Arial" w:hAnsi="Arial"/>
          <w:sz w:val="13"/>
          <w:szCs w:val="13"/>
          <w:color w:val="auto"/>
        </w:rPr>
      </w:pPr>
    </w:p>
    <w:p>
      <w:pPr>
        <w:spacing w:after="0" w:line="335" w:lineRule="exact"/>
        <w:rPr>
          <w:rFonts w:ascii="Arial" w:cs="Arial" w:eastAsia="Arial" w:hAnsi="Arial"/>
          <w:sz w:val="13"/>
          <w:szCs w:val="13"/>
          <w:color w:val="auto"/>
        </w:rPr>
      </w:pPr>
    </w:p>
    <w:p>
      <w:pPr>
        <w:ind w:left="5560"/>
        <w:spacing w:after="0"/>
        <w:rPr>
          <w:rFonts w:ascii="Arial" w:cs="Arial" w:eastAsia="Arial" w:hAnsi="Arial"/>
          <w:sz w:val="13"/>
          <w:szCs w:val="13"/>
          <w:color w:val="auto"/>
        </w:rPr>
      </w:pPr>
      <w:r>
        <w:rPr>
          <w:rFonts w:ascii="Arial" w:cs="Arial" w:eastAsia="Arial" w:hAnsi="Arial"/>
          <w:sz w:val="14"/>
          <w:szCs w:val="14"/>
          <w:color w:val="auto"/>
        </w:rPr>
        <w:t>83</w:t>
      </w:r>
    </w:p>
    <w:p>
      <w:pPr>
        <w:sectPr>
          <w:pgSz w:w="11900" w:h="16838" w:orient="portrait"/>
          <w:cols w:equalWidth="0" w:num="1">
            <w:col w:w="11280"/>
          </w:cols>
          <w:pgMar w:left="300" w:top="698" w:right="31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190" w:lineRule="exact"/>
        <w:rPr>
          <w:sz w:val="20"/>
          <w:szCs w:val="20"/>
          <w:color w:val="auto"/>
        </w:rPr>
      </w:pPr>
    </w:p>
    <w:p>
      <w:pPr>
        <w:spacing w:after="0"/>
        <w:tabs>
          <w:tab w:leader="none" w:pos="300" w:val="left"/>
        </w:tabs>
        <w:rPr>
          <w:sz w:val="20"/>
          <w:szCs w:val="20"/>
          <w:color w:val="auto"/>
        </w:rPr>
      </w:pPr>
      <w:r>
        <w:rPr>
          <w:rFonts w:ascii="Arial" w:cs="Arial" w:eastAsia="Arial" w:hAnsi="Arial"/>
          <w:sz w:val="13"/>
          <w:szCs w:val="13"/>
          <w:b w:val="1"/>
          <w:bCs w:val="1"/>
          <w:color w:val="auto"/>
        </w:rPr>
        <w:t>12.</w:t>
      </w:r>
      <w:r>
        <w:rPr>
          <w:sz w:val="20"/>
          <w:szCs w:val="20"/>
          <w:color w:val="auto"/>
        </w:rPr>
        <w:tab/>
      </w:r>
      <w:r>
        <w:rPr>
          <w:rFonts w:ascii="Arial" w:cs="Arial" w:eastAsia="Arial" w:hAnsi="Arial"/>
          <w:sz w:val="12"/>
          <w:szCs w:val="12"/>
          <w:b w:val="1"/>
          <w:bCs w:val="1"/>
          <w:color w:val="auto"/>
        </w:rPr>
        <w:t>Property, Plant and Equipment</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Leasehold</w:t>
            </w:r>
          </w:p>
        </w:tc>
        <w:tc>
          <w:tcPr>
            <w:tcW w:w="1100" w:type="dxa"/>
            <w:vAlign w:val="bottom"/>
            <w:vMerge w:val="restart"/>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Computer</w:t>
            </w:r>
          </w:p>
        </w:tc>
        <w:tc>
          <w:tcPr>
            <w:tcW w:w="1100" w:type="dxa"/>
            <w:vAlign w:val="bottom"/>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Office</w:t>
            </w:r>
          </w:p>
        </w:tc>
        <w:tc>
          <w:tcPr>
            <w:tcW w:w="1180" w:type="dxa"/>
            <w:vAlign w:val="bottom"/>
            <w:vMerge w:val="restart"/>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Laboratory</w:t>
            </w:r>
          </w:p>
        </w:tc>
        <w:tc>
          <w:tcPr>
            <w:tcW w:w="1120" w:type="dxa"/>
            <w:vAlign w:val="bottom"/>
            <w:vMerge w:val="restart"/>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Motor</w:t>
            </w: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280" w:type="dxa"/>
            <w:vAlign w:val="bottom"/>
            <w:shd w:val="clear" w:color="auto" w:fill="CCEEFF"/>
          </w:tcPr>
          <w:p>
            <w:pPr>
              <w:spacing w:after="0"/>
              <w:rPr>
                <w:sz w:val="11"/>
                <w:szCs w:val="11"/>
                <w:color w:val="auto"/>
              </w:rPr>
            </w:pPr>
          </w:p>
        </w:tc>
        <w:tc>
          <w:tcPr>
            <w:tcW w:w="1260" w:type="dxa"/>
            <w:vAlign w:val="bottom"/>
            <w:vMerge w:val="restart"/>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Land</w:t>
            </w:r>
          </w:p>
        </w:tc>
        <w:tc>
          <w:tcPr>
            <w:tcW w:w="94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Buildings</w:t>
            </w:r>
          </w:p>
        </w:tc>
        <w:tc>
          <w:tcPr>
            <w:tcW w:w="1220" w:type="dxa"/>
            <w:vAlign w:val="bottom"/>
            <w:vMerge w:val="continue"/>
            <w:shd w:val="clear" w:color="auto" w:fill="CCEEFF"/>
          </w:tcPr>
          <w:p>
            <w:pPr>
              <w:spacing w:after="0"/>
              <w:rPr>
                <w:sz w:val="11"/>
                <w:szCs w:val="11"/>
                <w:color w:val="auto"/>
              </w:rPr>
            </w:pPr>
          </w:p>
        </w:tc>
        <w:tc>
          <w:tcPr>
            <w:tcW w:w="1100" w:type="dxa"/>
            <w:vAlign w:val="bottom"/>
            <w:vMerge w:val="continue"/>
            <w:shd w:val="clear" w:color="auto" w:fill="CCEEFF"/>
          </w:tcPr>
          <w:p>
            <w:pPr>
              <w:spacing w:after="0"/>
              <w:rPr>
                <w:sz w:val="11"/>
                <w:szCs w:val="11"/>
                <w:color w:val="auto"/>
              </w:rPr>
            </w:pPr>
          </w:p>
        </w:tc>
        <w:tc>
          <w:tcPr>
            <w:tcW w:w="1100" w:type="dxa"/>
            <w:vAlign w:val="bottom"/>
            <w:shd w:val="clear" w:color="auto" w:fill="CCEEFF"/>
          </w:tcPr>
          <w:p>
            <w:pPr>
              <w:jc w:val="right"/>
              <w:ind w:right="156"/>
              <w:spacing w:after="0" w:line="128" w:lineRule="exact"/>
              <w:rPr>
                <w:sz w:val="20"/>
                <w:szCs w:val="20"/>
                <w:color w:val="auto"/>
              </w:rPr>
            </w:pPr>
            <w:r>
              <w:rPr>
                <w:rFonts w:ascii="Arial" w:cs="Arial" w:eastAsia="Arial" w:hAnsi="Arial"/>
                <w:sz w:val="13"/>
                <w:szCs w:val="13"/>
                <w:b w:val="1"/>
                <w:bCs w:val="1"/>
                <w:color w:val="auto"/>
              </w:rPr>
              <w:t>furniture &amp;</w:t>
            </w:r>
          </w:p>
        </w:tc>
        <w:tc>
          <w:tcPr>
            <w:tcW w:w="1180" w:type="dxa"/>
            <w:vAlign w:val="bottom"/>
            <w:vMerge w:val="continue"/>
            <w:shd w:val="clear" w:color="auto" w:fill="CCEEFF"/>
          </w:tcPr>
          <w:p>
            <w:pPr>
              <w:spacing w:after="0"/>
              <w:rPr>
                <w:sz w:val="11"/>
                <w:szCs w:val="11"/>
                <w:color w:val="auto"/>
              </w:rPr>
            </w:pPr>
          </w:p>
        </w:tc>
        <w:tc>
          <w:tcPr>
            <w:tcW w:w="1120" w:type="dxa"/>
            <w:vAlign w:val="bottom"/>
            <w:vMerge w:val="continue"/>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0"/>
        </w:trPr>
        <w:tc>
          <w:tcPr>
            <w:tcW w:w="228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vMerge w:val="continue"/>
            <w:shd w:val="clear" w:color="auto" w:fill="CCEEFF"/>
          </w:tcPr>
          <w:p>
            <w:pPr>
              <w:spacing w:after="0"/>
              <w:rPr>
                <w:sz w:val="14"/>
                <w:szCs w:val="14"/>
                <w:color w:val="auto"/>
              </w:rPr>
            </w:pPr>
          </w:p>
        </w:tc>
        <w:tc>
          <w:tcPr>
            <w:tcW w:w="940" w:type="dxa"/>
            <w:vAlign w:val="bottom"/>
            <w:tcBorders>
              <w:bottom w:val="single" w:sz="8" w:color="auto"/>
            </w:tcBorders>
            <w:vMerge w:val="continue"/>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improvements</w:t>
            </w:r>
          </w:p>
        </w:tc>
        <w:tc>
          <w:tcPr>
            <w:tcW w:w="110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equipment</w:t>
            </w:r>
          </w:p>
        </w:tc>
        <w:tc>
          <w:tcPr>
            <w:tcW w:w="110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fixtures</w:t>
            </w:r>
          </w:p>
        </w:tc>
        <w:tc>
          <w:tcPr>
            <w:tcW w:w="118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equipment</w:t>
            </w:r>
          </w:p>
        </w:tc>
        <w:tc>
          <w:tcPr>
            <w:tcW w:w="112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vehicles</w:t>
            </w:r>
          </w:p>
        </w:tc>
        <w:tc>
          <w:tcPr>
            <w:tcW w:w="80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280" w:type="dxa"/>
            <w:vAlign w:val="bottom"/>
          </w:tcPr>
          <w:p>
            <w:pPr>
              <w:spacing w:after="0"/>
              <w:rPr>
                <w:sz w:val="13"/>
                <w:szCs w:val="13"/>
                <w:color w:val="auto"/>
              </w:rPr>
            </w:pPr>
          </w:p>
        </w:tc>
        <w:tc>
          <w:tcPr>
            <w:tcW w:w="1260" w:type="dxa"/>
            <w:vAlign w:val="bottom"/>
          </w:tcPr>
          <w:p>
            <w:pPr>
              <w:jc w:val="right"/>
              <w:ind w:right="216"/>
              <w:spacing w:after="0"/>
              <w:rPr>
                <w:sz w:val="20"/>
                <w:szCs w:val="20"/>
                <w:color w:val="auto"/>
              </w:rPr>
            </w:pPr>
            <w:r>
              <w:rPr>
                <w:rFonts w:ascii="Arial" w:cs="Arial" w:eastAsia="Arial" w:hAnsi="Arial"/>
                <w:sz w:val="13"/>
                <w:szCs w:val="13"/>
                <w:b w:val="1"/>
                <w:bCs w:val="1"/>
                <w:color w:val="auto"/>
              </w:rPr>
              <w:t>$’000</w:t>
            </w:r>
          </w:p>
        </w:tc>
        <w:tc>
          <w:tcPr>
            <w:tcW w:w="940" w:type="dxa"/>
            <w:vAlign w:val="bottom"/>
          </w:tcPr>
          <w:p>
            <w:pPr>
              <w:jc w:val="right"/>
              <w:ind w:right="36"/>
              <w:spacing w:after="0"/>
              <w:rPr>
                <w:sz w:val="20"/>
                <w:szCs w:val="20"/>
                <w:color w:val="auto"/>
              </w:rPr>
            </w:pPr>
            <w:r>
              <w:rPr>
                <w:rFonts w:ascii="Arial" w:cs="Arial" w:eastAsia="Arial" w:hAnsi="Arial"/>
                <w:sz w:val="13"/>
                <w:szCs w:val="13"/>
                <w:b w:val="1"/>
                <w:bCs w:val="1"/>
                <w:color w:val="auto"/>
              </w:rPr>
              <w:t>$’000</w:t>
            </w:r>
          </w:p>
        </w:tc>
        <w:tc>
          <w:tcPr>
            <w:tcW w:w="1220" w:type="dxa"/>
            <w:vAlign w:val="bottom"/>
          </w:tcPr>
          <w:p>
            <w:pPr>
              <w:jc w:val="right"/>
              <w:ind w:right="156"/>
              <w:spacing w:after="0"/>
              <w:rPr>
                <w:sz w:val="20"/>
                <w:szCs w:val="20"/>
                <w:color w:val="auto"/>
              </w:rPr>
            </w:pPr>
            <w:r>
              <w:rPr>
                <w:rFonts w:ascii="Arial" w:cs="Arial" w:eastAsia="Arial" w:hAnsi="Arial"/>
                <w:sz w:val="13"/>
                <w:szCs w:val="13"/>
                <w:b w:val="1"/>
                <w:bCs w:val="1"/>
                <w:color w:val="auto"/>
              </w:rPr>
              <w:t>$’000</w:t>
            </w:r>
          </w:p>
        </w:tc>
        <w:tc>
          <w:tcPr>
            <w:tcW w:w="1100" w:type="dxa"/>
            <w:vAlign w:val="bottom"/>
          </w:tcPr>
          <w:p>
            <w:pPr>
              <w:jc w:val="right"/>
              <w:ind w:right="156"/>
              <w:spacing w:after="0"/>
              <w:rPr>
                <w:sz w:val="20"/>
                <w:szCs w:val="20"/>
                <w:color w:val="auto"/>
              </w:rPr>
            </w:pPr>
            <w:r>
              <w:rPr>
                <w:rFonts w:ascii="Arial" w:cs="Arial" w:eastAsia="Arial" w:hAnsi="Arial"/>
                <w:sz w:val="13"/>
                <w:szCs w:val="13"/>
                <w:b w:val="1"/>
                <w:bCs w:val="1"/>
                <w:color w:val="auto"/>
              </w:rPr>
              <w:t>$’000</w:t>
            </w:r>
          </w:p>
        </w:tc>
        <w:tc>
          <w:tcPr>
            <w:tcW w:w="1100" w:type="dxa"/>
            <w:vAlign w:val="bottom"/>
          </w:tcPr>
          <w:p>
            <w:pPr>
              <w:jc w:val="right"/>
              <w:ind w:right="156"/>
              <w:spacing w:after="0"/>
              <w:rPr>
                <w:sz w:val="20"/>
                <w:szCs w:val="20"/>
                <w:color w:val="auto"/>
              </w:rPr>
            </w:pPr>
            <w:r>
              <w:rPr>
                <w:rFonts w:ascii="Arial" w:cs="Arial" w:eastAsia="Arial" w:hAnsi="Arial"/>
                <w:sz w:val="13"/>
                <w:szCs w:val="13"/>
                <w:b w:val="1"/>
                <w:bCs w:val="1"/>
                <w:color w:val="auto"/>
              </w:rPr>
              <w:t>$’000</w:t>
            </w:r>
          </w:p>
        </w:tc>
        <w:tc>
          <w:tcPr>
            <w:tcW w:w="1180" w:type="dxa"/>
            <w:vAlign w:val="bottom"/>
          </w:tcPr>
          <w:p>
            <w:pPr>
              <w:jc w:val="right"/>
              <w:ind w:right="236"/>
              <w:spacing w:after="0"/>
              <w:rPr>
                <w:sz w:val="20"/>
                <w:szCs w:val="20"/>
                <w:color w:val="auto"/>
              </w:rPr>
            </w:pPr>
            <w:r>
              <w:rPr>
                <w:rFonts w:ascii="Arial" w:cs="Arial" w:eastAsia="Arial" w:hAnsi="Arial"/>
                <w:sz w:val="13"/>
                <w:szCs w:val="13"/>
                <w:b w:val="1"/>
                <w:bCs w:val="1"/>
                <w:color w:val="auto"/>
              </w:rPr>
              <w:t>$’000</w:t>
            </w:r>
          </w:p>
        </w:tc>
        <w:tc>
          <w:tcPr>
            <w:tcW w:w="1120" w:type="dxa"/>
            <w:vAlign w:val="bottom"/>
          </w:tcPr>
          <w:p>
            <w:pPr>
              <w:jc w:val="right"/>
              <w:ind w:right="256"/>
              <w:spacing w:after="0"/>
              <w:rPr>
                <w:sz w:val="20"/>
                <w:szCs w:val="20"/>
                <w:color w:val="auto"/>
              </w:rPr>
            </w:pPr>
            <w:r>
              <w:rPr>
                <w:rFonts w:ascii="Arial" w:cs="Arial" w:eastAsia="Arial" w:hAnsi="Arial"/>
                <w:sz w:val="13"/>
                <w:szCs w:val="13"/>
                <w:b w:val="1"/>
                <w:bCs w:val="1"/>
                <w:color w:val="auto"/>
              </w:rPr>
              <w:t>$’000</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0" w:type="dxa"/>
            <w:vAlign w:val="bottom"/>
          </w:tcPr>
          <w:p>
            <w:pPr>
              <w:spacing w:after="0"/>
              <w:rPr>
                <w:sz w:val="1"/>
                <w:szCs w:val="1"/>
                <w:color w:val="auto"/>
              </w:rPr>
            </w:pPr>
          </w:p>
        </w:tc>
      </w:tr>
      <w:tr>
        <w:trPr>
          <w:trHeight w:val="170"/>
        </w:trPr>
        <w:tc>
          <w:tcPr>
            <w:tcW w:w="22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Cost</w:t>
            </w:r>
          </w:p>
        </w:tc>
        <w:tc>
          <w:tcPr>
            <w:tcW w:w="1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280" w:type="dxa"/>
            <w:vAlign w:val="bottom"/>
          </w:tcPr>
          <w:p>
            <w:pPr>
              <w:ind w:left="20"/>
              <w:spacing w:after="0"/>
              <w:rPr>
                <w:sz w:val="20"/>
                <w:szCs w:val="20"/>
                <w:color w:val="auto"/>
              </w:rPr>
            </w:pPr>
            <w:r>
              <w:rPr>
                <w:rFonts w:ascii="Arial" w:cs="Arial" w:eastAsia="Arial" w:hAnsi="Arial"/>
                <w:sz w:val="13"/>
                <w:szCs w:val="13"/>
                <w:color w:val="auto"/>
              </w:rPr>
              <w:t>At 1 January 2021</w:t>
            </w:r>
          </w:p>
        </w:tc>
        <w:tc>
          <w:tcPr>
            <w:tcW w:w="1260" w:type="dxa"/>
            <w:vAlign w:val="bottom"/>
          </w:tcPr>
          <w:p>
            <w:pPr>
              <w:jc w:val="right"/>
              <w:ind w:right="256"/>
              <w:spacing w:after="0"/>
              <w:rPr>
                <w:sz w:val="20"/>
                <w:szCs w:val="20"/>
                <w:color w:val="auto"/>
              </w:rPr>
            </w:pPr>
            <w:r>
              <w:rPr>
                <w:rFonts w:ascii="Arial" w:cs="Arial" w:eastAsia="Arial" w:hAnsi="Arial"/>
                <w:sz w:val="13"/>
                <w:szCs w:val="13"/>
                <w:color w:val="auto"/>
              </w:rPr>
              <w:t>4,574</w:t>
            </w:r>
          </w:p>
        </w:tc>
        <w:tc>
          <w:tcPr>
            <w:tcW w:w="940" w:type="dxa"/>
            <w:vAlign w:val="bottom"/>
          </w:tcPr>
          <w:p>
            <w:pPr>
              <w:jc w:val="right"/>
              <w:ind w:right="76"/>
              <w:spacing w:after="0"/>
              <w:rPr>
                <w:sz w:val="20"/>
                <w:szCs w:val="20"/>
                <w:color w:val="auto"/>
              </w:rPr>
            </w:pPr>
            <w:r>
              <w:rPr>
                <w:rFonts w:ascii="Arial" w:cs="Arial" w:eastAsia="Arial" w:hAnsi="Arial"/>
                <w:sz w:val="13"/>
                <w:szCs w:val="13"/>
                <w:color w:val="auto"/>
              </w:rPr>
              <w:t>73,980</w:t>
            </w:r>
          </w:p>
        </w:tc>
        <w:tc>
          <w:tcPr>
            <w:tcW w:w="1220" w:type="dxa"/>
            <w:vAlign w:val="bottom"/>
          </w:tcPr>
          <w:p>
            <w:pPr>
              <w:jc w:val="right"/>
              <w:ind w:right="196"/>
              <w:spacing w:after="0"/>
              <w:rPr>
                <w:sz w:val="20"/>
                <w:szCs w:val="20"/>
                <w:color w:val="auto"/>
              </w:rPr>
            </w:pPr>
            <w:r>
              <w:rPr>
                <w:rFonts w:ascii="Arial" w:cs="Arial" w:eastAsia="Arial" w:hAnsi="Arial"/>
                <w:sz w:val="13"/>
                <w:szCs w:val="13"/>
                <w:color w:val="auto"/>
              </w:rPr>
              <w:t>36,861</w:t>
            </w:r>
          </w:p>
        </w:tc>
        <w:tc>
          <w:tcPr>
            <w:tcW w:w="1100" w:type="dxa"/>
            <w:vAlign w:val="bottom"/>
          </w:tcPr>
          <w:p>
            <w:pPr>
              <w:jc w:val="right"/>
              <w:ind w:right="196"/>
              <w:spacing w:after="0"/>
              <w:rPr>
                <w:sz w:val="20"/>
                <w:szCs w:val="20"/>
                <w:color w:val="auto"/>
              </w:rPr>
            </w:pPr>
            <w:r>
              <w:rPr>
                <w:rFonts w:ascii="Arial" w:cs="Arial" w:eastAsia="Arial" w:hAnsi="Arial"/>
                <w:sz w:val="13"/>
                <w:szCs w:val="13"/>
                <w:color w:val="auto"/>
              </w:rPr>
              <w:t>114,008</w:t>
            </w:r>
          </w:p>
        </w:tc>
        <w:tc>
          <w:tcPr>
            <w:tcW w:w="1100" w:type="dxa"/>
            <w:vAlign w:val="bottom"/>
          </w:tcPr>
          <w:p>
            <w:pPr>
              <w:jc w:val="right"/>
              <w:ind w:right="196"/>
              <w:spacing w:after="0"/>
              <w:rPr>
                <w:sz w:val="20"/>
                <w:szCs w:val="20"/>
                <w:color w:val="auto"/>
              </w:rPr>
            </w:pPr>
            <w:r>
              <w:rPr>
                <w:rFonts w:ascii="Arial" w:cs="Arial" w:eastAsia="Arial" w:hAnsi="Arial"/>
                <w:sz w:val="13"/>
                <w:szCs w:val="13"/>
                <w:color w:val="auto"/>
              </w:rPr>
              <w:t>81,846</w:t>
            </w:r>
          </w:p>
        </w:tc>
        <w:tc>
          <w:tcPr>
            <w:tcW w:w="1180" w:type="dxa"/>
            <w:vAlign w:val="bottom"/>
          </w:tcPr>
          <w:p>
            <w:pPr>
              <w:jc w:val="right"/>
              <w:ind w:right="276"/>
              <w:spacing w:after="0"/>
              <w:rPr>
                <w:sz w:val="20"/>
                <w:szCs w:val="20"/>
                <w:color w:val="auto"/>
              </w:rPr>
            </w:pPr>
            <w:r>
              <w:rPr>
                <w:rFonts w:ascii="Arial" w:cs="Arial" w:eastAsia="Arial" w:hAnsi="Arial"/>
                <w:sz w:val="13"/>
                <w:szCs w:val="13"/>
                <w:color w:val="auto"/>
              </w:rPr>
              <w:t>32,053</w:t>
            </w:r>
          </w:p>
        </w:tc>
        <w:tc>
          <w:tcPr>
            <w:tcW w:w="1120" w:type="dxa"/>
            <w:vAlign w:val="bottom"/>
          </w:tcPr>
          <w:p>
            <w:pPr>
              <w:jc w:val="right"/>
              <w:ind w:right="296"/>
              <w:spacing w:after="0"/>
              <w:rPr>
                <w:sz w:val="20"/>
                <w:szCs w:val="20"/>
                <w:color w:val="auto"/>
              </w:rPr>
            </w:pPr>
            <w:r>
              <w:rPr>
                <w:rFonts w:ascii="Arial" w:cs="Arial" w:eastAsia="Arial" w:hAnsi="Arial"/>
                <w:sz w:val="13"/>
                <w:szCs w:val="13"/>
                <w:color w:val="auto"/>
              </w:rPr>
              <w:t>52</w:t>
            </w:r>
          </w:p>
        </w:tc>
        <w:tc>
          <w:tcPr>
            <w:tcW w:w="800" w:type="dxa"/>
            <w:vAlign w:val="bottom"/>
          </w:tcPr>
          <w:p>
            <w:pPr>
              <w:jc w:val="right"/>
              <w:spacing w:after="0"/>
              <w:rPr>
                <w:sz w:val="20"/>
                <w:szCs w:val="20"/>
                <w:color w:val="auto"/>
              </w:rPr>
            </w:pPr>
            <w:r>
              <w:rPr>
                <w:rFonts w:ascii="Arial" w:cs="Arial" w:eastAsia="Arial" w:hAnsi="Arial"/>
                <w:sz w:val="13"/>
                <w:szCs w:val="13"/>
                <w:color w:val="auto"/>
              </w:rPr>
              <w:t>343,374</w:t>
            </w:r>
          </w:p>
        </w:tc>
        <w:tc>
          <w:tcPr>
            <w:tcW w:w="0" w:type="dxa"/>
            <w:vAlign w:val="bottom"/>
          </w:tcPr>
          <w:p>
            <w:pPr>
              <w:spacing w:after="0"/>
              <w:rPr>
                <w:sz w:val="1"/>
                <w:szCs w:val="1"/>
                <w:color w:val="auto"/>
              </w:rPr>
            </w:pPr>
          </w:p>
        </w:tc>
      </w:tr>
      <w:tr>
        <w:trPr>
          <w:trHeight w:val="171"/>
        </w:trPr>
        <w:tc>
          <w:tcPr>
            <w:tcW w:w="2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Additions</w:t>
            </w:r>
          </w:p>
        </w:tc>
        <w:tc>
          <w:tcPr>
            <w:tcW w:w="126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3,522</w:t>
            </w:r>
          </w:p>
        </w:tc>
        <w:tc>
          <w:tcPr>
            <w:tcW w:w="110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13,781</w:t>
            </w:r>
          </w:p>
        </w:tc>
        <w:tc>
          <w:tcPr>
            <w:tcW w:w="110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3,647</w:t>
            </w:r>
          </w:p>
        </w:tc>
        <w:tc>
          <w:tcPr>
            <w:tcW w:w="118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6,954</w:t>
            </w:r>
          </w:p>
        </w:tc>
        <w:tc>
          <w:tcPr>
            <w:tcW w:w="112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27,904</w:t>
            </w:r>
          </w:p>
        </w:tc>
        <w:tc>
          <w:tcPr>
            <w:tcW w:w="0" w:type="dxa"/>
            <w:vAlign w:val="bottom"/>
          </w:tcPr>
          <w:p>
            <w:pPr>
              <w:spacing w:after="0"/>
              <w:rPr>
                <w:sz w:val="1"/>
                <w:szCs w:val="1"/>
                <w:color w:val="auto"/>
              </w:rPr>
            </w:pPr>
          </w:p>
        </w:tc>
      </w:tr>
      <w:tr>
        <w:trPr>
          <w:trHeight w:val="169"/>
        </w:trPr>
        <w:tc>
          <w:tcPr>
            <w:tcW w:w="2280" w:type="dxa"/>
            <w:vAlign w:val="bottom"/>
          </w:tcPr>
          <w:p>
            <w:pPr>
              <w:ind w:left="20"/>
              <w:spacing w:after="0"/>
              <w:rPr>
                <w:sz w:val="20"/>
                <w:szCs w:val="20"/>
                <w:color w:val="auto"/>
              </w:rPr>
            </w:pPr>
            <w:r>
              <w:rPr>
                <w:rFonts w:ascii="Arial" w:cs="Arial" w:eastAsia="Arial" w:hAnsi="Arial"/>
                <w:sz w:val="13"/>
                <w:szCs w:val="13"/>
                <w:color w:val="auto"/>
              </w:rPr>
              <w:t>Disposals</w:t>
            </w:r>
          </w:p>
        </w:tc>
        <w:tc>
          <w:tcPr>
            <w:tcW w:w="1260" w:type="dxa"/>
            <w:vAlign w:val="bottom"/>
          </w:tcPr>
          <w:p>
            <w:pPr>
              <w:jc w:val="right"/>
              <w:ind w:right="256"/>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56"/>
              <w:spacing w:after="0"/>
              <w:rPr>
                <w:sz w:val="20"/>
                <w:szCs w:val="20"/>
                <w:color w:val="auto"/>
              </w:rPr>
            </w:pPr>
            <w:r>
              <w:rPr>
                <w:rFonts w:ascii="Arial" w:cs="Arial" w:eastAsia="Arial" w:hAnsi="Arial"/>
                <w:sz w:val="13"/>
                <w:szCs w:val="13"/>
                <w:color w:val="auto"/>
              </w:rPr>
              <w:t>(3,774)</w:t>
            </w:r>
          </w:p>
        </w:tc>
        <w:tc>
          <w:tcPr>
            <w:tcW w:w="1220" w:type="dxa"/>
            <w:vAlign w:val="bottom"/>
          </w:tcPr>
          <w:p>
            <w:pPr>
              <w:jc w:val="right"/>
              <w:ind w:right="176"/>
              <w:spacing w:after="0"/>
              <w:rPr>
                <w:sz w:val="20"/>
                <w:szCs w:val="20"/>
                <w:color w:val="auto"/>
              </w:rPr>
            </w:pPr>
            <w:r>
              <w:rPr>
                <w:rFonts w:ascii="Arial" w:cs="Arial" w:eastAsia="Arial" w:hAnsi="Arial"/>
                <w:sz w:val="13"/>
                <w:szCs w:val="13"/>
                <w:color w:val="auto"/>
              </w:rPr>
              <w:t>(16,203)</w:t>
            </w:r>
          </w:p>
        </w:tc>
        <w:tc>
          <w:tcPr>
            <w:tcW w:w="1100" w:type="dxa"/>
            <w:vAlign w:val="bottom"/>
          </w:tcPr>
          <w:p>
            <w:pPr>
              <w:jc w:val="right"/>
              <w:ind w:right="156"/>
              <w:spacing w:after="0"/>
              <w:rPr>
                <w:sz w:val="20"/>
                <w:szCs w:val="20"/>
                <w:color w:val="auto"/>
              </w:rPr>
            </w:pPr>
            <w:r>
              <w:rPr>
                <w:rFonts w:ascii="Arial" w:cs="Arial" w:eastAsia="Arial" w:hAnsi="Arial"/>
                <w:sz w:val="13"/>
                <w:szCs w:val="13"/>
                <w:color w:val="auto"/>
              </w:rPr>
              <w:t>(36,774)</w:t>
            </w:r>
          </w:p>
        </w:tc>
        <w:tc>
          <w:tcPr>
            <w:tcW w:w="1100" w:type="dxa"/>
            <w:vAlign w:val="bottom"/>
          </w:tcPr>
          <w:p>
            <w:pPr>
              <w:jc w:val="right"/>
              <w:ind w:right="156"/>
              <w:spacing w:after="0"/>
              <w:rPr>
                <w:sz w:val="20"/>
                <w:szCs w:val="20"/>
                <w:color w:val="auto"/>
              </w:rPr>
            </w:pPr>
            <w:r>
              <w:rPr>
                <w:rFonts w:ascii="Arial" w:cs="Arial" w:eastAsia="Arial" w:hAnsi="Arial"/>
                <w:sz w:val="13"/>
                <w:szCs w:val="13"/>
                <w:color w:val="auto"/>
              </w:rPr>
              <w:t>(10,074)</w:t>
            </w:r>
          </w:p>
        </w:tc>
        <w:tc>
          <w:tcPr>
            <w:tcW w:w="1180" w:type="dxa"/>
            <w:vAlign w:val="bottom"/>
          </w:tcPr>
          <w:p>
            <w:pPr>
              <w:jc w:val="right"/>
              <w:ind w:right="236"/>
              <w:spacing w:after="0"/>
              <w:rPr>
                <w:sz w:val="20"/>
                <w:szCs w:val="20"/>
                <w:color w:val="auto"/>
              </w:rPr>
            </w:pPr>
            <w:r>
              <w:rPr>
                <w:rFonts w:ascii="Arial" w:cs="Arial" w:eastAsia="Arial" w:hAnsi="Arial"/>
                <w:sz w:val="13"/>
                <w:szCs w:val="13"/>
                <w:color w:val="auto"/>
              </w:rPr>
              <w:t>(22,664)</w:t>
            </w:r>
          </w:p>
        </w:tc>
        <w:tc>
          <w:tcPr>
            <w:tcW w:w="1120" w:type="dxa"/>
            <w:vAlign w:val="bottom"/>
          </w:tcPr>
          <w:p>
            <w:pPr>
              <w:jc w:val="right"/>
              <w:ind w:right="256"/>
              <w:spacing w:after="0"/>
              <w:rPr>
                <w:sz w:val="20"/>
                <w:szCs w:val="20"/>
                <w:color w:val="auto"/>
              </w:rPr>
            </w:pPr>
            <w:r>
              <w:rPr>
                <w:rFonts w:ascii="Arial" w:cs="Arial" w:eastAsia="Arial" w:hAnsi="Arial"/>
                <w:sz w:val="13"/>
                <w:szCs w:val="13"/>
                <w:color w:val="auto"/>
              </w:rPr>
              <w:t>(2)</w:t>
            </w:r>
          </w:p>
        </w:tc>
        <w:tc>
          <w:tcPr>
            <w:tcW w:w="800" w:type="dxa"/>
            <w:vAlign w:val="bottom"/>
          </w:tcPr>
          <w:p>
            <w:pPr>
              <w:jc w:val="right"/>
              <w:spacing w:after="0"/>
              <w:rPr>
                <w:sz w:val="20"/>
                <w:szCs w:val="20"/>
                <w:color w:val="auto"/>
              </w:rPr>
            </w:pPr>
            <w:r>
              <w:rPr>
                <w:rFonts w:ascii="Arial" w:cs="Arial" w:eastAsia="Arial" w:hAnsi="Arial"/>
                <w:sz w:val="13"/>
                <w:szCs w:val="13"/>
                <w:color w:val="auto"/>
              </w:rPr>
              <w:t>(89,491)</w:t>
            </w:r>
          </w:p>
        </w:tc>
        <w:tc>
          <w:tcPr>
            <w:tcW w:w="0" w:type="dxa"/>
            <w:vAlign w:val="bottom"/>
          </w:tcPr>
          <w:p>
            <w:pPr>
              <w:spacing w:after="0"/>
              <w:rPr>
                <w:sz w:val="1"/>
                <w:szCs w:val="1"/>
                <w:color w:val="auto"/>
              </w:rPr>
            </w:pPr>
          </w:p>
        </w:tc>
      </w:tr>
      <w:tr>
        <w:trPr>
          <w:trHeight w:val="171"/>
        </w:trPr>
        <w:tc>
          <w:tcPr>
            <w:tcW w:w="2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Acquisition</w:t>
            </w:r>
          </w:p>
        </w:tc>
        <w:tc>
          <w:tcPr>
            <w:tcW w:w="126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50,847</w:t>
            </w:r>
          </w:p>
        </w:tc>
        <w:tc>
          <w:tcPr>
            <w:tcW w:w="110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19,662</w:t>
            </w:r>
          </w:p>
        </w:tc>
        <w:tc>
          <w:tcPr>
            <w:tcW w:w="110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31,218</w:t>
            </w:r>
          </w:p>
        </w:tc>
        <w:tc>
          <w:tcPr>
            <w:tcW w:w="118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16</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101,743</w:t>
            </w:r>
          </w:p>
        </w:tc>
        <w:tc>
          <w:tcPr>
            <w:tcW w:w="0" w:type="dxa"/>
            <w:vAlign w:val="bottom"/>
          </w:tcPr>
          <w:p>
            <w:pPr>
              <w:spacing w:after="0"/>
              <w:rPr>
                <w:sz w:val="1"/>
                <w:szCs w:val="1"/>
                <w:color w:val="auto"/>
              </w:rPr>
            </w:pPr>
          </w:p>
        </w:tc>
      </w:tr>
      <w:tr>
        <w:trPr>
          <w:trHeight w:val="169"/>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Foreign exchange movement</w:t>
            </w:r>
          </w:p>
        </w:tc>
        <w:tc>
          <w:tcPr>
            <w:tcW w:w="126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(3,004)</w:t>
            </w:r>
          </w:p>
        </w:tc>
        <w:tc>
          <w:tcPr>
            <w:tcW w:w="12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rPr>
              <w:t>(2,532)</w:t>
            </w:r>
          </w:p>
        </w:tc>
        <w:tc>
          <w:tcPr>
            <w:tcW w:w="11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(3,133)</w:t>
            </w:r>
          </w:p>
        </w:tc>
        <w:tc>
          <w:tcPr>
            <w:tcW w:w="11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(3,295)</w:t>
            </w:r>
          </w:p>
        </w:tc>
        <w:tc>
          <w:tcPr>
            <w:tcW w:w="118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color w:val="auto"/>
              </w:rPr>
              <w:t>(696)</w:t>
            </w:r>
          </w:p>
        </w:tc>
        <w:tc>
          <w:tcPr>
            <w:tcW w:w="112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rPr>
              <w:t>(5)</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(12,665)</w:t>
            </w:r>
          </w:p>
        </w:tc>
        <w:tc>
          <w:tcPr>
            <w:tcW w:w="0" w:type="dxa"/>
            <w:vAlign w:val="bottom"/>
          </w:tcPr>
          <w:p>
            <w:pPr>
              <w:spacing w:after="0"/>
              <w:rPr>
                <w:sz w:val="1"/>
                <w:szCs w:val="1"/>
                <w:color w:val="auto"/>
              </w:rPr>
            </w:pPr>
          </w:p>
        </w:tc>
      </w:tr>
      <w:tr>
        <w:trPr>
          <w:trHeight w:val="162"/>
        </w:trPr>
        <w:tc>
          <w:tcPr>
            <w:tcW w:w="2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At 31 December 2021</w:t>
            </w:r>
          </w:p>
        </w:tc>
        <w:tc>
          <w:tcPr>
            <w:tcW w:w="126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4,574</w:t>
            </w:r>
          </w:p>
        </w:tc>
        <w:tc>
          <w:tcPr>
            <w:tcW w:w="9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67,202</w:t>
            </w:r>
          </w:p>
        </w:tc>
        <w:tc>
          <w:tcPr>
            <w:tcW w:w="122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72,495</w:t>
            </w:r>
          </w:p>
        </w:tc>
        <w:tc>
          <w:tcPr>
            <w:tcW w:w="11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107,544</w:t>
            </w:r>
          </w:p>
        </w:tc>
        <w:tc>
          <w:tcPr>
            <w:tcW w:w="11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103,342</w:t>
            </w:r>
          </w:p>
        </w:tc>
        <w:tc>
          <w:tcPr>
            <w:tcW w:w="118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15,647</w:t>
            </w:r>
          </w:p>
        </w:tc>
        <w:tc>
          <w:tcPr>
            <w:tcW w:w="112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61</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370,865</w:t>
            </w:r>
          </w:p>
        </w:tc>
        <w:tc>
          <w:tcPr>
            <w:tcW w:w="0" w:type="dxa"/>
            <w:vAlign w:val="bottom"/>
          </w:tcPr>
          <w:p>
            <w:pPr>
              <w:spacing w:after="0"/>
              <w:rPr>
                <w:sz w:val="1"/>
                <w:szCs w:val="1"/>
                <w:color w:val="auto"/>
              </w:rPr>
            </w:pPr>
          </w:p>
        </w:tc>
      </w:tr>
      <w:tr>
        <w:trPr>
          <w:trHeight w:val="150"/>
        </w:trPr>
        <w:tc>
          <w:tcPr>
            <w:tcW w:w="22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2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Depreciation</w:t>
            </w:r>
          </w:p>
        </w:tc>
        <w:tc>
          <w:tcPr>
            <w:tcW w:w="1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280" w:type="dxa"/>
            <w:vAlign w:val="bottom"/>
          </w:tcPr>
          <w:p>
            <w:pPr>
              <w:ind w:left="20"/>
              <w:spacing w:after="0"/>
              <w:rPr>
                <w:sz w:val="20"/>
                <w:szCs w:val="20"/>
                <w:color w:val="auto"/>
              </w:rPr>
            </w:pPr>
            <w:r>
              <w:rPr>
                <w:rFonts w:ascii="Arial" w:cs="Arial" w:eastAsia="Arial" w:hAnsi="Arial"/>
                <w:sz w:val="13"/>
                <w:szCs w:val="13"/>
                <w:color w:val="auto"/>
              </w:rPr>
              <w:t>At 1 January 2021</w:t>
            </w:r>
          </w:p>
        </w:tc>
        <w:tc>
          <w:tcPr>
            <w:tcW w:w="1260" w:type="dxa"/>
            <w:vAlign w:val="bottom"/>
          </w:tcPr>
          <w:p>
            <w:pPr>
              <w:jc w:val="right"/>
              <w:ind w:right="256"/>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76"/>
              <w:spacing w:after="0"/>
              <w:rPr>
                <w:sz w:val="20"/>
                <w:szCs w:val="20"/>
                <w:color w:val="auto"/>
              </w:rPr>
            </w:pPr>
            <w:r>
              <w:rPr>
                <w:rFonts w:ascii="Arial" w:cs="Arial" w:eastAsia="Arial" w:hAnsi="Arial"/>
                <w:sz w:val="13"/>
                <w:szCs w:val="13"/>
                <w:color w:val="auto"/>
              </w:rPr>
              <w:t>24,457</w:t>
            </w:r>
          </w:p>
        </w:tc>
        <w:tc>
          <w:tcPr>
            <w:tcW w:w="1220" w:type="dxa"/>
            <w:vAlign w:val="bottom"/>
          </w:tcPr>
          <w:p>
            <w:pPr>
              <w:jc w:val="right"/>
              <w:ind w:right="196"/>
              <w:spacing w:after="0"/>
              <w:rPr>
                <w:sz w:val="20"/>
                <w:szCs w:val="20"/>
                <w:color w:val="auto"/>
              </w:rPr>
            </w:pPr>
            <w:r>
              <w:rPr>
                <w:rFonts w:ascii="Arial" w:cs="Arial" w:eastAsia="Arial" w:hAnsi="Arial"/>
                <w:sz w:val="13"/>
                <w:szCs w:val="13"/>
                <w:color w:val="auto"/>
              </w:rPr>
              <w:t>29,373</w:t>
            </w:r>
          </w:p>
        </w:tc>
        <w:tc>
          <w:tcPr>
            <w:tcW w:w="1100" w:type="dxa"/>
            <w:vAlign w:val="bottom"/>
          </w:tcPr>
          <w:p>
            <w:pPr>
              <w:jc w:val="right"/>
              <w:ind w:right="196"/>
              <w:spacing w:after="0"/>
              <w:rPr>
                <w:sz w:val="20"/>
                <w:szCs w:val="20"/>
                <w:color w:val="auto"/>
              </w:rPr>
            </w:pPr>
            <w:r>
              <w:rPr>
                <w:rFonts w:ascii="Arial" w:cs="Arial" w:eastAsia="Arial" w:hAnsi="Arial"/>
                <w:sz w:val="13"/>
                <w:szCs w:val="13"/>
                <w:color w:val="auto"/>
              </w:rPr>
              <w:t>94,575</w:t>
            </w:r>
          </w:p>
        </w:tc>
        <w:tc>
          <w:tcPr>
            <w:tcW w:w="1100" w:type="dxa"/>
            <w:vAlign w:val="bottom"/>
          </w:tcPr>
          <w:p>
            <w:pPr>
              <w:jc w:val="right"/>
              <w:ind w:right="196"/>
              <w:spacing w:after="0"/>
              <w:rPr>
                <w:sz w:val="20"/>
                <w:szCs w:val="20"/>
                <w:color w:val="auto"/>
              </w:rPr>
            </w:pPr>
            <w:r>
              <w:rPr>
                <w:rFonts w:ascii="Arial" w:cs="Arial" w:eastAsia="Arial" w:hAnsi="Arial"/>
                <w:sz w:val="13"/>
                <w:szCs w:val="13"/>
                <w:color w:val="auto"/>
              </w:rPr>
              <w:t>62,233</w:t>
            </w:r>
          </w:p>
        </w:tc>
        <w:tc>
          <w:tcPr>
            <w:tcW w:w="1180" w:type="dxa"/>
            <w:vAlign w:val="bottom"/>
          </w:tcPr>
          <w:p>
            <w:pPr>
              <w:jc w:val="right"/>
              <w:ind w:right="276"/>
              <w:spacing w:after="0"/>
              <w:rPr>
                <w:sz w:val="20"/>
                <w:szCs w:val="20"/>
                <w:color w:val="auto"/>
              </w:rPr>
            </w:pPr>
            <w:r>
              <w:rPr>
                <w:rFonts w:ascii="Arial" w:cs="Arial" w:eastAsia="Arial" w:hAnsi="Arial"/>
                <w:sz w:val="13"/>
                <w:szCs w:val="13"/>
                <w:color w:val="auto"/>
              </w:rPr>
              <w:t>22,901</w:t>
            </w:r>
          </w:p>
        </w:tc>
        <w:tc>
          <w:tcPr>
            <w:tcW w:w="1120" w:type="dxa"/>
            <w:vAlign w:val="bottom"/>
          </w:tcPr>
          <w:p>
            <w:pPr>
              <w:jc w:val="right"/>
              <w:ind w:right="296"/>
              <w:spacing w:after="0"/>
              <w:rPr>
                <w:sz w:val="20"/>
                <w:szCs w:val="20"/>
                <w:color w:val="auto"/>
              </w:rPr>
            </w:pPr>
            <w:r>
              <w:rPr>
                <w:rFonts w:ascii="Arial" w:cs="Arial" w:eastAsia="Arial" w:hAnsi="Arial"/>
                <w:sz w:val="13"/>
                <w:szCs w:val="13"/>
                <w:color w:val="auto"/>
              </w:rPr>
              <w:t>5</w:t>
            </w:r>
          </w:p>
        </w:tc>
        <w:tc>
          <w:tcPr>
            <w:tcW w:w="800" w:type="dxa"/>
            <w:vAlign w:val="bottom"/>
          </w:tcPr>
          <w:p>
            <w:pPr>
              <w:jc w:val="right"/>
              <w:spacing w:after="0"/>
              <w:rPr>
                <w:sz w:val="20"/>
                <w:szCs w:val="20"/>
                <w:color w:val="auto"/>
              </w:rPr>
            </w:pPr>
            <w:r>
              <w:rPr>
                <w:rFonts w:ascii="Arial" w:cs="Arial" w:eastAsia="Arial" w:hAnsi="Arial"/>
                <w:sz w:val="13"/>
                <w:szCs w:val="13"/>
                <w:color w:val="auto"/>
              </w:rPr>
              <w:t>233,544</w:t>
            </w:r>
          </w:p>
        </w:tc>
        <w:tc>
          <w:tcPr>
            <w:tcW w:w="0" w:type="dxa"/>
            <w:vAlign w:val="bottom"/>
          </w:tcPr>
          <w:p>
            <w:pPr>
              <w:spacing w:after="0"/>
              <w:rPr>
                <w:sz w:val="1"/>
                <w:szCs w:val="1"/>
                <w:color w:val="auto"/>
              </w:rPr>
            </w:pPr>
          </w:p>
        </w:tc>
      </w:tr>
      <w:tr>
        <w:trPr>
          <w:trHeight w:val="171"/>
        </w:trPr>
        <w:tc>
          <w:tcPr>
            <w:tcW w:w="2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Charge for year</w:t>
            </w:r>
          </w:p>
        </w:tc>
        <w:tc>
          <w:tcPr>
            <w:tcW w:w="126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2,922</w:t>
            </w:r>
          </w:p>
        </w:tc>
        <w:tc>
          <w:tcPr>
            <w:tcW w:w="122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6,918</w:t>
            </w:r>
          </w:p>
        </w:tc>
        <w:tc>
          <w:tcPr>
            <w:tcW w:w="110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14,501</w:t>
            </w:r>
          </w:p>
        </w:tc>
        <w:tc>
          <w:tcPr>
            <w:tcW w:w="110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6,123</w:t>
            </w:r>
          </w:p>
        </w:tc>
        <w:tc>
          <w:tcPr>
            <w:tcW w:w="118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3,175</w:t>
            </w:r>
          </w:p>
        </w:tc>
        <w:tc>
          <w:tcPr>
            <w:tcW w:w="112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15</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33,654</w:t>
            </w:r>
          </w:p>
        </w:tc>
        <w:tc>
          <w:tcPr>
            <w:tcW w:w="0" w:type="dxa"/>
            <w:vAlign w:val="bottom"/>
          </w:tcPr>
          <w:p>
            <w:pPr>
              <w:spacing w:after="0"/>
              <w:rPr>
                <w:sz w:val="1"/>
                <w:szCs w:val="1"/>
                <w:color w:val="auto"/>
              </w:rPr>
            </w:pPr>
          </w:p>
        </w:tc>
      </w:tr>
      <w:tr>
        <w:trPr>
          <w:trHeight w:val="169"/>
        </w:trPr>
        <w:tc>
          <w:tcPr>
            <w:tcW w:w="2280" w:type="dxa"/>
            <w:vAlign w:val="bottom"/>
          </w:tcPr>
          <w:p>
            <w:pPr>
              <w:ind w:left="20"/>
              <w:spacing w:after="0"/>
              <w:rPr>
                <w:sz w:val="20"/>
                <w:szCs w:val="20"/>
                <w:color w:val="auto"/>
              </w:rPr>
            </w:pPr>
            <w:r>
              <w:rPr>
                <w:rFonts w:ascii="Arial" w:cs="Arial" w:eastAsia="Arial" w:hAnsi="Arial"/>
                <w:sz w:val="13"/>
                <w:szCs w:val="13"/>
                <w:color w:val="auto"/>
              </w:rPr>
              <w:t>Impairment charge</w:t>
            </w:r>
          </w:p>
        </w:tc>
        <w:tc>
          <w:tcPr>
            <w:tcW w:w="1260" w:type="dxa"/>
            <w:vAlign w:val="bottom"/>
          </w:tcPr>
          <w:p>
            <w:pPr>
              <w:jc w:val="right"/>
              <w:ind w:right="256"/>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76"/>
              <w:spacing w:after="0"/>
              <w:rPr>
                <w:sz w:val="20"/>
                <w:szCs w:val="20"/>
                <w:color w:val="auto"/>
              </w:rPr>
            </w:pPr>
            <w:r>
              <w:rPr>
                <w:rFonts w:ascii="Arial" w:cs="Arial" w:eastAsia="Arial" w:hAnsi="Arial"/>
                <w:sz w:val="13"/>
                <w:szCs w:val="13"/>
                <w:color w:val="auto"/>
              </w:rPr>
              <w:t>196</w:t>
            </w:r>
          </w:p>
        </w:tc>
        <w:tc>
          <w:tcPr>
            <w:tcW w:w="1220" w:type="dxa"/>
            <w:vAlign w:val="bottom"/>
          </w:tcPr>
          <w:p>
            <w:pPr>
              <w:jc w:val="right"/>
              <w:ind w:right="196"/>
              <w:spacing w:after="0"/>
              <w:rPr>
                <w:sz w:val="20"/>
                <w:szCs w:val="20"/>
                <w:color w:val="auto"/>
              </w:rPr>
            </w:pPr>
            <w:r>
              <w:rPr>
                <w:rFonts w:ascii="Arial" w:cs="Arial" w:eastAsia="Arial" w:hAnsi="Arial"/>
                <w:sz w:val="13"/>
                <w:szCs w:val="13"/>
                <w:color w:val="auto"/>
              </w:rPr>
              <w:t>1,649</w:t>
            </w:r>
          </w:p>
        </w:tc>
        <w:tc>
          <w:tcPr>
            <w:tcW w:w="1100" w:type="dxa"/>
            <w:vAlign w:val="bottom"/>
          </w:tcPr>
          <w:p>
            <w:pPr>
              <w:jc w:val="right"/>
              <w:ind w:right="196"/>
              <w:spacing w:after="0"/>
              <w:rPr>
                <w:sz w:val="20"/>
                <w:szCs w:val="20"/>
                <w:color w:val="auto"/>
              </w:rPr>
            </w:pPr>
            <w:r>
              <w:rPr>
                <w:rFonts w:ascii="Arial" w:cs="Arial" w:eastAsia="Arial" w:hAnsi="Arial"/>
                <w:sz w:val="13"/>
                <w:szCs w:val="13"/>
                <w:color w:val="auto"/>
              </w:rPr>
              <w:t>51</w:t>
            </w:r>
          </w:p>
        </w:tc>
        <w:tc>
          <w:tcPr>
            <w:tcW w:w="1100" w:type="dxa"/>
            <w:vAlign w:val="bottom"/>
          </w:tcPr>
          <w:p>
            <w:pPr>
              <w:jc w:val="right"/>
              <w:ind w:right="196"/>
              <w:spacing w:after="0"/>
              <w:rPr>
                <w:sz w:val="20"/>
                <w:szCs w:val="20"/>
                <w:color w:val="auto"/>
              </w:rPr>
            </w:pPr>
            <w:r>
              <w:rPr>
                <w:rFonts w:ascii="Arial" w:cs="Arial" w:eastAsia="Arial" w:hAnsi="Arial"/>
                <w:sz w:val="13"/>
                <w:szCs w:val="13"/>
                <w:color w:val="auto"/>
              </w:rPr>
              <w:t>2,534</w:t>
            </w:r>
          </w:p>
        </w:tc>
        <w:tc>
          <w:tcPr>
            <w:tcW w:w="1180" w:type="dxa"/>
            <w:vAlign w:val="bottom"/>
          </w:tcPr>
          <w:p>
            <w:pPr>
              <w:jc w:val="right"/>
              <w:ind w:right="276"/>
              <w:spacing w:after="0"/>
              <w:rPr>
                <w:sz w:val="20"/>
                <w:szCs w:val="20"/>
                <w:color w:val="auto"/>
              </w:rPr>
            </w:pPr>
            <w:r>
              <w:rPr>
                <w:rFonts w:ascii="Arial" w:cs="Arial" w:eastAsia="Arial" w:hAnsi="Arial"/>
                <w:sz w:val="13"/>
                <w:szCs w:val="13"/>
                <w:color w:val="auto"/>
              </w:rPr>
              <w:t>1</w:t>
            </w:r>
          </w:p>
        </w:tc>
        <w:tc>
          <w:tcPr>
            <w:tcW w:w="112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4,431</w:t>
            </w:r>
          </w:p>
        </w:tc>
        <w:tc>
          <w:tcPr>
            <w:tcW w:w="0" w:type="dxa"/>
            <w:vAlign w:val="bottom"/>
          </w:tcPr>
          <w:p>
            <w:pPr>
              <w:spacing w:after="0"/>
              <w:rPr>
                <w:sz w:val="1"/>
                <w:szCs w:val="1"/>
                <w:color w:val="auto"/>
              </w:rPr>
            </w:pPr>
          </w:p>
        </w:tc>
      </w:tr>
      <w:tr>
        <w:trPr>
          <w:trHeight w:val="171"/>
        </w:trPr>
        <w:tc>
          <w:tcPr>
            <w:tcW w:w="2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Eliminated on disposal</w:t>
            </w:r>
          </w:p>
        </w:tc>
        <w:tc>
          <w:tcPr>
            <w:tcW w:w="126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(3,696)</w:t>
            </w:r>
          </w:p>
        </w:tc>
        <w:tc>
          <w:tcPr>
            <w:tcW w:w="12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(14,510)</w:t>
            </w:r>
          </w:p>
        </w:tc>
        <w:tc>
          <w:tcPr>
            <w:tcW w:w="11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(36,696)</w:t>
            </w:r>
          </w:p>
        </w:tc>
        <w:tc>
          <w:tcPr>
            <w:tcW w:w="11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(8,473)</w:t>
            </w:r>
          </w:p>
        </w:tc>
        <w:tc>
          <w:tcPr>
            <w:tcW w:w="118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(22,578)</w:t>
            </w:r>
          </w:p>
        </w:tc>
        <w:tc>
          <w:tcPr>
            <w:tcW w:w="112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(2)</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(85,955)</w:t>
            </w:r>
          </w:p>
        </w:tc>
        <w:tc>
          <w:tcPr>
            <w:tcW w:w="0" w:type="dxa"/>
            <w:vAlign w:val="bottom"/>
          </w:tcPr>
          <w:p>
            <w:pPr>
              <w:spacing w:after="0"/>
              <w:rPr>
                <w:sz w:val="1"/>
                <w:szCs w:val="1"/>
                <w:color w:val="auto"/>
              </w:rPr>
            </w:pPr>
          </w:p>
        </w:tc>
      </w:tr>
      <w:tr>
        <w:trPr>
          <w:trHeight w:val="169"/>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Foreign exchange movement</w:t>
            </w:r>
          </w:p>
        </w:tc>
        <w:tc>
          <w:tcPr>
            <w:tcW w:w="126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(1,844)</w:t>
            </w:r>
          </w:p>
        </w:tc>
        <w:tc>
          <w:tcPr>
            <w:tcW w:w="12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rPr>
              <w:t>(1,802)</w:t>
            </w:r>
          </w:p>
        </w:tc>
        <w:tc>
          <w:tcPr>
            <w:tcW w:w="11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(2,561)</w:t>
            </w:r>
          </w:p>
        </w:tc>
        <w:tc>
          <w:tcPr>
            <w:tcW w:w="11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(3,065)</w:t>
            </w:r>
          </w:p>
        </w:tc>
        <w:tc>
          <w:tcPr>
            <w:tcW w:w="118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color w:val="auto"/>
              </w:rPr>
              <w:t>(445)</w:t>
            </w:r>
          </w:p>
        </w:tc>
        <w:tc>
          <w:tcPr>
            <w:tcW w:w="112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rPr>
              <w:t>(4)</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(9,721)</w:t>
            </w:r>
          </w:p>
        </w:tc>
        <w:tc>
          <w:tcPr>
            <w:tcW w:w="0" w:type="dxa"/>
            <w:vAlign w:val="bottom"/>
          </w:tcPr>
          <w:p>
            <w:pPr>
              <w:spacing w:after="0"/>
              <w:rPr>
                <w:sz w:val="1"/>
                <w:szCs w:val="1"/>
                <w:color w:val="auto"/>
              </w:rPr>
            </w:pPr>
          </w:p>
        </w:tc>
      </w:tr>
      <w:tr>
        <w:trPr>
          <w:trHeight w:val="162"/>
        </w:trPr>
        <w:tc>
          <w:tcPr>
            <w:tcW w:w="2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At 31 December 2021</w:t>
            </w:r>
          </w:p>
        </w:tc>
        <w:tc>
          <w:tcPr>
            <w:tcW w:w="126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w:t>
            </w:r>
          </w:p>
        </w:tc>
        <w:tc>
          <w:tcPr>
            <w:tcW w:w="9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22,035</w:t>
            </w:r>
          </w:p>
        </w:tc>
        <w:tc>
          <w:tcPr>
            <w:tcW w:w="122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21,628</w:t>
            </w:r>
          </w:p>
        </w:tc>
        <w:tc>
          <w:tcPr>
            <w:tcW w:w="11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69,870</w:t>
            </w:r>
          </w:p>
        </w:tc>
        <w:tc>
          <w:tcPr>
            <w:tcW w:w="11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59,352</w:t>
            </w:r>
          </w:p>
        </w:tc>
        <w:tc>
          <w:tcPr>
            <w:tcW w:w="118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3,054</w:t>
            </w:r>
          </w:p>
        </w:tc>
        <w:tc>
          <w:tcPr>
            <w:tcW w:w="112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14</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175,953</w:t>
            </w:r>
          </w:p>
        </w:tc>
        <w:tc>
          <w:tcPr>
            <w:tcW w:w="0" w:type="dxa"/>
            <w:vAlign w:val="bottom"/>
          </w:tcPr>
          <w:p>
            <w:pPr>
              <w:spacing w:after="0"/>
              <w:rPr>
                <w:sz w:val="1"/>
                <w:szCs w:val="1"/>
                <w:color w:val="auto"/>
              </w:rPr>
            </w:pPr>
          </w:p>
        </w:tc>
      </w:tr>
      <w:tr>
        <w:trPr>
          <w:trHeight w:val="150"/>
        </w:trPr>
        <w:tc>
          <w:tcPr>
            <w:tcW w:w="22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2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book value</w:t>
            </w:r>
          </w:p>
        </w:tc>
        <w:tc>
          <w:tcPr>
            <w:tcW w:w="1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At 31 December 2021</w:t>
            </w:r>
          </w:p>
        </w:tc>
        <w:tc>
          <w:tcPr>
            <w:tcW w:w="126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4,574</w:t>
            </w:r>
          </w:p>
        </w:tc>
        <w:tc>
          <w:tcPr>
            <w:tcW w:w="9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45,167</w:t>
            </w:r>
          </w:p>
        </w:tc>
        <w:tc>
          <w:tcPr>
            <w:tcW w:w="122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50,867</w:t>
            </w:r>
          </w:p>
        </w:tc>
        <w:tc>
          <w:tcPr>
            <w:tcW w:w="110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37,674</w:t>
            </w:r>
          </w:p>
        </w:tc>
        <w:tc>
          <w:tcPr>
            <w:tcW w:w="110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43,990</w:t>
            </w:r>
          </w:p>
        </w:tc>
        <w:tc>
          <w:tcPr>
            <w:tcW w:w="118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12,593</w:t>
            </w:r>
          </w:p>
        </w:tc>
        <w:tc>
          <w:tcPr>
            <w:tcW w:w="112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47</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194,912</w:t>
            </w:r>
          </w:p>
        </w:tc>
        <w:tc>
          <w:tcPr>
            <w:tcW w:w="0" w:type="dxa"/>
            <w:vAlign w:val="bottom"/>
          </w:tcPr>
          <w:p>
            <w:pPr>
              <w:spacing w:after="0"/>
              <w:rPr>
                <w:sz w:val="1"/>
                <w:szCs w:val="1"/>
                <w:color w:val="auto"/>
              </w:rPr>
            </w:pPr>
          </w:p>
        </w:tc>
      </w:tr>
      <w:tr>
        <w:trPr>
          <w:trHeight w:val="159"/>
        </w:trPr>
        <w:tc>
          <w:tcPr>
            <w:tcW w:w="22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At 31 December 2020</w:t>
            </w:r>
          </w:p>
        </w:tc>
        <w:tc>
          <w:tcPr>
            <w:tcW w:w="126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rPr>
              <w:t>4,574</w:t>
            </w:r>
          </w:p>
        </w:tc>
        <w:tc>
          <w:tcPr>
            <w:tcW w:w="9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49,523</w:t>
            </w:r>
          </w:p>
        </w:tc>
        <w:tc>
          <w:tcPr>
            <w:tcW w:w="122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rPr>
              <w:t>7,488</w:t>
            </w:r>
          </w:p>
        </w:tc>
        <w:tc>
          <w:tcPr>
            <w:tcW w:w="110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rPr>
              <w:t>19,433</w:t>
            </w:r>
          </w:p>
        </w:tc>
        <w:tc>
          <w:tcPr>
            <w:tcW w:w="110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rPr>
              <w:t>19,613</w:t>
            </w:r>
          </w:p>
        </w:tc>
        <w:tc>
          <w:tcPr>
            <w:tcW w:w="118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color w:val="auto"/>
              </w:rPr>
              <w:t>9,152</w:t>
            </w:r>
          </w:p>
        </w:tc>
        <w:tc>
          <w:tcPr>
            <w:tcW w:w="112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rPr>
              <w:t>47</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109,830</w:t>
            </w:r>
          </w:p>
        </w:tc>
        <w:tc>
          <w:tcPr>
            <w:tcW w:w="0" w:type="dxa"/>
            <w:vAlign w:val="bottom"/>
          </w:tcPr>
          <w:p>
            <w:pPr>
              <w:spacing w:after="0"/>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Depreciation expense of $33.7 million has been charged to “other operating expenses” in the Consolidated Statement of Profit and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84</w:t>
      </w:r>
    </w:p>
    <w:p>
      <w:pPr>
        <w:sectPr>
          <w:pgSz w:w="11900" w:h="16838" w:orient="portrait"/>
          <w:cols w:equalWidth="0" w:num="1">
            <w:col w:w="11000"/>
          </w:cols>
          <w:pgMar w:left="300" w:top="698" w:right="59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190" w:lineRule="exact"/>
        <w:rPr>
          <w:sz w:val="20"/>
          <w:szCs w:val="20"/>
          <w:color w:val="auto"/>
        </w:rPr>
      </w:pPr>
    </w:p>
    <w:p>
      <w:pPr>
        <w:ind w:left="320" w:hanging="315"/>
        <w:spacing w:after="0"/>
        <w:tabs>
          <w:tab w:leader="none" w:pos="320" w:val="left"/>
        </w:tabs>
        <w:numPr>
          <w:ilvl w:val="0"/>
          <w:numId w:val="88"/>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Property, Plant and Equipment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Leasehold</w:t>
            </w:r>
          </w:p>
        </w:tc>
        <w:tc>
          <w:tcPr>
            <w:tcW w:w="1120" w:type="dxa"/>
            <w:vAlign w:val="bottom"/>
            <w:vMerge w:val="restart"/>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Computer</w:t>
            </w:r>
          </w:p>
        </w:tc>
        <w:tc>
          <w:tcPr>
            <w:tcW w:w="112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Office</w:t>
            </w:r>
          </w:p>
        </w:tc>
        <w:tc>
          <w:tcPr>
            <w:tcW w:w="1220" w:type="dxa"/>
            <w:vAlign w:val="bottom"/>
            <w:vMerge w:val="restart"/>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Laboratory</w:t>
            </w:r>
          </w:p>
        </w:tc>
        <w:tc>
          <w:tcPr>
            <w:tcW w:w="1120" w:type="dxa"/>
            <w:vAlign w:val="bottom"/>
            <w:vMerge w:val="restart"/>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Motor</w:t>
            </w: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320" w:type="dxa"/>
            <w:vAlign w:val="bottom"/>
            <w:shd w:val="clear" w:color="auto" w:fill="CCEEFF"/>
          </w:tcPr>
          <w:p>
            <w:pPr>
              <w:spacing w:after="0"/>
              <w:rPr>
                <w:sz w:val="11"/>
                <w:szCs w:val="11"/>
                <w:color w:val="auto"/>
              </w:rPr>
            </w:pPr>
          </w:p>
        </w:tc>
        <w:tc>
          <w:tcPr>
            <w:tcW w:w="1300" w:type="dxa"/>
            <w:vAlign w:val="bottom"/>
            <w:vMerge w:val="restart"/>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Land</w:t>
            </w:r>
          </w:p>
        </w:tc>
        <w:tc>
          <w:tcPr>
            <w:tcW w:w="980" w:type="dxa"/>
            <w:vAlign w:val="bottom"/>
            <w:vMerge w:val="restart"/>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Buildings</w:t>
            </w:r>
          </w:p>
        </w:tc>
        <w:tc>
          <w:tcPr>
            <w:tcW w:w="1240" w:type="dxa"/>
            <w:vAlign w:val="bottom"/>
            <w:vMerge w:val="continue"/>
            <w:shd w:val="clear" w:color="auto" w:fill="CCEEFF"/>
          </w:tcPr>
          <w:p>
            <w:pPr>
              <w:spacing w:after="0"/>
              <w:rPr>
                <w:sz w:val="11"/>
                <w:szCs w:val="11"/>
                <w:color w:val="auto"/>
              </w:rPr>
            </w:pPr>
          </w:p>
        </w:tc>
        <w:tc>
          <w:tcPr>
            <w:tcW w:w="1120" w:type="dxa"/>
            <w:vAlign w:val="bottom"/>
            <w:vMerge w:val="continue"/>
            <w:shd w:val="clear" w:color="auto" w:fill="CCEEFF"/>
          </w:tcPr>
          <w:p>
            <w:pPr>
              <w:spacing w:after="0"/>
              <w:rPr>
                <w:sz w:val="11"/>
                <w:szCs w:val="11"/>
                <w:color w:val="auto"/>
              </w:rPr>
            </w:pPr>
          </w:p>
        </w:tc>
        <w:tc>
          <w:tcPr>
            <w:tcW w:w="1120" w:type="dxa"/>
            <w:vAlign w:val="bottom"/>
            <w:shd w:val="clear" w:color="auto" w:fill="CCEEFF"/>
          </w:tcPr>
          <w:p>
            <w:pPr>
              <w:jc w:val="right"/>
              <w:ind w:right="176"/>
              <w:spacing w:after="0" w:line="128" w:lineRule="exact"/>
              <w:rPr>
                <w:sz w:val="20"/>
                <w:szCs w:val="20"/>
                <w:color w:val="auto"/>
              </w:rPr>
            </w:pPr>
            <w:r>
              <w:rPr>
                <w:rFonts w:ascii="Arial" w:cs="Arial" w:eastAsia="Arial" w:hAnsi="Arial"/>
                <w:sz w:val="13"/>
                <w:szCs w:val="13"/>
                <w:b w:val="1"/>
                <w:bCs w:val="1"/>
                <w:color w:val="auto"/>
              </w:rPr>
              <w:t>furniture &amp;</w:t>
            </w:r>
          </w:p>
        </w:tc>
        <w:tc>
          <w:tcPr>
            <w:tcW w:w="1220" w:type="dxa"/>
            <w:vAlign w:val="bottom"/>
            <w:vMerge w:val="continue"/>
            <w:shd w:val="clear" w:color="auto" w:fill="CCEEFF"/>
          </w:tcPr>
          <w:p>
            <w:pPr>
              <w:spacing w:after="0"/>
              <w:rPr>
                <w:sz w:val="11"/>
                <w:szCs w:val="11"/>
                <w:color w:val="auto"/>
              </w:rPr>
            </w:pPr>
          </w:p>
        </w:tc>
        <w:tc>
          <w:tcPr>
            <w:tcW w:w="1120" w:type="dxa"/>
            <w:vAlign w:val="bottom"/>
            <w:vMerge w:val="continue"/>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0"/>
        </w:trPr>
        <w:tc>
          <w:tcPr>
            <w:tcW w:w="232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vMerge w:val="continue"/>
            <w:shd w:val="clear" w:color="auto" w:fill="CCEEFF"/>
          </w:tcPr>
          <w:p>
            <w:pPr>
              <w:spacing w:after="0"/>
              <w:rPr>
                <w:sz w:val="14"/>
                <w:szCs w:val="14"/>
                <w:color w:val="auto"/>
              </w:rPr>
            </w:pPr>
          </w:p>
        </w:tc>
        <w:tc>
          <w:tcPr>
            <w:tcW w:w="980" w:type="dxa"/>
            <w:vAlign w:val="bottom"/>
            <w:tcBorders>
              <w:bottom w:val="single" w:sz="8" w:color="auto"/>
            </w:tcBorders>
            <w:vMerge w:val="continue"/>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improvements</w:t>
            </w:r>
          </w:p>
        </w:tc>
        <w:tc>
          <w:tcPr>
            <w:tcW w:w="11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equipment</w:t>
            </w:r>
          </w:p>
        </w:tc>
        <w:tc>
          <w:tcPr>
            <w:tcW w:w="11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fixtures</w:t>
            </w:r>
          </w:p>
        </w:tc>
        <w:tc>
          <w:tcPr>
            <w:tcW w:w="122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equipment</w:t>
            </w:r>
          </w:p>
        </w:tc>
        <w:tc>
          <w:tcPr>
            <w:tcW w:w="112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vehicles</w:t>
            </w: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320" w:type="dxa"/>
            <w:vAlign w:val="bottom"/>
          </w:tcPr>
          <w:p>
            <w:pPr>
              <w:spacing w:after="0"/>
              <w:rPr>
                <w:sz w:val="13"/>
                <w:szCs w:val="13"/>
                <w:color w:val="auto"/>
              </w:rPr>
            </w:pPr>
          </w:p>
        </w:tc>
        <w:tc>
          <w:tcPr>
            <w:tcW w:w="1300" w:type="dxa"/>
            <w:vAlign w:val="bottom"/>
          </w:tcPr>
          <w:p>
            <w:pPr>
              <w:jc w:val="right"/>
              <w:ind w:right="216"/>
              <w:spacing w:after="0"/>
              <w:rPr>
                <w:sz w:val="20"/>
                <w:szCs w:val="20"/>
                <w:color w:val="auto"/>
              </w:rPr>
            </w:pPr>
            <w:r>
              <w:rPr>
                <w:rFonts w:ascii="Arial" w:cs="Arial" w:eastAsia="Arial" w:hAnsi="Arial"/>
                <w:sz w:val="13"/>
                <w:szCs w:val="13"/>
                <w:b w:val="1"/>
                <w:bCs w:val="1"/>
                <w:color w:val="auto"/>
              </w:rPr>
              <w:t>$’000</w:t>
            </w:r>
          </w:p>
        </w:tc>
        <w:tc>
          <w:tcPr>
            <w:tcW w:w="980" w:type="dxa"/>
            <w:vAlign w:val="bottom"/>
          </w:tcPr>
          <w:p>
            <w:pPr>
              <w:jc w:val="right"/>
              <w:ind w:right="76"/>
              <w:spacing w:after="0"/>
              <w:rPr>
                <w:sz w:val="20"/>
                <w:szCs w:val="20"/>
                <w:color w:val="auto"/>
              </w:rPr>
            </w:pPr>
            <w:r>
              <w:rPr>
                <w:rFonts w:ascii="Arial" w:cs="Arial" w:eastAsia="Arial" w:hAnsi="Arial"/>
                <w:sz w:val="13"/>
                <w:szCs w:val="13"/>
                <w:b w:val="1"/>
                <w:bCs w:val="1"/>
                <w:color w:val="auto"/>
              </w:rPr>
              <w:t>$’000</w:t>
            </w:r>
          </w:p>
        </w:tc>
        <w:tc>
          <w:tcPr>
            <w:tcW w:w="1240" w:type="dxa"/>
            <w:vAlign w:val="bottom"/>
          </w:tcPr>
          <w:p>
            <w:pPr>
              <w:jc w:val="right"/>
              <w:ind w:right="176"/>
              <w:spacing w:after="0"/>
              <w:rPr>
                <w:sz w:val="20"/>
                <w:szCs w:val="20"/>
                <w:color w:val="auto"/>
              </w:rPr>
            </w:pPr>
            <w:r>
              <w:rPr>
                <w:rFonts w:ascii="Arial" w:cs="Arial" w:eastAsia="Arial" w:hAnsi="Arial"/>
                <w:sz w:val="13"/>
                <w:szCs w:val="13"/>
                <w:b w:val="1"/>
                <w:bCs w:val="1"/>
                <w:color w:val="auto"/>
              </w:rPr>
              <w:t>$’000</w:t>
            </w:r>
          </w:p>
        </w:tc>
        <w:tc>
          <w:tcPr>
            <w:tcW w:w="1120" w:type="dxa"/>
            <w:vAlign w:val="bottom"/>
          </w:tcPr>
          <w:p>
            <w:pPr>
              <w:jc w:val="right"/>
              <w:ind w:right="176"/>
              <w:spacing w:after="0"/>
              <w:rPr>
                <w:sz w:val="20"/>
                <w:szCs w:val="20"/>
                <w:color w:val="auto"/>
              </w:rPr>
            </w:pPr>
            <w:r>
              <w:rPr>
                <w:rFonts w:ascii="Arial" w:cs="Arial" w:eastAsia="Arial" w:hAnsi="Arial"/>
                <w:sz w:val="13"/>
                <w:szCs w:val="13"/>
                <w:b w:val="1"/>
                <w:bCs w:val="1"/>
                <w:color w:val="auto"/>
              </w:rPr>
              <w:t>$’000</w:t>
            </w:r>
          </w:p>
        </w:tc>
        <w:tc>
          <w:tcPr>
            <w:tcW w:w="1120" w:type="dxa"/>
            <w:vAlign w:val="bottom"/>
          </w:tcPr>
          <w:p>
            <w:pPr>
              <w:jc w:val="right"/>
              <w:ind w:right="176"/>
              <w:spacing w:after="0"/>
              <w:rPr>
                <w:sz w:val="20"/>
                <w:szCs w:val="20"/>
                <w:color w:val="auto"/>
              </w:rPr>
            </w:pPr>
            <w:r>
              <w:rPr>
                <w:rFonts w:ascii="Arial" w:cs="Arial" w:eastAsia="Arial" w:hAnsi="Arial"/>
                <w:sz w:val="13"/>
                <w:szCs w:val="13"/>
                <w:b w:val="1"/>
                <w:bCs w:val="1"/>
                <w:color w:val="auto"/>
              </w:rPr>
              <w:t>$’000</w:t>
            </w:r>
          </w:p>
        </w:tc>
        <w:tc>
          <w:tcPr>
            <w:tcW w:w="1220" w:type="dxa"/>
            <w:vAlign w:val="bottom"/>
          </w:tcPr>
          <w:p>
            <w:pPr>
              <w:jc w:val="right"/>
              <w:ind w:right="256"/>
              <w:spacing w:after="0"/>
              <w:rPr>
                <w:sz w:val="20"/>
                <w:szCs w:val="20"/>
                <w:color w:val="auto"/>
              </w:rPr>
            </w:pPr>
            <w:r>
              <w:rPr>
                <w:rFonts w:ascii="Arial" w:cs="Arial" w:eastAsia="Arial" w:hAnsi="Arial"/>
                <w:sz w:val="13"/>
                <w:szCs w:val="13"/>
                <w:b w:val="1"/>
                <w:bCs w:val="1"/>
                <w:color w:val="auto"/>
              </w:rPr>
              <w:t>$’000</w:t>
            </w:r>
          </w:p>
        </w:tc>
        <w:tc>
          <w:tcPr>
            <w:tcW w:w="1120" w:type="dxa"/>
            <w:vAlign w:val="bottom"/>
          </w:tcPr>
          <w:p>
            <w:pPr>
              <w:jc w:val="right"/>
              <w:ind w:right="236"/>
              <w:spacing w:after="0"/>
              <w:rPr>
                <w:sz w:val="20"/>
                <w:szCs w:val="20"/>
                <w:color w:val="auto"/>
              </w:rPr>
            </w:pPr>
            <w:r>
              <w:rPr>
                <w:rFonts w:ascii="Arial" w:cs="Arial" w:eastAsia="Arial" w:hAnsi="Arial"/>
                <w:sz w:val="13"/>
                <w:szCs w:val="13"/>
                <w:b w:val="1"/>
                <w:bCs w:val="1"/>
                <w:color w:val="auto"/>
              </w:rPr>
              <w:t>$’000</w:t>
            </w: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0" w:type="dxa"/>
            <w:vAlign w:val="bottom"/>
          </w:tcPr>
          <w:p>
            <w:pPr>
              <w:spacing w:after="0"/>
              <w:rPr>
                <w:sz w:val="1"/>
                <w:szCs w:val="1"/>
                <w:color w:val="auto"/>
              </w:rPr>
            </w:pPr>
          </w:p>
        </w:tc>
      </w:tr>
      <w:tr>
        <w:trPr>
          <w:trHeight w:val="170"/>
        </w:trPr>
        <w:tc>
          <w:tcPr>
            <w:tcW w:w="23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Cost</w:t>
            </w:r>
          </w:p>
        </w:tc>
        <w:tc>
          <w:tcPr>
            <w:tcW w:w="1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320" w:type="dxa"/>
            <w:vAlign w:val="bottom"/>
          </w:tcPr>
          <w:p>
            <w:pPr>
              <w:ind w:left="20"/>
              <w:spacing w:after="0"/>
              <w:rPr>
                <w:sz w:val="20"/>
                <w:szCs w:val="20"/>
                <w:color w:val="auto"/>
              </w:rPr>
            </w:pPr>
            <w:r>
              <w:rPr>
                <w:rFonts w:ascii="Arial" w:cs="Arial" w:eastAsia="Arial" w:hAnsi="Arial"/>
                <w:sz w:val="13"/>
                <w:szCs w:val="13"/>
                <w:color w:val="auto"/>
              </w:rPr>
              <w:t>At 1 January 2020</w:t>
            </w:r>
          </w:p>
        </w:tc>
        <w:tc>
          <w:tcPr>
            <w:tcW w:w="1300" w:type="dxa"/>
            <w:vAlign w:val="bottom"/>
          </w:tcPr>
          <w:p>
            <w:pPr>
              <w:jc w:val="right"/>
              <w:ind w:right="256"/>
              <w:spacing w:after="0"/>
              <w:rPr>
                <w:sz w:val="20"/>
                <w:szCs w:val="20"/>
                <w:color w:val="auto"/>
              </w:rPr>
            </w:pPr>
            <w:r>
              <w:rPr>
                <w:rFonts w:ascii="Arial" w:cs="Arial" w:eastAsia="Arial" w:hAnsi="Arial"/>
                <w:sz w:val="13"/>
                <w:szCs w:val="13"/>
                <w:color w:val="auto"/>
              </w:rPr>
              <w:t>4,574</w:t>
            </w:r>
          </w:p>
        </w:tc>
        <w:tc>
          <w:tcPr>
            <w:tcW w:w="980" w:type="dxa"/>
            <w:vAlign w:val="bottom"/>
          </w:tcPr>
          <w:p>
            <w:pPr>
              <w:jc w:val="right"/>
              <w:ind w:right="116"/>
              <w:spacing w:after="0"/>
              <w:rPr>
                <w:sz w:val="20"/>
                <w:szCs w:val="20"/>
                <w:color w:val="auto"/>
              </w:rPr>
            </w:pPr>
            <w:r>
              <w:rPr>
                <w:rFonts w:ascii="Arial" w:cs="Arial" w:eastAsia="Arial" w:hAnsi="Arial"/>
                <w:sz w:val="13"/>
                <w:szCs w:val="13"/>
                <w:color w:val="auto"/>
              </w:rPr>
              <w:t>69,535</w:t>
            </w:r>
          </w:p>
        </w:tc>
        <w:tc>
          <w:tcPr>
            <w:tcW w:w="1240" w:type="dxa"/>
            <w:vAlign w:val="bottom"/>
          </w:tcPr>
          <w:p>
            <w:pPr>
              <w:jc w:val="right"/>
              <w:ind w:right="216"/>
              <w:spacing w:after="0"/>
              <w:rPr>
                <w:sz w:val="20"/>
                <w:szCs w:val="20"/>
                <w:color w:val="auto"/>
              </w:rPr>
            </w:pPr>
            <w:r>
              <w:rPr>
                <w:rFonts w:ascii="Arial" w:cs="Arial" w:eastAsia="Arial" w:hAnsi="Arial"/>
                <w:sz w:val="13"/>
                <w:szCs w:val="13"/>
                <w:color w:val="auto"/>
              </w:rPr>
              <w:t>35,853</w:t>
            </w:r>
          </w:p>
        </w:tc>
        <w:tc>
          <w:tcPr>
            <w:tcW w:w="1120" w:type="dxa"/>
            <w:vAlign w:val="bottom"/>
          </w:tcPr>
          <w:p>
            <w:pPr>
              <w:jc w:val="right"/>
              <w:ind w:right="216"/>
              <w:spacing w:after="0"/>
              <w:rPr>
                <w:sz w:val="20"/>
                <w:szCs w:val="20"/>
                <w:color w:val="auto"/>
              </w:rPr>
            </w:pPr>
            <w:r>
              <w:rPr>
                <w:rFonts w:ascii="Arial" w:cs="Arial" w:eastAsia="Arial" w:hAnsi="Arial"/>
                <w:sz w:val="13"/>
                <w:szCs w:val="13"/>
                <w:color w:val="auto"/>
              </w:rPr>
              <w:t>128,231</w:t>
            </w:r>
          </w:p>
        </w:tc>
        <w:tc>
          <w:tcPr>
            <w:tcW w:w="1120" w:type="dxa"/>
            <w:vAlign w:val="bottom"/>
          </w:tcPr>
          <w:p>
            <w:pPr>
              <w:jc w:val="right"/>
              <w:ind w:right="216"/>
              <w:spacing w:after="0"/>
              <w:rPr>
                <w:sz w:val="20"/>
                <w:szCs w:val="20"/>
                <w:color w:val="auto"/>
              </w:rPr>
            </w:pPr>
            <w:r>
              <w:rPr>
                <w:rFonts w:ascii="Arial" w:cs="Arial" w:eastAsia="Arial" w:hAnsi="Arial"/>
                <w:sz w:val="13"/>
                <w:szCs w:val="13"/>
                <w:color w:val="auto"/>
              </w:rPr>
              <w:t>77,391</w:t>
            </w:r>
          </w:p>
        </w:tc>
        <w:tc>
          <w:tcPr>
            <w:tcW w:w="1220" w:type="dxa"/>
            <w:vAlign w:val="bottom"/>
          </w:tcPr>
          <w:p>
            <w:pPr>
              <w:jc w:val="right"/>
              <w:ind w:right="296"/>
              <w:spacing w:after="0"/>
              <w:rPr>
                <w:sz w:val="20"/>
                <w:szCs w:val="20"/>
                <w:color w:val="auto"/>
              </w:rPr>
            </w:pPr>
            <w:r>
              <w:rPr>
                <w:rFonts w:ascii="Arial" w:cs="Arial" w:eastAsia="Arial" w:hAnsi="Arial"/>
                <w:sz w:val="13"/>
                <w:szCs w:val="13"/>
                <w:color w:val="auto"/>
              </w:rPr>
              <w:t>28,466</w:t>
            </w:r>
          </w:p>
        </w:tc>
        <w:tc>
          <w:tcPr>
            <w:tcW w:w="1120" w:type="dxa"/>
            <w:vAlign w:val="bottom"/>
          </w:tcPr>
          <w:p>
            <w:pPr>
              <w:jc w:val="right"/>
              <w:ind w:right="276"/>
              <w:spacing w:after="0"/>
              <w:rPr>
                <w:sz w:val="20"/>
                <w:szCs w:val="20"/>
                <w:color w:val="auto"/>
              </w:rPr>
            </w:pPr>
            <w:r>
              <w:rPr>
                <w:rFonts w:ascii="Arial" w:cs="Arial" w:eastAsia="Arial" w:hAnsi="Arial"/>
                <w:sz w:val="13"/>
                <w:szCs w:val="13"/>
                <w:color w:val="auto"/>
              </w:rPr>
              <w:t>96</w:t>
            </w:r>
          </w:p>
        </w:tc>
        <w:tc>
          <w:tcPr>
            <w:tcW w:w="840" w:type="dxa"/>
            <w:vAlign w:val="bottom"/>
          </w:tcPr>
          <w:p>
            <w:pPr>
              <w:jc w:val="right"/>
              <w:spacing w:after="0"/>
              <w:rPr>
                <w:sz w:val="20"/>
                <w:szCs w:val="20"/>
                <w:color w:val="auto"/>
              </w:rPr>
            </w:pPr>
            <w:r>
              <w:rPr>
                <w:rFonts w:ascii="Arial" w:cs="Arial" w:eastAsia="Arial" w:hAnsi="Arial"/>
                <w:sz w:val="13"/>
                <w:szCs w:val="13"/>
                <w:color w:val="auto"/>
              </w:rPr>
              <w:t>344,146</w:t>
            </w:r>
          </w:p>
        </w:tc>
        <w:tc>
          <w:tcPr>
            <w:tcW w:w="0" w:type="dxa"/>
            <w:vAlign w:val="bottom"/>
          </w:tcPr>
          <w:p>
            <w:pPr>
              <w:spacing w:after="0"/>
              <w:rPr>
                <w:sz w:val="1"/>
                <w:szCs w:val="1"/>
                <w:color w:val="auto"/>
              </w:rPr>
            </w:pPr>
          </w:p>
        </w:tc>
      </w:tr>
      <w:tr>
        <w:trPr>
          <w:trHeight w:val="171"/>
        </w:trPr>
        <w:tc>
          <w:tcPr>
            <w:tcW w:w="2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Additions</w:t>
            </w:r>
          </w:p>
        </w:tc>
        <w:tc>
          <w:tcPr>
            <w:tcW w:w="13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175</w:t>
            </w:r>
          </w:p>
        </w:tc>
        <w:tc>
          <w:tcPr>
            <w:tcW w:w="124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339</w:t>
            </w:r>
          </w:p>
        </w:tc>
        <w:tc>
          <w:tcPr>
            <w:tcW w:w="112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11,195</w:t>
            </w:r>
          </w:p>
        </w:tc>
        <w:tc>
          <w:tcPr>
            <w:tcW w:w="112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4,466</w:t>
            </w:r>
          </w:p>
        </w:tc>
        <w:tc>
          <w:tcPr>
            <w:tcW w:w="122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3,133</w:t>
            </w:r>
          </w:p>
        </w:tc>
        <w:tc>
          <w:tcPr>
            <w:tcW w:w="112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19,308</w:t>
            </w:r>
          </w:p>
        </w:tc>
        <w:tc>
          <w:tcPr>
            <w:tcW w:w="0" w:type="dxa"/>
            <w:vAlign w:val="bottom"/>
          </w:tcPr>
          <w:p>
            <w:pPr>
              <w:spacing w:after="0"/>
              <w:rPr>
                <w:sz w:val="1"/>
                <w:szCs w:val="1"/>
                <w:color w:val="auto"/>
              </w:rPr>
            </w:pPr>
          </w:p>
        </w:tc>
      </w:tr>
      <w:tr>
        <w:trPr>
          <w:trHeight w:val="169"/>
        </w:trPr>
        <w:tc>
          <w:tcPr>
            <w:tcW w:w="2320" w:type="dxa"/>
            <w:vAlign w:val="bottom"/>
          </w:tcPr>
          <w:p>
            <w:pPr>
              <w:ind w:left="20"/>
              <w:spacing w:after="0"/>
              <w:rPr>
                <w:sz w:val="20"/>
                <w:szCs w:val="20"/>
                <w:color w:val="auto"/>
              </w:rPr>
            </w:pPr>
            <w:r>
              <w:rPr>
                <w:rFonts w:ascii="Arial" w:cs="Arial" w:eastAsia="Arial" w:hAnsi="Arial"/>
                <w:sz w:val="13"/>
                <w:szCs w:val="13"/>
                <w:color w:val="auto"/>
              </w:rPr>
              <w:t>Disposals</w:t>
            </w:r>
          </w:p>
        </w:tc>
        <w:tc>
          <w:tcPr>
            <w:tcW w:w="1300" w:type="dxa"/>
            <w:vAlign w:val="bottom"/>
          </w:tcPr>
          <w:p>
            <w:pPr>
              <w:jc w:val="right"/>
              <w:ind w:right="256"/>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76"/>
              <w:spacing w:after="0"/>
              <w:rPr>
                <w:sz w:val="20"/>
                <w:szCs w:val="20"/>
                <w:color w:val="auto"/>
              </w:rPr>
            </w:pPr>
            <w:r>
              <w:rPr>
                <w:rFonts w:ascii="Arial" w:cs="Arial" w:eastAsia="Arial" w:hAnsi="Arial"/>
                <w:sz w:val="13"/>
                <w:szCs w:val="13"/>
                <w:color w:val="auto"/>
              </w:rPr>
              <w:t>(834)</w:t>
            </w:r>
          </w:p>
        </w:tc>
        <w:tc>
          <w:tcPr>
            <w:tcW w:w="1240" w:type="dxa"/>
            <w:vAlign w:val="bottom"/>
          </w:tcPr>
          <w:p>
            <w:pPr>
              <w:jc w:val="right"/>
              <w:ind w:right="196"/>
              <w:spacing w:after="0"/>
              <w:rPr>
                <w:sz w:val="20"/>
                <w:szCs w:val="20"/>
                <w:color w:val="auto"/>
              </w:rPr>
            </w:pPr>
            <w:r>
              <w:rPr>
                <w:rFonts w:ascii="Arial" w:cs="Arial" w:eastAsia="Arial" w:hAnsi="Arial"/>
                <w:sz w:val="13"/>
                <w:szCs w:val="13"/>
                <w:color w:val="auto"/>
              </w:rPr>
              <w:t>(933)</w:t>
            </w:r>
          </w:p>
        </w:tc>
        <w:tc>
          <w:tcPr>
            <w:tcW w:w="1120" w:type="dxa"/>
            <w:vAlign w:val="bottom"/>
          </w:tcPr>
          <w:p>
            <w:pPr>
              <w:jc w:val="right"/>
              <w:ind w:right="176"/>
              <w:spacing w:after="0"/>
              <w:rPr>
                <w:sz w:val="20"/>
                <w:szCs w:val="20"/>
                <w:color w:val="auto"/>
              </w:rPr>
            </w:pPr>
            <w:r>
              <w:rPr>
                <w:rFonts w:ascii="Arial" w:cs="Arial" w:eastAsia="Arial" w:hAnsi="Arial"/>
                <w:sz w:val="13"/>
                <w:szCs w:val="13"/>
                <w:color w:val="auto"/>
              </w:rPr>
              <w:t>(27,377)</w:t>
            </w:r>
          </w:p>
        </w:tc>
        <w:tc>
          <w:tcPr>
            <w:tcW w:w="1120" w:type="dxa"/>
            <w:vAlign w:val="bottom"/>
          </w:tcPr>
          <w:p>
            <w:pPr>
              <w:jc w:val="right"/>
              <w:ind w:right="176"/>
              <w:spacing w:after="0"/>
              <w:rPr>
                <w:sz w:val="20"/>
                <w:szCs w:val="20"/>
                <w:color w:val="auto"/>
              </w:rPr>
            </w:pPr>
            <w:r>
              <w:rPr>
                <w:rFonts w:ascii="Arial" w:cs="Arial" w:eastAsia="Arial" w:hAnsi="Arial"/>
                <w:sz w:val="13"/>
                <w:szCs w:val="13"/>
                <w:color w:val="auto"/>
              </w:rPr>
              <w:t>(2,080)</w:t>
            </w:r>
          </w:p>
        </w:tc>
        <w:tc>
          <w:tcPr>
            <w:tcW w:w="1220" w:type="dxa"/>
            <w:vAlign w:val="bottom"/>
          </w:tcPr>
          <w:p>
            <w:pPr>
              <w:jc w:val="right"/>
              <w:ind w:right="256"/>
              <w:spacing w:after="0"/>
              <w:rPr>
                <w:sz w:val="20"/>
                <w:szCs w:val="20"/>
                <w:color w:val="auto"/>
              </w:rPr>
            </w:pPr>
            <w:r>
              <w:rPr>
                <w:rFonts w:ascii="Arial" w:cs="Arial" w:eastAsia="Arial" w:hAnsi="Arial"/>
                <w:sz w:val="13"/>
                <w:szCs w:val="13"/>
                <w:color w:val="auto"/>
              </w:rPr>
              <w:t>(71)</w:t>
            </w:r>
          </w:p>
        </w:tc>
        <w:tc>
          <w:tcPr>
            <w:tcW w:w="1120" w:type="dxa"/>
            <w:vAlign w:val="bottom"/>
          </w:tcPr>
          <w:p>
            <w:pPr>
              <w:jc w:val="right"/>
              <w:ind w:right="256"/>
              <w:spacing w:after="0"/>
              <w:rPr>
                <w:sz w:val="20"/>
                <w:szCs w:val="20"/>
                <w:color w:val="auto"/>
              </w:rPr>
            </w:pPr>
            <w:r>
              <w:rPr>
                <w:rFonts w:ascii="Arial" w:cs="Arial" w:eastAsia="Arial" w:hAnsi="Arial"/>
                <w:sz w:val="13"/>
                <w:szCs w:val="13"/>
                <w:color w:val="auto"/>
              </w:rPr>
              <w:t>(46)</w:t>
            </w:r>
          </w:p>
        </w:tc>
        <w:tc>
          <w:tcPr>
            <w:tcW w:w="840" w:type="dxa"/>
            <w:vAlign w:val="bottom"/>
          </w:tcPr>
          <w:p>
            <w:pPr>
              <w:jc w:val="right"/>
              <w:spacing w:after="0"/>
              <w:rPr>
                <w:sz w:val="20"/>
                <w:szCs w:val="20"/>
                <w:color w:val="auto"/>
              </w:rPr>
            </w:pPr>
            <w:r>
              <w:rPr>
                <w:rFonts w:ascii="Arial" w:cs="Arial" w:eastAsia="Arial" w:hAnsi="Arial"/>
                <w:sz w:val="13"/>
                <w:szCs w:val="13"/>
                <w:color w:val="auto"/>
              </w:rPr>
              <w:t>(31,341)</w:t>
            </w:r>
          </w:p>
        </w:tc>
        <w:tc>
          <w:tcPr>
            <w:tcW w:w="0" w:type="dxa"/>
            <w:vAlign w:val="bottom"/>
          </w:tcPr>
          <w:p>
            <w:pPr>
              <w:spacing w:after="0"/>
              <w:rPr>
                <w:sz w:val="1"/>
                <w:szCs w:val="1"/>
                <w:color w:val="auto"/>
              </w:rPr>
            </w:pPr>
          </w:p>
        </w:tc>
      </w:tr>
      <w:tr>
        <w:trPr>
          <w:trHeight w:val="171"/>
        </w:trPr>
        <w:tc>
          <w:tcPr>
            <w:tcW w:w="2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Arising on acquisition</w:t>
            </w:r>
          </w:p>
        </w:tc>
        <w:tc>
          <w:tcPr>
            <w:tcW w:w="13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12</w:t>
            </w:r>
          </w:p>
        </w:tc>
        <w:tc>
          <w:tcPr>
            <w:tcW w:w="112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33</w:t>
            </w:r>
          </w:p>
        </w:tc>
        <w:tc>
          <w:tcPr>
            <w:tcW w:w="122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169"/>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Foreign exchange movement</w:t>
            </w:r>
          </w:p>
        </w:tc>
        <w:tc>
          <w:tcPr>
            <w:tcW w:w="13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5,104</w:t>
            </w:r>
          </w:p>
        </w:tc>
        <w:tc>
          <w:tcPr>
            <w:tcW w:w="124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rPr>
              <w:t>1,602</w:t>
            </w:r>
          </w:p>
        </w:tc>
        <w:tc>
          <w:tcPr>
            <w:tcW w:w="112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rPr>
              <w:t>1,947</w:t>
            </w:r>
          </w:p>
        </w:tc>
        <w:tc>
          <w:tcPr>
            <w:tcW w:w="112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rPr>
              <w:t>2,036</w:t>
            </w:r>
          </w:p>
        </w:tc>
        <w:tc>
          <w:tcPr>
            <w:tcW w:w="122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rPr>
              <w:t>525</w:t>
            </w:r>
          </w:p>
        </w:tc>
        <w:tc>
          <w:tcPr>
            <w:tcW w:w="112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color w:val="auto"/>
              </w:rPr>
              <w:t>2</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11,216</w:t>
            </w:r>
          </w:p>
        </w:tc>
        <w:tc>
          <w:tcPr>
            <w:tcW w:w="0" w:type="dxa"/>
            <w:vAlign w:val="bottom"/>
          </w:tcPr>
          <w:p>
            <w:pPr>
              <w:spacing w:after="0"/>
              <w:rPr>
                <w:sz w:val="1"/>
                <w:szCs w:val="1"/>
                <w:color w:val="auto"/>
              </w:rPr>
            </w:pPr>
          </w:p>
        </w:tc>
      </w:tr>
      <w:tr>
        <w:trPr>
          <w:trHeight w:val="162"/>
        </w:trPr>
        <w:tc>
          <w:tcPr>
            <w:tcW w:w="2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At 31 December 2020</w:t>
            </w:r>
          </w:p>
        </w:tc>
        <w:tc>
          <w:tcPr>
            <w:tcW w:w="130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4,574</w:t>
            </w:r>
          </w:p>
        </w:tc>
        <w:tc>
          <w:tcPr>
            <w:tcW w:w="9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73,980</w:t>
            </w:r>
          </w:p>
        </w:tc>
        <w:tc>
          <w:tcPr>
            <w:tcW w:w="124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36,861</w:t>
            </w:r>
          </w:p>
        </w:tc>
        <w:tc>
          <w:tcPr>
            <w:tcW w:w="112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114,008</w:t>
            </w:r>
          </w:p>
        </w:tc>
        <w:tc>
          <w:tcPr>
            <w:tcW w:w="112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81,846</w:t>
            </w:r>
          </w:p>
        </w:tc>
        <w:tc>
          <w:tcPr>
            <w:tcW w:w="122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32,053</w:t>
            </w:r>
          </w:p>
        </w:tc>
        <w:tc>
          <w:tcPr>
            <w:tcW w:w="112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52</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343,374</w:t>
            </w:r>
          </w:p>
        </w:tc>
        <w:tc>
          <w:tcPr>
            <w:tcW w:w="0" w:type="dxa"/>
            <w:vAlign w:val="bottom"/>
          </w:tcPr>
          <w:p>
            <w:pPr>
              <w:spacing w:after="0"/>
              <w:rPr>
                <w:sz w:val="1"/>
                <w:szCs w:val="1"/>
                <w:color w:val="auto"/>
              </w:rPr>
            </w:pPr>
          </w:p>
        </w:tc>
      </w:tr>
      <w:tr>
        <w:trPr>
          <w:trHeight w:val="150"/>
        </w:trPr>
        <w:tc>
          <w:tcPr>
            <w:tcW w:w="23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3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Depreciation</w:t>
            </w:r>
          </w:p>
        </w:tc>
        <w:tc>
          <w:tcPr>
            <w:tcW w:w="1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320" w:type="dxa"/>
            <w:vAlign w:val="bottom"/>
          </w:tcPr>
          <w:p>
            <w:pPr>
              <w:ind w:left="20"/>
              <w:spacing w:after="0"/>
              <w:rPr>
                <w:sz w:val="20"/>
                <w:szCs w:val="20"/>
                <w:color w:val="auto"/>
              </w:rPr>
            </w:pPr>
            <w:r>
              <w:rPr>
                <w:rFonts w:ascii="Arial" w:cs="Arial" w:eastAsia="Arial" w:hAnsi="Arial"/>
                <w:sz w:val="13"/>
                <w:szCs w:val="13"/>
                <w:color w:val="auto"/>
              </w:rPr>
              <w:t>At 1 January 2020</w:t>
            </w:r>
          </w:p>
        </w:tc>
        <w:tc>
          <w:tcPr>
            <w:tcW w:w="1300" w:type="dxa"/>
            <w:vAlign w:val="bottom"/>
          </w:tcPr>
          <w:p>
            <w:pPr>
              <w:jc w:val="right"/>
              <w:ind w:right="256"/>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16"/>
              <w:spacing w:after="0"/>
              <w:rPr>
                <w:sz w:val="20"/>
                <w:szCs w:val="20"/>
                <w:color w:val="auto"/>
              </w:rPr>
            </w:pPr>
            <w:r>
              <w:rPr>
                <w:rFonts w:ascii="Arial" w:cs="Arial" w:eastAsia="Arial" w:hAnsi="Arial"/>
                <w:sz w:val="13"/>
                <w:szCs w:val="13"/>
                <w:color w:val="auto"/>
              </w:rPr>
              <w:t>21,151</w:t>
            </w:r>
          </w:p>
        </w:tc>
        <w:tc>
          <w:tcPr>
            <w:tcW w:w="1240" w:type="dxa"/>
            <w:vAlign w:val="bottom"/>
          </w:tcPr>
          <w:p>
            <w:pPr>
              <w:jc w:val="right"/>
              <w:ind w:right="216"/>
              <w:spacing w:after="0"/>
              <w:rPr>
                <w:sz w:val="20"/>
                <w:szCs w:val="20"/>
                <w:color w:val="auto"/>
              </w:rPr>
            </w:pPr>
            <w:r>
              <w:rPr>
                <w:rFonts w:ascii="Arial" w:cs="Arial" w:eastAsia="Arial" w:hAnsi="Arial"/>
                <w:sz w:val="13"/>
                <w:szCs w:val="13"/>
                <w:color w:val="auto"/>
              </w:rPr>
              <w:t>28,158</w:t>
            </w:r>
          </w:p>
        </w:tc>
        <w:tc>
          <w:tcPr>
            <w:tcW w:w="1120" w:type="dxa"/>
            <w:vAlign w:val="bottom"/>
          </w:tcPr>
          <w:p>
            <w:pPr>
              <w:jc w:val="right"/>
              <w:ind w:right="216"/>
              <w:spacing w:after="0"/>
              <w:rPr>
                <w:sz w:val="20"/>
                <w:szCs w:val="20"/>
                <w:color w:val="auto"/>
              </w:rPr>
            </w:pPr>
            <w:r>
              <w:rPr>
                <w:rFonts w:ascii="Arial" w:cs="Arial" w:eastAsia="Arial" w:hAnsi="Arial"/>
                <w:sz w:val="13"/>
                <w:szCs w:val="13"/>
                <w:color w:val="auto"/>
              </w:rPr>
              <w:t>112,029</w:t>
            </w:r>
          </w:p>
        </w:tc>
        <w:tc>
          <w:tcPr>
            <w:tcW w:w="1120" w:type="dxa"/>
            <w:vAlign w:val="bottom"/>
          </w:tcPr>
          <w:p>
            <w:pPr>
              <w:jc w:val="right"/>
              <w:ind w:right="216"/>
              <w:spacing w:after="0"/>
              <w:rPr>
                <w:sz w:val="20"/>
                <w:szCs w:val="20"/>
                <w:color w:val="auto"/>
              </w:rPr>
            </w:pPr>
            <w:r>
              <w:rPr>
                <w:rFonts w:ascii="Arial" w:cs="Arial" w:eastAsia="Arial" w:hAnsi="Arial"/>
                <w:sz w:val="13"/>
                <w:szCs w:val="13"/>
                <w:color w:val="auto"/>
              </w:rPr>
              <w:t>58,224</w:t>
            </w:r>
          </w:p>
        </w:tc>
        <w:tc>
          <w:tcPr>
            <w:tcW w:w="1220" w:type="dxa"/>
            <w:vAlign w:val="bottom"/>
          </w:tcPr>
          <w:p>
            <w:pPr>
              <w:jc w:val="right"/>
              <w:ind w:right="296"/>
              <w:spacing w:after="0"/>
              <w:rPr>
                <w:sz w:val="20"/>
                <w:szCs w:val="20"/>
                <w:color w:val="auto"/>
              </w:rPr>
            </w:pPr>
            <w:r>
              <w:rPr>
                <w:rFonts w:ascii="Arial" w:cs="Arial" w:eastAsia="Arial" w:hAnsi="Arial"/>
                <w:sz w:val="13"/>
                <w:szCs w:val="13"/>
                <w:color w:val="auto"/>
              </w:rPr>
              <w:t>20,326</w:t>
            </w:r>
          </w:p>
        </w:tc>
        <w:tc>
          <w:tcPr>
            <w:tcW w:w="1120" w:type="dxa"/>
            <w:vAlign w:val="bottom"/>
          </w:tcPr>
          <w:p>
            <w:pPr>
              <w:jc w:val="right"/>
              <w:ind w:right="276"/>
              <w:spacing w:after="0"/>
              <w:rPr>
                <w:sz w:val="20"/>
                <w:szCs w:val="20"/>
                <w:color w:val="auto"/>
              </w:rPr>
            </w:pPr>
            <w:r>
              <w:rPr>
                <w:rFonts w:ascii="Arial" w:cs="Arial" w:eastAsia="Arial" w:hAnsi="Arial"/>
                <w:sz w:val="13"/>
                <w:szCs w:val="13"/>
                <w:color w:val="auto"/>
              </w:rPr>
              <w:t>1</w:t>
            </w:r>
          </w:p>
        </w:tc>
        <w:tc>
          <w:tcPr>
            <w:tcW w:w="840" w:type="dxa"/>
            <w:vAlign w:val="bottom"/>
          </w:tcPr>
          <w:p>
            <w:pPr>
              <w:jc w:val="right"/>
              <w:spacing w:after="0"/>
              <w:rPr>
                <w:sz w:val="20"/>
                <w:szCs w:val="20"/>
                <w:color w:val="auto"/>
              </w:rPr>
            </w:pPr>
            <w:r>
              <w:rPr>
                <w:rFonts w:ascii="Arial" w:cs="Arial" w:eastAsia="Arial" w:hAnsi="Arial"/>
                <w:sz w:val="13"/>
                <w:szCs w:val="13"/>
                <w:color w:val="auto"/>
              </w:rPr>
              <w:t>239,889</w:t>
            </w:r>
          </w:p>
        </w:tc>
        <w:tc>
          <w:tcPr>
            <w:tcW w:w="0" w:type="dxa"/>
            <w:vAlign w:val="bottom"/>
          </w:tcPr>
          <w:p>
            <w:pPr>
              <w:spacing w:after="0"/>
              <w:rPr>
                <w:sz w:val="1"/>
                <w:szCs w:val="1"/>
                <w:color w:val="auto"/>
              </w:rPr>
            </w:pPr>
          </w:p>
        </w:tc>
      </w:tr>
      <w:tr>
        <w:trPr>
          <w:trHeight w:val="171"/>
        </w:trPr>
        <w:tc>
          <w:tcPr>
            <w:tcW w:w="2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Charge for year</w:t>
            </w:r>
          </w:p>
        </w:tc>
        <w:tc>
          <w:tcPr>
            <w:tcW w:w="13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2,058</w:t>
            </w:r>
          </w:p>
        </w:tc>
        <w:tc>
          <w:tcPr>
            <w:tcW w:w="124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1,161</w:t>
            </w:r>
          </w:p>
        </w:tc>
        <w:tc>
          <w:tcPr>
            <w:tcW w:w="112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8,529</w:t>
            </w:r>
          </w:p>
        </w:tc>
        <w:tc>
          <w:tcPr>
            <w:tcW w:w="112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4,372</w:t>
            </w:r>
          </w:p>
        </w:tc>
        <w:tc>
          <w:tcPr>
            <w:tcW w:w="122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2,220</w:t>
            </w:r>
          </w:p>
        </w:tc>
        <w:tc>
          <w:tcPr>
            <w:tcW w:w="112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20</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18,360</w:t>
            </w:r>
          </w:p>
        </w:tc>
        <w:tc>
          <w:tcPr>
            <w:tcW w:w="0" w:type="dxa"/>
            <w:vAlign w:val="bottom"/>
          </w:tcPr>
          <w:p>
            <w:pPr>
              <w:spacing w:after="0"/>
              <w:rPr>
                <w:sz w:val="1"/>
                <w:szCs w:val="1"/>
                <w:color w:val="auto"/>
              </w:rPr>
            </w:pPr>
          </w:p>
        </w:tc>
      </w:tr>
      <w:tr>
        <w:trPr>
          <w:trHeight w:val="169"/>
        </w:trPr>
        <w:tc>
          <w:tcPr>
            <w:tcW w:w="2320" w:type="dxa"/>
            <w:vAlign w:val="bottom"/>
          </w:tcPr>
          <w:p>
            <w:pPr>
              <w:ind w:left="20"/>
              <w:spacing w:after="0"/>
              <w:rPr>
                <w:sz w:val="20"/>
                <w:szCs w:val="20"/>
                <w:color w:val="auto"/>
              </w:rPr>
            </w:pPr>
            <w:r>
              <w:rPr>
                <w:rFonts w:ascii="Arial" w:cs="Arial" w:eastAsia="Arial" w:hAnsi="Arial"/>
                <w:sz w:val="13"/>
                <w:szCs w:val="13"/>
                <w:color w:val="auto"/>
              </w:rPr>
              <w:t>Eliminated on disposal</w:t>
            </w:r>
          </w:p>
        </w:tc>
        <w:tc>
          <w:tcPr>
            <w:tcW w:w="1300" w:type="dxa"/>
            <w:vAlign w:val="bottom"/>
          </w:tcPr>
          <w:p>
            <w:pPr>
              <w:jc w:val="right"/>
              <w:ind w:right="256"/>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76"/>
              <w:spacing w:after="0"/>
              <w:rPr>
                <w:sz w:val="20"/>
                <w:szCs w:val="20"/>
                <w:color w:val="auto"/>
              </w:rPr>
            </w:pPr>
            <w:r>
              <w:rPr>
                <w:rFonts w:ascii="Arial" w:cs="Arial" w:eastAsia="Arial" w:hAnsi="Arial"/>
                <w:sz w:val="13"/>
                <w:szCs w:val="13"/>
                <w:color w:val="auto"/>
              </w:rPr>
              <w:t>(834)</w:t>
            </w:r>
          </w:p>
        </w:tc>
        <w:tc>
          <w:tcPr>
            <w:tcW w:w="1240" w:type="dxa"/>
            <w:vAlign w:val="bottom"/>
          </w:tcPr>
          <w:p>
            <w:pPr>
              <w:jc w:val="right"/>
              <w:ind w:right="196"/>
              <w:spacing w:after="0"/>
              <w:rPr>
                <w:sz w:val="20"/>
                <w:szCs w:val="20"/>
                <w:color w:val="auto"/>
              </w:rPr>
            </w:pPr>
            <w:r>
              <w:rPr>
                <w:rFonts w:ascii="Arial" w:cs="Arial" w:eastAsia="Arial" w:hAnsi="Arial"/>
                <w:sz w:val="13"/>
                <w:szCs w:val="13"/>
                <w:color w:val="auto"/>
              </w:rPr>
              <w:t>(933)</w:t>
            </w:r>
          </w:p>
        </w:tc>
        <w:tc>
          <w:tcPr>
            <w:tcW w:w="1120" w:type="dxa"/>
            <w:vAlign w:val="bottom"/>
          </w:tcPr>
          <w:p>
            <w:pPr>
              <w:jc w:val="right"/>
              <w:ind w:right="176"/>
              <w:spacing w:after="0"/>
              <w:rPr>
                <w:sz w:val="20"/>
                <w:szCs w:val="20"/>
                <w:color w:val="auto"/>
              </w:rPr>
            </w:pPr>
            <w:r>
              <w:rPr>
                <w:rFonts w:ascii="Arial" w:cs="Arial" w:eastAsia="Arial" w:hAnsi="Arial"/>
                <w:sz w:val="13"/>
                <w:szCs w:val="13"/>
                <w:color w:val="auto"/>
              </w:rPr>
              <w:t>(27,363)</w:t>
            </w:r>
          </w:p>
        </w:tc>
        <w:tc>
          <w:tcPr>
            <w:tcW w:w="1120" w:type="dxa"/>
            <w:vAlign w:val="bottom"/>
          </w:tcPr>
          <w:p>
            <w:pPr>
              <w:jc w:val="right"/>
              <w:ind w:right="176"/>
              <w:spacing w:after="0"/>
              <w:rPr>
                <w:sz w:val="20"/>
                <w:szCs w:val="20"/>
                <w:color w:val="auto"/>
              </w:rPr>
            </w:pPr>
            <w:r>
              <w:rPr>
                <w:rFonts w:ascii="Arial" w:cs="Arial" w:eastAsia="Arial" w:hAnsi="Arial"/>
                <w:sz w:val="13"/>
                <w:szCs w:val="13"/>
                <w:color w:val="auto"/>
              </w:rPr>
              <w:t>(1,937)</w:t>
            </w:r>
          </w:p>
        </w:tc>
        <w:tc>
          <w:tcPr>
            <w:tcW w:w="1220" w:type="dxa"/>
            <w:vAlign w:val="bottom"/>
          </w:tcPr>
          <w:p>
            <w:pPr>
              <w:jc w:val="right"/>
              <w:ind w:right="256"/>
              <w:spacing w:after="0"/>
              <w:rPr>
                <w:sz w:val="20"/>
                <w:szCs w:val="20"/>
                <w:color w:val="auto"/>
              </w:rPr>
            </w:pPr>
            <w:r>
              <w:rPr>
                <w:rFonts w:ascii="Arial" w:cs="Arial" w:eastAsia="Arial" w:hAnsi="Arial"/>
                <w:sz w:val="13"/>
                <w:szCs w:val="13"/>
                <w:color w:val="auto"/>
              </w:rPr>
              <w:t>(65)</w:t>
            </w:r>
          </w:p>
        </w:tc>
        <w:tc>
          <w:tcPr>
            <w:tcW w:w="1120" w:type="dxa"/>
            <w:vAlign w:val="bottom"/>
          </w:tcPr>
          <w:p>
            <w:pPr>
              <w:jc w:val="right"/>
              <w:ind w:right="256"/>
              <w:spacing w:after="0"/>
              <w:rPr>
                <w:sz w:val="20"/>
                <w:szCs w:val="20"/>
                <w:color w:val="auto"/>
              </w:rPr>
            </w:pPr>
            <w:r>
              <w:rPr>
                <w:rFonts w:ascii="Arial" w:cs="Arial" w:eastAsia="Arial" w:hAnsi="Arial"/>
                <w:sz w:val="13"/>
                <w:szCs w:val="13"/>
                <w:color w:val="auto"/>
              </w:rPr>
              <w:t>(18)</w:t>
            </w:r>
          </w:p>
        </w:tc>
        <w:tc>
          <w:tcPr>
            <w:tcW w:w="840" w:type="dxa"/>
            <w:vAlign w:val="bottom"/>
          </w:tcPr>
          <w:p>
            <w:pPr>
              <w:jc w:val="right"/>
              <w:spacing w:after="0"/>
              <w:rPr>
                <w:sz w:val="20"/>
                <w:szCs w:val="20"/>
                <w:color w:val="auto"/>
              </w:rPr>
            </w:pPr>
            <w:r>
              <w:rPr>
                <w:rFonts w:ascii="Arial" w:cs="Arial" w:eastAsia="Arial" w:hAnsi="Arial"/>
                <w:sz w:val="13"/>
                <w:szCs w:val="13"/>
                <w:color w:val="auto"/>
              </w:rPr>
              <w:t>(31,150)</w:t>
            </w:r>
          </w:p>
        </w:tc>
        <w:tc>
          <w:tcPr>
            <w:tcW w:w="0" w:type="dxa"/>
            <w:vAlign w:val="bottom"/>
          </w:tcPr>
          <w:p>
            <w:pPr>
              <w:spacing w:after="0"/>
              <w:rPr>
                <w:sz w:val="1"/>
                <w:szCs w:val="1"/>
                <w:color w:val="auto"/>
              </w:rPr>
            </w:pPr>
          </w:p>
        </w:tc>
      </w:tr>
      <w:tr>
        <w:trPr>
          <w:trHeight w:val="170"/>
        </w:trPr>
        <w:tc>
          <w:tcPr>
            <w:tcW w:w="2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Foreign exchange movement</w:t>
            </w:r>
          </w:p>
        </w:tc>
        <w:tc>
          <w:tcPr>
            <w:tcW w:w="130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2,082</w:t>
            </w:r>
          </w:p>
        </w:tc>
        <w:tc>
          <w:tcPr>
            <w:tcW w:w="124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rPr>
              <w:t>987</w:t>
            </w:r>
          </w:p>
        </w:tc>
        <w:tc>
          <w:tcPr>
            <w:tcW w:w="112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rPr>
              <w:t>1,380</w:t>
            </w:r>
          </w:p>
        </w:tc>
        <w:tc>
          <w:tcPr>
            <w:tcW w:w="112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rPr>
              <w:t>1,574</w:t>
            </w:r>
          </w:p>
        </w:tc>
        <w:tc>
          <w:tcPr>
            <w:tcW w:w="122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rPr>
              <w:t>420</w:t>
            </w:r>
          </w:p>
        </w:tc>
        <w:tc>
          <w:tcPr>
            <w:tcW w:w="112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color w:val="auto"/>
              </w:rPr>
              <w:t>2</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6,445</w:t>
            </w:r>
          </w:p>
        </w:tc>
        <w:tc>
          <w:tcPr>
            <w:tcW w:w="0" w:type="dxa"/>
            <w:vAlign w:val="bottom"/>
          </w:tcPr>
          <w:p>
            <w:pPr>
              <w:spacing w:after="0"/>
              <w:rPr>
                <w:sz w:val="1"/>
                <w:szCs w:val="1"/>
                <w:color w:val="auto"/>
              </w:rPr>
            </w:pPr>
          </w:p>
        </w:tc>
      </w:tr>
      <w:tr>
        <w:trPr>
          <w:trHeight w:val="162"/>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At 31 December 2020</w:t>
            </w:r>
          </w:p>
        </w:tc>
        <w:tc>
          <w:tcPr>
            <w:tcW w:w="13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w:t>
            </w:r>
          </w:p>
        </w:tc>
        <w:tc>
          <w:tcPr>
            <w:tcW w:w="9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24,457</w:t>
            </w:r>
          </w:p>
        </w:tc>
        <w:tc>
          <w:tcPr>
            <w:tcW w:w="124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29,373</w:t>
            </w:r>
          </w:p>
        </w:tc>
        <w:tc>
          <w:tcPr>
            <w:tcW w:w="112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94,575</w:t>
            </w:r>
          </w:p>
        </w:tc>
        <w:tc>
          <w:tcPr>
            <w:tcW w:w="112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62,233</w:t>
            </w:r>
          </w:p>
        </w:tc>
        <w:tc>
          <w:tcPr>
            <w:tcW w:w="122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22,901</w:t>
            </w:r>
          </w:p>
        </w:tc>
        <w:tc>
          <w:tcPr>
            <w:tcW w:w="112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5</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233,544</w:t>
            </w:r>
          </w:p>
        </w:tc>
        <w:tc>
          <w:tcPr>
            <w:tcW w:w="0" w:type="dxa"/>
            <w:vAlign w:val="bottom"/>
          </w:tcPr>
          <w:p>
            <w:pPr>
              <w:spacing w:after="0"/>
              <w:rPr>
                <w:sz w:val="1"/>
                <w:szCs w:val="1"/>
                <w:color w:val="auto"/>
              </w:rPr>
            </w:pPr>
          </w:p>
        </w:tc>
      </w:tr>
      <w:tr>
        <w:trPr>
          <w:trHeight w:val="150"/>
        </w:trPr>
        <w:tc>
          <w:tcPr>
            <w:tcW w:w="23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320" w:type="dxa"/>
            <w:vAlign w:val="bottom"/>
          </w:tcPr>
          <w:p>
            <w:pPr>
              <w:ind w:left="20"/>
              <w:spacing w:after="0"/>
              <w:rPr>
                <w:sz w:val="20"/>
                <w:szCs w:val="20"/>
                <w:color w:val="auto"/>
              </w:rPr>
            </w:pPr>
            <w:r>
              <w:rPr>
                <w:rFonts w:ascii="Arial" w:cs="Arial" w:eastAsia="Arial" w:hAnsi="Arial"/>
                <w:sz w:val="13"/>
                <w:szCs w:val="13"/>
                <w:b w:val="1"/>
                <w:bCs w:val="1"/>
                <w:color w:val="auto"/>
              </w:rPr>
              <w:t>Net book value</w:t>
            </w:r>
          </w:p>
        </w:tc>
        <w:tc>
          <w:tcPr>
            <w:tcW w:w="1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At 31 December 2020</w:t>
            </w:r>
          </w:p>
        </w:tc>
        <w:tc>
          <w:tcPr>
            <w:tcW w:w="130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4,574</w:t>
            </w:r>
          </w:p>
        </w:tc>
        <w:tc>
          <w:tcPr>
            <w:tcW w:w="9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49,523</w:t>
            </w:r>
          </w:p>
        </w:tc>
        <w:tc>
          <w:tcPr>
            <w:tcW w:w="124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7,488</w:t>
            </w:r>
          </w:p>
        </w:tc>
        <w:tc>
          <w:tcPr>
            <w:tcW w:w="112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19,433</w:t>
            </w:r>
          </w:p>
        </w:tc>
        <w:tc>
          <w:tcPr>
            <w:tcW w:w="112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19,613</w:t>
            </w:r>
          </w:p>
        </w:tc>
        <w:tc>
          <w:tcPr>
            <w:tcW w:w="122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9,152</w:t>
            </w:r>
          </w:p>
        </w:tc>
        <w:tc>
          <w:tcPr>
            <w:tcW w:w="112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47</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109,830</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At 31 December 2019</w:t>
            </w:r>
          </w:p>
        </w:tc>
        <w:tc>
          <w:tcPr>
            <w:tcW w:w="130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rPr>
              <w:t>4,574</w:t>
            </w:r>
          </w:p>
        </w:tc>
        <w:tc>
          <w:tcPr>
            <w:tcW w:w="9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48,384</w:t>
            </w:r>
          </w:p>
        </w:tc>
        <w:tc>
          <w:tcPr>
            <w:tcW w:w="124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rPr>
              <w:t>7,695</w:t>
            </w:r>
          </w:p>
        </w:tc>
        <w:tc>
          <w:tcPr>
            <w:tcW w:w="112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rPr>
              <w:t>16,202</w:t>
            </w:r>
          </w:p>
        </w:tc>
        <w:tc>
          <w:tcPr>
            <w:tcW w:w="112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rPr>
              <w:t>19,167</w:t>
            </w:r>
          </w:p>
        </w:tc>
        <w:tc>
          <w:tcPr>
            <w:tcW w:w="122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rPr>
              <w:t>8,140</w:t>
            </w:r>
          </w:p>
        </w:tc>
        <w:tc>
          <w:tcPr>
            <w:tcW w:w="112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color w:val="auto"/>
              </w:rPr>
              <w:t>95</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104,257</w:t>
            </w:r>
          </w:p>
        </w:tc>
        <w:tc>
          <w:tcPr>
            <w:tcW w:w="0" w:type="dxa"/>
            <w:vAlign w:val="bottom"/>
          </w:tcPr>
          <w:p>
            <w:pPr>
              <w:spacing w:after="0"/>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Depreciation expense of $18.4 million has been charged to “other operating expenses” in the Consolidated Statement of Profit and Loss.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85</w:t>
      </w:r>
    </w:p>
    <w:p>
      <w:pPr>
        <w:sectPr>
          <w:pgSz w:w="11900" w:h="16838" w:orient="portrait"/>
          <w:cols w:equalWidth="0" w:num="1">
            <w:col w:w="11260"/>
          </w:cols>
          <w:pgMar w:left="300" w:top="698"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190" w:lineRule="exact"/>
        <w:rPr>
          <w:sz w:val="20"/>
          <w:szCs w:val="20"/>
          <w:color w:val="auto"/>
        </w:rPr>
      </w:pPr>
    </w:p>
    <w:p>
      <w:pPr>
        <w:ind w:left="320" w:hanging="315"/>
        <w:spacing w:after="0"/>
        <w:tabs>
          <w:tab w:leader="none" w:pos="320" w:val="left"/>
        </w:tabs>
        <w:numPr>
          <w:ilvl w:val="0"/>
          <w:numId w:val="89"/>
        </w:numPr>
        <w:rPr>
          <w:rFonts w:ascii="Arial" w:cs="Arial" w:eastAsia="Arial" w:hAnsi="Arial"/>
          <w:sz w:val="13"/>
          <w:szCs w:val="13"/>
          <w:b w:val="1"/>
          <w:bCs w:val="1"/>
          <w:color w:val="auto"/>
        </w:rPr>
      </w:pPr>
      <w:r>
        <w:rPr>
          <w:rFonts w:ascii="Arial" w:cs="Arial" w:eastAsia="Arial" w:hAnsi="Arial"/>
          <w:sz w:val="13"/>
          <w:szCs w:val="13"/>
          <w:b w:val="1"/>
          <w:bCs w:val="1"/>
          <w:color w:val="auto"/>
        </w:rPr>
        <w:t>Intangible assets – goodwill and other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Trade</w:t>
            </w:r>
          </w:p>
        </w:tc>
        <w:tc>
          <w:tcPr>
            <w:tcW w:w="9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49"/>
        </w:trPr>
        <w:tc>
          <w:tcPr>
            <w:tcW w:w="202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Computer</w:t>
            </w:r>
          </w:p>
        </w:tc>
        <w:tc>
          <w:tcPr>
            <w:tcW w:w="102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Customer</w:t>
            </w:r>
          </w:p>
        </w:tc>
        <w:tc>
          <w:tcPr>
            <w:tcW w:w="9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60" w:type="dxa"/>
            <w:vAlign w:val="bottom"/>
            <w:gridSpan w:val="2"/>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Technology Name and Non-</w:t>
            </w:r>
          </w:p>
        </w:tc>
        <w:tc>
          <w:tcPr>
            <w:tcW w:w="980" w:type="dxa"/>
            <w:vAlign w:val="bottom"/>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Patient</w:t>
            </w:r>
          </w:p>
        </w:tc>
        <w:tc>
          <w:tcPr>
            <w:tcW w:w="9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93"/>
        </w:trPr>
        <w:tc>
          <w:tcPr>
            <w:tcW w:w="20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Software</w:t>
            </w:r>
          </w:p>
        </w:tc>
        <w:tc>
          <w:tcPr>
            <w:tcW w:w="10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Relationships</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Volunteer List</w:t>
            </w:r>
          </w:p>
        </w:tc>
        <w:tc>
          <w:tcPr>
            <w:tcW w:w="10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Order Backlog</w:t>
            </w:r>
          </w:p>
        </w:tc>
        <w:tc>
          <w:tcPr>
            <w:tcW w:w="10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Asset</w:t>
            </w:r>
          </w:p>
        </w:tc>
        <w:tc>
          <w:tcPr>
            <w:tcW w:w="102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Competes</w:t>
            </w:r>
          </w:p>
        </w:tc>
        <w:tc>
          <w:tcPr>
            <w:tcW w:w="9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Database</w:t>
            </w:r>
          </w:p>
        </w:tc>
        <w:tc>
          <w:tcPr>
            <w:tcW w:w="9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Goodwill</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Total</w:t>
            </w:r>
          </w:p>
        </w:tc>
      </w:tr>
      <w:tr>
        <w:trPr>
          <w:trHeight w:val="192"/>
        </w:trPr>
        <w:tc>
          <w:tcPr>
            <w:tcW w:w="2020" w:type="dxa"/>
            <w:vAlign w:val="bottom"/>
          </w:tcPr>
          <w:p>
            <w:pPr>
              <w:spacing w:after="0"/>
              <w:rPr>
                <w:sz w:val="16"/>
                <w:szCs w:val="16"/>
                <w:color w:val="auto"/>
              </w:rPr>
            </w:pPr>
          </w:p>
        </w:tc>
        <w:tc>
          <w:tcPr>
            <w:tcW w:w="1080" w:type="dxa"/>
            <w:vAlign w:val="bottom"/>
          </w:tcPr>
          <w:p>
            <w:pPr>
              <w:jc w:val="right"/>
              <w:ind w:right="56"/>
              <w:spacing w:after="0"/>
              <w:rPr>
                <w:sz w:val="20"/>
                <w:szCs w:val="20"/>
                <w:color w:val="auto"/>
              </w:rPr>
            </w:pPr>
            <w:r>
              <w:rPr>
                <w:rFonts w:ascii="Arial" w:cs="Arial" w:eastAsia="Arial" w:hAnsi="Arial"/>
                <w:sz w:val="13"/>
                <w:szCs w:val="13"/>
                <w:b w:val="1"/>
                <w:bCs w:val="1"/>
                <w:color w:val="auto"/>
              </w:rPr>
              <w:t>$’000</w:t>
            </w:r>
          </w:p>
        </w:tc>
        <w:tc>
          <w:tcPr>
            <w:tcW w:w="1020" w:type="dxa"/>
            <w:vAlign w:val="bottom"/>
          </w:tcPr>
          <w:p>
            <w:pPr>
              <w:jc w:val="right"/>
              <w:ind w:right="16"/>
              <w:spacing w:after="0"/>
              <w:rPr>
                <w:sz w:val="20"/>
                <w:szCs w:val="20"/>
                <w:color w:val="auto"/>
              </w:rPr>
            </w:pPr>
            <w:r>
              <w:rPr>
                <w:rFonts w:ascii="Arial" w:cs="Arial" w:eastAsia="Arial" w:hAnsi="Arial"/>
                <w:sz w:val="13"/>
                <w:szCs w:val="13"/>
                <w:b w:val="1"/>
                <w:bCs w:val="1"/>
                <w:color w:val="auto"/>
              </w:rPr>
              <w:t>$’000</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1080" w:type="dxa"/>
            <w:vAlign w:val="bottom"/>
          </w:tcPr>
          <w:p>
            <w:pPr>
              <w:jc w:val="right"/>
              <w:ind w:right="96"/>
              <w:spacing w:after="0"/>
              <w:rPr>
                <w:sz w:val="20"/>
                <w:szCs w:val="20"/>
                <w:color w:val="auto"/>
              </w:rPr>
            </w:pPr>
            <w:r>
              <w:rPr>
                <w:rFonts w:ascii="Arial" w:cs="Arial" w:eastAsia="Arial" w:hAnsi="Arial"/>
                <w:sz w:val="13"/>
                <w:szCs w:val="13"/>
                <w:b w:val="1"/>
                <w:bCs w:val="1"/>
                <w:color w:val="auto"/>
              </w:rPr>
              <w:t>$’000</w:t>
            </w:r>
          </w:p>
        </w:tc>
        <w:tc>
          <w:tcPr>
            <w:tcW w:w="1040" w:type="dxa"/>
            <w:vAlign w:val="bottom"/>
          </w:tcPr>
          <w:p>
            <w:pPr>
              <w:jc w:val="right"/>
              <w:ind w:right="136"/>
              <w:spacing w:after="0"/>
              <w:rPr>
                <w:sz w:val="20"/>
                <w:szCs w:val="20"/>
                <w:color w:val="auto"/>
              </w:rPr>
            </w:pPr>
            <w:r>
              <w:rPr>
                <w:rFonts w:ascii="Arial" w:cs="Arial" w:eastAsia="Arial" w:hAnsi="Arial"/>
                <w:sz w:val="13"/>
                <w:szCs w:val="13"/>
                <w:b w:val="1"/>
                <w:bCs w:val="1"/>
                <w:color w:val="auto"/>
              </w:rPr>
              <w:t>$’000</w:t>
            </w:r>
          </w:p>
        </w:tc>
        <w:tc>
          <w:tcPr>
            <w:tcW w:w="1020" w:type="dxa"/>
            <w:vAlign w:val="bottom"/>
          </w:tcPr>
          <w:p>
            <w:pPr>
              <w:jc w:val="right"/>
              <w:ind w:right="156"/>
              <w:spacing w:after="0"/>
              <w:rPr>
                <w:sz w:val="20"/>
                <w:szCs w:val="20"/>
                <w:color w:val="auto"/>
              </w:rPr>
            </w:pPr>
            <w:r>
              <w:rPr>
                <w:rFonts w:ascii="Arial" w:cs="Arial" w:eastAsia="Arial" w:hAnsi="Arial"/>
                <w:sz w:val="13"/>
                <w:szCs w:val="13"/>
                <w:b w:val="1"/>
                <w:bCs w:val="1"/>
                <w:color w:val="auto"/>
              </w:rPr>
              <w:t>$’000</w:t>
            </w:r>
          </w:p>
        </w:tc>
        <w:tc>
          <w:tcPr>
            <w:tcW w:w="980" w:type="dxa"/>
            <w:vAlign w:val="bottom"/>
          </w:tcPr>
          <w:p>
            <w:pPr>
              <w:jc w:val="right"/>
              <w:ind w:right="136"/>
              <w:spacing w:after="0"/>
              <w:rPr>
                <w:sz w:val="20"/>
                <w:szCs w:val="20"/>
                <w:color w:val="auto"/>
              </w:rPr>
            </w:pPr>
            <w:r>
              <w:rPr>
                <w:rFonts w:ascii="Arial" w:cs="Arial" w:eastAsia="Arial" w:hAnsi="Arial"/>
                <w:sz w:val="13"/>
                <w:szCs w:val="13"/>
                <w:b w:val="1"/>
                <w:bCs w:val="1"/>
                <w:color w:val="auto"/>
              </w:rPr>
              <w:t>$’000</w:t>
            </w:r>
          </w:p>
        </w:tc>
        <w:tc>
          <w:tcPr>
            <w:tcW w:w="960" w:type="dxa"/>
            <w:vAlign w:val="bottom"/>
          </w:tcPr>
          <w:p>
            <w:pPr>
              <w:jc w:val="right"/>
              <w:ind w:right="96"/>
              <w:spacing w:after="0"/>
              <w:rPr>
                <w:sz w:val="20"/>
                <w:szCs w:val="20"/>
                <w:color w:val="auto"/>
              </w:rPr>
            </w:pPr>
            <w:r>
              <w:rPr>
                <w:rFonts w:ascii="Arial" w:cs="Arial" w:eastAsia="Arial" w:hAnsi="Arial"/>
                <w:sz w:val="13"/>
                <w:szCs w:val="13"/>
                <w:b w:val="1"/>
                <w:bCs w:val="1"/>
                <w:color w:val="auto"/>
              </w:rPr>
              <w:t>$’000</w:t>
            </w: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$’000</w:t>
            </w:r>
          </w:p>
        </w:tc>
      </w:tr>
      <w:tr>
        <w:trPr>
          <w:trHeight w:val="179"/>
        </w:trPr>
        <w:tc>
          <w:tcPr>
            <w:tcW w:w="20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Cost</w:t>
            </w:r>
          </w:p>
        </w:tc>
        <w:tc>
          <w:tcPr>
            <w:tcW w:w="10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69"/>
        </w:trPr>
        <w:tc>
          <w:tcPr>
            <w:tcW w:w="2020" w:type="dxa"/>
            <w:vAlign w:val="bottom"/>
          </w:tcPr>
          <w:p>
            <w:pPr>
              <w:ind w:left="20"/>
              <w:spacing w:after="0"/>
              <w:rPr>
                <w:sz w:val="20"/>
                <w:szCs w:val="20"/>
                <w:color w:val="auto"/>
              </w:rPr>
            </w:pPr>
            <w:r>
              <w:rPr>
                <w:rFonts w:ascii="Arial" w:cs="Arial" w:eastAsia="Arial" w:hAnsi="Arial"/>
                <w:sz w:val="13"/>
                <w:szCs w:val="13"/>
                <w:color w:val="auto"/>
              </w:rPr>
              <w:t>At 1 January 2021</w:t>
            </w:r>
          </w:p>
        </w:tc>
        <w:tc>
          <w:tcPr>
            <w:tcW w:w="1080" w:type="dxa"/>
            <w:vAlign w:val="bottom"/>
          </w:tcPr>
          <w:p>
            <w:pPr>
              <w:jc w:val="right"/>
              <w:ind w:right="96"/>
              <w:spacing w:after="0"/>
              <w:rPr>
                <w:sz w:val="20"/>
                <w:szCs w:val="20"/>
                <w:color w:val="auto"/>
              </w:rPr>
            </w:pPr>
            <w:r>
              <w:rPr>
                <w:rFonts w:ascii="Arial" w:cs="Arial" w:eastAsia="Arial" w:hAnsi="Arial"/>
                <w:sz w:val="13"/>
                <w:szCs w:val="13"/>
                <w:color w:val="auto"/>
              </w:rPr>
              <w:t>296,762</w:t>
            </w:r>
          </w:p>
        </w:tc>
        <w:tc>
          <w:tcPr>
            <w:tcW w:w="1020" w:type="dxa"/>
            <w:vAlign w:val="bottom"/>
          </w:tcPr>
          <w:p>
            <w:pPr>
              <w:jc w:val="right"/>
              <w:ind w:right="56"/>
              <w:spacing w:after="0"/>
              <w:rPr>
                <w:sz w:val="20"/>
                <w:szCs w:val="20"/>
                <w:color w:val="auto"/>
              </w:rPr>
            </w:pPr>
            <w:r>
              <w:rPr>
                <w:rFonts w:ascii="Arial" w:cs="Arial" w:eastAsia="Arial" w:hAnsi="Arial"/>
                <w:sz w:val="13"/>
                <w:szCs w:val="13"/>
                <w:color w:val="auto"/>
              </w:rPr>
              <w:t>149,641</w:t>
            </w: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1,325</w:t>
            </w:r>
          </w:p>
        </w:tc>
        <w:tc>
          <w:tcPr>
            <w:tcW w:w="1080" w:type="dxa"/>
            <w:vAlign w:val="bottom"/>
          </w:tcPr>
          <w:p>
            <w:pPr>
              <w:jc w:val="right"/>
              <w:ind w:right="136"/>
              <w:spacing w:after="0"/>
              <w:rPr>
                <w:sz w:val="20"/>
                <w:szCs w:val="20"/>
                <w:color w:val="auto"/>
              </w:rPr>
            </w:pPr>
            <w:r>
              <w:rPr>
                <w:rFonts w:ascii="Arial" w:cs="Arial" w:eastAsia="Arial" w:hAnsi="Arial"/>
                <w:sz w:val="13"/>
                <w:szCs w:val="13"/>
                <w:color w:val="auto"/>
              </w:rPr>
              <w:t>39,868</w:t>
            </w:r>
          </w:p>
        </w:tc>
        <w:tc>
          <w:tcPr>
            <w:tcW w:w="1040" w:type="dxa"/>
            <w:vAlign w:val="bottom"/>
          </w:tcPr>
          <w:p>
            <w:pPr>
              <w:jc w:val="right"/>
              <w:ind w:right="176"/>
              <w:spacing w:after="0"/>
              <w:rPr>
                <w:sz w:val="20"/>
                <w:szCs w:val="20"/>
                <w:color w:val="auto"/>
              </w:rPr>
            </w:pPr>
            <w:r>
              <w:rPr>
                <w:rFonts w:ascii="Arial" w:cs="Arial" w:eastAsia="Arial" w:hAnsi="Arial"/>
                <w:sz w:val="13"/>
                <w:szCs w:val="13"/>
                <w:color w:val="auto"/>
              </w:rPr>
              <w:t>9,571</w:t>
            </w:r>
          </w:p>
        </w:tc>
        <w:tc>
          <w:tcPr>
            <w:tcW w:w="1020" w:type="dxa"/>
            <w:vAlign w:val="bottom"/>
          </w:tcPr>
          <w:p>
            <w:pPr>
              <w:jc w:val="right"/>
              <w:ind w:right="196"/>
              <w:spacing w:after="0"/>
              <w:rPr>
                <w:sz w:val="20"/>
                <w:szCs w:val="20"/>
                <w:color w:val="auto"/>
              </w:rPr>
            </w:pPr>
            <w:r>
              <w:rPr>
                <w:rFonts w:ascii="Arial" w:cs="Arial" w:eastAsia="Arial" w:hAnsi="Arial"/>
                <w:sz w:val="13"/>
                <w:szCs w:val="13"/>
                <w:color w:val="auto"/>
              </w:rPr>
              <w:t>3,065</w:t>
            </w:r>
          </w:p>
        </w:tc>
        <w:tc>
          <w:tcPr>
            <w:tcW w:w="980" w:type="dxa"/>
            <w:vAlign w:val="bottom"/>
          </w:tcPr>
          <w:p>
            <w:pPr>
              <w:jc w:val="right"/>
              <w:ind w:right="176"/>
              <w:spacing w:after="0"/>
              <w:rPr>
                <w:sz w:val="20"/>
                <w:szCs w:val="20"/>
                <w:color w:val="auto"/>
              </w:rPr>
            </w:pPr>
            <w:r>
              <w:rPr>
                <w:rFonts w:ascii="Arial" w:cs="Arial" w:eastAsia="Arial" w:hAnsi="Arial"/>
                <w:sz w:val="13"/>
                <w:szCs w:val="13"/>
                <w:color w:val="auto"/>
              </w:rPr>
              <w:t>2,694</w:t>
            </w:r>
          </w:p>
        </w:tc>
        <w:tc>
          <w:tcPr>
            <w:tcW w:w="960" w:type="dxa"/>
            <w:vAlign w:val="bottom"/>
          </w:tcPr>
          <w:p>
            <w:pPr>
              <w:jc w:val="right"/>
              <w:ind w:right="136"/>
              <w:spacing w:after="0"/>
              <w:rPr>
                <w:sz w:val="20"/>
                <w:szCs w:val="20"/>
                <w:color w:val="auto"/>
              </w:rPr>
            </w:pPr>
            <w:r>
              <w:rPr>
                <w:rFonts w:ascii="Arial" w:cs="Arial" w:eastAsia="Arial" w:hAnsi="Arial"/>
                <w:sz w:val="13"/>
                <w:szCs w:val="13"/>
                <w:color w:val="auto"/>
              </w:rPr>
              <w:t>950,267</w:t>
            </w:r>
          </w:p>
        </w:tc>
        <w:tc>
          <w:tcPr>
            <w:tcW w:w="840" w:type="dxa"/>
            <w:vAlign w:val="bottom"/>
          </w:tcPr>
          <w:p>
            <w:pPr>
              <w:jc w:val="right"/>
              <w:spacing w:after="0"/>
              <w:rPr>
                <w:sz w:val="20"/>
                <w:szCs w:val="20"/>
                <w:color w:val="auto"/>
              </w:rPr>
            </w:pPr>
            <w:r>
              <w:rPr>
                <w:rFonts w:ascii="Arial" w:cs="Arial" w:eastAsia="Arial" w:hAnsi="Arial"/>
                <w:sz w:val="13"/>
                <w:szCs w:val="13"/>
                <w:color w:val="auto"/>
              </w:rPr>
              <w:t>1,453,193</w:t>
            </w:r>
          </w:p>
        </w:tc>
      </w:tr>
      <w:tr>
        <w:trPr>
          <w:trHeight w:val="171"/>
        </w:trPr>
        <w:tc>
          <w:tcPr>
            <w:tcW w:w="2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Additions</w:t>
            </w:r>
          </w:p>
        </w:tc>
        <w:tc>
          <w:tcPr>
            <w:tcW w:w="10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64,624</w:t>
            </w:r>
          </w:p>
        </w:tc>
        <w:tc>
          <w:tcPr>
            <w:tcW w:w="10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64,624</w:t>
            </w:r>
          </w:p>
        </w:tc>
      </w:tr>
      <w:tr>
        <w:trPr>
          <w:trHeight w:val="169"/>
        </w:trPr>
        <w:tc>
          <w:tcPr>
            <w:tcW w:w="2020" w:type="dxa"/>
            <w:vAlign w:val="bottom"/>
          </w:tcPr>
          <w:p>
            <w:pPr>
              <w:ind w:left="20"/>
              <w:spacing w:after="0"/>
              <w:rPr>
                <w:sz w:val="20"/>
                <w:szCs w:val="20"/>
                <w:color w:val="auto"/>
              </w:rPr>
            </w:pPr>
            <w:r>
              <w:rPr>
                <w:rFonts w:ascii="Arial" w:cs="Arial" w:eastAsia="Arial" w:hAnsi="Arial"/>
                <w:sz w:val="13"/>
                <w:szCs w:val="13"/>
                <w:color w:val="auto"/>
              </w:rPr>
              <w:t>Disposal</w:t>
            </w:r>
          </w:p>
        </w:tc>
        <w:tc>
          <w:tcPr>
            <w:tcW w:w="1080" w:type="dxa"/>
            <w:vAlign w:val="bottom"/>
          </w:tcPr>
          <w:p>
            <w:pPr>
              <w:jc w:val="right"/>
              <w:ind w:right="56"/>
              <w:spacing w:after="0"/>
              <w:rPr>
                <w:sz w:val="20"/>
                <w:szCs w:val="20"/>
                <w:color w:val="auto"/>
              </w:rPr>
            </w:pPr>
            <w:r>
              <w:rPr>
                <w:rFonts w:ascii="Arial" w:cs="Arial" w:eastAsia="Arial" w:hAnsi="Arial"/>
                <w:sz w:val="13"/>
                <w:szCs w:val="13"/>
                <w:color w:val="auto"/>
              </w:rPr>
              <w:t>(53,155)</w:t>
            </w:r>
          </w:p>
        </w:tc>
        <w:tc>
          <w:tcPr>
            <w:tcW w:w="10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(53,155)</w:t>
            </w:r>
          </w:p>
        </w:tc>
      </w:tr>
      <w:tr>
        <w:trPr>
          <w:trHeight w:val="171"/>
        </w:trPr>
        <w:tc>
          <w:tcPr>
            <w:tcW w:w="2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Acquisitions</w:t>
            </w:r>
          </w:p>
        </w:tc>
        <w:tc>
          <w:tcPr>
            <w:tcW w:w="10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55,119</w:t>
            </w:r>
          </w:p>
        </w:tc>
        <w:tc>
          <w:tcPr>
            <w:tcW w:w="10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3,915,000</w:t>
            </w: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490,000</w:t>
            </w:r>
          </w:p>
        </w:tc>
        <w:tc>
          <w:tcPr>
            <w:tcW w:w="104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111,000</w:t>
            </w:r>
          </w:p>
        </w:tc>
        <w:tc>
          <w:tcPr>
            <w:tcW w:w="102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202,000</w:t>
            </w:r>
          </w:p>
        </w:tc>
        <w:tc>
          <w:tcPr>
            <w:tcW w:w="98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168,000</w:t>
            </w:r>
          </w:p>
        </w:tc>
        <w:tc>
          <w:tcPr>
            <w:tcW w:w="96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8,159,582</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13,100,701</w:t>
            </w:r>
          </w:p>
        </w:tc>
      </w:tr>
      <w:tr>
        <w:trPr>
          <w:trHeight w:val="169"/>
        </w:trPr>
        <w:tc>
          <w:tcPr>
            <w:tcW w:w="20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Foreign exchange movement</w:t>
            </w:r>
          </w:p>
        </w:tc>
        <w:tc>
          <w:tcPr>
            <w:tcW w:w="10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(1,469)</w:t>
            </w:r>
          </w:p>
        </w:tc>
        <w:tc>
          <w:tcPr>
            <w:tcW w:w="10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(2,612)</w:t>
            </w:r>
          </w:p>
        </w:tc>
        <w:tc>
          <w:tcPr>
            <w:tcW w:w="9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(1,247)</w:t>
            </w:r>
          </w:p>
        </w:tc>
        <w:tc>
          <w:tcPr>
            <w:tcW w:w="104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(666)</w:t>
            </w:r>
          </w:p>
        </w:tc>
        <w:tc>
          <w:tcPr>
            <w:tcW w:w="102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(78)</w:t>
            </w:r>
          </w:p>
        </w:tc>
        <w:tc>
          <w:tcPr>
            <w:tcW w:w="9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(27)</w:t>
            </w:r>
          </w:p>
        </w:tc>
        <w:tc>
          <w:tcPr>
            <w:tcW w:w="9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(19,788)</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(25,887)</w:t>
            </w:r>
          </w:p>
        </w:tc>
      </w:tr>
      <w:tr>
        <w:trPr>
          <w:trHeight w:val="193"/>
        </w:trPr>
        <w:tc>
          <w:tcPr>
            <w:tcW w:w="20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70"/>
        </w:trPr>
        <w:tc>
          <w:tcPr>
            <w:tcW w:w="20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At 31 December 2021</w:t>
            </w:r>
          </w:p>
        </w:tc>
        <w:tc>
          <w:tcPr>
            <w:tcW w:w="10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361,881</w:t>
            </w:r>
          </w:p>
        </w:tc>
        <w:tc>
          <w:tcPr>
            <w:tcW w:w="10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4,062,029</w:t>
            </w:r>
          </w:p>
        </w:tc>
        <w:tc>
          <w:tcPr>
            <w:tcW w:w="9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1,325</w:t>
            </w:r>
          </w:p>
        </w:tc>
        <w:tc>
          <w:tcPr>
            <w:tcW w:w="10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528,621</w:t>
            </w:r>
          </w:p>
        </w:tc>
        <w:tc>
          <w:tcPr>
            <w:tcW w:w="104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119,905</w:t>
            </w:r>
          </w:p>
        </w:tc>
        <w:tc>
          <w:tcPr>
            <w:tcW w:w="102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204,987</w:t>
            </w:r>
          </w:p>
        </w:tc>
        <w:tc>
          <w:tcPr>
            <w:tcW w:w="98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170,667</w:t>
            </w:r>
          </w:p>
        </w:tc>
        <w:tc>
          <w:tcPr>
            <w:tcW w:w="9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9,090,061</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14,539,476</w:t>
            </w:r>
          </w:p>
        </w:tc>
      </w:tr>
      <w:tr>
        <w:trPr>
          <w:trHeight w:val="192"/>
        </w:trPr>
        <w:tc>
          <w:tcPr>
            <w:tcW w:w="20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93"/>
        </w:trPr>
        <w:tc>
          <w:tcPr>
            <w:tcW w:w="2020" w:type="dxa"/>
            <w:vAlign w:val="bottom"/>
          </w:tcPr>
          <w:p>
            <w:pPr>
              <w:ind w:left="20"/>
              <w:spacing w:after="0"/>
              <w:rPr>
                <w:sz w:val="20"/>
                <w:szCs w:val="20"/>
                <w:color w:val="auto"/>
              </w:rPr>
            </w:pPr>
            <w:r>
              <w:rPr>
                <w:rFonts w:ascii="Arial" w:cs="Arial" w:eastAsia="Arial" w:hAnsi="Arial"/>
                <w:sz w:val="13"/>
                <w:szCs w:val="13"/>
                <w:b w:val="1"/>
                <w:bCs w:val="1"/>
                <w:color w:val="auto"/>
              </w:rPr>
              <w:t>Amortisation</w:t>
            </w:r>
          </w:p>
        </w:tc>
        <w:tc>
          <w:tcPr>
            <w:tcW w:w="10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79"/>
        </w:trPr>
        <w:tc>
          <w:tcPr>
            <w:tcW w:w="2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At 1 January 2021</w:t>
            </w:r>
          </w:p>
        </w:tc>
        <w:tc>
          <w:tcPr>
            <w:tcW w:w="10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232,249</w:t>
            </w:r>
          </w:p>
        </w:tc>
        <w:tc>
          <w:tcPr>
            <w:tcW w:w="10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95,775</w:t>
            </w: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1,325</w:t>
            </w:r>
          </w:p>
        </w:tc>
        <w:tc>
          <w:tcPr>
            <w:tcW w:w="10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29,359</w:t>
            </w:r>
          </w:p>
        </w:tc>
        <w:tc>
          <w:tcPr>
            <w:tcW w:w="104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9,571</w:t>
            </w:r>
          </w:p>
        </w:tc>
        <w:tc>
          <w:tcPr>
            <w:tcW w:w="102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3,065</w:t>
            </w:r>
          </w:p>
        </w:tc>
        <w:tc>
          <w:tcPr>
            <w:tcW w:w="98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610</w:t>
            </w:r>
          </w:p>
        </w:tc>
        <w:tc>
          <w:tcPr>
            <w:tcW w:w="96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371,954</w:t>
            </w:r>
          </w:p>
        </w:tc>
      </w:tr>
      <w:tr>
        <w:trPr>
          <w:trHeight w:val="169"/>
        </w:trPr>
        <w:tc>
          <w:tcPr>
            <w:tcW w:w="2020" w:type="dxa"/>
            <w:vAlign w:val="bottom"/>
          </w:tcPr>
          <w:p>
            <w:pPr>
              <w:ind w:left="20"/>
              <w:spacing w:after="0"/>
              <w:rPr>
                <w:sz w:val="20"/>
                <w:szCs w:val="20"/>
                <w:color w:val="auto"/>
              </w:rPr>
            </w:pPr>
            <w:r>
              <w:rPr>
                <w:rFonts w:ascii="Arial" w:cs="Arial" w:eastAsia="Arial" w:hAnsi="Arial"/>
                <w:sz w:val="13"/>
                <w:szCs w:val="13"/>
                <w:color w:val="auto"/>
              </w:rPr>
              <w:t>Amortised in the year</w:t>
            </w:r>
          </w:p>
        </w:tc>
        <w:tc>
          <w:tcPr>
            <w:tcW w:w="1080" w:type="dxa"/>
            <w:vAlign w:val="bottom"/>
          </w:tcPr>
          <w:p>
            <w:pPr>
              <w:jc w:val="right"/>
              <w:ind w:right="96"/>
              <w:spacing w:after="0"/>
              <w:rPr>
                <w:sz w:val="20"/>
                <w:szCs w:val="20"/>
                <w:color w:val="auto"/>
              </w:rPr>
            </w:pPr>
            <w:r>
              <w:rPr>
                <w:rFonts w:ascii="Arial" w:cs="Arial" w:eastAsia="Arial" w:hAnsi="Arial"/>
                <w:sz w:val="13"/>
                <w:szCs w:val="13"/>
                <w:color w:val="auto"/>
              </w:rPr>
              <w:t>41,831</w:t>
            </w:r>
          </w:p>
        </w:tc>
        <w:tc>
          <w:tcPr>
            <w:tcW w:w="1020" w:type="dxa"/>
            <w:vAlign w:val="bottom"/>
          </w:tcPr>
          <w:p>
            <w:pPr>
              <w:jc w:val="right"/>
              <w:ind w:right="56"/>
              <w:spacing w:after="0"/>
              <w:rPr>
                <w:sz w:val="20"/>
                <w:szCs w:val="20"/>
                <w:color w:val="auto"/>
              </w:rPr>
            </w:pPr>
            <w:r>
              <w:rPr>
                <w:rFonts w:ascii="Arial" w:cs="Arial" w:eastAsia="Arial" w:hAnsi="Arial"/>
                <w:sz w:val="13"/>
                <w:szCs w:val="13"/>
                <w:color w:val="auto"/>
              </w:rPr>
              <w:t>97,169</w:t>
            </w: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136"/>
              <w:spacing w:after="0"/>
              <w:rPr>
                <w:sz w:val="20"/>
                <w:szCs w:val="20"/>
                <w:color w:val="auto"/>
              </w:rPr>
            </w:pPr>
            <w:r>
              <w:rPr>
                <w:rFonts w:ascii="Arial" w:cs="Arial" w:eastAsia="Arial" w:hAnsi="Arial"/>
                <w:sz w:val="13"/>
                <w:szCs w:val="13"/>
                <w:color w:val="auto"/>
              </w:rPr>
              <w:t>85,178</w:t>
            </w:r>
          </w:p>
        </w:tc>
        <w:tc>
          <w:tcPr>
            <w:tcW w:w="1040" w:type="dxa"/>
            <w:vAlign w:val="bottom"/>
          </w:tcPr>
          <w:p>
            <w:pPr>
              <w:jc w:val="right"/>
              <w:ind w:right="176"/>
              <w:spacing w:after="0"/>
              <w:rPr>
                <w:sz w:val="20"/>
                <w:szCs w:val="20"/>
                <w:color w:val="auto"/>
              </w:rPr>
            </w:pPr>
            <w:r>
              <w:rPr>
                <w:rFonts w:ascii="Arial" w:cs="Arial" w:eastAsia="Arial" w:hAnsi="Arial"/>
                <w:sz w:val="13"/>
                <w:szCs w:val="13"/>
                <w:color w:val="auto"/>
              </w:rPr>
              <w:t>11,100</w:t>
            </w:r>
          </w:p>
        </w:tc>
        <w:tc>
          <w:tcPr>
            <w:tcW w:w="1020" w:type="dxa"/>
            <w:vAlign w:val="bottom"/>
          </w:tcPr>
          <w:p>
            <w:pPr>
              <w:jc w:val="right"/>
              <w:ind w:right="196"/>
              <w:spacing w:after="0"/>
              <w:rPr>
                <w:sz w:val="20"/>
                <w:szCs w:val="20"/>
                <w:color w:val="auto"/>
              </w:rPr>
            </w:pPr>
            <w:r>
              <w:rPr>
                <w:rFonts w:ascii="Arial" w:cs="Arial" w:eastAsia="Arial" w:hAnsi="Arial"/>
                <w:sz w:val="13"/>
                <w:szCs w:val="13"/>
                <w:color w:val="auto"/>
              </w:rPr>
              <w:t>33,667</w:t>
            </w:r>
          </w:p>
        </w:tc>
        <w:tc>
          <w:tcPr>
            <w:tcW w:w="980" w:type="dxa"/>
            <w:vAlign w:val="bottom"/>
          </w:tcPr>
          <w:p>
            <w:pPr>
              <w:jc w:val="right"/>
              <w:ind w:right="176"/>
              <w:spacing w:after="0"/>
              <w:rPr>
                <w:sz w:val="20"/>
                <w:szCs w:val="20"/>
                <w:color w:val="auto"/>
              </w:rPr>
            </w:pPr>
            <w:r>
              <w:rPr>
                <w:rFonts w:ascii="Arial" w:cs="Arial" w:eastAsia="Arial" w:hAnsi="Arial"/>
                <w:sz w:val="13"/>
                <w:szCs w:val="13"/>
                <w:color w:val="auto"/>
              </w:rPr>
              <w:t>12,388</w:t>
            </w:r>
          </w:p>
        </w:tc>
        <w:tc>
          <w:tcPr>
            <w:tcW w:w="96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281,333</w:t>
            </w:r>
          </w:p>
        </w:tc>
      </w:tr>
      <w:tr>
        <w:trPr>
          <w:trHeight w:val="171"/>
        </w:trPr>
        <w:tc>
          <w:tcPr>
            <w:tcW w:w="2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Disposal</w:t>
            </w:r>
          </w:p>
        </w:tc>
        <w:tc>
          <w:tcPr>
            <w:tcW w:w="10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(52,847)</w:t>
            </w:r>
          </w:p>
        </w:tc>
        <w:tc>
          <w:tcPr>
            <w:tcW w:w="10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(52,847)</w:t>
            </w:r>
          </w:p>
        </w:tc>
      </w:tr>
      <w:tr>
        <w:trPr>
          <w:trHeight w:val="169"/>
        </w:trPr>
        <w:tc>
          <w:tcPr>
            <w:tcW w:w="20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Foreign exchange movement</w:t>
            </w:r>
          </w:p>
        </w:tc>
        <w:tc>
          <w:tcPr>
            <w:tcW w:w="10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(884)</w:t>
            </w:r>
          </w:p>
        </w:tc>
        <w:tc>
          <w:tcPr>
            <w:tcW w:w="10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(1,177)</w:t>
            </w:r>
          </w:p>
        </w:tc>
        <w:tc>
          <w:tcPr>
            <w:tcW w:w="9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(577)</w:t>
            </w:r>
          </w:p>
        </w:tc>
        <w:tc>
          <w:tcPr>
            <w:tcW w:w="104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(667)</w:t>
            </w:r>
          </w:p>
        </w:tc>
        <w:tc>
          <w:tcPr>
            <w:tcW w:w="102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(78)</w:t>
            </w:r>
          </w:p>
        </w:tc>
        <w:tc>
          <w:tcPr>
            <w:tcW w:w="9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(11)</w:t>
            </w:r>
          </w:p>
        </w:tc>
        <w:tc>
          <w:tcPr>
            <w:tcW w:w="9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(3,394)</w:t>
            </w:r>
          </w:p>
        </w:tc>
      </w:tr>
      <w:tr>
        <w:trPr>
          <w:trHeight w:val="193"/>
        </w:trPr>
        <w:tc>
          <w:tcPr>
            <w:tcW w:w="20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70"/>
        </w:trPr>
        <w:tc>
          <w:tcPr>
            <w:tcW w:w="20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At 31 December 2021</w:t>
            </w:r>
          </w:p>
        </w:tc>
        <w:tc>
          <w:tcPr>
            <w:tcW w:w="10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220,349</w:t>
            </w:r>
          </w:p>
        </w:tc>
        <w:tc>
          <w:tcPr>
            <w:tcW w:w="10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191,767</w:t>
            </w:r>
          </w:p>
        </w:tc>
        <w:tc>
          <w:tcPr>
            <w:tcW w:w="9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1,325</w:t>
            </w:r>
          </w:p>
        </w:tc>
        <w:tc>
          <w:tcPr>
            <w:tcW w:w="10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113,960</w:t>
            </w:r>
          </w:p>
        </w:tc>
        <w:tc>
          <w:tcPr>
            <w:tcW w:w="104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20,004</w:t>
            </w:r>
          </w:p>
        </w:tc>
        <w:tc>
          <w:tcPr>
            <w:tcW w:w="102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36,654</w:t>
            </w:r>
          </w:p>
        </w:tc>
        <w:tc>
          <w:tcPr>
            <w:tcW w:w="98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12,987</w:t>
            </w:r>
          </w:p>
        </w:tc>
        <w:tc>
          <w:tcPr>
            <w:tcW w:w="9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597,046</w:t>
            </w:r>
          </w:p>
        </w:tc>
      </w:tr>
      <w:tr>
        <w:trPr>
          <w:trHeight w:val="192"/>
        </w:trPr>
        <w:tc>
          <w:tcPr>
            <w:tcW w:w="20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70"/>
        </w:trPr>
        <w:tc>
          <w:tcPr>
            <w:tcW w:w="2020" w:type="dxa"/>
            <w:vAlign w:val="bottom"/>
          </w:tcPr>
          <w:p>
            <w:pPr>
              <w:ind w:left="20"/>
              <w:spacing w:after="0"/>
              <w:rPr>
                <w:sz w:val="20"/>
                <w:szCs w:val="20"/>
                <w:color w:val="auto"/>
              </w:rPr>
            </w:pPr>
            <w:r>
              <w:rPr>
                <w:rFonts w:ascii="Arial" w:cs="Arial" w:eastAsia="Arial" w:hAnsi="Arial"/>
                <w:sz w:val="13"/>
                <w:szCs w:val="13"/>
                <w:b w:val="1"/>
                <w:bCs w:val="1"/>
                <w:color w:val="auto"/>
              </w:rPr>
              <w:t>Net book value</w:t>
            </w: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2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At 31 December 2021</w:t>
            </w:r>
          </w:p>
        </w:tc>
        <w:tc>
          <w:tcPr>
            <w:tcW w:w="10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141,532</w:t>
            </w:r>
          </w:p>
        </w:tc>
        <w:tc>
          <w:tcPr>
            <w:tcW w:w="10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3,870,262</w:t>
            </w:r>
          </w:p>
        </w:tc>
        <w:tc>
          <w:tcPr>
            <w:tcW w:w="9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w:t>
            </w:r>
          </w:p>
        </w:tc>
        <w:tc>
          <w:tcPr>
            <w:tcW w:w="10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414,661</w:t>
            </w:r>
          </w:p>
        </w:tc>
        <w:tc>
          <w:tcPr>
            <w:tcW w:w="104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99,901</w:t>
            </w:r>
          </w:p>
        </w:tc>
        <w:tc>
          <w:tcPr>
            <w:tcW w:w="102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168,333</w:t>
            </w:r>
          </w:p>
        </w:tc>
        <w:tc>
          <w:tcPr>
            <w:tcW w:w="9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157,680</w:t>
            </w:r>
          </w:p>
        </w:tc>
        <w:tc>
          <w:tcPr>
            <w:tcW w:w="96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9,090,061</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13,942,430</w:t>
            </w:r>
          </w:p>
        </w:tc>
      </w:tr>
      <w:tr>
        <w:trPr>
          <w:trHeight w:val="202"/>
        </w:trPr>
        <w:tc>
          <w:tcPr>
            <w:tcW w:w="2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71"/>
        </w:trPr>
        <w:tc>
          <w:tcPr>
            <w:tcW w:w="2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At 31 December 2020</w:t>
            </w:r>
          </w:p>
        </w:tc>
        <w:tc>
          <w:tcPr>
            <w:tcW w:w="10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64,513</w:t>
            </w:r>
          </w:p>
        </w:tc>
        <w:tc>
          <w:tcPr>
            <w:tcW w:w="10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53,866</w:t>
            </w:r>
          </w:p>
        </w:tc>
        <w:tc>
          <w:tcPr>
            <w:tcW w:w="9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rPr>
              <w:t>10,509</w:t>
            </w:r>
          </w:p>
        </w:tc>
        <w:tc>
          <w:tcPr>
            <w:tcW w:w="104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rPr>
              <w:t>2,084</w:t>
            </w:r>
          </w:p>
        </w:tc>
        <w:tc>
          <w:tcPr>
            <w:tcW w:w="96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rPr>
              <w:t>950,267</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1,081,239</w:t>
            </w:r>
          </w:p>
        </w:tc>
      </w:tr>
    </w:tbl>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Amortisation expense of $281.3 million has been charged to ‘other operating expenses’ in the Consolidated Statement of Profit and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86</w:t>
      </w:r>
    </w:p>
    <w:p>
      <w:pPr>
        <w:sectPr>
          <w:pgSz w:w="11900" w:h="16838" w:orient="portrait"/>
          <w:cols w:equalWidth="0" w:num="1">
            <w:col w:w="11020"/>
          </w:cols>
          <w:pgMar w:left="300" w:top="698" w:right="57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190" w:lineRule="exact"/>
        <w:rPr>
          <w:sz w:val="20"/>
          <w:szCs w:val="20"/>
          <w:color w:val="auto"/>
        </w:rPr>
      </w:pPr>
    </w:p>
    <w:p>
      <w:pPr>
        <w:ind w:left="320" w:hanging="315"/>
        <w:spacing w:after="0"/>
        <w:tabs>
          <w:tab w:leader="none" w:pos="320" w:val="left"/>
        </w:tabs>
        <w:numPr>
          <w:ilvl w:val="0"/>
          <w:numId w:val="90"/>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Intangible assets - goodwill and other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Trade Name</w:t>
            </w:r>
          </w:p>
        </w:tc>
        <w:tc>
          <w:tcPr>
            <w:tcW w:w="10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49"/>
        </w:trPr>
        <w:tc>
          <w:tcPr>
            <w:tcW w:w="19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Computer</w:t>
            </w:r>
          </w:p>
        </w:tc>
        <w:tc>
          <w:tcPr>
            <w:tcW w:w="102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Customer</w:t>
            </w:r>
          </w:p>
        </w:tc>
        <w:tc>
          <w:tcPr>
            <w:tcW w:w="9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Technology</w:t>
            </w:r>
          </w:p>
        </w:tc>
        <w:tc>
          <w:tcPr>
            <w:tcW w:w="1080" w:type="dxa"/>
            <w:vAlign w:val="bottom"/>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and Non-</w:t>
            </w:r>
          </w:p>
        </w:tc>
        <w:tc>
          <w:tcPr>
            <w:tcW w:w="104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Patient</w:t>
            </w:r>
          </w:p>
        </w:tc>
        <w:tc>
          <w:tcPr>
            <w:tcW w:w="9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93"/>
        </w:trPr>
        <w:tc>
          <w:tcPr>
            <w:tcW w:w="19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Software</w:t>
            </w:r>
          </w:p>
        </w:tc>
        <w:tc>
          <w:tcPr>
            <w:tcW w:w="10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Relationships</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Volunteer List</w:t>
            </w:r>
          </w:p>
        </w:tc>
        <w:tc>
          <w:tcPr>
            <w:tcW w:w="11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Order Backlog</w:t>
            </w:r>
          </w:p>
        </w:tc>
        <w:tc>
          <w:tcPr>
            <w:tcW w:w="10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Asset</w:t>
            </w:r>
          </w:p>
        </w:tc>
        <w:tc>
          <w:tcPr>
            <w:tcW w:w="108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Competes</w:t>
            </w:r>
          </w:p>
        </w:tc>
        <w:tc>
          <w:tcPr>
            <w:tcW w:w="104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Database</w:t>
            </w:r>
          </w:p>
        </w:tc>
        <w:tc>
          <w:tcPr>
            <w:tcW w:w="96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Goodwill</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Total</w:t>
            </w:r>
          </w:p>
        </w:tc>
      </w:tr>
      <w:tr>
        <w:trPr>
          <w:trHeight w:val="192"/>
        </w:trPr>
        <w:tc>
          <w:tcPr>
            <w:tcW w:w="1980" w:type="dxa"/>
            <w:vAlign w:val="bottom"/>
          </w:tcPr>
          <w:p>
            <w:pPr>
              <w:spacing w:after="0"/>
              <w:rPr>
                <w:sz w:val="16"/>
                <w:szCs w:val="16"/>
                <w:color w:val="auto"/>
              </w:rPr>
            </w:pPr>
          </w:p>
        </w:tc>
        <w:tc>
          <w:tcPr>
            <w:tcW w:w="1000" w:type="dxa"/>
            <w:vAlign w:val="bottom"/>
          </w:tcPr>
          <w:p>
            <w:pPr>
              <w:jc w:val="right"/>
              <w:ind w:right="36"/>
              <w:spacing w:after="0"/>
              <w:rPr>
                <w:sz w:val="20"/>
                <w:szCs w:val="20"/>
                <w:color w:val="auto"/>
              </w:rPr>
            </w:pPr>
            <w:r>
              <w:rPr>
                <w:rFonts w:ascii="Arial" w:cs="Arial" w:eastAsia="Arial" w:hAnsi="Arial"/>
                <w:sz w:val="13"/>
                <w:szCs w:val="13"/>
                <w:b w:val="1"/>
                <w:bCs w:val="1"/>
                <w:color w:val="auto"/>
              </w:rPr>
              <w:t>$’000</w:t>
            </w:r>
          </w:p>
        </w:tc>
        <w:tc>
          <w:tcPr>
            <w:tcW w:w="1020" w:type="dxa"/>
            <w:vAlign w:val="bottom"/>
          </w:tcPr>
          <w:p>
            <w:pPr>
              <w:jc w:val="right"/>
              <w:ind w:right="16"/>
              <w:spacing w:after="0"/>
              <w:rPr>
                <w:sz w:val="20"/>
                <w:szCs w:val="20"/>
                <w:color w:val="auto"/>
              </w:rPr>
            </w:pPr>
            <w:r>
              <w:rPr>
                <w:rFonts w:ascii="Arial" w:cs="Arial" w:eastAsia="Arial" w:hAnsi="Arial"/>
                <w:sz w:val="13"/>
                <w:szCs w:val="13"/>
                <w:b w:val="1"/>
                <w:bCs w:val="1"/>
                <w:color w:val="auto"/>
              </w:rPr>
              <w:t>$’000</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1100" w:type="dxa"/>
            <w:vAlign w:val="bottom"/>
          </w:tcPr>
          <w:p>
            <w:pPr>
              <w:jc w:val="right"/>
              <w:ind w:right="76"/>
              <w:spacing w:after="0"/>
              <w:rPr>
                <w:sz w:val="20"/>
                <w:szCs w:val="20"/>
                <w:color w:val="auto"/>
              </w:rPr>
            </w:pPr>
            <w:r>
              <w:rPr>
                <w:rFonts w:ascii="Arial" w:cs="Arial" w:eastAsia="Arial" w:hAnsi="Arial"/>
                <w:sz w:val="13"/>
                <w:szCs w:val="13"/>
                <w:b w:val="1"/>
                <w:bCs w:val="1"/>
                <w:color w:val="auto"/>
              </w:rPr>
              <w:t>$’000</w:t>
            </w:r>
          </w:p>
        </w:tc>
        <w:tc>
          <w:tcPr>
            <w:tcW w:w="1000" w:type="dxa"/>
            <w:vAlign w:val="bottom"/>
          </w:tcPr>
          <w:p>
            <w:pPr>
              <w:jc w:val="right"/>
              <w:ind w:right="76"/>
              <w:spacing w:after="0"/>
              <w:rPr>
                <w:sz w:val="20"/>
                <w:szCs w:val="20"/>
                <w:color w:val="auto"/>
              </w:rPr>
            </w:pPr>
            <w:r>
              <w:rPr>
                <w:rFonts w:ascii="Arial" w:cs="Arial" w:eastAsia="Arial" w:hAnsi="Arial"/>
                <w:sz w:val="13"/>
                <w:szCs w:val="13"/>
                <w:b w:val="1"/>
                <w:bCs w:val="1"/>
                <w:color w:val="auto"/>
              </w:rPr>
              <w:t>$’000</w:t>
            </w:r>
          </w:p>
        </w:tc>
        <w:tc>
          <w:tcPr>
            <w:tcW w:w="1080" w:type="dxa"/>
            <w:vAlign w:val="bottom"/>
          </w:tcPr>
          <w:p>
            <w:pPr>
              <w:jc w:val="right"/>
              <w:ind w:right="156"/>
              <w:spacing w:after="0"/>
              <w:rPr>
                <w:sz w:val="20"/>
                <w:szCs w:val="20"/>
                <w:color w:val="auto"/>
              </w:rPr>
            </w:pPr>
            <w:r>
              <w:rPr>
                <w:rFonts w:ascii="Arial" w:cs="Arial" w:eastAsia="Arial" w:hAnsi="Arial"/>
                <w:sz w:val="13"/>
                <w:szCs w:val="13"/>
                <w:b w:val="1"/>
                <w:bCs w:val="1"/>
                <w:color w:val="auto"/>
              </w:rPr>
              <w:t>$’000</w:t>
            </w:r>
          </w:p>
        </w:tc>
        <w:tc>
          <w:tcPr>
            <w:tcW w:w="1040" w:type="dxa"/>
            <w:vAlign w:val="bottom"/>
          </w:tcPr>
          <w:p>
            <w:pPr>
              <w:jc w:val="right"/>
              <w:ind w:right="176"/>
              <w:spacing w:after="0"/>
              <w:rPr>
                <w:sz w:val="20"/>
                <w:szCs w:val="20"/>
                <w:color w:val="auto"/>
              </w:rPr>
            </w:pPr>
            <w:r>
              <w:rPr>
                <w:rFonts w:ascii="Arial" w:cs="Arial" w:eastAsia="Arial" w:hAnsi="Arial"/>
                <w:sz w:val="13"/>
                <w:szCs w:val="13"/>
                <w:b w:val="1"/>
                <w:bCs w:val="1"/>
                <w:color w:val="auto"/>
              </w:rPr>
              <w:t>$’000</w:t>
            </w:r>
          </w:p>
        </w:tc>
        <w:tc>
          <w:tcPr>
            <w:tcW w:w="960" w:type="dxa"/>
            <w:vAlign w:val="bottom"/>
          </w:tcPr>
          <w:p>
            <w:pPr>
              <w:jc w:val="right"/>
              <w:ind w:right="136"/>
              <w:spacing w:after="0"/>
              <w:rPr>
                <w:sz w:val="20"/>
                <w:szCs w:val="20"/>
                <w:color w:val="auto"/>
              </w:rPr>
            </w:pPr>
            <w:r>
              <w:rPr>
                <w:rFonts w:ascii="Arial" w:cs="Arial" w:eastAsia="Arial" w:hAnsi="Arial"/>
                <w:sz w:val="13"/>
                <w:szCs w:val="13"/>
                <w:b w:val="1"/>
                <w:bCs w:val="1"/>
                <w:color w:val="auto"/>
              </w:rPr>
              <w:t>$’000</w:t>
            </w: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$’000</w:t>
            </w:r>
          </w:p>
        </w:tc>
      </w:tr>
      <w:tr>
        <w:trPr>
          <w:trHeight w:val="179"/>
        </w:trPr>
        <w:tc>
          <w:tcPr>
            <w:tcW w:w="19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Cost</w:t>
            </w:r>
          </w:p>
        </w:tc>
        <w:tc>
          <w:tcPr>
            <w:tcW w:w="10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69"/>
        </w:trPr>
        <w:tc>
          <w:tcPr>
            <w:tcW w:w="1980" w:type="dxa"/>
            <w:vAlign w:val="bottom"/>
          </w:tcPr>
          <w:p>
            <w:pPr>
              <w:ind w:left="20"/>
              <w:spacing w:after="0"/>
              <w:rPr>
                <w:sz w:val="20"/>
                <w:szCs w:val="20"/>
                <w:color w:val="auto"/>
              </w:rPr>
            </w:pPr>
            <w:r>
              <w:rPr>
                <w:rFonts w:ascii="Arial" w:cs="Arial" w:eastAsia="Arial" w:hAnsi="Arial"/>
                <w:sz w:val="13"/>
                <w:szCs w:val="13"/>
                <w:color w:val="auto"/>
              </w:rPr>
              <w:t>At 1 January 2020</w:t>
            </w:r>
          </w:p>
        </w:tc>
        <w:tc>
          <w:tcPr>
            <w:tcW w:w="1000" w:type="dxa"/>
            <w:vAlign w:val="bottom"/>
          </w:tcPr>
          <w:p>
            <w:pPr>
              <w:jc w:val="right"/>
              <w:ind w:right="76"/>
              <w:spacing w:after="0"/>
              <w:rPr>
                <w:sz w:val="20"/>
                <w:szCs w:val="20"/>
                <w:color w:val="auto"/>
              </w:rPr>
            </w:pPr>
            <w:r>
              <w:rPr>
                <w:rFonts w:ascii="Arial" w:cs="Arial" w:eastAsia="Arial" w:hAnsi="Arial"/>
                <w:sz w:val="13"/>
                <w:szCs w:val="13"/>
                <w:color w:val="auto"/>
              </w:rPr>
              <w:t>275,631</w:t>
            </w:r>
          </w:p>
        </w:tc>
        <w:tc>
          <w:tcPr>
            <w:tcW w:w="1020" w:type="dxa"/>
            <w:vAlign w:val="bottom"/>
          </w:tcPr>
          <w:p>
            <w:pPr>
              <w:jc w:val="right"/>
              <w:ind w:right="56"/>
              <w:spacing w:after="0"/>
              <w:rPr>
                <w:sz w:val="20"/>
                <w:szCs w:val="20"/>
                <w:color w:val="auto"/>
              </w:rPr>
            </w:pPr>
            <w:r>
              <w:rPr>
                <w:rFonts w:ascii="Arial" w:cs="Arial" w:eastAsia="Arial" w:hAnsi="Arial"/>
                <w:sz w:val="13"/>
                <w:szCs w:val="13"/>
                <w:color w:val="auto"/>
              </w:rPr>
              <w:t>134,293</w:t>
            </w:r>
          </w:p>
        </w:tc>
        <w:tc>
          <w:tcPr>
            <w:tcW w:w="980" w:type="dxa"/>
            <w:vAlign w:val="bottom"/>
          </w:tcPr>
          <w:p>
            <w:pPr>
              <w:jc w:val="right"/>
              <w:ind w:right="36"/>
              <w:spacing w:after="0"/>
              <w:rPr>
                <w:sz w:val="20"/>
                <w:szCs w:val="20"/>
                <w:color w:val="auto"/>
              </w:rPr>
            </w:pPr>
            <w:r>
              <w:rPr>
                <w:rFonts w:ascii="Arial" w:cs="Arial" w:eastAsia="Arial" w:hAnsi="Arial"/>
                <w:sz w:val="13"/>
                <w:szCs w:val="13"/>
                <w:color w:val="auto"/>
              </w:rPr>
              <w:t>1,325</w:t>
            </w:r>
          </w:p>
        </w:tc>
        <w:tc>
          <w:tcPr>
            <w:tcW w:w="1100" w:type="dxa"/>
            <w:vAlign w:val="bottom"/>
          </w:tcPr>
          <w:p>
            <w:pPr>
              <w:jc w:val="right"/>
              <w:ind w:right="136"/>
              <w:spacing w:after="0"/>
              <w:rPr>
                <w:sz w:val="20"/>
                <w:szCs w:val="20"/>
                <w:color w:val="auto"/>
              </w:rPr>
            </w:pPr>
            <w:r>
              <w:rPr>
                <w:rFonts w:ascii="Arial" w:cs="Arial" w:eastAsia="Arial" w:hAnsi="Arial"/>
                <w:sz w:val="13"/>
                <w:szCs w:val="13"/>
                <w:color w:val="auto"/>
              </w:rPr>
              <w:t>35,436</w:t>
            </w:r>
          </w:p>
        </w:tc>
        <w:tc>
          <w:tcPr>
            <w:tcW w:w="1000" w:type="dxa"/>
            <w:vAlign w:val="bottom"/>
          </w:tcPr>
          <w:p>
            <w:pPr>
              <w:jc w:val="right"/>
              <w:ind w:right="116"/>
              <w:spacing w:after="0"/>
              <w:rPr>
                <w:sz w:val="20"/>
                <w:szCs w:val="20"/>
                <w:color w:val="auto"/>
              </w:rPr>
            </w:pPr>
            <w:r>
              <w:rPr>
                <w:rFonts w:ascii="Arial" w:cs="Arial" w:eastAsia="Arial" w:hAnsi="Arial"/>
                <w:sz w:val="13"/>
                <w:szCs w:val="13"/>
                <w:color w:val="auto"/>
              </w:rPr>
              <w:t>8,782</w:t>
            </w:r>
          </w:p>
        </w:tc>
        <w:tc>
          <w:tcPr>
            <w:tcW w:w="1080" w:type="dxa"/>
            <w:vAlign w:val="bottom"/>
          </w:tcPr>
          <w:p>
            <w:pPr>
              <w:jc w:val="right"/>
              <w:ind w:right="196"/>
              <w:spacing w:after="0"/>
              <w:rPr>
                <w:sz w:val="20"/>
                <w:szCs w:val="20"/>
                <w:color w:val="auto"/>
              </w:rPr>
            </w:pPr>
            <w:r>
              <w:rPr>
                <w:rFonts w:ascii="Arial" w:cs="Arial" w:eastAsia="Arial" w:hAnsi="Arial"/>
                <w:sz w:val="13"/>
                <w:szCs w:val="13"/>
                <w:color w:val="auto"/>
              </w:rPr>
              <w:t>2,963</w:t>
            </w:r>
          </w:p>
        </w:tc>
        <w:tc>
          <w:tcPr>
            <w:tcW w:w="1040" w:type="dxa"/>
            <w:vAlign w:val="bottom"/>
          </w:tcPr>
          <w:p>
            <w:pPr>
              <w:jc w:val="right"/>
              <w:ind w:right="216"/>
              <w:spacing w:after="0"/>
              <w:rPr>
                <w:sz w:val="20"/>
                <w:szCs w:val="20"/>
                <w:color w:val="auto"/>
              </w:rPr>
            </w:pPr>
            <w:r>
              <w:rPr>
                <w:rFonts w:ascii="Arial" w:cs="Arial" w:eastAsia="Arial" w:hAnsi="Arial"/>
                <w:sz w:val="13"/>
                <w:szCs w:val="13"/>
                <w:color w:val="auto"/>
              </w:rPr>
              <w:t>2,613</w:t>
            </w:r>
          </w:p>
        </w:tc>
        <w:tc>
          <w:tcPr>
            <w:tcW w:w="960" w:type="dxa"/>
            <w:vAlign w:val="bottom"/>
          </w:tcPr>
          <w:p>
            <w:pPr>
              <w:jc w:val="right"/>
              <w:ind w:right="176"/>
              <w:spacing w:after="0"/>
              <w:rPr>
                <w:sz w:val="20"/>
                <w:szCs w:val="20"/>
                <w:color w:val="auto"/>
              </w:rPr>
            </w:pPr>
            <w:r>
              <w:rPr>
                <w:rFonts w:ascii="Arial" w:cs="Arial" w:eastAsia="Arial" w:hAnsi="Arial"/>
                <w:sz w:val="13"/>
                <w:szCs w:val="13"/>
                <w:color w:val="auto"/>
              </w:rPr>
              <w:t>897,179</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1,358,222</w:t>
            </w:r>
          </w:p>
        </w:tc>
      </w:tr>
      <w:tr>
        <w:trPr>
          <w:trHeight w:val="171"/>
        </w:trPr>
        <w:tc>
          <w:tcPr>
            <w:tcW w:w="1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Additions</w:t>
            </w:r>
          </w:p>
        </w:tc>
        <w:tc>
          <w:tcPr>
            <w:tcW w:w="10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31,747</w:t>
            </w:r>
          </w:p>
        </w:tc>
        <w:tc>
          <w:tcPr>
            <w:tcW w:w="10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31,747</w:t>
            </w:r>
          </w:p>
        </w:tc>
      </w:tr>
      <w:tr>
        <w:trPr>
          <w:trHeight w:val="169"/>
        </w:trPr>
        <w:tc>
          <w:tcPr>
            <w:tcW w:w="1980" w:type="dxa"/>
            <w:vAlign w:val="bottom"/>
          </w:tcPr>
          <w:p>
            <w:pPr>
              <w:ind w:left="20"/>
              <w:spacing w:after="0"/>
              <w:rPr>
                <w:sz w:val="20"/>
                <w:szCs w:val="20"/>
                <w:color w:val="auto"/>
              </w:rPr>
            </w:pPr>
            <w:r>
              <w:rPr>
                <w:rFonts w:ascii="Arial" w:cs="Arial" w:eastAsia="Arial" w:hAnsi="Arial"/>
                <w:sz w:val="13"/>
                <w:szCs w:val="13"/>
                <w:color w:val="auto"/>
              </w:rPr>
              <w:t>Disposal</w:t>
            </w:r>
          </w:p>
        </w:tc>
        <w:tc>
          <w:tcPr>
            <w:tcW w:w="1000" w:type="dxa"/>
            <w:vAlign w:val="bottom"/>
          </w:tcPr>
          <w:p>
            <w:pPr>
              <w:jc w:val="right"/>
              <w:ind w:right="56"/>
              <w:spacing w:after="0"/>
              <w:rPr>
                <w:sz w:val="20"/>
                <w:szCs w:val="20"/>
                <w:color w:val="auto"/>
              </w:rPr>
            </w:pPr>
            <w:r>
              <w:rPr>
                <w:rFonts w:ascii="Arial" w:cs="Arial" w:eastAsia="Arial" w:hAnsi="Arial"/>
                <w:sz w:val="13"/>
                <w:szCs w:val="13"/>
                <w:color w:val="auto"/>
              </w:rPr>
              <w:t>(11,349)</w:t>
            </w:r>
          </w:p>
        </w:tc>
        <w:tc>
          <w:tcPr>
            <w:tcW w:w="10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(11,349)</w:t>
            </w:r>
          </w:p>
        </w:tc>
      </w:tr>
      <w:tr>
        <w:trPr>
          <w:trHeight w:val="171"/>
        </w:trPr>
        <w:tc>
          <w:tcPr>
            <w:tcW w:w="1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Prior period acquisition</w:t>
            </w:r>
          </w:p>
        </w:tc>
        <w:tc>
          <w:tcPr>
            <w:tcW w:w="10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133</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133</w:t>
            </w:r>
          </w:p>
        </w:tc>
      </w:tr>
      <w:tr>
        <w:trPr>
          <w:trHeight w:val="169"/>
        </w:trPr>
        <w:tc>
          <w:tcPr>
            <w:tcW w:w="1980" w:type="dxa"/>
            <w:vAlign w:val="bottom"/>
          </w:tcPr>
          <w:p>
            <w:pPr>
              <w:ind w:left="20"/>
              <w:spacing w:after="0"/>
              <w:rPr>
                <w:sz w:val="20"/>
                <w:szCs w:val="20"/>
                <w:color w:val="auto"/>
              </w:rPr>
            </w:pPr>
            <w:r>
              <w:rPr>
                <w:rFonts w:ascii="Arial" w:cs="Arial" w:eastAsia="Arial" w:hAnsi="Arial"/>
                <w:sz w:val="13"/>
                <w:szCs w:val="13"/>
                <w:color w:val="auto"/>
              </w:rPr>
              <w:t>Acquisitions</w:t>
            </w:r>
          </w:p>
        </w:tc>
        <w:tc>
          <w:tcPr>
            <w:tcW w:w="100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56"/>
              <w:spacing w:after="0"/>
              <w:rPr>
                <w:sz w:val="20"/>
                <w:szCs w:val="20"/>
                <w:color w:val="auto"/>
              </w:rPr>
            </w:pPr>
            <w:r>
              <w:rPr>
                <w:rFonts w:ascii="Arial" w:cs="Arial" w:eastAsia="Arial" w:hAnsi="Arial"/>
                <w:sz w:val="13"/>
                <w:szCs w:val="13"/>
                <w:color w:val="auto"/>
              </w:rPr>
              <w:t>11,909</w:t>
            </w:r>
          </w:p>
        </w:tc>
        <w:tc>
          <w:tcPr>
            <w:tcW w:w="9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36"/>
              <w:spacing w:after="0"/>
              <w:rPr>
                <w:sz w:val="20"/>
                <w:szCs w:val="20"/>
                <w:color w:val="auto"/>
              </w:rPr>
            </w:pPr>
            <w:r>
              <w:rPr>
                <w:rFonts w:ascii="Arial" w:cs="Arial" w:eastAsia="Arial" w:hAnsi="Arial"/>
                <w:sz w:val="13"/>
                <w:szCs w:val="13"/>
                <w:color w:val="auto"/>
              </w:rPr>
              <w:t>2,906</w:t>
            </w:r>
          </w:p>
        </w:tc>
        <w:tc>
          <w:tcPr>
            <w:tcW w:w="100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76"/>
              <w:spacing w:after="0"/>
              <w:rPr>
                <w:sz w:val="20"/>
                <w:szCs w:val="20"/>
                <w:color w:val="auto"/>
              </w:rPr>
            </w:pPr>
            <w:r>
              <w:rPr>
                <w:rFonts w:ascii="Arial" w:cs="Arial" w:eastAsia="Arial" w:hAnsi="Arial"/>
                <w:sz w:val="13"/>
                <w:szCs w:val="13"/>
                <w:color w:val="auto"/>
              </w:rPr>
              <w:t>27,191</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42,006</w:t>
            </w:r>
          </w:p>
        </w:tc>
      </w:tr>
      <w:tr>
        <w:trPr>
          <w:trHeight w:val="170"/>
        </w:trPr>
        <w:tc>
          <w:tcPr>
            <w:tcW w:w="1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Foreign exchange movement</w:t>
            </w:r>
          </w:p>
        </w:tc>
        <w:tc>
          <w:tcPr>
            <w:tcW w:w="10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733</w:t>
            </w:r>
          </w:p>
        </w:tc>
        <w:tc>
          <w:tcPr>
            <w:tcW w:w="10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3,439</w:t>
            </w:r>
          </w:p>
        </w:tc>
        <w:tc>
          <w:tcPr>
            <w:tcW w:w="9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rPr>
              <w:t>1,526</w:t>
            </w:r>
          </w:p>
        </w:tc>
        <w:tc>
          <w:tcPr>
            <w:tcW w:w="10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789</w:t>
            </w:r>
          </w:p>
        </w:tc>
        <w:tc>
          <w:tcPr>
            <w:tcW w:w="10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102</w:t>
            </w:r>
          </w:p>
        </w:tc>
        <w:tc>
          <w:tcPr>
            <w:tcW w:w="104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rPr>
              <w:t>81</w:t>
            </w:r>
          </w:p>
        </w:tc>
        <w:tc>
          <w:tcPr>
            <w:tcW w:w="96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rPr>
              <w:t>25,764</w:t>
            </w:r>
          </w:p>
        </w:tc>
        <w:tc>
          <w:tcPr>
            <w:tcW w:w="8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32,434</w:t>
            </w:r>
          </w:p>
        </w:tc>
      </w:tr>
      <w:tr>
        <w:trPr>
          <w:trHeight w:val="193"/>
        </w:trPr>
        <w:tc>
          <w:tcPr>
            <w:tcW w:w="19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70"/>
        </w:trPr>
        <w:tc>
          <w:tcPr>
            <w:tcW w:w="1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At 31 December 2020</w:t>
            </w:r>
          </w:p>
        </w:tc>
        <w:tc>
          <w:tcPr>
            <w:tcW w:w="10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296,762</w:t>
            </w:r>
          </w:p>
        </w:tc>
        <w:tc>
          <w:tcPr>
            <w:tcW w:w="10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149,641</w:t>
            </w:r>
          </w:p>
        </w:tc>
        <w:tc>
          <w:tcPr>
            <w:tcW w:w="9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1,325</w:t>
            </w:r>
          </w:p>
        </w:tc>
        <w:tc>
          <w:tcPr>
            <w:tcW w:w="11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39,868</w:t>
            </w:r>
          </w:p>
        </w:tc>
        <w:tc>
          <w:tcPr>
            <w:tcW w:w="10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9,571</w:t>
            </w:r>
          </w:p>
        </w:tc>
        <w:tc>
          <w:tcPr>
            <w:tcW w:w="10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3,065</w:t>
            </w:r>
          </w:p>
        </w:tc>
        <w:tc>
          <w:tcPr>
            <w:tcW w:w="104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2,694</w:t>
            </w:r>
          </w:p>
        </w:tc>
        <w:tc>
          <w:tcPr>
            <w:tcW w:w="96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950,267</w:t>
            </w:r>
          </w:p>
        </w:tc>
        <w:tc>
          <w:tcPr>
            <w:tcW w:w="8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1,453,193</w:t>
            </w:r>
          </w:p>
        </w:tc>
      </w:tr>
      <w:tr>
        <w:trPr>
          <w:trHeight w:val="192"/>
        </w:trPr>
        <w:tc>
          <w:tcPr>
            <w:tcW w:w="19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2"/>
        </w:trPr>
        <w:tc>
          <w:tcPr>
            <w:tcW w:w="19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Amortisation</w:t>
            </w:r>
          </w:p>
        </w:tc>
        <w:tc>
          <w:tcPr>
            <w:tcW w:w="10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169"/>
        </w:trPr>
        <w:tc>
          <w:tcPr>
            <w:tcW w:w="1980" w:type="dxa"/>
            <w:vAlign w:val="bottom"/>
          </w:tcPr>
          <w:p>
            <w:pPr>
              <w:ind w:left="20"/>
              <w:spacing w:after="0"/>
              <w:rPr>
                <w:sz w:val="20"/>
                <w:szCs w:val="20"/>
                <w:color w:val="auto"/>
              </w:rPr>
            </w:pPr>
            <w:r>
              <w:rPr>
                <w:rFonts w:ascii="Arial" w:cs="Arial" w:eastAsia="Arial" w:hAnsi="Arial"/>
                <w:sz w:val="13"/>
                <w:szCs w:val="13"/>
                <w:color w:val="auto"/>
              </w:rPr>
              <w:t>At 1 January 2020</w:t>
            </w:r>
          </w:p>
        </w:tc>
        <w:tc>
          <w:tcPr>
            <w:tcW w:w="1000" w:type="dxa"/>
            <w:vAlign w:val="bottom"/>
          </w:tcPr>
          <w:p>
            <w:pPr>
              <w:jc w:val="right"/>
              <w:ind w:right="76"/>
              <w:spacing w:after="0"/>
              <w:rPr>
                <w:sz w:val="20"/>
                <w:szCs w:val="20"/>
                <w:color w:val="auto"/>
              </w:rPr>
            </w:pPr>
            <w:r>
              <w:rPr>
                <w:rFonts w:ascii="Arial" w:cs="Arial" w:eastAsia="Arial" w:hAnsi="Arial"/>
                <w:sz w:val="13"/>
                <w:szCs w:val="13"/>
                <w:color w:val="auto"/>
              </w:rPr>
              <w:t>214,801</w:t>
            </w:r>
          </w:p>
        </w:tc>
        <w:tc>
          <w:tcPr>
            <w:tcW w:w="1020" w:type="dxa"/>
            <w:vAlign w:val="bottom"/>
          </w:tcPr>
          <w:p>
            <w:pPr>
              <w:jc w:val="right"/>
              <w:ind w:right="56"/>
              <w:spacing w:after="0"/>
              <w:rPr>
                <w:sz w:val="20"/>
                <w:szCs w:val="20"/>
                <w:color w:val="auto"/>
              </w:rPr>
            </w:pPr>
            <w:r>
              <w:rPr>
                <w:rFonts w:ascii="Arial" w:cs="Arial" w:eastAsia="Arial" w:hAnsi="Arial"/>
                <w:sz w:val="13"/>
                <w:szCs w:val="13"/>
                <w:color w:val="auto"/>
              </w:rPr>
              <w:t>80,454</w:t>
            </w:r>
          </w:p>
        </w:tc>
        <w:tc>
          <w:tcPr>
            <w:tcW w:w="980" w:type="dxa"/>
            <w:vAlign w:val="bottom"/>
          </w:tcPr>
          <w:p>
            <w:pPr>
              <w:jc w:val="right"/>
              <w:ind w:right="36"/>
              <w:spacing w:after="0"/>
              <w:rPr>
                <w:sz w:val="20"/>
                <w:szCs w:val="20"/>
                <w:color w:val="auto"/>
              </w:rPr>
            </w:pPr>
            <w:r>
              <w:rPr>
                <w:rFonts w:ascii="Arial" w:cs="Arial" w:eastAsia="Arial" w:hAnsi="Arial"/>
                <w:sz w:val="13"/>
                <w:szCs w:val="13"/>
                <w:color w:val="auto"/>
              </w:rPr>
              <w:t>1,325</w:t>
            </w:r>
          </w:p>
        </w:tc>
        <w:tc>
          <w:tcPr>
            <w:tcW w:w="1100" w:type="dxa"/>
            <w:vAlign w:val="bottom"/>
          </w:tcPr>
          <w:p>
            <w:pPr>
              <w:jc w:val="right"/>
              <w:ind w:right="136"/>
              <w:spacing w:after="0"/>
              <w:rPr>
                <w:sz w:val="20"/>
                <w:szCs w:val="20"/>
                <w:color w:val="auto"/>
              </w:rPr>
            </w:pPr>
            <w:r>
              <w:rPr>
                <w:rFonts w:ascii="Arial" w:cs="Arial" w:eastAsia="Arial" w:hAnsi="Arial"/>
                <w:sz w:val="13"/>
                <w:szCs w:val="13"/>
                <w:color w:val="auto"/>
              </w:rPr>
              <w:t>23,771</w:t>
            </w:r>
          </w:p>
        </w:tc>
        <w:tc>
          <w:tcPr>
            <w:tcW w:w="1000" w:type="dxa"/>
            <w:vAlign w:val="bottom"/>
          </w:tcPr>
          <w:p>
            <w:pPr>
              <w:jc w:val="right"/>
              <w:ind w:right="116"/>
              <w:spacing w:after="0"/>
              <w:rPr>
                <w:sz w:val="20"/>
                <w:szCs w:val="20"/>
                <w:color w:val="auto"/>
              </w:rPr>
            </w:pPr>
            <w:r>
              <w:rPr>
                <w:rFonts w:ascii="Arial" w:cs="Arial" w:eastAsia="Arial" w:hAnsi="Arial"/>
                <w:sz w:val="13"/>
                <w:szCs w:val="13"/>
                <w:color w:val="auto"/>
              </w:rPr>
              <w:t>8,782</w:t>
            </w:r>
          </w:p>
        </w:tc>
        <w:tc>
          <w:tcPr>
            <w:tcW w:w="1080" w:type="dxa"/>
            <w:vAlign w:val="bottom"/>
          </w:tcPr>
          <w:p>
            <w:pPr>
              <w:jc w:val="right"/>
              <w:ind w:right="196"/>
              <w:spacing w:after="0"/>
              <w:rPr>
                <w:sz w:val="20"/>
                <w:szCs w:val="20"/>
                <w:color w:val="auto"/>
              </w:rPr>
            </w:pPr>
            <w:r>
              <w:rPr>
                <w:rFonts w:ascii="Arial" w:cs="Arial" w:eastAsia="Arial" w:hAnsi="Arial"/>
                <w:sz w:val="13"/>
                <w:szCs w:val="13"/>
                <w:color w:val="auto"/>
              </w:rPr>
              <w:t>2,955</w:t>
            </w:r>
          </w:p>
        </w:tc>
        <w:tc>
          <w:tcPr>
            <w:tcW w:w="1040" w:type="dxa"/>
            <w:vAlign w:val="bottom"/>
          </w:tcPr>
          <w:p>
            <w:pPr>
              <w:jc w:val="right"/>
              <w:ind w:right="216"/>
              <w:spacing w:after="0"/>
              <w:rPr>
                <w:sz w:val="20"/>
                <w:szCs w:val="20"/>
                <w:color w:val="auto"/>
              </w:rPr>
            </w:pPr>
            <w:r>
              <w:rPr>
                <w:rFonts w:ascii="Arial" w:cs="Arial" w:eastAsia="Arial" w:hAnsi="Arial"/>
                <w:sz w:val="13"/>
                <w:szCs w:val="13"/>
                <w:color w:val="auto"/>
              </w:rPr>
              <w:t>231</w:t>
            </w:r>
          </w:p>
        </w:tc>
        <w:tc>
          <w:tcPr>
            <w:tcW w:w="96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332,319</w:t>
            </w:r>
          </w:p>
        </w:tc>
      </w:tr>
      <w:tr>
        <w:trPr>
          <w:trHeight w:val="171"/>
        </w:trPr>
        <w:tc>
          <w:tcPr>
            <w:tcW w:w="1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Amortised in the year</w:t>
            </w:r>
          </w:p>
        </w:tc>
        <w:tc>
          <w:tcPr>
            <w:tcW w:w="10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28,532</w:t>
            </w:r>
          </w:p>
        </w:tc>
        <w:tc>
          <w:tcPr>
            <w:tcW w:w="10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13,885</w:t>
            </w:r>
          </w:p>
        </w:tc>
        <w:tc>
          <w:tcPr>
            <w:tcW w:w="9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4,985</w:t>
            </w:r>
          </w:p>
        </w:tc>
        <w:tc>
          <w:tcPr>
            <w:tcW w:w="100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8</w:t>
            </w:r>
          </w:p>
        </w:tc>
        <w:tc>
          <w:tcPr>
            <w:tcW w:w="104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356</w:t>
            </w:r>
          </w:p>
        </w:tc>
        <w:tc>
          <w:tcPr>
            <w:tcW w:w="96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47,766</w:t>
            </w:r>
          </w:p>
        </w:tc>
      </w:tr>
      <w:tr>
        <w:trPr>
          <w:trHeight w:val="169"/>
        </w:trPr>
        <w:tc>
          <w:tcPr>
            <w:tcW w:w="1980" w:type="dxa"/>
            <w:vAlign w:val="bottom"/>
          </w:tcPr>
          <w:p>
            <w:pPr>
              <w:ind w:left="20"/>
              <w:spacing w:after="0"/>
              <w:rPr>
                <w:sz w:val="20"/>
                <w:szCs w:val="20"/>
                <w:color w:val="auto"/>
              </w:rPr>
            </w:pPr>
            <w:r>
              <w:rPr>
                <w:rFonts w:ascii="Arial" w:cs="Arial" w:eastAsia="Arial" w:hAnsi="Arial"/>
                <w:sz w:val="13"/>
                <w:szCs w:val="13"/>
                <w:color w:val="auto"/>
              </w:rPr>
              <w:t>Disposal</w:t>
            </w:r>
          </w:p>
        </w:tc>
        <w:tc>
          <w:tcPr>
            <w:tcW w:w="1000" w:type="dxa"/>
            <w:vAlign w:val="bottom"/>
          </w:tcPr>
          <w:p>
            <w:pPr>
              <w:jc w:val="right"/>
              <w:ind w:right="56"/>
              <w:spacing w:after="0"/>
              <w:rPr>
                <w:sz w:val="20"/>
                <w:szCs w:val="20"/>
                <w:color w:val="auto"/>
              </w:rPr>
            </w:pPr>
            <w:r>
              <w:rPr>
                <w:rFonts w:ascii="Arial" w:cs="Arial" w:eastAsia="Arial" w:hAnsi="Arial"/>
                <w:sz w:val="13"/>
                <w:szCs w:val="13"/>
                <w:color w:val="auto"/>
              </w:rPr>
              <w:t>(11,272)</w:t>
            </w:r>
          </w:p>
        </w:tc>
        <w:tc>
          <w:tcPr>
            <w:tcW w:w="10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(11,272)</w:t>
            </w:r>
          </w:p>
        </w:tc>
      </w:tr>
      <w:tr>
        <w:trPr>
          <w:trHeight w:val="170"/>
        </w:trPr>
        <w:tc>
          <w:tcPr>
            <w:tcW w:w="1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Foreign exchange movement</w:t>
            </w:r>
          </w:p>
        </w:tc>
        <w:tc>
          <w:tcPr>
            <w:tcW w:w="10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188</w:t>
            </w:r>
          </w:p>
        </w:tc>
        <w:tc>
          <w:tcPr>
            <w:tcW w:w="10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1,436</w:t>
            </w:r>
          </w:p>
        </w:tc>
        <w:tc>
          <w:tcPr>
            <w:tcW w:w="9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rPr>
              <w:t>603</w:t>
            </w:r>
          </w:p>
        </w:tc>
        <w:tc>
          <w:tcPr>
            <w:tcW w:w="10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789</w:t>
            </w:r>
          </w:p>
        </w:tc>
        <w:tc>
          <w:tcPr>
            <w:tcW w:w="10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102</w:t>
            </w:r>
          </w:p>
        </w:tc>
        <w:tc>
          <w:tcPr>
            <w:tcW w:w="104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rPr>
              <w:t>23</w:t>
            </w:r>
          </w:p>
        </w:tc>
        <w:tc>
          <w:tcPr>
            <w:tcW w:w="96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3,141</w:t>
            </w:r>
          </w:p>
        </w:tc>
      </w:tr>
      <w:tr>
        <w:trPr>
          <w:trHeight w:val="193"/>
        </w:trPr>
        <w:tc>
          <w:tcPr>
            <w:tcW w:w="19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70"/>
        </w:trPr>
        <w:tc>
          <w:tcPr>
            <w:tcW w:w="1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At 31 December 2020</w:t>
            </w:r>
          </w:p>
        </w:tc>
        <w:tc>
          <w:tcPr>
            <w:tcW w:w="10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232,249</w:t>
            </w:r>
          </w:p>
        </w:tc>
        <w:tc>
          <w:tcPr>
            <w:tcW w:w="10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95,775</w:t>
            </w:r>
          </w:p>
        </w:tc>
        <w:tc>
          <w:tcPr>
            <w:tcW w:w="9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1,325</w:t>
            </w:r>
          </w:p>
        </w:tc>
        <w:tc>
          <w:tcPr>
            <w:tcW w:w="11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29,359</w:t>
            </w:r>
          </w:p>
        </w:tc>
        <w:tc>
          <w:tcPr>
            <w:tcW w:w="10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9,571</w:t>
            </w:r>
          </w:p>
        </w:tc>
        <w:tc>
          <w:tcPr>
            <w:tcW w:w="10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3,065</w:t>
            </w:r>
          </w:p>
        </w:tc>
        <w:tc>
          <w:tcPr>
            <w:tcW w:w="104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610</w:t>
            </w:r>
          </w:p>
        </w:tc>
        <w:tc>
          <w:tcPr>
            <w:tcW w:w="96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371,954</w:t>
            </w:r>
          </w:p>
        </w:tc>
      </w:tr>
      <w:tr>
        <w:trPr>
          <w:trHeight w:val="192"/>
        </w:trPr>
        <w:tc>
          <w:tcPr>
            <w:tcW w:w="19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70"/>
        </w:trPr>
        <w:tc>
          <w:tcPr>
            <w:tcW w:w="19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book value</w:t>
            </w:r>
          </w:p>
        </w:tc>
        <w:tc>
          <w:tcPr>
            <w:tcW w:w="10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71"/>
        </w:trPr>
        <w:tc>
          <w:tcPr>
            <w:tcW w:w="19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At 31 December 2020</w:t>
            </w:r>
          </w:p>
        </w:tc>
        <w:tc>
          <w:tcPr>
            <w:tcW w:w="10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64,513</w:t>
            </w:r>
          </w:p>
        </w:tc>
        <w:tc>
          <w:tcPr>
            <w:tcW w:w="10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53,866</w:t>
            </w: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w:t>
            </w:r>
          </w:p>
        </w:tc>
        <w:tc>
          <w:tcPr>
            <w:tcW w:w="110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10,509</w:t>
            </w:r>
          </w:p>
        </w:tc>
        <w:tc>
          <w:tcPr>
            <w:tcW w:w="100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w:t>
            </w:r>
          </w:p>
        </w:tc>
        <w:tc>
          <w:tcPr>
            <w:tcW w:w="108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w:t>
            </w:r>
          </w:p>
        </w:tc>
        <w:tc>
          <w:tcPr>
            <w:tcW w:w="104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2,084</w:t>
            </w:r>
          </w:p>
        </w:tc>
        <w:tc>
          <w:tcPr>
            <w:tcW w:w="96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950,267</w:t>
            </w: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1,081,239</w:t>
            </w:r>
          </w:p>
        </w:tc>
      </w:tr>
      <w:tr>
        <w:trPr>
          <w:trHeight w:val="202"/>
        </w:trPr>
        <w:tc>
          <w:tcPr>
            <w:tcW w:w="19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171"/>
        </w:trPr>
        <w:tc>
          <w:tcPr>
            <w:tcW w:w="19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At 31 December 2019</w:t>
            </w:r>
          </w:p>
        </w:tc>
        <w:tc>
          <w:tcPr>
            <w:tcW w:w="10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60,830</w:t>
            </w:r>
          </w:p>
        </w:tc>
        <w:tc>
          <w:tcPr>
            <w:tcW w:w="10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53,839</w:t>
            </w: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11,665</w:t>
            </w:r>
          </w:p>
        </w:tc>
        <w:tc>
          <w:tcPr>
            <w:tcW w:w="100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rPr>
              <w:t>8</w:t>
            </w:r>
          </w:p>
        </w:tc>
        <w:tc>
          <w:tcPr>
            <w:tcW w:w="104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rPr>
              <w:t>2,382</w:t>
            </w:r>
          </w:p>
        </w:tc>
        <w:tc>
          <w:tcPr>
            <w:tcW w:w="96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rPr>
              <w:t>897,179</w:t>
            </w: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1,025,903</w:t>
            </w:r>
          </w:p>
        </w:tc>
      </w:tr>
    </w:tbl>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Amortisation expense of $47.8 million has been charged to ‘other operating expenses’ in the Consolidated Statement of Profit and Loss.</w:t>
      </w:r>
    </w:p>
    <w:p>
      <w:pPr>
        <w:spacing w:after="0" w:line="200" w:lineRule="exact"/>
        <w:rPr>
          <w:sz w:val="20"/>
          <w:szCs w:val="20"/>
          <w:color w:val="auto"/>
        </w:rPr>
      </w:pPr>
    </w:p>
    <w:p>
      <w:pPr>
        <w:spacing w:after="0" w:line="336"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87</w:t>
      </w:r>
    </w:p>
    <w:p>
      <w:pPr>
        <w:sectPr>
          <w:pgSz w:w="11900" w:h="16838" w:orient="portrait"/>
          <w:cols w:equalWidth="0" w:num="1">
            <w:col w:w="11000"/>
          </w:cols>
          <w:pgMar w:left="300" w:top="698" w:right="59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190" w:lineRule="exact"/>
        <w:rPr>
          <w:sz w:val="20"/>
          <w:szCs w:val="20"/>
          <w:color w:val="auto"/>
        </w:rPr>
      </w:pPr>
    </w:p>
    <w:p>
      <w:pPr>
        <w:ind w:left="320" w:hanging="315"/>
        <w:spacing w:after="0"/>
        <w:tabs>
          <w:tab w:leader="none" w:pos="320" w:val="left"/>
        </w:tabs>
        <w:numPr>
          <w:ilvl w:val="0"/>
          <w:numId w:val="91"/>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Intangible assets - goodwill and other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0"/>
        <w:spacing w:after="0"/>
        <w:rPr>
          <w:sz w:val="20"/>
          <w:szCs w:val="20"/>
          <w:color w:val="auto"/>
        </w:rPr>
      </w:pPr>
      <w:r>
        <w:rPr>
          <w:rFonts w:ascii="Arial" w:cs="Arial" w:eastAsia="Arial" w:hAnsi="Arial"/>
          <w:sz w:val="13"/>
          <w:szCs w:val="13"/>
          <w:b w:val="1"/>
          <w:bCs w:val="1"/>
          <w:i w:val="1"/>
          <w:iCs w:val="1"/>
          <w:color w:val="auto"/>
        </w:rPr>
        <w:t>Impairment review of goodwill</w:t>
      </w:r>
    </w:p>
    <w:p>
      <w:pPr>
        <w:spacing w:after="0" w:line="190" w:lineRule="exact"/>
        <w:rPr>
          <w:sz w:val="20"/>
          <w:szCs w:val="20"/>
          <w:color w:val="auto"/>
        </w:rPr>
      </w:pPr>
    </w:p>
    <w:p>
      <w:pPr>
        <w:jc w:val="both"/>
        <w:spacing w:after="0" w:line="292" w:lineRule="auto"/>
        <w:rPr>
          <w:sz w:val="20"/>
          <w:szCs w:val="20"/>
          <w:color w:val="auto"/>
        </w:rPr>
      </w:pPr>
      <w:r>
        <w:rPr>
          <w:rFonts w:ascii="Arial" w:cs="Arial" w:eastAsia="Arial" w:hAnsi="Arial"/>
          <w:sz w:val="12"/>
          <w:szCs w:val="12"/>
          <w:color w:val="auto"/>
        </w:rPr>
        <w:t xml:space="preserve">Goodwill is subject to impairment testing on an annual basis, or more frequently if there are indicators of impairment. These assets are allocated to groups of cash generating units (CGUs). The recoverable amount of each of the CGUs is determined based on value-in-use calculations. Goodwill acquired through business combinations has been allocated to the Group’s three CGUs. The CGUs identified represent the lowest level within the Group at which goodwill is monitored and are not larger than the operating segment determined in accordance with IFRS 8 </w:t>
      </w:r>
      <w:r>
        <w:rPr>
          <w:rFonts w:ascii="Arial" w:cs="Arial" w:eastAsia="Arial" w:hAnsi="Arial"/>
          <w:sz w:val="12"/>
          <w:szCs w:val="12"/>
          <w:i w:val="1"/>
          <w:iCs w:val="1"/>
          <w:color w:val="auto"/>
        </w:rPr>
        <w:t>Operating Segments</w:t>
      </w:r>
      <w:r>
        <w:rPr>
          <w:rFonts w:ascii="Arial" w:cs="Arial" w:eastAsia="Arial" w:hAnsi="Arial"/>
          <w:sz w:val="12"/>
          <w:szCs w:val="12"/>
          <w:color w:val="auto"/>
        </w:rPr>
        <w:t>.</w:t>
      </w:r>
    </w:p>
    <w:p>
      <w:pPr>
        <w:spacing w:after="0" w:line="144"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 xml:space="preserve">The Group has identified three CGUs (2020: one) in accordance with the provisions of IAS 36 </w:t>
      </w:r>
      <w:r>
        <w:rPr>
          <w:rFonts w:ascii="Arial" w:cs="Arial" w:eastAsia="Arial" w:hAnsi="Arial"/>
          <w:sz w:val="13"/>
          <w:szCs w:val="13"/>
          <w:i w:val="1"/>
          <w:iCs w:val="1"/>
          <w:color w:val="auto"/>
        </w:rPr>
        <w:t>Impairment of Assets.</w:t>
      </w:r>
      <w:r>
        <w:rPr>
          <w:rFonts w:ascii="Arial" w:cs="Arial" w:eastAsia="Arial" w:hAnsi="Arial"/>
          <w:sz w:val="13"/>
          <w:szCs w:val="13"/>
          <w:color w:val="auto"/>
        </w:rPr>
        <w:t xml:space="preserve"> Following the Merger, the Group has reevaluated it's CGUs resulting in the increase from one CGU in 2020 to three CGUs in 2021.</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color w:val="auto"/>
        </w:rPr>
        <w:t>A summary of the allocation of the carrying value of goodwill by CGU, is as follows: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8040" w:type="dxa"/>
            <w:vAlign w:val="bottom"/>
            <w:shd w:val="clear" w:color="auto" w:fill="CCEEFF"/>
          </w:tcPr>
          <w:p>
            <w:pPr>
              <w:spacing w:after="0"/>
              <w:rPr>
                <w:sz w:val="13"/>
                <w:szCs w:val="13"/>
                <w:color w:val="auto"/>
              </w:rPr>
            </w:pPr>
          </w:p>
        </w:tc>
        <w:tc>
          <w:tcPr>
            <w:tcW w:w="1760" w:type="dxa"/>
            <w:vAlign w:val="bottom"/>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31 December</w:t>
            </w: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31 December</w:t>
            </w:r>
          </w:p>
        </w:tc>
      </w:tr>
      <w:tr>
        <w:trPr>
          <w:trHeight w:val="170"/>
        </w:trPr>
        <w:tc>
          <w:tcPr>
            <w:tcW w:w="40" w:type="dxa"/>
            <w:vAlign w:val="bottom"/>
          </w:tcPr>
          <w:p>
            <w:pPr>
              <w:spacing w:after="0"/>
              <w:rPr>
                <w:sz w:val="14"/>
                <w:szCs w:val="14"/>
                <w:color w:val="auto"/>
              </w:rPr>
            </w:pPr>
          </w:p>
        </w:tc>
        <w:tc>
          <w:tcPr>
            <w:tcW w:w="8040" w:type="dxa"/>
            <w:vAlign w:val="bottom"/>
            <w:tcBorders>
              <w:bottom w:val="single" w:sz="8" w:color="auto"/>
            </w:tcBorders>
            <w:shd w:val="clear" w:color="auto" w:fill="CCEEFF"/>
          </w:tcPr>
          <w:p>
            <w:pPr>
              <w:spacing w:after="0"/>
              <w:rPr>
                <w:sz w:val="14"/>
                <w:szCs w:val="14"/>
                <w:color w:val="auto"/>
              </w:rPr>
            </w:pPr>
          </w:p>
        </w:tc>
        <w:tc>
          <w:tcPr>
            <w:tcW w:w="176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2021</w:t>
            </w:r>
          </w:p>
        </w:tc>
        <w:tc>
          <w:tcPr>
            <w:tcW w:w="1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2020</w:t>
            </w:r>
          </w:p>
        </w:tc>
      </w:tr>
      <w:tr>
        <w:trPr>
          <w:trHeight w:val="160"/>
        </w:trPr>
        <w:tc>
          <w:tcPr>
            <w:tcW w:w="40" w:type="dxa"/>
            <w:vAlign w:val="bottom"/>
          </w:tcPr>
          <w:p>
            <w:pPr>
              <w:spacing w:after="0"/>
              <w:rPr>
                <w:sz w:val="13"/>
                <w:szCs w:val="13"/>
                <w:color w:val="auto"/>
              </w:rPr>
            </w:pPr>
          </w:p>
        </w:tc>
        <w:tc>
          <w:tcPr>
            <w:tcW w:w="8040" w:type="dxa"/>
            <w:vAlign w:val="bottom"/>
          </w:tcPr>
          <w:p>
            <w:pPr>
              <w:spacing w:after="0"/>
              <w:rPr>
                <w:sz w:val="13"/>
                <w:szCs w:val="13"/>
                <w:color w:val="auto"/>
              </w:rPr>
            </w:pPr>
          </w:p>
        </w:tc>
        <w:tc>
          <w:tcPr>
            <w:tcW w:w="1760" w:type="dxa"/>
            <w:vAlign w:val="bottom"/>
          </w:tcPr>
          <w:p>
            <w:pPr>
              <w:jc w:val="right"/>
              <w:ind w:right="256"/>
              <w:spacing w:after="0"/>
              <w:rPr>
                <w:sz w:val="20"/>
                <w:szCs w:val="20"/>
                <w:color w:val="auto"/>
              </w:rPr>
            </w:pPr>
            <w:r>
              <w:rPr>
                <w:rFonts w:ascii="Arial" w:cs="Arial" w:eastAsia="Arial" w:hAnsi="Arial"/>
                <w:sz w:val="13"/>
                <w:szCs w:val="13"/>
                <w:b w:val="1"/>
                <w:bCs w:val="1"/>
                <w:color w:val="auto"/>
              </w:rPr>
              <w:t>$’000</w:t>
            </w:r>
          </w:p>
        </w:tc>
        <w:tc>
          <w:tcPr>
            <w:tcW w:w="116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40" w:type="dxa"/>
            <w:vAlign w:val="bottom"/>
          </w:tcPr>
          <w:p>
            <w:pPr>
              <w:spacing w:after="0"/>
              <w:rPr>
                <w:sz w:val="14"/>
                <w:szCs w:val="14"/>
                <w:color w:val="auto"/>
              </w:rPr>
            </w:pPr>
          </w:p>
        </w:tc>
        <w:tc>
          <w:tcPr>
            <w:tcW w:w="80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Goodwill *</w:t>
            </w:r>
          </w:p>
        </w:tc>
        <w:tc>
          <w:tcPr>
            <w:tcW w:w="17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170"/>
        </w:trPr>
        <w:tc>
          <w:tcPr>
            <w:tcW w:w="40" w:type="dxa"/>
            <w:vAlign w:val="bottom"/>
          </w:tcPr>
          <w:p>
            <w:pPr>
              <w:spacing w:after="0"/>
              <w:rPr>
                <w:sz w:val="14"/>
                <w:szCs w:val="14"/>
                <w:color w:val="auto"/>
              </w:rPr>
            </w:pPr>
          </w:p>
        </w:tc>
        <w:tc>
          <w:tcPr>
            <w:tcW w:w="8040" w:type="dxa"/>
            <w:vAlign w:val="bottom"/>
          </w:tcPr>
          <w:p>
            <w:pPr>
              <w:ind w:left="100"/>
              <w:spacing w:after="0"/>
              <w:rPr>
                <w:sz w:val="20"/>
                <w:szCs w:val="20"/>
                <w:color w:val="auto"/>
              </w:rPr>
            </w:pPr>
            <w:r>
              <w:rPr>
                <w:rFonts w:ascii="Arial" w:cs="Arial" w:eastAsia="Arial" w:hAnsi="Arial"/>
                <w:sz w:val="13"/>
                <w:szCs w:val="13"/>
                <w:color w:val="auto"/>
              </w:rPr>
              <w:t>Clinical Research</w:t>
            </w:r>
          </w:p>
        </w:tc>
        <w:tc>
          <w:tcPr>
            <w:tcW w:w="1760" w:type="dxa"/>
            <w:vAlign w:val="bottom"/>
          </w:tcPr>
          <w:p>
            <w:pPr>
              <w:jc w:val="right"/>
              <w:ind w:right="316"/>
              <w:spacing w:after="0"/>
              <w:rPr>
                <w:sz w:val="20"/>
                <w:szCs w:val="20"/>
                <w:color w:val="auto"/>
              </w:rPr>
            </w:pPr>
            <w:r>
              <w:rPr>
                <w:rFonts w:ascii="Arial" w:cs="Arial" w:eastAsia="Arial" w:hAnsi="Arial"/>
                <w:sz w:val="13"/>
                <w:szCs w:val="13"/>
                <w:b w:val="1"/>
                <w:bCs w:val="1"/>
                <w:color w:val="auto"/>
              </w:rPr>
              <w:t>6,232,151</w:t>
            </w:r>
          </w:p>
        </w:tc>
        <w:tc>
          <w:tcPr>
            <w:tcW w:w="1160" w:type="dxa"/>
            <w:vAlign w:val="bottom"/>
          </w:tcPr>
          <w:p>
            <w:pPr>
              <w:jc w:val="right"/>
              <w:ind w:right="16"/>
              <w:spacing w:after="0"/>
              <w:rPr>
                <w:sz w:val="20"/>
                <w:szCs w:val="20"/>
                <w:color w:val="auto"/>
              </w:rPr>
            </w:pPr>
            <w:r>
              <w:rPr>
                <w:rFonts w:ascii="Arial" w:cs="Arial" w:eastAsia="Arial" w:hAnsi="Arial"/>
                <w:sz w:val="13"/>
                <w:szCs w:val="13"/>
                <w:color w:val="auto"/>
              </w:rPr>
              <w:t>950,267</w:t>
            </w:r>
          </w:p>
        </w:tc>
      </w:tr>
      <w:tr>
        <w:trPr>
          <w:trHeight w:val="170"/>
        </w:trPr>
        <w:tc>
          <w:tcPr>
            <w:tcW w:w="40" w:type="dxa"/>
            <w:vAlign w:val="bottom"/>
          </w:tcPr>
          <w:p>
            <w:pPr>
              <w:spacing w:after="0"/>
              <w:rPr>
                <w:sz w:val="14"/>
                <w:szCs w:val="14"/>
                <w:color w:val="auto"/>
              </w:rPr>
            </w:pPr>
          </w:p>
        </w:tc>
        <w:tc>
          <w:tcPr>
            <w:tcW w:w="80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Strategic Solutions</w:t>
            </w:r>
          </w:p>
        </w:tc>
        <w:tc>
          <w:tcPr>
            <w:tcW w:w="176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2,040,521</w:t>
            </w: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r>
      <w:tr>
        <w:trPr>
          <w:trHeight w:val="170"/>
        </w:trPr>
        <w:tc>
          <w:tcPr>
            <w:tcW w:w="40" w:type="dxa"/>
            <w:vAlign w:val="bottom"/>
          </w:tcPr>
          <w:p>
            <w:pPr>
              <w:spacing w:after="0"/>
              <w:rPr>
                <w:sz w:val="14"/>
                <w:szCs w:val="14"/>
                <w:color w:val="auto"/>
              </w:rPr>
            </w:pPr>
          </w:p>
        </w:tc>
        <w:tc>
          <w:tcPr>
            <w:tcW w:w="8040" w:type="dxa"/>
            <w:vAlign w:val="bottom"/>
          </w:tcPr>
          <w:p>
            <w:pPr>
              <w:ind w:left="100"/>
              <w:spacing w:after="0"/>
              <w:rPr>
                <w:sz w:val="20"/>
                <w:szCs w:val="20"/>
                <w:color w:val="auto"/>
              </w:rPr>
            </w:pPr>
            <w:r>
              <w:rPr>
                <w:rFonts w:ascii="Arial" w:cs="Arial" w:eastAsia="Arial" w:hAnsi="Arial"/>
                <w:sz w:val="13"/>
                <w:szCs w:val="13"/>
                <w:color w:val="auto"/>
              </w:rPr>
              <w:t>Data Solutions</w:t>
            </w:r>
          </w:p>
        </w:tc>
        <w:tc>
          <w:tcPr>
            <w:tcW w:w="1760" w:type="dxa"/>
            <w:vAlign w:val="bottom"/>
          </w:tcPr>
          <w:p>
            <w:pPr>
              <w:jc w:val="right"/>
              <w:ind w:right="316"/>
              <w:spacing w:after="0"/>
              <w:rPr>
                <w:sz w:val="20"/>
                <w:szCs w:val="20"/>
                <w:color w:val="auto"/>
              </w:rPr>
            </w:pPr>
            <w:r>
              <w:rPr>
                <w:rFonts w:ascii="Arial" w:cs="Arial" w:eastAsia="Arial" w:hAnsi="Arial"/>
                <w:sz w:val="13"/>
                <w:szCs w:val="13"/>
                <w:b w:val="1"/>
                <w:bCs w:val="1"/>
                <w:color w:val="auto"/>
              </w:rPr>
              <w:t>817,389</w:t>
            </w:r>
          </w:p>
        </w:tc>
        <w:tc>
          <w:tcPr>
            <w:tcW w:w="1160" w:type="dxa"/>
            <w:vAlign w:val="bottom"/>
          </w:tcPr>
          <w:p>
            <w:pPr>
              <w:jc w:val="right"/>
              <w:ind w:right="16"/>
              <w:spacing w:after="0"/>
              <w:rPr>
                <w:sz w:val="20"/>
                <w:szCs w:val="20"/>
                <w:color w:val="auto"/>
              </w:rPr>
            </w:pPr>
            <w:r>
              <w:rPr>
                <w:rFonts w:ascii="Arial" w:cs="Arial" w:eastAsia="Arial" w:hAnsi="Arial"/>
                <w:sz w:val="13"/>
                <w:szCs w:val="13"/>
                <w:color w:val="auto"/>
              </w:rPr>
              <w:t>—</w:t>
            </w:r>
          </w:p>
        </w:tc>
      </w:tr>
      <w:tr>
        <w:trPr>
          <w:trHeight w:val="202"/>
        </w:trPr>
        <w:tc>
          <w:tcPr>
            <w:tcW w:w="40" w:type="dxa"/>
            <w:vAlign w:val="bottom"/>
          </w:tcPr>
          <w:p>
            <w:pPr>
              <w:spacing w:after="0"/>
              <w:rPr>
                <w:sz w:val="17"/>
                <w:szCs w:val="17"/>
                <w:color w:val="auto"/>
              </w:rPr>
            </w:pPr>
          </w:p>
        </w:tc>
        <w:tc>
          <w:tcPr>
            <w:tcW w:w="8040" w:type="dxa"/>
            <w:vAlign w:val="bottom"/>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r>
      <w:tr>
        <w:trPr>
          <w:trHeight w:val="162"/>
        </w:trPr>
        <w:tc>
          <w:tcPr>
            <w:tcW w:w="40" w:type="dxa"/>
            <w:vAlign w:val="bottom"/>
          </w:tcPr>
          <w:p>
            <w:pPr>
              <w:spacing w:after="0"/>
              <w:rPr>
                <w:sz w:val="14"/>
                <w:szCs w:val="14"/>
                <w:color w:val="auto"/>
              </w:rPr>
            </w:pPr>
          </w:p>
        </w:tc>
        <w:tc>
          <w:tcPr>
            <w:tcW w:w="80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9,090,061</w:t>
            </w:r>
          </w:p>
        </w:tc>
        <w:tc>
          <w:tcPr>
            <w:tcW w:w="11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950,267</w:t>
            </w:r>
          </w:p>
        </w:tc>
      </w:tr>
      <w:tr>
        <w:trPr>
          <w:trHeight w:val="231"/>
        </w:trPr>
        <w:tc>
          <w:tcPr>
            <w:tcW w:w="8080" w:type="dxa"/>
            <w:vAlign w:val="bottom"/>
            <w:gridSpan w:val="2"/>
          </w:tcPr>
          <w:p>
            <w:pPr>
              <w:spacing w:after="0"/>
              <w:rPr>
                <w:sz w:val="20"/>
                <w:szCs w:val="20"/>
                <w:color w:val="auto"/>
              </w:rPr>
            </w:pPr>
            <w:r>
              <w:rPr>
                <w:rFonts w:ascii="Arial" w:cs="Arial" w:eastAsia="Arial" w:hAnsi="Arial"/>
                <w:sz w:val="13"/>
                <w:szCs w:val="13"/>
                <w:color w:val="auto"/>
              </w:rPr>
              <w:t>* The goodwill associated with the Merger has been provisionally allocated to the CGUs above and is subject finalisation in 2022</w:t>
            </w:r>
          </w:p>
        </w:tc>
        <w:tc>
          <w:tcPr>
            <w:tcW w:w="1760" w:type="dxa"/>
            <w:vAlign w:val="bottom"/>
          </w:tcPr>
          <w:p>
            <w:pPr>
              <w:spacing w:after="0"/>
              <w:rPr>
                <w:sz w:val="20"/>
                <w:szCs w:val="20"/>
                <w:color w:val="auto"/>
              </w:rPr>
            </w:pPr>
          </w:p>
        </w:tc>
        <w:tc>
          <w:tcPr>
            <w:tcW w:w="1160" w:type="dxa"/>
            <w:vAlign w:val="bottom"/>
          </w:tcPr>
          <w:p>
            <w:pPr>
              <w:spacing w:after="0"/>
              <w:rPr>
                <w:sz w:val="20"/>
                <w:szCs w:val="20"/>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Impairment testing methodology and results</w:t>
      </w:r>
    </w:p>
    <w:p>
      <w:pPr>
        <w:spacing w:after="0" w:line="188"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Cash flow forecasts employed for the value-in-use calculations are for a five year period approved by management and a terminal value which is applied to the year five cash flows. The terminal value reflects the discounted value of the cash flows beyond year five which is based on the weighted average long-term growth rates for each CGU.</w:t>
      </w:r>
    </w:p>
    <w:p>
      <w:pPr>
        <w:spacing w:after="0" w:line="14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Management’s estimates of future cash flows are based upon current budgets and strategic plans and are reflective of anticipated growth rates within the CRO industry, expected growth in the Group’s market share and reflective of past experience. Key assumptions applied in determining expected future cash flows for these plans include management’s estimate of future profitability, replacement capital expenditure requirements, trade working capital investment needs and tax considerations. The Group’s cash flow projections are adjusted each year for actual and expected changes in performance.</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assumptions were applied in determining the five year projected cash flows of the three CGUs at 31 December 2021:</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80" w:type="dxa"/>
            <w:vAlign w:val="bottom"/>
            <w:shd w:val="clear" w:color="auto" w:fill="CCEEFF"/>
          </w:tcPr>
          <w:p>
            <w:pPr>
              <w:spacing w:after="0"/>
              <w:rPr>
                <w:sz w:val="12"/>
                <w:szCs w:val="12"/>
                <w:color w:val="auto"/>
              </w:rPr>
            </w:pPr>
          </w:p>
        </w:tc>
        <w:tc>
          <w:tcPr>
            <w:tcW w:w="3320" w:type="dxa"/>
            <w:vAlign w:val="bottom"/>
            <w:shd w:val="clear" w:color="auto" w:fill="CCEEFF"/>
          </w:tcPr>
          <w:p>
            <w:pPr>
              <w:spacing w:after="0"/>
              <w:rPr>
                <w:sz w:val="12"/>
                <w:szCs w:val="12"/>
                <w:color w:val="auto"/>
              </w:rPr>
            </w:pPr>
          </w:p>
        </w:tc>
        <w:tc>
          <w:tcPr>
            <w:tcW w:w="2020" w:type="dxa"/>
            <w:vAlign w:val="bottom"/>
            <w:shd w:val="clear" w:color="auto" w:fill="CCEEFF"/>
          </w:tcPr>
          <w:p>
            <w:pPr>
              <w:jc w:val="right"/>
              <w:ind w:right="876"/>
              <w:spacing w:after="0"/>
              <w:rPr>
                <w:sz w:val="20"/>
                <w:szCs w:val="20"/>
                <w:color w:val="auto"/>
              </w:rPr>
            </w:pPr>
            <w:r>
              <w:rPr>
                <w:rFonts w:ascii="Arial" w:cs="Arial" w:eastAsia="Arial" w:hAnsi="Arial"/>
                <w:sz w:val="13"/>
                <w:szCs w:val="13"/>
                <w:b w:val="1"/>
                <w:bCs w:val="1"/>
                <w:color w:val="auto"/>
              </w:rPr>
              <w:t>31 December</w:t>
            </w:r>
          </w:p>
        </w:tc>
        <w:tc>
          <w:tcPr>
            <w:tcW w:w="1440" w:type="dxa"/>
            <w:vAlign w:val="bottom"/>
            <w:shd w:val="clear" w:color="auto" w:fill="CCEEFF"/>
          </w:tcPr>
          <w:p>
            <w:pPr>
              <w:spacing w:after="0"/>
              <w:rPr>
                <w:sz w:val="12"/>
                <w:szCs w:val="12"/>
                <w:color w:val="auto"/>
              </w:rPr>
            </w:pPr>
          </w:p>
        </w:tc>
      </w:tr>
      <w:tr>
        <w:trPr>
          <w:trHeight w:val="170"/>
        </w:trPr>
        <w:tc>
          <w:tcPr>
            <w:tcW w:w="4480" w:type="dxa"/>
            <w:vAlign w:val="bottom"/>
            <w:tcBorders>
              <w:bottom w:val="single" w:sz="8" w:color="auto"/>
            </w:tcBorders>
            <w:shd w:val="clear" w:color="auto" w:fill="CCEEFF"/>
          </w:tcPr>
          <w:p>
            <w:pPr>
              <w:spacing w:after="0"/>
              <w:rPr>
                <w:sz w:val="14"/>
                <w:szCs w:val="14"/>
                <w:color w:val="auto"/>
              </w:rPr>
            </w:pPr>
          </w:p>
        </w:tc>
        <w:tc>
          <w:tcPr>
            <w:tcW w:w="3320" w:type="dxa"/>
            <w:vAlign w:val="bottom"/>
            <w:tcBorders>
              <w:bottom w:val="single" w:sz="8" w:color="auto"/>
            </w:tcBorders>
            <w:shd w:val="clear" w:color="auto" w:fill="CCEEFF"/>
          </w:tcPr>
          <w:p>
            <w:pPr>
              <w:spacing w:after="0"/>
              <w:rPr>
                <w:sz w:val="14"/>
                <w:szCs w:val="14"/>
                <w:color w:val="auto"/>
              </w:rPr>
            </w:pPr>
          </w:p>
        </w:tc>
        <w:tc>
          <w:tcPr>
            <w:tcW w:w="2020" w:type="dxa"/>
            <w:vAlign w:val="bottom"/>
            <w:tcBorders>
              <w:bottom w:val="single" w:sz="8" w:color="auto"/>
            </w:tcBorders>
            <w:shd w:val="clear" w:color="auto" w:fill="CCEEFF"/>
          </w:tcPr>
          <w:p>
            <w:pPr>
              <w:jc w:val="right"/>
              <w:ind w:right="1116"/>
              <w:spacing w:after="0"/>
              <w:rPr>
                <w:sz w:val="20"/>
                <w:szCs w:val="20"/>
                <w:color w:val="auto"/>
              </w:rPr>
            </w:pPr>
            <w:r>
              <w:rPr>
                <w:rFonts w:ascii="Arial" w:cs="Arial" w:eastAsia="Arial" w:hAnsi="Arial"/>
                <w:sz w:val="13"/>
                <w:szCs w:val="13"/>
                <w:b w:val="1"/>
                <w:bCs w:val="1"/>
                <w:color w:val="auto"/>
              </w:rPr>
              <w:t>2021</w:t>
            </w:r>
          </w:p>
        </w:tc>
        <w:tc>
          <w:tcPr>
            <w:tcW w:w="1440" w:type="dxa"/>
            <w:vAlign w:val="bottom"/>
            <w:tcBorders>
              <w:bottom w:val="single" w:sz="8" w:color="auto"/>
            </w:tcBorders>
            <w:shd w:val="clear" w:color="auto" w:fill="CCEEFF"/>
          </w:tcPr>
          <w:p>
            <w:pPr>
              <w:spacing w:after="0"/>
              <w:rPr>
                <w:sz w:val="14"/>
                <w:szCs w:val="14"/>
                <w:color w:val="auto"/>
              </w:rPr>
            </w:pPr>
          </w:p>
        </w:tc>
      </w:tr>
      <w:tr>
        <w:trPr>
          <w:trHeight w:val="160"/>
        </w:trPr>
        <w:tc>
          <w:tcPr>
            <w:tcW w:w="4480" w:type="dxa"/>
            <w:vAlign w:val="bottom"/>
          </w:tcPr>
          <w:p>
            <w:pPr>
              <w:spacing w:after="0"/>
              <w:rPr>
                <w:sz w:val="13"/>
                <w:szCs w:val="13"/>
                <w:color w:val="auto"/>
              </w:rPr>
            </w:pPr>
          </w:p>
        </w:tc>
        <w:tc>
          <w:tcPr>
            <w:tcW w:w="3320" w:type="dxa"/>
            <w:vAlign w:val="bottom"/>
          </w:tcPr>
          <w:p>
            <w:pPr>
              <w:jc w:val="right"/>
              <w:ind w:right="236"/>
              <w:spacing w:after="0"/>
              <w:rPr>
                <w:sz w:val="20"/>
                <w:szCs w:val="20"/>
                <w:color w:val="auto"/>
              </w:rPr>
            </w:pPr>
            <w:r>
              <w:rPr>
                <w:rFonts w:ascii="Arial" w:cs="Arial" w:eastAsia="Arial" w:hAnsi="Arial"/>
                <w:sz w:val="13"/>
                <w:szCs w:val="13"/>
                <w:b w:val="1"/>
                <w:bCs w:val="1"/>
                <w:color w:val="auto"/>
              </w:rPr>
              <w:t>Clinical Research</w:t>
            </w:r>
          </w:p>
        </w:tc>
        <w:tc>
          <w:tcPr>
            <w:tcW w:w="2020" w:type="dxa"/>
            <w:vAlign w:val="bottom"/>
          </w:tcPr>
          <w:p>
            <w:pPr>
              <w:jc w:val="right"/>
              <w:ind w:right="416"/>
              <w:spacing w:after="0"/>
              <w:rPr>
                <w:sz w:val="20"/>
                <w:szCs w:val="20"/>
                <w:color w:val="auto"/>
              </w:rPr>
            </w:pPr>
            <w:r>
              <w:rPr>
                <w:rFonts w:ascii="Arial" w:cs="Arial" w:eastAsia="Arial" w:hAnsi="Arial"/>
                <w:sz w:val="13"/>
                <w:szCs w:val="13"/>
                <w:b w:val="1"/>
                <w:bCs w:val="1"/>
                <w:color w:val="auto"/>
              </w:rPr>
              <w:t>Strategic Solutions</w:t>
            </w:r>
          </w:p>
        </w:tc>
        <w:tc>
          <w:tcPr>
            <w:tcW w:w="1440" w:type="dxa"/>
            <w:vAlign w:val="bottom"/>
          </w:tcPr>
          <w:p>
            <w:pPr>
              <w:jc w:val="right"/>
              <w:ind w:right="16"/>
              <w:spacing w:after="0"/>
              <w:rPr>
                <w:sz w:val="20"/>
                <w:szCs w:val="20"/>
                <w:color w:val="auto"/>
              </w:rPr>
            </w:pPr>
            <w:r>
              <w:rPr>
                <w:rFonts w:ascii="Arial" w:cs="Arial" w:eastAsia="Arial" w:hAnsi="Arial"/>
                <w:sz w:val="13"/>
                <w:szCs w:val="13"/>
                <w:b w:val="1"/>
                <w:bCs w:val="1"/>
                <w:color w:val="auto"/>
              </w:rPr>
              <w:t>Data Solutions</w:t>
            </w:r>
          </w:p>
        </w:tc>
      </w:tr>
      <w:tr>
        <w:trPr>
          <w:trHeight w:val="170"/>
        </w:trPr>
        <w:tc>
          <w:tcPr>
            <w:tcW w:w="4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Expected revenue growth rate</w:t>
            </w:r>
          </w:p>
        </w:tc>
        <w:tc>
          <w:tcPr>
            <w:tcW w:w="3320" w:type="dxa"/>
            <w:vAlign w:val="bottom"/>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7.0%</w:t>
            </w:r>
          </w:p>
        </w:tc>
        <w:tc>
          <w:tcPr>
            <w:tcW w:w="2020" w:type="dxa"/>
            <w:vAlign w:val="bottom"/>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7.0%</w:t>
            </w:r>
          </w:p>
        </w:tc>
        <w:tc>
          <w:tcPr>
            <w:tcW w:w="144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7.0%</w:t>
            </w:r>
          </w:p>
        </w:tc>
      </w:tr>
      <w:tr>
        <w:trPr>
          <w:trHeight w:val="170"/>
        </w:trPr>
        <w:tc>
          <w:tcPr>
            <w:tcW w:w="4480" w:type="dxa"/>
            <w:vAlign w:val="bottom"/>
          </w:tcPr>
          <w:p>
            <w:pPr>
              <w:ind w:left="20"/>
              <w:spacing w:after="0"/>
              <w:rPr>
                <w:sz w:val="20"/>
                <w:szCs w:val="20"/>
                <w:color w:val="auto"/>
              </w:rPr>
            </w:pPr>
            <w:r>
              <w:rPr>
                <w:rFonts w:ascii="Arial" w:cs="Arial" w:eastAsia="Arial" w:hAnsi="Arial"/>
                <w:sz w:val="13"/>
                <w:szCs w:val="13"/>
                <w:color w:val="auto"/>
              </w:rPr>
              <w:t>Expected growth rate for operating costs</w:t>
            </w:r>
          </w:p>
        </w:tc>
        <w:tc>
          <w:tcPr>
            <w:tcW w:w="3320" w:type="dxa"/>
            <w:vAlign w:val="bottom"/>
          </w:tcPr>
          <w:p>
            <w:pPr>
              <w:jc w:val="right"/>
              <w:ind w:right="236"/>
              <w:spacing w:after="0"/>
              <w:rPr>
                <w:sz w:val="20"/>
                <w:szCs w:val="20"/>
                <w:color w:val="auto"/>
              </w:rPr>
            </w:pPr>
            <w:r>
              <w:rPr>
                <w:rFonts w:ascii="Arial" w:cs="Arial" w:eastAsia="Arial" w:hAnsi="Arial"/>
                <w:sz w:val="13"/>
                <w:szCs w:val="13"/>
                <w:b w:val="1"/>
                <w:bCs w:val="1"/>
                <w:color w:val="auto"/>
              </w:rPr>
              <w:t>6.5%</w:t>
            </w:r>
          </w:p>
        </w:tc>
        <w:tc>
          <w:tcPr>
            <w:tcW w:w="2020" w:type="dxa"/>
            <w:vAlign w:val="bottom"/>
          </w:tcPr>
          <w:p>
            <w:pPr>
              <w:jc w:val="right"/>
              <w:ind w:right="416"/>
              <w:spacing w:after="0"/>
              <w:rPr>
                <w:sz w:val="20"/>
                <w:szCs w:val="20"/>
                <w:color w:val="auto"/>
              </w:rPr>
            </w:pPr>
            <w:r>
              <w:rPr>
                <w:rFonts w:ascii="Arial" w:cs="Arial" w:eastAsia="Arial" w:hAnsi="Arial"/>
                <w:sz w:val="13"/>
                <w:szCs w:val="13"/>
                <w:b w:val="1"/>
                <w:bCs w:val="1"/>
                <w:color w:val="auto"/>
              </w:rPr>
              <w:t>6.5%</w:t>
            </w:r>
          </w:p>
        </w:tc>
        <w:tc>
          <w:tcPr>
            <w:tcW w:w="1440" w:type="dxa"/>
            <w:vAlign w:val="bottom"/>
          </w:tcPr>
          <w:p>
            <w:pPr>
              <w:jc w:val="right"/>
              <w:ind w:right="16"/>
              <w:spacing w:after="0"/>
              <w:rPr>
                <w:sz w:val="20"/>
                <w:szCs w:val="20"/>
                <w:color w:val="auto"/>
              </w:rPr>
            </w:pPr>
            <w:r>
              <w:rPr>
                <w:rFonts w:ascii="Arial" w:cs="Arial" w:eastAsia="Arial" w:hAnsi="Arial"/>
                <w:sz w:val="13"/>
                <w:szCs w:val="13"/>
                <w:b w:val="1"/>
                <w:bCs w:val="1"/>
                <w:color w:val="auto"/>
              </w:rPr>
              <w:t>6.5%</w:t>
            </w:r>
          </w:p>
        </w:tc>
      </w:tr>
      <w:tr>
        <w:trPr>
          <w:trHeight w:val="170"/>
        </w:trPr>
        <w:tc>
          <w:tcPr>
            <w:tcW w:w="4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Expected effective tax rate</w:t>
            </w:r>
          </w:p>
        </w:tc>
        <w:tc>
          <w:tcPr>
            <w:tcW w:w="3320" w:type="dxa"/>
            <w:vAlign w:val="bottom"/>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15% - 16.5%</w:t>
            </w:r>
          </w:p>
        </w:tc>
        <w:tc>
          <w:tcPr>
            <w:tcW w:w="2020" w:type="dxa"/>
            <w:vAlign w:val="bottom"/>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15% - 16.5%</w:t>
            </w:r>
          </w:p>
        </w:tc>
        <w:tc>
          <w:tcPr>
            <w:tcW w:w="144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15% - 16.5%</w:t>
            </w:r>
          </w:p>
        </w:tc>
      </w:tr>
      <w:tr>
        <w:trPr>
          <w:trHeight w:val="170"/>
        </w:trPr>
        <w:tc>
          <w:tcPr>
            <w:tcW w:w="4480" w:type="dxa"/>
            <w:vAlign w:val="bottom"/>
          </w:tcPr>
          <w:p>
            <w:pPr>
              <w:ind w:left="20"/>
              <w:spacing w:after="0"/>
              <w:rPr>
                <w:sz w:val="20"/>
                <w:szCs w:val="20"/>
                <w:color w:val="auto"/>
              </w:rPr>
            </w:pPr>
            <w:r>
              <w:rPr>
                <w:rFonts w:ascii="Arial" w:cs="Arial" w:eastAsia="Arial" w:hAnsi="Arial"/>
                <w:sz w:val="13"/>
                <w:szCs w:val="13"/>
                <w:color w:val="auto"/>
              </w:rPr>
              <w:t>Expected annual working capital growth rate</w:t>
            </w:r>
          </w:p>
        </w:tc>
        <w:tc>
          <w:tcPr>
            <w:tcW w:w="3320" w:type="dxa"/>
            <w:vAlign w:val="bottom"/>
          </w:tcPr>
          <w:p>
            <w:pPr>
              <w:jc w:val="right"/>
              <w:ind w:right="236"/>
              <w:spacing w:after="0"/>
              <w:rPr>
                <w:sz w:val="20"/>
                <w:szCs w:val="20"/>
                <w:color w:val="auto"/>
              </w:rPr>
            </w:pPr>
            <w:r>
              <w:rPr>
                <w:rFonts w:ascii="Arial" w:cs="Arial" w:eastAsia="Arial" w:hAnsi="Arial"/>
                <w:sz w:val="13"/>
                <w:szCs w:val="13"/>
                <w:b w:val="1"/>
                <w:bCs w:val="1"/>
                <w:color w:val="auto"/>
              </w:rPr>
              <w:t>2.0%</w:t>
            </w:r>
          </w:p>
        </w:tc>
        <w:tc>
          <w:tcPr>
            <w:tcW w:w="2020" w:type="dxa"/>
            <w:vAlign w:val="bottom"/>
          </w:tcPr>
          <w:p>
            <w:pPr>
              <w:jc w:val="right"/>
              <w:ind w:right="416"/>
              <w:spacing w:after="0"/>
              <w:rPr>
                <w:sz w:val="20"/>
                <w:szCs w:val="20"/>
                <w:color w:val="auto"/>
              </w:rPr>
            </w:pPr>
            <w:r>
              <w:rPr>
                <w:rFonts w:ascii="Arial" w:cs="Arial" w:eastAsia="Arial" w:hAnsi="Arial"/>
                <w:sz w:val="13"/>
                <w:szCs w:val="13"/>
                <w:b w:val="1"/>
                <w:bCs w:val="1"/>
                <w:color w:val="auto"/>
              </w:rPr>
              <w:t>2.0%</w:t>
            </w:r>
          </w:p>
        </w:tc>
        <w:tc>
          <w:tcPr>
            <w:tcW w:w="1440" w:type="dxa"/>
            <w:vAlign w:val="bottom"/>
          </w:tcPr>
          <w:p>
            <w:pPr>
              <w:jc w:val="right"/>
              <w:ind w:right="16"/>
              <w:spacing w:after="0"/>
              <w:rPr>
                <w:sz w:val="20"/>
                <w:szCs w:val="20"/>
                <w:color w:val="auto"/>
              </w:rPr>
            </w:pPr>
            <w:r>
              <w:rPr>
                <w:rFonts w:ascii="Arial" w:cs="Arial" w:eastAsia="Arial" w:hAnsi="Arial"/>
                <w:sz w:val="13"/>
                <w:szCs w:val="13"/>
                <w:b w:val="1"/>
                <w:bCs w:val="1"/>
                <w:color w:val="auto"/>
              </w:rPr>
              <w:t>2.0%</w:t>
            </w:r>
          </w:p>
        </w:tc>
      </w:tr>
      <w:tr>
        <w:trPr>
          <w:trHeight w:val="170"/>
        </w:trPr>
        <w:tc>
          <w:tcPr>
            <w:tcW w:w="4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Expected capital expenditure growth rate</w:t>
            </w:r>
          </w:p>
        </w:tc>
        <w:tc>
          <w:tcPr>
            <w:tcW w:w="3320" w:type="dxa"/>
            <w:vAlign w:val="bottom"/>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2.0%</w:t>
            </w:r>
          </w:p>
        </w:tc>
        <w:tc>
          <w:tcPr>
            <w:tcW w:w="2020" w:type="dxa"/>
            <w:vAlign w:val="bottom"/>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2.0%</w:t>
            </w:r>
          </w:p>
        </w:tc>
        <w:tc>
          <w:tcPr>
            <w:tcW w:w="144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2.0%</w:t>
            </w:r>
          </w:p>
        </w:tc>
      </w:tr>
      <w:tr>
        <w:trPr>
          <w:trHeight w:val="170"/>
        </w:trPr>
        <w:tc>
          <w:tcPr>
            <w:tcW w:w="4480" w:type="dxa"/>
            <w:vAlign w:val="bottom"/>
          </w:tcPr>
          <w:p>
            <w:pPr>
              <w:ind w:left="20"/>
              <w:spacing w:after="0"/>
              <w:rPr>
                <w:sz w:val="20"/>
                <w:szCs w:val="20"/>
                <w:color w:val="auto"/>
              </w:rPr>
            </w:pPr>
            <w:r>
              <w:rPr>
                <w:rFonts w:ascii="Arial" w:cs="Arial" w:eastAsia="Arial" w:hAnsi="Arial"/>
                <w:sz w:val="13"/>
                <w:szCs w:val="13"/>
                <w:color w:val="auto"/>
              </w:rPr>
              <w:t>Discount rate</w:t>
            </w:r>
          </w:p>
        </w:tc>
        <w:tc>
          <w:tcPr>
            <w:tcW w:w="3320" w:type="dxa"/>
            <w:vAlign w:val="bottom"/>
          </w:tcPr>
          <w:p>
            <w:pPr>
              <w:jc w:val="right"/>
              <w:ind w:right="236"/>
              <w:spacing w:after="0"/>
              <w:rPr>
                <w:sz w:val="20"/>
                <w:szCs w:val="20"/>
                <w:color w:val="auto"/>
              </w:rPr>
            </w:pPr>
            <w:r>
              <w:rPr>
                <w:rFonts w:ascii="Arial" w:cs="Arial" w:eastAsia="Arial" w:hAnsi="Arial"/>
                <w:sz w:val="13"/>
                <w:szCs w:val="13"/>
                <w:b w:val="1"/>
                <w:bCs w:val="1"/>
                <w:color w:val="auto"/>
              </w:rPr>
              <w:t>11.6%</w:t>
            </w:r>
          </w:p>
        </w:tc>
        <w:tc>
          <w:tcPr>
            <w:tcW w:w="2020" w:type="dxa"/>
            <w:vAlign w:val="bottom"/>
          </w:tcPr>
          <w:p>
            <w:pPr>
              <w:jc w:val="right"/>
              <w:ind w:right="416"/>
              <w:spacing w:after="0"/>
              <w:rPr>
                <w:sz w:val="20"/>
                <w:szCs w:val="20"/>
                <w:color w:val="auto"/>
              </w:rPr>
            </w:pPr>
            <w:r>
              <w:rPr>
                <w:rFonts w:ascii="Arial" w:cs="Arial" w:eastAsia="Arial" w:hAnsi="Arial"/>
                <w:sz w:val="13"/>
                <w:szCs w:val="13"/>
                <w:b w:val="1"/>
                <w:bCs w:val="1"/>
                <w:color w:val="auto"/>
              </w:rPr>
              <w:t>11.6%</w:t>
            </w:r>
          </w:p>
        </w:tc>
        <w:tc>
          <w:tcPr>
            <w:tcW w:w="1440" w:type="dxa"/>
            <w:vAlign w:val="bottom"/>
          </w:tcPr>
          <w:p>
            <w:pPr>
              <w:jc w:val="right"/>
              <w:ind w:right="16"/>
              <w:spacing w:after="0"/>
              <w:rPr>
                <w:sz w:val="20"/>
                <w:szCs w:val="20"/>
                <w:color w:val="auto"/>
              </w:rPr>
            </w:pPr>
            <w:r>
              <w:rPr>
                <w:rFonts w:ascii="Arial" w:cs="Arial" w:eastAsia="Arial" w:hAnsi="Arial"/>
                <w:sz w:val="13"/>
                <w:szCs w:val="13"/>
                <w:b w:val="1"/>
                <w:bCs w:val="1"/>
                <w:color w:val="auto"/>
              </w:rPr>
              <w:t>12.1%</w:t>
            </w:r>
          </w:p>
        </w:tc>
      </w:tr>
      <w:tr>
        <w:trPr>
          <w:trHeight w:val="171"/>
        </w:trPr>
        <w:tc>
          <w:tcPr>
            <w:tcW w:w="4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Long term growth</w:t>
            </w:r>
          </w:p>
        </w:tc>
        <w:tc>
          <w:tcPr>
            <w:tcW w:w="332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3.0%</w:t>
            </w:r>
          </w:p>
        </w:tc>
        <w:tc>
          <w:tcPr>
            <w:tcW w:w="202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3.0%</w:t>
            </w:r>
          </w:p>
        </w:tc>
        <w:tc>
          <w:tcPr>
            <w:tcW w:w="14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3.0%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ectPr>
          <w:pgSz w:w="11900" w:h="16838" w:orient="portrait"/>
          <w:cols w:equalWidth="0" w:num="1">
            <w:col w:w="11280"/>
          </w:cols>
          <w:pgMar w:left="300" w:top="698" w:right="31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190" w:lineRule="exact"/>
        <w:rPr>
          <w:sz w:val="20"/>
          <w:szCs w:val="20"/>
          <w:color w:val="auto"/>
        </w:rPr>
      </w:pPr>
    </w:p>
    <w:p>
      <w:pPr>
        <w:ind w:left="320" w:hanging="315"/>
        <w:spacing w:after="0"/>
        <w:tabs>
          <w:tab w:leader="none" w:pos="320" w:val="left"/>
        </w:tabs>
        <w:numPr>
          <w:ilvl w:val="0"/>
          <w:numId w:val="92"/>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Intangible assets - goodwill and other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Expected revenue growth and the expected growth in operating costs are determined based upon the expected growth rates used in preparing the Group’s budgets and strategic plans. In estimating budget revenue, consideration is given to current levels of backlog (i.e. the value of new business awards not yet recognised in revenue) and the estimated timeframe over which this is expected to be recognised within revenue, together with an estimate of revenue expected to be generated from new awards not currently within backlog. In estimating revenue from new awards consideration is given to current RFP (request for proposals) volumes, expected growth rates in both the CRO industry and the Group’s market share, and of past experience. In estimating budgeted operating costs, consideration is given to required staffing levels, project related costs, facility and information technology costs and other costs. Staff costs and project related costs generally increase in line with revenue and are therefore estimated based on revenue growth expectations, while facility and information costs and other costs are relatively fixed and are therefore projected based upon a lower growth rate. An expected long-term average tax rate of 15% - 16.5% has been applied in determining the projected after tax cash flows.</w:t>
      </w:r>
    </w:p>
    <w:p>
      <w:pPr>
        <w:spacing w:after="0" w:line="171"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Expected annual working capital growth and expected capital expenditure growth are based upon the expected growth rates used in preparing the Group’s budgets and strategic plans. Long term growth rates were based on global macroeconomic data.</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A pre-tax discount rate of between 11.6% and 12.1% (2020: 7.7%) has been applied to the projected cash flows of the CGUs in determining its value-in-use. This rate is reflective of both the time value of money and risks specific to the CGUs. The discount rate is based upon the Group’s weighted average cost of capital which has been determined by applying the Group’s long-term optimal capital structure to its costs of debt and cost of equity. The Group’s cost of debt has been calculated by applying an appropriate margin over the risk-free interest rate. The Group’s cost of equity has been calculated using the capital asset pricing model and includes an appropriate equity risk premium over the available risk-free interest rate. The Group’s weighted average cost of capital is adjusted to reflected additional risk premiums associated with each CGU.</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color w:val="auto"/>
        </w:rPr>
        <w:t>No impairment was recognised in 2021 or 2020 as a result of the impairment testing which identified headroom in the recoverable amount of the related CGUs as compared to their carrying value.</w:t>
      </w:r>
    </w:p>
    <w:p>
      <w:pPr>
        <w:spacing w:after="0" w:line="20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Sensitivity Analysis</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 sensitivity analysis to determine if reasonable changes in key assumptions could lead to an impairment was conducted at 31 December 2021. The table below identifies the amounts by which each of the specified assumptions may either decline or increase to arrive at a zero excess of the present value of future cash flows over the carrying value of goodwill in the CGU:</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20" w:type="dxa"/>
            <w:vAlign w:val="bottom"/>
            <w:shd w:val="clear" w:color="auto" w:fill="CCEEFF"/>
          </w:tcPr>
          <w:p>
            <w:pPr>
              <w:spacing w:after="0"/>
              <w:rPr>
                <w:sz w:val="13"/>
                <w:szCs w:val="13"/>
                <w:color w:val="auto"/>
              </w:rPr>
            </w:pPr>
          </w:p>
        </w:tc>
        <w:tc>
          <w:tcPr>
            <w:tcW w:w="3300" w:type="dxa"/>
            <w:vAlign w:val="bottom"/>
            <w:shd w:val="clear" w:color="auto" w:fill="CCEEFF"/>
          </w:tcPr>
          <w:p>
            <w:pPr>
              <w:spacing w:after="0"/>
              <w:rPr>
                <w:sz w:val="13"/>
                <w:szCs w:val="13"/>
                <w:color w:val="auto"/>
              </w:rPr>
            </w:pPr>
          </w:p>
        </w:tc>
        <w:tc>
          <w:tcPr>
            <w:tcW w:w="1980" w:type="dxa"/>
            <w:vAlign w:val="bottom"/>
            <w:shd w:val="clear" w:color="auto" w:fill="CCEEFF"/>
          </w:tcPr>
          <w:p>
            <w:pPr>
              <w:jc w:val="right"/>
              <w:ind w:right="856"/>
              <w:spacing w:after="0"/>
              <w:rPr>
                <w:sz w:val="20"/>
                <w:szCs w:val="20"/>
                <w:color w:val="auto"/>
              </w:rPr>
            </w:pPr>
            <w:r>
              <w:rPr>
                <w:rFonts w:ascii="Arial" w:cs="Arial" w:eastAsia="Arial" w:hAnsi="Arial"/>
                <w:sz w:val="13"/>
                <w:szCs w:val="13"/>
                <w:b w:val="1"/>
                <w:bCs w:val="1"/>
                <w:color w:val="auto"/>
              </w:rPr>
              <w:t>31 December</w:t>
            </w:r>
          </w:p>
        </w:tc>
        <w:tc>
          <w:tcPr>
            <w:tcW w:w="1360" w:type="dxa"/>
            <w:vAlign w:val="bottom"/>
            <w:shd w:val="clear" w:color="auto" w:fill="CCEEFF"/>
          </w:tcPr>
          <w:p>
            <w:pPr>
              <w:spacing w:after="0"/>
              <w:rPr>
                <w:sz w:val="13"/>
                <w:szCs w:val="13"/>
                <w:color w:val="auto"/>
              </w:rPr>
            </w:pPr>
          </w:p>
        </w:tc>
      </w:tr>
      <w:tr>
        <w:trPr>
          <w:trHeight w:val="170"/>
        </w:trPr>
        <w:tc>
          <w:tcPr>
            <w:tcW w:w="4620" w:type="dxa"/>
            <w:vAlign w:val="bottom"/>
            <w:tcBorders>
              <w:bottom w:val="single" w:sz="8" w:color="auto"/>
            </w:tcBorders>
            <w:shd w:val="clear" w:color="auto" w:fill="CCEEFF"/>
          </w:tcPr>
          <w:p>
            <w:pPr>
              <w:spacing w:after="0"/>
              <w:rPr>
                <w:sz w:val="14"/>
                <w:szCs w:val="14"/>
                <w:color w:val="auto"/>
              </w:rPr>
            </w:pPr>
          </w:p>
        </w:tc>
        <w:tc>
          <w:tcPr>
            <w:tcW w:w="3300" w:type="dxa"/>
            <w:vAlign w:val="bottom"/>
            <w:tcBorders>
              <w:bottom w:val="single" w:sz="8" w:color="auto"/>
            </w:tcBorders>
            <w:shd w:val="clear" w:color="auto" w:fill="CCEEFF"/>
          </w:tcPr>
          <w:p>
            <w:pPr>
              <w:spacing w:after="0"/>
              <w:rPr>
                <w:sz w:val="14"/>
                <w:szCs w:val="14"/>
                <w:color w:val="auto"/>
              </w:rPr>
            </w:pPr>
          </w:p>
        </w:tc>
        <w:tc>
          <w:tcPr>
            <w:tcW w:w="1980" w:type="dxa"/>
            <w:vAlign w:val="bottom"/>
            <w:tcBorders>
              <w:bottom w:val="single" w:sz="8" w:color="auto"/>
            </w:tcBorders>
            <w:shd w:val="clear" w:color="auto" w:fill="CCEEFF"/>
          </w:tcPr>
          <w:p>
            <w:pPr>
              <w:jc w:val="right"/>
              <w:ind w:right="1116"/>
              <w:spacing w:after="0"/>
              <w:rPr>
                <w:sz w:val="20"/>
                <w:szCs w:val="20"/>
                <w:color w:val="auto"/>
              </w:rPr>
            </w:pPr>
            <w:r>
              <w:rPr>
                <w:rFonts w:ascii="Arial" w:cs="Arial" w:eastAsia="Arial" w:hAnsi="Arial"/>
                <w:sz w:val="13"/>
                <w:szCs w:val="13"/>
                <w:b w:val="1"/>
                <w:bCs w:val="1"/>
                <w:color w:val="auto"/>
              </w:rPr>
              <w:t>2021</w:t>
            </w:r>
          </w:p>
        </w:tc>
        <w:tc>
          <w:tcPr>
            <w:tcW w:w="1360" w:type="dxa"/>
            <w:vAlign w:val="bottom"/>
            <w:tcBorders>
              <w:bottom w:val="single" w:sz="8" w:color="auto"/>
            </w:tcBorders>
            <w:shd w:val="clear" w:color="auto" w:fill="CCEEFF"/>
          </w:tcPr>
          <w:p>
            <w:pPr>
              <w:spacing w:after="0"/>
              <w:rPr>
                <w:sz w:val="14"/>
                <w:szCs w:val="14"/>
                <w:color w:val="auto"/>
              </w:rPr>
            </w:pPr>
          </w:p>
        </w:tc>
      </w:tr>
      <w:tr>
        <w:trPr>
          <w:trHeight w:val="160"/>
        </w:trPr>
        <w:tc>
          <w:tcPr>
            <w:tcW w:w="4620" w:type="dxa"/>
            <w:vAlign w:val="bottom"/>
          </w:tcPr>
          <w:p>
            <w:pPr>
              <w:spacing w:after="0"/>
              <w:rPr>
                <w:sz w:val="13"/>
                <w:szCs w:val="13"/>
                <w:color w:val="auto"/>
              </w:rPr>
            </w:pPr>
          </w:p>
        </w:tc>
        <w:tc>
          <w:tcPr>
            <w:tcW w:w="3300" w:type="dxa"/>
            <w:vAlign w:val="bottom"/>
          </w:tcPr>
          <w:p>
            <w:pPr>
              <w:jc w:val="right"/>
              <w:ind w:right="176"/>
              <w:spacing w:after="0"/>
              <w:rPr>
                <w:sz w:val="20"/>
                <w:szCs w:val="20"/>
                <w:color w:val="auto"/>
              </w:rPr>
            </w:pPr>
            <w:r>
              <w:rPr>
                <w:rFonts w:ascii="Arial" w:cs="Arial" w:eastAsia="Arial" w:hAnsi="Arial"/>
                <w:sz w:val="13"/>
                <w:szCs w:val="13"/>
                <w:b w:val="1"/>
                <w:bCs w:val="1"/>
                <w:color w:val="auto"/>
              </w:rPr>
              <w:t>Clinical Research</w:t>
            </w:r>
          </w:p>
        </w:tc>
        <w:tc>
          <w:tcPr>
            <w:tcW w:w="1980" w:type="dxa"/>
            <w:vAlign w:val="bottom"/>
          </w:tcPr>
          <w:p>
            <w:pPr>
              <w:jc w:val="right"/>
              <w:ind w:right="376"/>
              <w:spacing w:after="0"/>
              <w:rPr>
                <w:sz w:val="20"/>
                <w:szCs w:val="20"/>
                <w:color w:val="auto"/>
              </w:rPr>
            </w:pPr>
            <w:r>
              <w:rPr>
                <w:rFonts w:ascii="Arial" w:cs="Arial" w:eastAsia="Arial" w:hAnsi="Arial"/>
                <w:sz w:val="13"/>
                <w:szCs w:val="13"/>
                <w:b w:val="1"/>
                <w:bCs w:val="1"/>
                <w:color w:val="auto"/>
              </w:rPr>
              <w:t>Strategic Solutions</w:t>
            </w:r>
          </w:p>
        </w:tc>
        <w:tc>
          <w:tcPr>
            <w:tcW w:w="1360" w:type="dxa"/>
            <w:vAlign w:val="bottom"/>
          </w:tcPr>
          <w:p>
            <w:pPr>
              <w:jc w:val="right"/>
              <w:spacing w:after="0"/>
              <w:rPr>
                <w:sz w:val="20"/>
                <w:szCs w:val="20"/>
                <w:color w:val="auto"/>
              </w:rPr>
            </w:pPr>
            <w:r>
              <w:rPr>
                <w:rFonts w:ascii="Arial" w:cs="Arial" w:eastAsia="Arial" w:hAnsi="Arial"/>
                <w:sz w:val="13"/>
                <w:szCs w:val="13"/>
                <w:b w:val="1"/>
                <w:bCs w:val="1"/>
                <w:color w:val="auto"/>
              </w:rPr>
              <w:t>Data Solutions</w:t>
            </w:r>
          </w:p>
        </w:tc>
      </w:tr>
      <w:tr>
        <w:trPr>
          <w:trHeight w:val="170"/>
        </w:trPr>
        <w:tc>
          <w:tcPr>
            <w:tcW w:w="4620" w:type="dxa"/>
            <w:vAlign w:val="bottom"/>
            <w:shd w:val="clear" w:color="auto" w:fill="CCEEFF"/>
          </w:tcPr>
          <w:p>
            <w:pPr>
              <w:ind w:left="60"/>
              <w:spacing w:after="0"/>
              <w:rPr>
                <w:sz w:val="20"/>
                <w:szCs w:val="20"/>
                <w:color w:val="auto"/>
              </w:rPr>
            </w:pPr>
            <w:r>
              <w:rPr>
                <w:rFonts w:ascii="Arial" w:cs="Arial" w:eastAsia="Arial" w:hAnsi="Arial"/>
                <w:sz w:val="13"/>
                <w:szCs w:val="13"/>
                <w:color w:val="auto"/>
              </w:rPr>
              <w:t>Expected revenue growth rate decreased by</w:t>
            </w:r>
          </w:p>
        </w:tc>
        <w:tc>
          <w:tcPr>
            <w:tcW w:w="330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3.4 %</w:t>
            </w:r>
          </w:p>
        </w:tc>
        <w:tc>
          <w:tcPr>
            <w:tcW w:w="1980" w:type="dxa"/>
            <w:vAlign w:val="bottom"/>
            <w:shd w:val="clear" w:color="auto" w:fill="CCEEFF"/>
          </w:tcPr>
          <w:p>
            <w:pPr>
              <w:jc w:val="right"/>
              <w:ind w:right="376"/>
              <w:spacing w:after="0"/>
              <w:rPr>
                <w:sz w:val="20"/>
                <w:szCs w:val="20"/>
                <w:color w:val="auto"/>
              </w:rPr>
            </w:pPr>
            <w:r>
              <w:rPr>
                <w:rFonts w:ascii="Arial" w:cs="Arial" w:eastAsia="Arial" w:hAnsi="Arial"/>
                <w:sz w:val="13"/>
                <w:szCs w:val="13"/>
                <w:b w:val="1"/>
                <w:bCs w:val="1"/>
                <w:color w:val="auto"/>
              </w:rPr>
              <w:t>0.3 %</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0.2 %</w:t>
            </w:r>
          </w:p>
        </w:tc>
      </w:tr>
      <w:tr>
        <w:trPr>
          <w:trHeight w:val="170"/>
        </w:trPr>
        <w:tc>
          <w:tcPr>
            <w:tcW w:w="4620" w:type="dxa"/>
            <w:vAlign w:val="bottom"/>
          </w:tcPr>
          <w:p>
            <w:pPr>
              <w:ind w:left="60"/>
              <w:spacing w:after="0"/>
              <w:rPr>
                <w:sz w:val="20"/>
                <w:szCs w:val="20"/>
                <w:color w:val="auto"/>
              </w:rPr>
            </w:pPr>
            <w:r>
              <w:rPr>
                <w:rFonts w:ascii="Arial" w:cs="Arial" w:eastAsia="Arial" w:hAnsi="Arial"/>
                <w:sz w:val="13"/>
                <w:szCs w:val="13"/>
                <w:color w:val="auto"/>
              </w:rPr>
              <w:t>Expected long term growth rate decreased by</w:t>
            </w:r>
          </w:p>
        </w:tc>
        <w:tc>
          <w:tcPr>
            <w:tcW w:w="3300" w:type="dxa"/>
            <w:vAlign w:val="bottom"/>
          </w:tcPr>
          <w:p>
            <w:pPr>
              <w:jc w:val="right"/>
              <w:ind w:right="176"/>
              <w:spacing w:after="0"/>
              <w:rPr>
                <w:sz w:val="20"/>
                <w:szCs w:val="20"/>
                <w:color w:val="auto"/>
              </w:rPr>
            </w:pPr>
            <w:r>
              <w:rPr>
                <w:rFonts w:ascii="Arial" w:cs="Arial" w:eastAsia="Arial" w:hAnsi="Arial"/>
                <w:sz w:val="13"/>
                <w:szCs w:val="13"/>
                <w:b w:val="1"/>
                <w:bCs w:val="1"/>
                <w:color w:val="auto"/>
              </w:rPr>
              <w:t>18.4 %</w:t>
            </w:r>
          </w:p>
        </w:tc>
        <w:tc>
          <w:tcPr>
            <w:tcW w:w="1980" w:type="dxa"/>
            <w:vAlign w:val="bottom"/>
          </w:tcPr>
          <w:p>
            <w:pPr>
              <w:jc w:val="right"/>
              <w:ind w:right="376"/>
              <w:spacing w:after="0"/>
              <w:rPr>
                <w:sz w:val="20"/>
                <w:szCs w:val="20"/>
                <w:color w:val="auto"/>
              </w:rPr>
            </w:pPr>
            <w:r>
              <w:rPr>
                <w:rFonts w:ascii="Arial" w:cs="Arial" w:eastAsia="Arial" w:hAnsi="Arial"/>
                <w:sz w:val="13"/>
                <w:szCs w:val="13"/>
                <w:b w:val="1"/>
                <w:bCs w:val="1"/>
                <w:color w:val="auto"/>
              </w:rPr>
              <w:t>1.0 %</w:t>
            </w:r>
          </w:p>
        </w:tc>
        <w:tc>
          <w:tcPr>
            <w:tcW w:w="1360" w:type="dxa"/>
            <w:vAlign w:val="bottom"/>
          </w:tcPr>
          <w:p>
            <w:pPr>
              <w:jc w:val="right"/>
              <w:spacing w:after="0"/>
              <w:rPr>
                <w:sz w:val="20"/>
                <w:szCs w:val="20"/>
                <w:color w:val="auto"/>
              </w:rPr>
            </w:pPr>
            <w:r>
              <w:rPr>
                <w:rFonts w:ascii="Arial" w:cs="Arial" w:eastAsia="Arial" w:hAnsi="Arial"/>
                <w:sz w:val="13"/>
                <w:szCs w:val="13"/>
                <w:b w:val="1"/>
                <w:bCs w:val="1"/>
                <w:color w:val="auto"/>
              </w:rPr>
              <w:t>0.4 %</w:t>
            </w:r>
          </w:p>
        </w:tc>
      </w:tr>
      <w:tr>
        <w:trPr>
          <w:trHeight w:val="171"/>
        </w:trPr>
        <w:tc>
          <w:tcPr>
            <w:tcW w:w="46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Discount rate increased by</w:t>
            </w:r>
          </w:p>
        </w:tc>
        <w:tc>
          <w:tcPr>
            <w:tcW w:w="330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9.3 %</w:t>
            </w:r>
          </w:p>
        </w:tc>
        <w:tc>
          <w:tcPr>
            <w:tcW w:w="198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b w:val="1"/>
                <w:bCs w:val="1"/>
                <w:color w:val="auto"/>
              </w:rPr>
              <w:t>0.8 %</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0.3 %</w:t>
            </w:r>
          </w:p>
        </w:tc>
      </w:tr>
    </w:tbl>
    <w:p>
      <w:pPr>
        <w:spacing w:after="0" w:line="57"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*All other inputs remained constant</w:t>
      </w:r>
    </w:p>
    <w:p>
      <w:pPr>
        <w:spacing w:after="0" w:line="188"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Management believes that the assumptions originally used in the value-in-use models are sufficiently prudent to ensure no reasonable change, in normal circumstances, in any of the above key assumptions would cause the carrying value of any CGU to exceed its recoverable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ectPr>
          <w:pgSz w:w="11900" w:h="16838" w:orient="portrait"/>
          <w:cols w:equalWidth="0" w:num="1">
            <w:col w:w="11280"/>
          </w:cols>
          <w:pgMar w:left="300" w:top="698" w:right="31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190" w:lineRule="exact"/>
        <w:rPr>
          <w:sz w:val="20"/>
          <w:szCs w:val="20"/>
          <w:color w:val="auto"/>
        </w:rPr>
      </w:pPr>
    </w:p>
    <w:p>
      <w:pPr>
        <w:ind w:left="320" w:hanging="315"/>
        <w:spacing w:after="0"/>
        <w:tabs>
          <w:tab w:leader="none" w:pos="320" w:val="left"/>
        </w:tabs>
        <w:numPr>
          <w:ilvl w:val="0"/>
          <w:numId w:val="93"/>
        </w:numPr>
        <w:rPr>
          <w:rFonts w:ascii="Arial" w:cs="Arial" w:eastAsia="Arial" w:hAnsi="Arial"/>
          <w:sz w:val="13"/>
          <w:szCs w:val="13"/>
          <w:b w:val="1"/>
          <w:bCs w:val="1"/>
          <w:color w:val="auto"/>
        </w:rPr>
      </w:pPr>
      <w:r>
        <w:rPr>
          <w:rFonts w:ascii="Arial" w:cs="Arial" w:eastAsia="Arial" w:hAnsi="Arial"/>
          <w:sz w:val="13"/>
          <w:szCs w:val="13"/>
          <w:b w:val="1"/>
          <w:bCs w:val="1"/>
          <w:color w:val="auto"/>
        </w:rPr>
        <w:t>Business combinations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The acquisitions below have been accounted for as business combinations in accordance with the revised IFRS 3 Business Combinations:</w:t>
      </w:r>
    </w:p>
    <w:p>
      <w:pPr>
        <w:spacing w:after="0" w:line="203" w:lineRule="exact"/>
        <w:rPr>
          <w:sz w:val="20"/>
          <w:szCs w:val="20"/>
          <w:color w:val="auto"/>
        </w:rPr>
      </w:pPr>
    </w:p>
    <w:p>
      <w:pPr>
        <w:ind w:left="340" w:hanging="335"/>
        <w:spacing w:after="0"/>
        <w:tabs>
          <w:tab w:leader="none" w:pos="340" w:val="left"/>
        </w:tabs>
        <w:numPr>
          <w:ilvl w:val="0"/>
          <w:numId w:val="94"/>
        </w:numPr>
        <w:rPr>
          <w:rFonts w:ascii="Arial" w:cs="Arial" w:eastAsia="Arial" w:hAnsi="Arial"/>
          <w:sz w:val="13"/>
          <w:szCs w:val="13"/>
          <w:color w:val="auto"/>
        </w:rPr>
      </w:pPr>
      <w:r>
        <w:rPr>
          <w:rFonts w:ascii="Arial" w:cs="Arial" w:eastAsia="Arial" w:hAnsi="Arial"/>
          <w:sz w:val="13"/>
          <w:szCs w:val="13"/>
          <w:i w:val="1"/>
          <w:iCs w:val="1"/>
          <w:color w:val="auto"/>
        </w:rPr>
        <w:t>PRA Health Sciences, Inc.</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On 1 July 2021 (the "Merger Date"), the Company completed the Acquisition of PRA by means of a merger whereby Indigo Merger Sub, Inc., a Delaware corporation and subsidiary of ICON, merged with and into PRA Health Sciences, Inc., the parent of the PRA Health Sciences Group ("the Acquisition" and "the Merger"). The combined Group has retained the name ICON and brought together approximately 38,000 (as at the Merger date) employees across the globe, creating one of the world’s most advanced healthcare intelligence and clinical research organisation. The Merger was accounted for as a business combination using the acquisition method of accounting in accordance with IFRS 3 '</w:t>
      </w:r>
      <w:r>
        <w:rPr>
          <w:rFonts w:ascii="Arial" w:cs="Arial" w:eastAsia="Arial" w:hAnsi="Arial"/>
          <w:sz w:val="13"/>
          <w:szCs w:val="13"/>
          <w:i w:val="1"/>
          <w:iCs w:val="1"/>
          <w:color w:val="auto"/>
        </w:rPr>
        <w:t>Business Combinations'.</w:t>
      </w:r>
    </w:p>
    <w:p>
      <w:pPr>
        <w:spacing w:after="0" w:line="165"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combined Company leverages its enhanced operations to transform clinical trials and accelerate biopharma customers’ commercial success through the development of much needed medicines and medical devices. The new ICON has a renewed focus on leveraging data, applying technology and accessing diverse patient populations to speed up drug development.</w:t>
      </w:r>
    </w:p>
    <w:p>
      <w:pPr>
        <w:spacing w:after="0" w:line="14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Upon completion of the Merger, pursuant to the terms of the Merger Agreement, PRA became a wholly owned subsidiary of the ICON Group. Under the terms of the Merger, PRA shareholders received per share $80 in cash and 0.4125 shares of ICON stock. The trading of PRA common stock on NASDAQ was suspended prior to market open on 1 July 2021. The Company issued 27,372,427 ordinary shares to the former PRA shareholders at a market value of $206.71 per share based on ICON's closing share price on 30 June 2021. The Company also issued replacement awards to the holders of legacy PRA awards on 1 July 2021. Additional details regarding these replacement awards can be found in Note 11 'Share Based Payments'.</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In the year ended 31 December 2021, the Company incurred $124.4 million of Merger-related expenses which were accounted for separately from the business combination and expensed as incurred within the Other Operating Expenses line item of the Consolidated Statement of Profit and Loss. These costs consist primarily of investment banker fees, advisory fees, legal costs, accounting and consulting fees, and employee retention bonuses. Included in the $124.4 million of transaction and integration costs are acquisition related costs (as defined by IFRS 3) of $57.1 million. These costs include finders fees; advisory, legal, accounting, valuation, and other professional or consulting fees.</w:t>
      </w:r>
    </w:p>
    <w:p>
      <w:pPr>
        <w:spacing w:after="0" w:line="165"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Company also incurred approximately $86.7 million of Merger-related financing fees and amortisation of previously deferred fees which are included in the “Interest expense” line item in the Consolidated Statement of Profit and Loss for the year ended 31 December 2021. The Company deferred $76.2 million of financing costs incurred as a result of the Senior Secured Credit Facility and Senior Secured Notes. These costs will be amortised over the term of the related debt.</w:t>
      </w:r>
    </w:p>
    <w:p>
      <w:pPr>
        <w:spacing w:after="0" w:line="17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purchase accounting associated with the PRA Merger remains ongoing and the Company continues to review the acquisition balance sheet in order to confirm the value of certain assets acquired and liabilities assumed. The Company expects to conclude the purchase accounting exercise by 30 June 2022.</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500" w:type="dxa"/>
            <w:vAlign w:val="bottom"/>
          </w:tcPr>
          <w:p>
            <w:pPr>
              <w:spacing w:after="0"/>
              <w:rPr>
                <w:sz w:val="20"/>
                <w:szCs w:val="20"/>
                <w:color w:val="auto"/>
              </w:rPr>
            </w:pPr>
            <w:r>
              <w:rPr>
                <w:rFonts w:ascii="Arial" w:cs="Arial" w:eastAsia="Arial" w:hAnsi="Arial"/>
                <w:sz w:val="13"/>
                <w:szCs w:val="13"/>
                <w:color w:val="auto"/>
              </w:rPr>
              <w:t>The Merger Date fair value of the consideration transferred consisted of the following:</w:t>
            </w:r>
          </w:p>
        </w:tc>
        <w:tc>
          <w:tcPr>
            <w:tcW w:w="52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215"/>
        </w:trPr>
        <w:tc>
          <w:tcPr>
            <w:tcW w:w="8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170"/>
        </w:trPr>
        <w:tc>
          <w:tcPr>
            <w:tcW w:w="850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2240" w:type="dxa"/>
            <w:vAlign w:val="bottom"/>
            <w:tcBorders>
              <w:bottom w:val="single" w:sz="8" w:color="auto"/>
            </w:tcBorders>
            <w:shd w:val="clear" w:color="auto" w:fill="CCEEFF"/>
          </w:tcPr>
          <w:p>
            <w:pPr>
              <w:jc w:val="right"/>
              <w:ind w:right="856"/>
              <w:spacing w:after="0"/>
              <w:rPr>
                <w:sz w:val="20"/>
                <w:szCs w:val="20"/>
                <w:color w:val="auto"/>
              </w:rPr>
            </w:pPr>
            <w:r>
              <w:rPr>
                <w:rFonts w:ascii="Arial" w:cs="Arial" w:eastAsia="Arial" w:hAnsi="Arial"/>
                <w:sz w:val="13"/>
                <w:szCs w:val="13"/>
                <w:b w:val="1"/>
                <w:bCs w:val="1"/>
                <w:color w:val="auto"/>
              </w:rPr>
              <w:t>(in thousands)</w:t>
            </w:r>
          </w:p>
        </w:tc>
      </w:tr>
      <w:tr>
        <w:trPr>
          <w:trHeight w:val="159"/>
        </w:trPr>
        <w:tc>
          <w:tcPr>
            <w:tcW w:w="8500" w:type="dxa"/>
            <w:vAlign w:val="bottom"/>
          </w:tcPr>
          <w:p>
            <w:pPr>
              <w:ind w:left="20"/>
              <w:spacing w:after="0"/>
              <w:rPr>
                <w:sz w:val="20"/>
                <w:szCs w:val="20"/>
                <w:color w:val="auto"/>
              </w:rPr>
            </w:pPr>
            <w:r>
              <w:rPr>
                <w:rFonts w:ascii="Arial" w:cs="Arial" w:eastAsia="Arial" w:hAnsi="Arial"/>
                <w:sz w:val="13"/>
                <w:szCs w:val="13"/>
                <w:color w:val="auto"/>
              </w:rPr>
              <w:t>Fair value of cash consideration</w:t>
            </w:r>
          </w:p>
        </w:tc>
        <w:tc>
          <w:tcPr>
            <w:tcW w:w="520" w:type="dxa"/>
            <w:vAlign w:val="bottom"/>
          </w:tcPr>
          <w:p>
            <w:pPr>
              <w:jc w:val="right"/>
              <w:ind w:right="376"/>
              <w:spacing w:after="0"/>
              <w:rPr>
                <w:sz w:val="20"/>
                <w:szCs w:val="20"/>
                <w:color w:val="auto"/>
              </w:rPr>
            </w:pPr>
            <w:r>
              <w:rPr>
                <w:rFonts w:ascii="Arial" w:cs="Arial" w:eastAsia="Arial" w:hAnsi="Arial"/>
                <w:sz w:val="13"/>
                <w:szCs w:val="13"/>
                <w:color w:val="auto"/>
                <w:w w:val="82"/>
              </w:rPr>
              <w:t>$</w:t>
            </w:r>
          </w:p>
        </w:tc>
        <w:tc>
          <w:tcPr>
            <w:tcW w:w="2240" w:type="dxa"/>
            <w:vAlign w:val="bottom"/>
          </w:tcPr>
          <w:p>
            <w:pPr>
              <w:jc w:val="right"/>
              <w:spacing w:after="0"/>
              <w:rPr>
                <w:sz w:val="20"/>
                <w:szCs w:val="20"/>
                <w:color w:val="auto"/>
              </w:rPr>
            </w:pPr>
            <w:r>
              <w:rPr>
                <w:rFonts w:ascii="Arial" w:cs="Arial" w:eastAsia="Arial" w:hAnsi="Arial"/>
                <w:sz w:val="13"/>
                <w:szCs w:val="13"/>
                <w:color w:val="auto"/>
              </w:rPr>
              <w:t>5,308,646</w:t>
            </w:r>
          </w:p>
        </w:tc>
      </w:tr>
      <w:tr>
        <w:trPr>
          <w:trHeight w:val="171"/>
        </w:trPr>
        <w:tc>
          <w:tcPr>
            <w:tcW w:w="8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Fair value of ordinary shares issued to acquiree stockholders</w:t>
            </w:r>
          </w:p>
        </w:tc>
        <w:tc>
          <w:tcPr>
            <w:tcW w:w="520" w:type="dxa"/>
            <w:vAlign w:val="bottom"/>
            <w:shd w:val="clear" w:color="auto" w:fill="CCEEFF"/>
          </w:tcPr>
          <w:p>
            <w:pPr>
              <w:spacing w:after="0"/>
              <w:rPr>
                <w:sz w:val="14"/>
                <w:szCs w:val="14"/>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5,658,126</w:t>
            </w:r>
          </w:p>
        </w:tc>
      </w:tr>
      <w:tr>
        <w:trPr>
          <w:trHeight w:val="169"/>
        </w:trPr>
        <w:tc>
          <w:tcPr>
            <w:tcW w:w="8500" w:type="dxa"/>
            <w:vAlign w:val="bottom"/>
          </w:tcPr>
          <w:p>
            <w:pPr>
              <w:ind w:left="20"/>
              <w:spacing w:after="0"/>
              <w:rPr>
                <w:sz w:val="20"/>
                <w:szCs w:val="20"/>
                <w:color w:val="auto"/>
              </w:rPr>
            </w:pPr>
            <w:r>
              <w:rPr>
                <w:rFonts w:ascii="Arial" w:cs="Arial" w:eastAsia="Arial" w:hAnsi="Arial"/>
                <w:sz w:val="13"/>
                <w:szCs w:val="13"/>
                <w:color w:val="auto"/>
              </w:rPr>
              <w:t>Fair value of replacement share-based awards issued to acquiree employees</w:t>
            </w:r>
          </w:p>
        </w:tc>
        <w:tc>
          <w:tcPr>
            <w:tcW w:w="520" w:type="dxa"/>
            <w:vAlign w:val="bottom"/>
          </w:tcPr>
          <w:p>
            <w:pPr>
              <w:spacing w:after="0"/>
              <w:rPr>
                <w:sz w:val="14"/>
                <w:szCs w:val="14"/>
                <w:color w:val="auto"/>
              </w:rPr>
            </w:pPr>
          </w:p>
        </w:tc>
        <w:tc>
          <w:tcPr>
            <w:tcW w:w="2240" w:type="dxa"/>
            <w:vAlign w:val="bottom"/>
          </w:tcPr>
          <w:p>
            <w:pPr>
              <w:jc w:val="right"/>
              <w:spacing w:after="0"/>
              <w:rPr>
                <w:sz w:val="20"/>
                <w:szCs w:val="20"/>
                <w:color w:val="auto"/>
              </w:rPr>
            </w:pPr>
            <w:r>
              <w:rPr>
                <w:rFonts w:ascii="Arial" w:cs="Arial" w:eastAsia="Arial" w:hAnsi="Arial"/>
                <w:sz w:val="13"/>
                <w:szCs w:val="13"/>
                <w:color w:val="auto"/>
              </w:rPr>
              <w:t>267,607</w:t>
            </w:r>
          </w:p>
        </w:tc>
      </w:tr>
      <w:tr>
        <w:trPr>
          <w:trHeight w:val="170"/>
        </w:trPr>
        <w:tc>
          <w:tcPr>
            <w:tcW w:w="8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Repayment of term loan obligations and accrued interest *</w:t>
            </w:r>
          </w:p>
        </w:tc>
        <w:tc>
          <w:tcPr>
            <w:tcW w:w="520" w:type="dxa"/>
            <w:vAlign w:val="bottom"/>
            <w:tcBorders>
              <w:bottom w:val="single" w:sz="8" w:color="auto"/>
            </w:tcBorders>
            <w:shd w:val="clear" w:color="auto" w:fill="CCEEFF"/>
          </w:tcPr>
          <w:p>
            <w:pPr>
              <w:spacing w:after="0"/>
              <w:rPr>
                <w:sz w:val="14"/>
                <w:szCs w:val="14"/>
                <w:color w:val="auto"/>
              </w:rPr>
            </w:pP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865,800</w:t>
            </w:r>
          </w:p>
        </w:tc>
      </w:tr>
      <w:tr>
        <w:trPr>
          <w:trHeight w:val="160"/>
        </w:trPr>
        <w:tc>
          <w:tcPr>
            <w:tcW w:w="8500" w:type="dxa"/>
            <w:vAlign w:val="bottom"/>
          </w:tcPr>
          <w:p>
            <w:pPr>
              <w:spacing w:after="0"/>
              <w:rPr>
                <w:sz w:val="13"/>
                <w:szCs w:val="13"/>
                <w:color w:val="auto"/>
              </w:rPr>
            </w:pPr>
          </w:p>
        </w:tc>
        <w:tc>
          <w:tcPr>
            <w:tcW w:w="52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color w:val="auto"/>
                <w:w w:val="82"/>
              </w:rPr>
              <w:t>$</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12,100,179</w:t>
            </w:r>
          </w:p>
        </w:tc>
      </w:tr>
      <w:tr>
        <w:trPr>
          <w:trHeight w:val="20"/>
        </w:trPr>
        <w:tc>
          <w:tcPr>
            <w:tcW w:w="85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 This represents the portion of PRA debt paid by ICON. PRA also paid $401.6 million from available cash to settle debt obligations that existed at the Merger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ectPr>
          <w:pgSz w:w="11900" w:h="16838" w:orient="portrait"/>
          <w:cols w:equalWidth="0" w:num="1">
            <w:col w:w="11280"/>
          </w:cols>
          <w:pgMar w:left="300" w:top="698" w:right="31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190" w:lineRule="exact"/>
        <w:rPr>
          <w:sz w:val="20"/>
          <w:szCs w:val="20"/>
          <w:color w:val="auto"/>
        </w:rPr>
      </w:pPr>
    </w:p>
    <w:p>
      <w:pPr>
        <w:ind w:left="320" w:hanging="315"/>
        <w:spacing w:after="0"/>
        <w:tabs>
          <w:tab w:leader="none" w:pos="320" w:val="left"/>
        </w:tabs>
        <w:numPr>
          <w:ilvl w:val="0"/>
          <w:numId w:val="95"/>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Business combinations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The following table summarises the preliminary allocation of the consideration transferred based on management’s estimates of Merger Date fair values of assets acquired and liabilities assumed, with the excess of the purchase price over the estimated fair values of the identifiable net assets acquired recorded as goodwill:</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160" w:type="dxa"/>
            <w:vAlign w:val="bottom"/>
            <w:shd w:val="clear" w:color="auto" w:fill="CCEEFF"/>
          </w:tcPr>
          <w:p>
            <w:pPr>
              <w:spacing w:after="0"/>
              <w:rPr>
                <w:sz w:val="14"/>
                <w:szCs w:val="14"/>
                <w:color w:val="auto"/>
              </w:rPr>
            </w:pPr>
          </w:p>
        </w:tc>
        <w:tc>
          <w:tcPr>
            <w:tcW w:w="38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Fair value</w:t>
            </w:r>
          </w:p>
        </w:tc>
      </w:tr>
      <w:tr>
        <w:trPr>
          <w:trHeight w:val="170"/>
        </w:trPr>
        <w:tc>
          <w:tcPr>
            <w:tcW w:w="61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b w:val="1"/>
                <w:bCs w:val="1"/>
                <w:color w:val="auto"/>
              </w:rPr>
              <w:t>1 July</w:t>
            </w:r>
          </w:p>
        </w:tc>
      </w:tr>
      <w:tr>
        <w:trPr>
          <w:trHeight w:val="170"/>
        </w:trPr>
        <w:tc>
          <w:tcPr>
            <w:tcW w:w="6160" w:type="dxa"/>
            <w:vAlign w:val="bottom"/>
            <w:tcBorders>
              <w:bottom w:val="single" w:sz="8" w:color="auto"/>
            </w:tcBorders>
            <w:shd w:val="clear" w:color="auto" w:fill="CCEEFF"/>
          </w:tcPr>
          <w:p>
            <w:pPr>
              <w:spacing w:after="0"/>
              <w:rPr>
                <w:sz w:val="14"/>
                <w:szCs w:val="14"/>
                <w:color w:val="auto"/>
              </w:rPr>
            </w:pPr>
          </w:p>
        </w:tc>
        <w:tc>
          <w:tcPr>
            <w:tcW w:w="388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2021</w:t>
            </w:r>
          </w:p>
        </w:tc>
      </w:tr>
      <w:tr>
        <w:trPr>
          <w:trHeight w:val="160"/>
        </w:trPr>
        <w:tc>
          <w:tcPr>
            <w:tcW w:w="616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3"/>
                <w:szCs w:val="13"/>
                <w:b w:val="1"/>
                <w:bCs w:val="1"/>
                <w:color w:val="auto"/>
              </w:rPr>
              <w:t>(in thousands)</w:t>
            </w:r>
          </w:p>
        </w:tc>
      </w:tr>
      <w:tr>
        <w:trPr>
          <w:trHeight w:val="170"/>
        </w:trPr>
        <w:tc>
          <w:tcPr>
            <w:tcW w:w="6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and cash equivalents</w:t>
            </w:r>
          </w:p>
        </w:tc>
        <w:tc>
          <w:tcPr>
            <w:tcW w:w="388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259,971</w:t>
            </w:r>
          </w:p>
        </w:tc>
      </w:tr>
      <w:tr>
        <w:trPr>
          <w:trHeight w:val="169"/>
        </w:trPr>
        <w:tc>
          <w:tcPr>
            <w:tcW w:w="6160" w:type="dxa"/>
            <w:vAlign w:val="bottom"/>
          </w:tcPr>
          <w:p>
            <w:pPr>
              <w:ind w:left="20"/>
              <w:spacing w:after="0"/>
              <w:rPr>
                <w:sz w:val="20"/>
                <w:szCs w:val="20"/>
                <w:color w:val="auto"/>
              </w:rPr>
            </w:pPr>
            <w:r>
              <w:rPr>
                <w:rFonts w:ascii="Arial" w:cs="Arial" w:eastAsia="Arial" w:hAnsi="Arial"/>
                <w:sz w:val="13"/>
                <w:szCs w:val="13"/>
                <w:color w:val="auto"/>
              </w:rPr>
              <w:t>Accounts receivable and unbilled revenue</w:t>
            </w:r>
          </w:p>
        </w:tc>
        <w:tc>
          <w:tcPr>
            <w:tcW w:w="38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934,308</w:t>
            </w:r>
          </w:p>
        </w:tc>
      </w:tr>
      <w:tr>
        <w:trPr>
          <w:trHeight w:val="171"/>
        </w:trPr>
        <w:tc>
          <w:tcPr>
            <w:tcW w:w="6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current assets</w:t>
            </w:r>
          </w:p>
        </w:tc>
        <w:tc>
          <w:tcPr>
            <w:tcW w:w="38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125,156</w:t>
            </w:r>
          </w:p>
        </w:tc>
      </w:tr>
      <w:tr>
        <w:trPr>
          <w:trHeight w:val="169"/>
        </w:trPr>
        <w:tc>
          <w:tcPr>
            <w:tcW w:w="6160" w:type="dxa"/>
            <w:vAlign w:val="bottom"/>
          </w:tcPr>
          <w:p>
            <w:pPr>
              <w:ind w:left="20"/>
              <w:spacing w:after="0"/>
              <w:rPr>
                <w:sz w:val="20"/>
                <w:szCs w:val="20"/>
                <w:color w:val="auto"/>
              </w:rPr>
            </w:pPr>
            <w:r>
              <w:rPr>
                <w:rFonts w:ascii="Arial" w:cs="Arial" w:eastAsia="Arial" w:hAnsi="Arial"/>
                <w:sz w:val="13"/>
                <w:szCs w:val="13"/>
                <w:color w:val="auto"/>
              </w:rPr>
              <w:t>Property, plant and equipment</w:t>
            </w:r>
          </w:p>
        </w:tc>
        <w:tc>
          <w:tcPr>
            <w:tcW w:w="38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101,743</w:t>
            </w:r>
          </w:p>
        </w:tc>
      </w:tr>
      <w:tr>
        <w:trPr>
          <w:trHeight w:val="171"/>
        </w:trPr>
        <w:tc>
          <w:tcPr>
            <w:tcW w:w="6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lease right-of-use assets</w:t>
            </w:r>
          </w:p>
        </w:tc>
        <w:tc>
          <w:tcPr>
            <w:tcW w:w="38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180,679</w:t>
            </w:r>
          </w:p>
        </w:tc>
      </w:tr>
      <w:tr>
        <w:trPr>
          <w:trHeight w:val="169"/>
        </w:trPr>
        <w:tc>
          <w:tcPr>
            <w:tcW w:w="6160" w:type="dxa"/>
            <w:vAlign w:val="bottom"/>
          </w:tcPr>
          <w:p>
            <w:pPr>
              <w:ind w:left="20"/>
              <w:spacing w:after="0"/>
              <w:rPr>
                <w:sz w:val="20"/>
                <w:szCs w:val="20"/>
                <w:color w:val="auto"/>
              </w:rPr>
            </w:pPr>
            <w:r>
              <w:rPr>
                <w:rFonts w:ascii="Arial" w:cs="Arial" w:eastAsia="Arial" w:hAnsi="Arial"/>
                <w:sz w:val="13"/>
                <w:szCs w:val="13"/>
                <w:color w:val="auto"/>
              </w:rPr>
              <w:t>Goodwill *</w:t>
            </w:r>
          </w:p>
        </w:tc>
        <w:tc>
          <w:tcPr>
            <w:tcW w:w="38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8,159,582</w:t>
            </w:r>
          </w:p>
        </w:tc>
      </w:tr>
      <w:tr>
        <w:trPr>
          <w:trHeight w:val="171"/>
        </w:trPr>
        <w:tc>
          <w:tcPr>
            <w:tcW w:w="6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Intangible assets</w:t>
            </w:r>
          </w:p>
        </w:tc>
        <w:tc>
          <w:tcPr>
            <w:tcW w:w="38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4,941,119</w:t>
            </w:r>
          </w:p>
        </w:tc>
      </w:tr>
      <w:tr>
        <w:trPr>
          <w:trHeight w:val="169"/>
        </w:trPr>
        <w:tc>
          <w:tcPr>
            <w:tcW w:w="6160" w:type="dxa"/>
            <w:vAlign w:val="bottom"/>
          </w:tcPr>
          <w:p>
            <w:pPr>
              <w:ind w:left="20"/>
              <w:spacing w:after="0"/>
              <w:rPr>
                <w:sz w:val="20"/>
                <w:szCs w:val="20"/>
                <w:color w:val="auto"/>
              </w:rPr>
            </w:pPr>
            <w:r>
              <w:rPr>
                <w:rFonts w:ascii="Arial" w:cs="Arial" w:eastAsia="Arial" w:hAnsi="Arial"/>
                <w:sz w:val="13"/>
                <w:szCs w:val="13"/>
                <w:color w:val="auto"/>
              </w:rPr>
              <w:t>Deferred tax assets</w:t>
            </w:r>
          </w:p>
        </w:tc>
        <w:tc>
          <w:tcPr>
            <w:tcW w:w="38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31,497</w:t>
            </w:r>
          </w:p>
        </w:tc>
      </w:tr>
      <w:tr>
        <w:trPr>
          <w:trHeight w:val="171"/>
        </w:trPr>
        <w:tc>
          <w:tcPr>
            <w:tcW w:w="6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assets</w:t>
            </w:r>
          </w:p>
        </w:tc>
        <w:tc>
          <w:tcPr>
            <w:tcW w:w="38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33,928</w:t>
            </w:r>
          </w:p>
        </w:tc>
      </w:tr>
      <w:tr>
        <w:trPr>
          <w:trHeight w:val="169"/>
        </w:trPr>
        <w:tc>
          <w:tcPr>
            <w:tcW w:w="6160" w:type="dxa"/>
            <w:vAlign w:val="bottom"/>
          </w:tcPr>
          <w:p>
            <w:pPr>
              <w:ind w:left="20"/>
              <w:spacing w:after="0"/>
              <w:rPr>
                <w:sz w:val="20"/>
                <w:szCs w:val="20"/>
                <w:color w:val="auto"/>
              </w:rPr>
            </w:pPr>
            <w:r>
              <w:rPr>
                <w:rFonts w:ascii="Arial" w:cs="Arial" w:eastAsia="Arial" w:hAnsi="Arial"/>
                <w:sz w:val="13"/>
                <w:szCs w:val="13"/>
                <w:color w:val="auto"/>
              </w:rPr>
              <w:t>Accounts payable</w:t>
            </w:r>
          </w:p>
        </w:tc>
        <w:tc>
          <w:tcPr>
            <w:tcW w:w="38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(50,259)</w:t>
            </w:r>
          </w:p>
        </w:tc>
      </w:tr>
      <w:tr>
        <w:trPr>
          <w:trHeight w:val="171"/>
        </w:trPr>
        <w:tc>
          <w:tcPr>
            <w:tcW w:w="6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Accrued expenses and other current liabilities</w:t>
            </w:r>
          </w:p>
        </w:tc>
        <w:tc>
          <w:tcPr>
            <w:tcW w:w="38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(380,342)</w:t>
            </w:r>
          </w:p>
        </w:tc>
      </w:tr>
      <w:tr>
        <w:trPr>
          <w:trHeight w:val="169"/>
        </w:trPr>
        <w:tc>
          <w:tcPr>
            <w:tcW w:w="6160" w:type="dxa"/>
            <w:vAlign w:val="bottom"/>
          </w:tcPr>
          <w:p>
            <w:pPr>
              <w:ind w:left="20"/>
              <w:spacing w:after="0"/>
              <w:rPr>
                <w:sz w:val="20"/>
                <w:szCs w:val="20"/>
                <w:color w:val="auto"/>
              </w:rPr>
            </w:pPr>
            <w:r>
              <w:rPr>
                <w:rFonts w:ascii="Arial" w:cs="Arial" w:eastAsia="Arial" w:hAnsi="Arial"/>
                <w:sz w:val="13"/>
                <w:szCs w:val="13"/>
                <w:color w:val="auto"/>
              </w:rPr>
              <w:t>Current portion of operating lease liabilities</w:t>
            </w:r>
          </w:p>
        </w:tc>
        <w:tc>
          <w:tcPr>
            <w:tcW w:w="38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(36,775)</w:t>
            </w:r>
          </w:p>
        </w:tc>
      </w:tr>
      <w:tr>
        <w:trPr>
          <w:trHeight w:val="171"/>
        </w:trPr>
        <w:tc>
          <w:tcPr>
            <w:tcW w:w="6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Unearned revenue</w:t>
            </w:r>
          </w:p>
        </w:tc>
        <w:tc>
          <w:tcPr>
            <w:tcW w:w="38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(723,278)</w:t>
            </w:r>
          </w:p>
        </w:tc>
      </w:tr>
      <w:tr>
        <w:trPr>
          <w:trHeight w:val="169"/>
        </w:trPr>
        <w:tc>
          <w:tcPr>
            <w:tcW w:w="6160" w:type="dxa"/>
            <w:vAlign w:val="bottom"/>
          </w:tcPr>
          <w:p>
            <w:pPr>
              <w:ind w:left="20"/>
              <w:spacing w:after="0"/>
              <w:rPr>
                <w:sz w:val="20"/>
                <w:szCs w:val="20"/>
                <w:color w:val="auto"/>
              </w:rPr>
            </w:pPr>
            <w:r>
              <w:rPr>
                <w:rFonts w:ascii="Arial" w:cs="Arial" w:eastAsia="Arial" w:hAnsi="Arial"/>
                <w:sz w:val="13"/>
                <w:szCs w:val="13"/>
                <w:color w:val="auto"/>
              </w:rPr>
              <w:t>Non-current portion of operating lease liabilities</w:t>
            </w:r>
          </w:p>
        </w:tc>
        <w:tc>
          <w:tcPr>
            <w:tcW w:w="38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(146,903)</w:t>
            </w:r>
          </w:p>
        </w:tc>
      </w:tr>
      <w:tr>
        <w:trPr>
          <w:trHeight w:val="171"/>
        </w:trPr>
        <w:tc>
          <w:tcPr>
            <w:tcW w:w="6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tax liabilities</w:t>
            </w:r>
          </w:p>
        </w:tc>
        <w:tc>
          <w:tcPr>
            <w:tcW w:w="38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(1,126,950)</w:t>
            </w:r>
          </w:p>
        </w:tc>
      </w:tr>
      <w:tr>
        <w:trPr>
          <w:trHeight w:val="171"/>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Other non-current liabilities</w:t>
            </w:r>
          </w:p>
        </w:tc>
        <w:tc>
          <w:tcPr>
            <w:tcW w:w="38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(203,297)</w:t>
            </w:r>
          </w:p>
        </w:tc>
      </w:tr>
      <w:tr>
        <w:trPr>
          <w:trHeight w:val="191"/>
        </w:trPr>
        <w:tc>
          <w:tcPr>
            <w:tcW w:w="6160" w:type="dxa"/>
            <w:vAlign w:val="bottom"/>
            <w:shd w:val="clear" w:color="auto" w:fill="CCEEFF"/>
          </w:tcPr>
          <w:p>
            <w:pPr>
              <w:spacing w:after="0"/>
              <w:rPr>
                <w:sz w:val="16"/>
                <w:szCs w:val="16"/>
                <w:color w:val="auto"/>
              </w:rPr>
            </w:pPr>
          </w:p>
        </w:tc>
        <w:tc>
          <w:tcPr>
            <w:tcW w:w="38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70"/>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Net assets acquired</w:t>
            </w:r>
          </w:p>
        </w:tc>
        <w:tc>
          <w:tcPr>
            <w:tcW w:w="388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12,100,179</w:t>
            </w:r>
          </w:p>
        </w:tc>
      </w:tr>
    </w:tbl>
    <w:p>
      <w:pPr>
        <w:spacing w:after="0" w:line="234" w:lineRule="exact"/>
        <w:rPr>
          <w:sz w:val="20"/>
          <w:szCs w:val="20"/>
          <w:color w:val="auto"/>
        </w:rPr>
      </w:pPr>
    </w:p>
    <w:p>
      <w:pPr>
        <w:ind w:firstLine="5"/>
        <w:spacing w:after="0" w:line="266" w:lineRule="auto"/>
        <w:tabs>
          <w:tab w:leader="none" w:pos="91" w:val="left"/>
        </w:tabs>
        <w:numPr>
          <w:ilvl w:val="0"/>
          <w:numId w:val="96"/>
        </w:numPr>
        <w:rPr>
          <w:rFonts w:ascii="Arial" w:cs="Arial" w:eastAsia="Arial" w:hAnsi="Arial"/>
          <w:sz w:val="13"/>
          <w:szCs w:val="13"/>
          <w:color w:val="auto"/>
        </w:rPr>
      </w:pPr>
      <w:r>
        <w:rPr>
          <w:rFonts w:ascii="Arial" w:cs="Arial" w:eastAsia="Arial" w:hAnsi="Arial"/>
          <w:sz w:val="13"/>
          <w:szCs w:val="13"/>
          <w:color w:val="auto"/>
        </w:rPr>
        <w:t>The goodwill in connection with the Merger is primarily attributable to the assembled workforce of PRA and the expected synergies of the Merger. None of the goodwill recognised is expected to be deductible for income tax purposes.</w:t>
      </w:r>
    </w:p>
    <w:p>
      <w:pPr>
        <w:spacing w:after="0" w:line="157"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The following table summarises the preliminary estimates of the fair value of identified intangible assets and their respective useful lives as of the Merger Date (in thousands, except for estimated useful lives):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00" w:type="dxa"/>
            <w:vAlign w:val="bottom"/>
            <w:shd w:val="clear" w:color="auto" w:fill="CCEEFF"/>
          </w:tcPr>
          <w:p>
            <w:pPr>
              <w:spacing w:after="0"/>
              <w:rPr>
                <w:sz w:val="14"/>
                <w:szCs w:val="14"/>
                <w:color w:val="auto"/>
              </w:rPr>
            </w:pPr>
          </w:p>
        </w:tc>
        <w:tc>
          <w:tcPr>
            <w:tcW w:w="410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3"/>
                <w:szCs w:val="13"/>
                <w:b w:val="1"/>
                <w:bCs w:val="1"/>
                <w:color w:val="auto"/>
              </w:rPr>
              <w:t>Estimated Fair Value</w:t>
            </w:r>
          </w:p>
        </w:tc>
        <w:tc>
          <w:tcPr>
            <w:tcW w:w="2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Estimated Useful Life</w:t>
            </w:r>
          </w:p>
        </w:tc>
      </w:tr>
      <w:tr>
        <w:trPr>
          <w:trHeight w:val="159"/>
        </w:trPr>
        <w:tc>
          <w:tcPr>
            <w:tcW w:w="4900" w:type="dxa"/>
            <w:vAlign w:val="bottom"/>
          </w:tcPr>
          <w:p>
            <w:pPr>
              <w:ind w:left="20"/>
              <w:spacing w:after="0"/>
              <w:rPr>
                <w:sz w:val="20"/>
                <w:szCs w:val="20"/>
                <w:color w:val="auto"/>
              </w:rPr>
            </w:pPr>
            <w:r>
              <w:rPr>
                <w:rFonts w:ascii="Arial" w:cs="Arial" w:eastAsia="Arial" w:hAnsi="Arial"/>
                <w:sz w:val="13"/>
                <w:szCs w:val="13"/>
                <w:color w:val="auto"/>
              </w:rPr>
              <w:t>Customer relationships</w:t>
            </w:r>
          </w:p>
        </w:tc>
        <w:tc>
          <w:tcPr>
            <w:tcW w:w="4100" w:type="dxa"/>
            <w:vAlign w:val="bottom"/>
          </w:tcPr>
          <w:p>
            <w:pPr>
              <w:jc w:val="right"/>
              <w:ind w:right="916"/>
              <w:spacing w:after="0"/>
              <w:rPr>
                <w:sz w:val="20"/>
                <w:szCs w:val="20"/>
                <w:color w:val="auto"/>
              </w:rPr>
            </w:pPr>
            <w:r>
              <w:rPr>
                <w:rFonts w:ascii="Arial" w:cs="Arial" w:eastAsia="Arial" w:hAnsi="Arial"/>
                <w:sz w:val="13"/>
                <w:szCs w:val="13"/>
                <w:color w:val="auto"/>
              </w:rPr>
              <w:t>3,915,000</w:t>
            </w:r>
          </w:p>
        </w:tc>
        <w:tc>
          <w:tcPr>
            <w:tcW w:w="2260" w:type="dxa"/>
            <w:vAlign w:val="bottom"/>
          </w:tcPr>
          <w:p>
            <w:pPr>
              <w:jc w:val="right"/>
              <w:spacing w:after="0"/>
              <w:rPr>
                <w:sz w:val="20"/>
                <w:szCs w:val="20"/>
                <w:color w:val="auto"/>
              </w:rPr>
            </w:pPr>
            <w:r>
              <w:rPr>
                <w:rFonts w:ascii="Arial" w:cs="Arial" w:eastAsia="Arial" w:hAnsi="Arial"/>
                <w:sz w:val="13"/>
                <w:szCs w:val="13"/>
                <w:color w:val="auto"/>
              </w:rPr>
              <w:t>23 years</w:t>
            </w:r>
          </w:p>
        </w:tc>
      </w:tr>
      <w:tr>
        <w:trPr>
          <w:trHeight w:val="171"/>
        </w:trPr>
        <w:tc>
          <w:tcPr>
            <w:tcW w:w="4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Order backlog</w:t>
            </w:r>
          </w:p>
        </w:tc>
        <w:tc>
          <w:tcPr>
            <w:tcW w:w="4100" w:type="dxa"/>
            <w:vAlign w:val="bottom"/>
            <w:shd w:val="clear" w:color="auto" w:fill="CCEEFF"/>
          </w:tcPr>
          <w:p>
            <w:pPr>
              <w:jc w:val="right"/>
              <w:ind w:right="916"/>
              <w:spacing w:after="0"/>
              <w:rPr>
                <w:sz w:val="20"/>
                <w:szCs w:val="20"/>
                <w:color w:val="auto"/>
              </w:rPr>
            </w:pPr>
            <w:r>
              <w:rPr>
                <w:rFonts w:ascii="Arial" w:cs="Arial" w:eastAsia="Arial" w:hAnsi="Arial"/>
                <w:sz w:val="13"/>
                <w:szCs w:val="13"/>
                <w:color w:val="auto"/>
              </w:rPr>
              <w:t>490,000</w:t>
            </w:r>
          </w:p>
        </w:tc>
        <w:tc>
          <w:tcPr>
            <w:tcW w:w="2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 years</w:t>
            </w:r>
          </w:p>
        </w:tc>
      </w:tr>
      <w:tr>
        <w:trPr>
          <w:trHeight w:val="169"/>
        </w:trPr>
        <w:tc>
          <w:tcPr>
            <w:tcW w:w="4900" w:type="dxa"/>
            <w:vAlign w:val="bottom"/>
          </w:tcPr>
          <w:p>
            <w:pPr>
              <w:ind w:left="20"/>
              <w:spacing w:after="0"/>
              <w:rPr>
                <w:sz w:val="20"/>
                <w:szCs w:val="20"/>
                <w:color w:val="auto"/>
              </w:rPr>
            </w:pPr>
            <w:r>
              <w:rPr>
                <w:rFonts w:ascii="Arial" w:cs="Arial" w:eastAsia="Arial" w:hAnsi="Arial"/>
                <w:sz w:val="13"/>
                <w:szCs w:val="13"/>
                <w:color w:val="auto"/>
              </w:rPr>
              <w:t>Trade names</w:t>
            </w:r>
          </w:p>
        </w:tc>
        <w:tc>
          <w:tcPr>
            <w:tcW w:w="4100" w:type="dxa"/>
            <w:vAlign w:val="bottom"/>
          </w:tcPr>
          <w:p>
            <w:pPr>
              <w:jc w:val="right"/>
              <w:ind w:right="916"/>
              <w:spacing w:after="0"/>
              <w:rPr>
                <w:sz w:val="20"/>
                <w:szCs w:val="20"/>
                <w:color w:val="auto"/>
              </w:rPr>
            </w:pPr>
            <w:r>
              <w:rPr>
                <w:rFonts w:ascii="Arial" w:cs="Arial" w:eastAsia="Arial" w:hAnsi="Arial"/>
                <w:sz w:val="13"/>
                <w:szCs w:val="13"/>
                <w:color w:val="auto"/>
              </w:rPr>
              <w:t>202,000</w:t>
            </w:r>
          </w:p>
        </w:tc>
        <w:tc>
          <w:tcPr>
            <w:tcW w:w="2260" w:type="dxa"/>
            <w:vAlign w:val="bottom"/>
          </w:tcPr>
          <w:p>
            <w:pPr>
              <w:jc w:val="right"/>
              <w:spacing w:after="0"/>
              <w:rPr>
                <w:sz w:val="20"/>
                <w:szCs w:val="20"/>
                <w:color w:val="auto"/>
              </w:rPr>
            </w:pPr>
            <w:r>
              <w:rPr>
                <w:rFonts w:ascii="Arial" w:cs="Arial" w:eastAsia="Arial" w:hAnsi="Arial"/>
                <w:sz w:val="13"/>
                <w:szCs w:val="13"/>
                <w:color w:val="auto"/>
              </w:rPr>
              <w:t>3 years</w:t>
            </w:r>
          </w:p>
        </w:tc>
      </w:tr>
      <w:tr>
        <w:trPr>
          <w:trHeight w:val="171"/>
        </w:trPr>
        <w:tc>
          <w:tcPr>
            <w:tcW w:w="4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Patient database</w:t>
            </w:r>
          </w:p>
        </w:tc>
        <w:tc>
          <w:tcPr>
            <w:tcW w:w="4100" w:type="dxa"/>
            <w:vAlign w:val="bottom"/>
            <w:shd w:val="clear" w:color="auto" w:fill="CCEEFF"/>
          </w:tcPr>
          <w:p>
            <w:pPr>
              <w:jc w:val="right"/>
              <w:ind w:right="916"/>
              <w:spacing w:after="0"/>
              <w:rPr>
                <w:sz w:val="20"/>
                <w:szCs w:val="20"/>
                <w:color w:val="auto"/>
              </w:rPr>
            </w:pPr>
            <w:r>
              <w:rPr>
                <w:rFonts w:ascii="Arial" w:cs="Arial" w:eastAsia="Arial" w:hAnsi="Arial"/>
                <w:sz w:val="13"/>
                <w:szCs w:val="13"/>
                <w:color w:val="auto"/>
              </w:rPr>
              <w:t>168,000</w:t>
            </w:r>
          </w:p>
        </w:tc>
        <w:tc>
          <w:tcPr>
            <w:tcW w:w="2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 years</w:t>
            </w:r>
          </w:p>
        </w:tc>
      </w:tr>
      <w:tr>
        <w:trPr>
          <w:trHeight w:val="169"/>
        </w:trPr>
        <w:tc>
          <w:tcPr>
            <w:tcW w:w="4900" w:type="dxa"/>
            <w:vAlign w:val="bottom"/>
          </w:tcPr>
          <w:p>
            <w:pPr>
              <w:ind w:left="20"/>
              <w:spacing w:after="0"/>
              <w:rPr>
                <w:sz w:val="20"/>
                <w:szCs w:val="20"/>
                <w:color w:val="auto"/>
              </w:rPr>
            </w:pPr>
            <w:r>
              <w:rPr>
                <w:rFonts w:ascii="Arial" w:cs="Arial" w:eastAsia="Arial" w:hAnsi="Arial"/>
                <w:sz w:val="13"/>
                <w:szCs w:val="13"/>
                <w:color w:val="auto"/>
              </w:rPr>
              <w:t>Technology assets</w:t>
            </w:r>
          </w:p>
        </w:tc>
        <w:tc>
          <w:tcPr>
            <w:tcW w:w="4100" w:type="dxa"/>
            <w:vAlign w:val="bottom"/>
          </w:tcPr>
          <w:p>
            <w:pPr>
              <w:jc w:val="right"/>
              <w:ind w:right="916"/>
              <w:spacing w:after="0"/>
              <w:rPr>
                <w:sz w:val="20"/>
                <w:szCs w:val="20"/>
                <w:color w:val="auto"/>
              </w:rPr>
            </w:pPr>
            <w:r>
              <w:rPr>
                <w:rFonts w:ascii="Arial" w:cs="Arial" w:eastAsia="Arial" w:hAnsi="Arial"/>
                <w:sz w:val="13"/>
                <w:szCs w:val="13"/>
                <w:color w:val="auto"/>
              </w:rPr>
              <w:t>111,000</w:t>
            </w:r>
          </w:p>
        </w:tc>
        <w:tc>
          <w:tcPr>
            <w:tcW w:w="2260" w:type="dxa"/>
            <w:vAlign w:val="bottom"/>
          </w:tcPr>
          <w:p>
            <w:pPr>
              <w:jc w:val="right"/>
              <w:spacing w:after="0"/>
              <w:rPr>
                <w:sz w:val="20"/>
                <w:szCs w:val="20"/>
                <w:color w:val="auto"/>
              </w:rPr>
            </w:pPr>
            <w:r>
              <w:rPr>
                <w:rFonts w:ascii="Arial" w:cs="Arial" w:eastAsia="Arial" w:hAnsi="Arial"/>
                <w:sz w:val="13"/>
                <w:szCs w:val="13"/>
                <w:color w:val="auto"/>
              </w:rPr>
              <w:t>5 years</w:t>
            </w:r>
          </w:p>
        </w:tc>
      </w:tr>
      <w:tr>
        <w:trPr>
          <w:trHeight w:val="170"/>
        </w:trPr>
        <w:tc>
          <w:tcPr>
            <w:tcW w:w="4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Software</w:t>
            </w:r>
          </w:p>
        </w:tc>
        <w:tc>
          <w:tcPr>
            <w:tcW w:w="4100" w:type="dxa"/>
            <w:vAlign w:val="bottom"/>
            <w:tcBorders>
              <w:bottom w:val="single" w:sz="8" w:color="auto"/>
            </w:tcBorders>
            <w:shd w:val="clear" w:color="auto" w:fill="CCEEFF"/>
          </w:tcPr>
          <w:p>
            <w:pPr>
              <w:jc w:val="right"/>
              <w:ind w:right="916"/>
              <w:spacing w:after="0"/>
              <w:rPr>
                <w:sz w:val="20"/>
                <w:szCs w:val="20"/>
                <w:color w:val="auto"/>
              </w:rPr>
            </w:pPr>
            <w:r>
              <w:rPr>
                <w:rFonts w:ascii="Arial" w:cs="Arial" w:eastAsia="Arial" w:hAnsi="Arial"/>
                <w:sz w:val="13"/>
                <w:szCs w:val="13"/>
                <w:color w:val="auto"/>
              </w:rPr>
              <w:t>55,119</w:t>
            </w:r>
          </w:p>
        </w:tc>
        <w:tc>
          <w:tcPr>
            <w:tcW w:w="2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 years</w:t>
            </w:r>
          </w:p>
        </w:tc>
      </w:tr>
      <w:tr>
        <w:trPr>
          <w:trHeight w:val="160"/>
        </w:trPr>
        <w:tc>
          <w:tcPr>
            <w:tcW w:w="4900" w:type="dxa"/>
            <w:vAlign w:val="bottom"/>
            <w:tcBorders>
              <w:bottom w:val="single" w:sz="8" w:color="auto"/>
            </w:tcBorders>
          </w:tcPr>
          <w:p>
            <w:pPr>
              <w:spacing w:after="0"/>
              <w:rPr>
                <w:sz w:val="13"/>
                <w:szCs w:val="13"/>
                <w:color w:val="auto"/>
              </w:rPr>
            </w:pPr>
          </w:p>
        </w:tc>
        <w:tc>
          <w:tcPr>
            <w:tcW w:w="4100" w:type="dxa"/>
            <w:vAlign w:val="bottom"/>
            <w:tcBorders>
              <w:bottom w:val="single" w:sz="8" w:color="auto"/>
            </w:tcBorders>
          </w:tcPr>
          <w:p>
            <w:pPr>
              <w:jc w:val="right"/>
              <w:ind w:right="916"/>
              <w:spacing w:after="0"/>
              <w:rPr>
                <w:sz w:val="20"/>
                <w:szCs w:val="20"/>
                <w:color w:val="auto"/>
              </w:rPr>
            </w:pPr>
            <w:r>
              <w:rPr>
                <w:rFonts w:ascii="Arial" w:cs="Arial" w:eastAsia="Arial" w:hAnsi="Arial"/>
                <w:sz w:val="13"/>
                <w:szCs w:val="13"/>
                <w:color w:val="auto"/>
              </w:rPr>
              <w:t>4,941,119</w:t>
            </w:r>
          </w:p>
        </w:tc>
        <w:tc>
          <w:tcPr>
            <w:tcW w:w="2260" w:type="dxa"/>
            <w:vAlign w:val="bottom"/>
            <w:tcBorders>
              <w:bottom w:val="single" w:sz="8" w:color="auto"/>
            </w:tcBorders>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ectPr>
          <w:pgSz w:w="11900" w:h="16838" w:orient="portrait"/>
          <w:cols w:equalWidth="0" w:num="1">
            <w:col w:w="11280"/>
          </w:cols>
          <w:pgMar w:left="300" w:top="698" w:right="31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190" w:lineRule="exact"/>
        <w:rPr>
          <w:sz w:val="20"/>
          <w:szCs w:val="20"/>
          <w:color w:val="auto"/>
        </w:rPr>
      </w:pPr>
    </w:p>
    <w:p>
      <w:pPr>
        <w:ind w:left="320" w:hanging="315"/>
        <w:spacing w:after="0"/>
        <w:tabs>
          <w:tab w:leader="none" w:pos="320" w:val="left"/>
        </w:tabs>
        <w:numPr>
          <w:ilvl w:val="0"/>
          <w:numId w:val="97"/>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Business combinations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2"/>
          <w:szCs w:val="12"/>
          <w:color w:val="auto"/>
        </w:rPr>
        <w:t>The valuation of intangible assets required management to develop discounted cash flow models which required the use of reasonable and supportable inputs such as customer attrition data, discount</w:t>
      </w:r>
    </w:p>
    <w:p>
      <w:pPr>
        <w:spacing w:after="0" w:line="53"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rates developed from various weighted average cost of capital assumptions, growth rates, margin forecasting and assessment of useful lives. The following table summarises the key assumptions used in the valuation models: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40" w:type="dxa"/>
            <w:vAlign w:val="bottom"/>
            <w:tcBorders>
              <w:bottom w:val="single" w:sz="8" w:color="auto"/>
            </w:tcBorders>
            <w:shd w:val="clear" w:color="auto" w:fill="CCEEFF"/>
          </w:tcPr>
          <w:p>
            <w:pPr>
              <w:spacing w:after="0"/>
              <w:rPr>
                <w:sz w:val="14"/>
                <w:szCs w:val="14"/>
                <w:color w:val="auto"/>
              </w:rPr>
            </w:pPr>
          </w:p>
        </w:tc>
        <w:tc>
          <w:tcPr>
            <w:tcW w:w="6120" w:type="dxa"/>
            <w:vAlign w:val="bottom"/>
            <w:tcBorders>
              <w:bottom w:val="single" w:sz="8" w:color="auto"/>
            </w:tcBorders>
            <w:shd w:val="clear" w:color="auto" w:fill="CCEEFF"/>
          </w:tcPr>
          <w:p>
            <w:pPr>
              <w:jc w:val="right"/>
              <w:ind w:right="1276"/>
              <w:spacing w:after="0"/>
              <w:rPr>
                <w:sz w:val="20"/>
                <w:szCs w:val="20"/>
                <w:color w:val="auto"/>
              </w:rPr>
            </w:pPr>
            <w:r>
              <w:rPr>
                <w:rFonts w:ascii="Arial" w:cs="Arial" w:eastAsia="Arial" w:hAnsi="Arial"/>
                <w:sz w:val="13"/>
                <w:szCs w:val="13"/>
                <w:b w:val="1"/>
                <w:bCs w:val="1"/>
                <w:color w:val="auto"/>
              </w:rPr>
              <w:t>Valuation input</w:t>
            </w:r>
          </w:p>
        </w:tc>
      </w:tr>
      <w:tr>
        <w:trPr>
          <w:trHeight w:val="159"/>
        </w:trPr>
        <w:tc>
          <w:tcPr>
            <w:tcW w:w="5140" w:type="dxa"/>
            <w:vAlign w:val="bottom"/>
          </w:tcPr>
          <w:p>
            <w:pPr>
              <w:ind w:left="20"/>
              <w:spacing w:after="0"/>
              <w:rPr>
                <w:sz w:val="20"/>
                <w:szCs w:val="20"/>
                <w:color w:val="auto"/>
              </w:rPr>
            </w:pPr>
            <w:r>
              <w:rPr>
                <w:rFonts w:ascii="Arial" w:cs="Arial" w:eastAsia="Arial" w:hAnsi="Arial"/>
                <w:sz w:val="13"/>
                <w:szCs w:val="13"/>
                <w:color w:val="auto"/>
              </w:rPr>
              <w:t>Customer attrition rate</w:t>
            </w:r>
          </w:p>
        </w:tc>
        <w:tc>
          <w:tcPr>
            <w:tcW w:w="6120" w:type="dxa"/>
            <w:vAlign w:val="bottom"/>
          </w:tcPr>
          <w:p>
            <w:pPr>
              <w:jc w:val="right"/>
              <w:spacing w:after="0"/>
              <w:rPr>
                <w:sz w:val="20"/>
                <w:szCs w:val="20"/>
                <w:color w:val="auto"/>
              </w:rPr>
            </w:pPr>
            <w:r>
              <w:rPr>
                <w:rFonts w:ascii="Arial" w:cs="Arial" w:eastAsia="Arial" w:hAnsi="Arial"/>
                <w:sz w:val="13"/>
                <w:szCs w:val="13"/>
                <w:color w:val="auto"/>
              </w:rPr>
              <w:t>5.0 %</w:t>
            </w:r>
          </w:p>
        </w:tc>
      </w:tr>
      <w:tr>
        <w:trPr>
          <w:trHeight w:val="171"/>
        </w:trPr>
        <w:tc>
          <w:tcPr>
            <w:tcW w:w="5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Overall discount rate</w:t>
            </w:r>
          </w:p>
        </w:tc>
        <w:tc>
          <w:tcPr>
            <w:tcW w:w="6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 - 9.0%</w:t>
            </w:r>
          </w:p>
        </w:tc>
      </w:tr>
      <w:tr>
        <w:trPr>
          <w:trHeight w:val="169"/>
        </w:trPr>
        <w:tc>
          <w:tcPr>
            <w:tcW w:w="5140" w:type="dxa"/>
            <w:vAlign w:val="bottom"/>
          </w:tcPr>
          <w:p>
            <w:pPr>
              <w:ind w:left="20"/>
              <w:spacing w:after="0"/>
              <w:rPr>
                <w:sz w:val="20"/>
                <w:szCs w:val="20"/>
                <w:color w:val="auto"/>
              </w:rPr>
            </w:pPr>
            <w:r>
              <w:rPr>
                <w:rFonts w:ascii="Arial" w:cs="Arial" w:eastAsia="Arial" w:hAnsi="Arial"/>
                <w:sz w:val="13"/>
                <w:szCs w:val="13"/>
                <w:color w:val="auto"/>
              </w:rPr>
              <w:t>Overall growth rates</w:t>
            </w:r>
          </w:p>
        </w:tc>
        <w:tc>
          <w:tcPr>
            <w:tcW w:w="6120" w:type="dxa"/>
            <w:vAlign w:val="bottom"/>
          </w:tcPr>
          <w:p>
            <w:pPr>
              <w:jc w:val="right"/>
              <w:spacing w:after="0"/>
              <w:rPr>
                <w:sz w:val="20"/>
                <w:szCs w:val="20"/>
                <w:color w:val="auto"/>
              </w:rPr>
            </w:pPr>
            <w:r>
              <w:rPr>
                <w:rFonts w:ascii="Arial" w:cs="Arial" w:eastAsia="Arial" w:hAnsi="Arial"/>
                <w:sz w:val="13"/>
                <w:szCs w:val="13"/>
                <w:color w:val="auto"/>
              </w:rPr>
              <w:t>3.0% - 8.0%</w:t>
            </w:r>
          </w:p>
        </w:tc>
      </w:tr>
      <w:tr>
        <w:trPr>
          <w:trHeight w:val="171"/>
        </w:trPr>
        <w:tc>
          <w:tcPr>
            <w:tcW w:w="5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Margin estimates</w:t>
            </w:r>
          </w:p>
        </w:tc>
        <w:tc>
          <w:tcPr>
            <w:tcW w:w="6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 - 21.0%</w:t>
            </w:r>
          </w:p>
        </w:tc>
      </w:tr>
    </w:tbl>
    <w:p>
      <w:pPr>
        <w:spacing w:after="0" w:line="244" w:lineRule="exact"/>
        <w:rPr>
          <w:sz w:val="20"/>
          <w:szCs w:val="20"/>
          <w:color w:val="auto"/>
        </w:rPr>
      </w:pPr>
    </w:p>
    <w:p>
      <w:pPr>
        <w:spacing w:after="0"/>
        <w:rPr>
          <w:sz w:val="20"/>
          <w:szCs w:val="20"/>
          <w:color w:val="auto"/>
        </w:rPr>
      </w:pPr>
      <w:r>
        <w:rPr>
          <w:rFonts w:ascii="Arial" w:cs="Arial" w:eastAsia="Arial" w:hAnsi="Arial"/>
          <w:sz w:val="13"/>
          <w:szCs w:val="13"/>
          <w:color w:val="auto"/>
        </w:rPr>
        <w:t>Since 1 July 2021, PRA has earned revenue of $2,045.4 million and pre-tax net income of $189.9 million in the six months ended 31 December 2021.</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Unaudited Supplemental Pro Forma Information</w:t>
      </w:r>
    </w:p>
    <w:p>
      <w:pPr>
        <w:spacing w:after="0" w:line="190"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The following pro forma financial information was derived from the historical financial statements of the Company and PRA and presents the combined results of operations as if the Merger had occurred on 1 January 2020. The pro forma financial information is presented for comparative purposes only and is not necessarily indicative of the results that would have actually occurred had the Merger been completed on 1 January 2020. In addition, the pro forma financial information does not give effect to any anticipated cost savings, operating efficiencies or other synergies that may result from the Merger, or any estimated costs that have been or will be incurred by the Company to integrate the assets and operations of PRA. Consequently, actual future results of the Company will differ from the pro forma financial information presented below:</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74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Year Ended</w:t>
            </w:r>
          </w:p>
        </w:tc>
      </w:tr>
      <w:tr>
        <w:trPr>
          <w:trHeight w:val="160"/>
        </w:trPr>
        <w:tc>
          <w:tcPr>
            <w:tcW w:w="8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60" w:type="dxa"/>
            <w:vAlign w:val="bottom"/>
          </w:tcPr>
          <w:p>
            <w:pPr>
              <w:jc w:val="right"/>
              <w:spacing w:after="0"/>
              <w:rPr>
                <w:sz w:val="20"/>
                <w:szCs w:val="20"/>
                <w:color w:val="auto"/>
              </w:rPr>
            </w:pPr>
            <w:r>
              <w:rPr>
                <w:rFonts w:ascii="Arial" w:cs="Arial" w:eastAsia="Arial" w:hAnsi="Arial"/>
                <w:sz w:val="13"/>
                <w:szCs w:val="13"/>
                <w:b w:val="1"/>
                <w:bCs w:val="1"/>
                <w:color w:val="auto"/>
              </w:rPr>
              <w:t>31 December</w:t>
            </w:r>
          </w:p>
        </w:tc>
      </w:tr>
      <w:tr>
        <w:trPr>
          <w:trHeight w:val="170"/>
        </w:trPr>
        <w:tc>
          <w:tcPr>
            <w:tcW w:w="874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2021</w:t>
            </w:r>
          </w:p>
        </w:tc>
      </w:tr>
      <w:tr>
        <w:trPr>
          <w:trHeight w:val="160"/>
        </w:trPr>
        <w:tc>
          <w:tcPr>
            <w:tcW w:w="8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60" w:type="dxa"/>
            <w:vAlign w:val="bottom"/>
          </w:tcPr>
          <w:p>
            <w:pPr>
              <w:jc w:val="right"/>
              <w:ind w:right="756"/>
              <w:spacing w:after="0"/>
              <w:rPr>
                <w:sz w:val="20"/>
                <w:szCs w:val="20"/>
                <w:color w:val="auto"/>
              </w:rPr>
            </w:pPr>
            <w:r>
              <w:rPr>
                <w:rFonts w:ascii="Arial" w:cs="Arial" w:eastAsia="Arial" w:hAnsi="Arial"/>
                <w:sz w:val="13"/>
                <w:szCs w:val="13"/>
                <w:b w:val="1"/>
                <w:bCs w:val="1"/>
                <w:color w:val="auto"/>
              </w:rPr>
              <w:t>(in thousands)</w:t>
            </w:r>
          </w:p>
        </w:tc>
      </w:tr>
      <w:tr>
        <w:trPr>
          <w:trHeight w:val="170"/>
        </w:trPr>
        <w:tc>
          <w:tcPr>
            <w:tcW w:w="8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Revenue</w:t>
            </w:r>
          </w:p>
        </w:tc>
        <w:tc>
          <w:tcPr>
            <w:tcW w:w="46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7,462,000</w:t>
            </w:r>
          </w:p>
        </w:tc>
      </w:tr>
      <w:tr>
        <w:trPr>
          <w:trHeight w:val="169"/>
        </w:trPr>
        <w:tc>
          <w:tcPr>
            <w:tcW w:w="87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Net income</w:t>
            </w:r>
          </w:p>
        </w:tc>
        <w:tc>
          <w:tcPr>
            <w:tcW w:w="46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rPr>
              <w:t>$</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329,302</w:t>
            </w:r>
          </w:p>
        </w:tc>
      </w:tr>
    </w:tbl>
    <w:p>
      <w:pPr>
        <w:spacing w:after="0" w:line="287"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The pro forma adjustments primarily relate to the amortisation of acquired intangible assets, interest expense and amortisation of deferred financing costs related to the new financing arrangements. In addition, the pro forma net income for the year ended 31 December 2021 was adjusted to exclude certain Merger-related nonrecurring adjustments; these adjustments were included in the year ended 31 December 2020 giving effect to the Merger as if it had occurred on 1 January 2020. The nonrecurring Merger-related adjustments include transaction costs, share-based compensation expense related to the acceleration of share-based compensation awards and replacement share-based awards, and financing fees. The Merger-related adjustments were tax effected using the rates applicable to the jurisdictions where they arose.</w:t>
      </w:r>
    </w:p>
    <w:p>
      <w:pPr>
        <w:spacing w:after="0" w:line="181" w:lineRule="exact"/>
        <w:rPr>
          <w:sz w:val="20"/>
          <w:szCs w:val="20"/>
          <w:color w:val="auto"/>
        </w:rPr>
      </w:pPr>
    </w:p>
    <w:p>
      <w:pPr>
        <w:ind w:left="340" w:hanging="335"/>
        <w:spacing w:after="0"/>
        <w:tabs>
          <w:tab w:leader="none" w:pos="340" w:val="left"/>
        </w:tabs>
        <w:numPr>
          <w:ilvl w:val="0"/>
          <w:numId w:val="98"/>
        </w:numPr>
        <w:rPr>
          <w:rFonts w:ascii="Arial" w:cs="Arial" w:eastAsia="Arial" w:hAnsi="Arial"/>
          <w:sz w:val="13"/>
          <w:szCs w:val="13"/>
          <w:color w:val="auto"/>
        </w:rPr>
      </w:pPr>
      <w:r>
        <w:rPr>
          <w:rFonts w:ascii="Arial" w:cs="Arial" w:eastAsia="Arial" w:hAnsi="Arial"/>
          <w:sz w:val="13"/>
          <w:szCs w:val="13"/>
          <w:i w:val="1"/>
          <w:iCs w:val="1"/>
          <w:color w:val="auto"/>
        </w:rPr>
        <w:t>MedPass</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On 22 January 2020, a subsidiary of the Company, ICON Investments Limited acquired 100% of the equity share capital of the MedPass Group. MedPass is the leading European medical device CRO, regulatory and reimbursement consultancy, that specialises in medical device development and market access. The acquisition of MedPass further enhances ICON’s Medical Device and Diagnostic Research services, through the addition of new regulatory and clinical capabilities in Europe. The integration of MedPass’s services brings noted expertise in complex class 3 medical devices, interventional cardiology and structural heart devices</w:t>
      </w:r>
      <w:r>
        <w:rPr>
          <w:rFonts w:ascii="Times New Roman" w:cs="Times New Roman" w:eastAsia="Times New Roman" w:hAnsi="Times New Roman"/>
          <w:sz w:val="14"/>
          <w:szCs w:val="14"/>
          <w:color w:val="auto"/>
        </w:rPr>
        <w:t>.</w:t>
      </w:r>
      <w:r>
        <w:rPr>
          <w:rFonts w:ascii="Arial" w:cs="Arial" w:eastAsia="Arial" w:hAnsi="Arial"/>
          <w:sz w:val="13"/>
          <w:szCs w:val="13"/>
          <w:color w:val="auto"/>
        </w:rPr>
        <w:t xml:space="preserve"> Accounting for the acquisition of MedPass was finalised in the year ended 31 December 2020.</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ectPr>
          <w:pgSz w:w="11900" w:h="16838" w:orient="portrait"/>
          <w:cols w:equalWidth="0" w:num="1">
            <w:col w:w="11280"/>
          </w:cols>
          <w:pgMar w:left="300" w:top="698" w:right="31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190" w:lineRule="exact"/>
        <w:rPr>
          <w:sz w:val="20"/>
          <w:szCs w:val="20"/>
          <w:color w:val="auto"/>
        </w:rPr>
      </w:pPr>
    </w:p>
    <w:p>
      <w:pPr>
        <w:ind w:left="320" w:hanging="315"/>
        <w:spacing w:after="0"/>
        <w:tabs>
          <w:tab w:leader="none" w:pos="320" w:val="left"/>
        </w:tabs>
        <w:numPr>
          <w:ilvl w:val="0"/>
          <w:numId w:val="99"/>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Business combinations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The acquisition of MedPass has been accounted for as a business combination in accordance with IFRS 3 '</w:t>
      </w:r>
      <w:r>
        <w:rPr>
          <w:rFonts w:ascii="Arial" w:cs="Arial" w:eastAsia="Arial" w:hAnsi="Arial"/>
          <w:sz w:val="13"/>
          <w:szCs w:val="13"/>
          <w:i w:val="1"/>
          <w:iCs w:val="1"/>
          <w:color w:val="auto"/>
        </w:rPr>
        <w:t>Business Combinations'</w:t>
      </w:r>
      <w:r>
        <w:rPr>
          <w:rFonts w:ascii="Arial" w:cs="Arial" w:eastAsia="Arial" w:hAnsi="Arial"/>
          <w:sz w:val="13"/>
          <w:szCs w:val="13"/>
          <w:color w:val="auto"/>
        </w:rPr>
        <w:t>. The Company has made an assessment of the fair value of assets acquired and liabilities assumed as at that date.</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00" w:type="dxa"/>
            <w:vAlign w:val="bottom"/>
            <w:shd w:val="clear" w:color="auto" w:fill="CCEEFF"/>
          </w:tcPr>
          <w:p>
            <w:pPr>
              <w:spacing w:after="0"/>
              <w:rPr>
                <w:sz w:val="14"/>
                <w:szCs w:val="14"/>
                <w:color w:val="auto"/>
              </w:rPr>
            </w:pPr>
          </w:p>
        </w:tc>
        <w:tc>
          <w:tcPr>
            <w:tcW w:w="41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22 January</w:t>
            </w:r>
          </w:p>
        </w:tc>
      </w:tr>
      <w:tr>
        <w:trPr>
          <w:trHeight w:val="170"/>
        </w:trPr>
        <w:tc>
          <w:tcPr>
            <w:tcW w:w="5900" w:type="dxa"/>
            <w:vAlign w:val="bottom"/>
            <w:tcBorders>
              <w:bottom w:val="single" w:sz="8" w:color="auto"/>
            </w:tcBorders>
          </w:tcPr>
          <w:p>
            <w:pPr>
              <w:spacing w:after="0"/>
              <w:rPr>
                <w:sz w:val="14"/>
                <w:szCs w:val="14"/>
                <w:color w:val="auto"/>
              </w:rPr>
            </w:pPr>
          </w:p>
        </w:tc>
        <w:tc>
          <w:tcPr>
            <w:tcW w:w="4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r>
      <w:tr>
        <w:trPr>
          <w:trHeight w:val="160"/>
        </w:trPr>
        <w:tc>
          <w:tcPr>
            <w:tcW w:w="5900" w:type="dxa"/>
            <w:vAlign w:val="bottom"/>
            <w:shd w:val="clear" w:color="auto" w:fill="CCEEFF"/>
          </w:tcPr>
          <w:p>
            <w:pPr>
              <w:spacing w:after="0"/>
              <w:rPr>
                <w:sz w:val="13"/>
                <w:szCs w:val="13"/>
                <w:color w:val="auto"/>
              </w:rPr>
            </w:pPr>
          </w:p>
        </w:tc>
        <w:tc>
          <w:tcPr>
            <w:tcW w:w="414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(in thousands)</w:t>
            </w:r>
          </w:p>
        </w:tc>
      </w:tr>
      <w:tr>
        <w:trPr>
          <w:trHeight w:val="169"/>
        </w:trPr>
        <w:tc>
          <w:tcPr>
            <w:tcW w:w="5900" w:type="dxa"/>
            <w:vAlign w:val="bottom"/>
          </w:tcPr>
          <w:p>
            <w:pPr>
              <w:ind w:left="20"/>
              <w:spacing w:after="0"/>
              <w:rPr>
                <w:sz w:val="20"/>
                <w:szCs w:val="20"/>
                <w:color w:val="auto"/>
              </w:rPr>
            </w:pPr>
            <w:r>
              <w:rPr>
                <w:rFonts w:ascii="Arial" w:cs="Arial" w:eastAsia="Arial" w:hAnsi="Arial"/>
                <w:sz w:val="13"/>
                <w:szCs w:val="13"/>
                <w:color w:val="auto"/>
              </w:rPr>
              <w:t>Cash &amp; cash equivalents</w:t>
            </w:r>
          </w:p>
        </w:tc>
        <w:tc>
          <w:tcPr>
            <w:tcW w:w="414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10,170</w:t>
            </w:r>
          </w:p>
        </w:tc>
      </w:tr>
      <w:tr>
        <w:trPr>
          <w:trHeight w:val="171"/>
        </w:trPr>
        <w:tc>
          <w:tcPr>
            <w:tcW w:w="5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Property, plant and equipment</w:t>
            </w:r>
          </w:p>
        </w:tc>
        <w:tc>
          <w:tcPr>
            <w:tcW w:w="41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w:t>
            </w:r>
          </w:p>
        </w:tc>
      </w:tr>
      <w:tr>
        <w:trPr>
          <w:trHeight w:val="169"/>
        </w:trPr>
        <w:tc>
          <w:tcPr>
            <w:tcW w:w="5900" w:type="dxa"/>
            <w:vAlign w:val="bottom"/>
          </w:tcPr>
          <w:p>
            <w:pPr>
              <w:ind w:left="20"/>
              <w:spacing w:after="0"/>
              <w:rPr>
                <w:sz w:val="20"/>
                <w:szCs w:val="20"/>
                <w:color w:val="auto"/>
              </w:rPr>
            </w:pPr>
            <w:r>
              <w:rPr>
                <w:rFonts w:ascii="Arial" w:cs="Arial" w:eastAsia="Arial" w:hAnsi="Arial"/>
                <w:sz w:val="13"/>
                <w:szCs w:val="13"/>
                <w:color w:val="auto"/>
              </w:rPr>
              <w:t>Operating right of use assets</w:t>
            </w:r>
          </w:p>
        </w:tc>
        <w:tc>
          <w:tcPr>
            <w:tcW w:w="4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539</w:t>
            </w:r>
          </w:p>
        </w:tc>
      </w:tr>
      <w:tr>
        <w:trPr>
          <w:trHeight w:val="171"/>
        </w:trPr>
        <w:tc>
          <w:tcPr>
            <w:tcW w:w="5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Goodwill *</w:t>
            </w:r>
          </w:p>
        </w:tc>
        <w:tc>
          <w:tcPr>
            <w:tcW w:w="41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27,191</w:t>
            </w:r>
          </w:p>
        </w:tc>
      </w:tr>
      <w:tr>
        <w:trPr>
          <w:trHeight w:val="169"/>
        </w:trPr>
        <w:tc>
          <w:tcPr>
            <w:tcW w:w="5900" w:type="dxa"/>
            <w:vAlign w:val="bottom"/>
          </w:tcPr>
          <w:p>
            <w:pPr>
              <w:ind w:left="20"/>
              <w:spacing w:after="0"/>
              <w:rPr>
                <w:sz w:val="20"/>
                <w:szCs w:val="20"/>
                <w:color w:val="auto"/>
              </w:rPr>
            </w:pPr>
            <w:r>
              <w:rPr>
                <w:rFonts w:ascii="Arial" w:cs="Arial" w:eastAsia="Arial" w:hAnsi="Arial"/>
                <w:sz w:val="13"/>
                <w:szCs w:val="13"/>
                <w:color w:val="auto"/>
              </w:rPr>
              <w:t>Customer relationships</w:t>
            </w:r>
          </w:p>
        </w:tc>
        <w:tc>
          <w:tcPr>
            <w:tcW w:w="4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11,725</w:t>
            </w:r>
          </w:p>
        </w:tc>
      </w:tr>
      <w:tr>
        <w:trPr>
          <w:trHeight w:val="171"/>
        </w:trPr>
        <w:tc>
          <w:tcPr>
            <w:tcW w:w="5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Order backlog</w:t>
            </w:r>
          </w:p>
        </w:tc>
        <w:tc>
          <w:tcPr>
            <w:tcW w:w="41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2,883</w:t>
            </w:r>
          </w:p>
        </w:tc>
      </w:tr>
      <w:tr>
        <w:trPr>
          <w:trHeight w:val="169"/>
        </w:trPr>
        <w:tc>
          <w:tcPr>
            <w:tcW w:w="5900" w:type="dxa"/>
            <w:vAlign w:val="bottom"/>
          </w:tcPr>
          <w:p>
            <w:pPr>
              <w:ind w:left="20"/>
              <w:spacing w:after="0"/>
              <w:rPr>
                <w:sz w:val="20"/>
                <w:szCs w:val="20"/>
                <w:color w:val="auto"/>
              </w:rPr>
            </w:pPr>
            <w:r>
              <w:rPr>
                <w:rFonts w:ascii="Arial" w:cs="Arial" w:eastAsia="Arial" w:hAnsi="Arial"/>
                <w:sz w:val="13"/>
                <w:szCs w:val="13"/>
                <w:color w:val="auto"/>
              </w:rPr>
              <w:t>Accounts receivable</w:t>
            </w:r>
          </w:p>
        </w:tc>
        <w:tc>
          <w:tcPr>
            <w:tcW w:w="4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3,033</w:t>
            </w:r>
          </w:p>
        </w:tc>
      </w:tr>
      <w:tr>
        <w:trPr>
          <w:trHeight w:val="171"/>
        </w:trPr>
        <w:tc>
          <w:tcPr>
            <w:tcW w:w="5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Prepayments and other current assets</w:t>
            </w:r>
          </w:p>
        </w:tc>
        <w:tc>
          <w:tcPr>
            <w:tcW w:w="41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w:t>
            </w:r>
          </w:p>
        </w:tc>
      </w:tr>
      <w:tr>
        <w:trPr>
          <w:trHeight w:val="169"/>
        </w:trPr>
        <w:tc>
          <w:tcPr>
            <w:tcW w:w="5900" w:type="dxa"/>
            <w:vAlign w:val="bottom"/>
          </w:tcPr>
          <w:p>
            <w:pPr>
              <w:ind w:left="20"/>
              <w:spacing w:after="0"/>
              <w:rPr>
                <w:sz w:val="20"/>
                <w:szCs w:val="20"/>
                <w:color w:val="auto"/>
              </w:rPr>
            </w:pPr>
            <w:r>
              <w:rPr>
                <w:rFonts w:ascii="Arial" w:cs="Arial" w:eastAsia="Arial" w:hAnsi="Arial"/>
                <w:sz w:val="13"/>
                <w:szCs w:val="13"/>
                <w:color w:val="auto"/>
              </w:rPr>
              <w:t>Accounts payable</w:t>
            </w:r>
          </w:p>
        </w:tc>
        <w:tc>
          <w:tcPr>
            <w:tcW w:w="4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(368)</w:t>
            </w:r>
          </w:p>
        </w:tc>
      </w:tr>
      <w:tr>
        <w:trPr>
          <w:trHeight w:val="171"/>
        </w:trPr>
        <w:tc>
          <w:tcPr>
            <w:tcW w:w="5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Unearned revenue</w:t>
            </w:r>
          </w:p>
        </w:tc>
        <w:tc>
          <w:tcPr>
            <w:tcW w:w="41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(989)</w:t>
            </w:r>
          </w:p>
        </w:tc>
      </w:tr>
      <w:tr>
        <w:trPr>
          <w:trHeight w:val="169"/>
        </w:trPr>
        <w:tc>
          <w:tcPr>
            <w:tcW w:w="5900" w:type="dxa"/>
            <w:vAlign w:val="bottom"/>
          </w:tcPr>
          <w:p>
            <w:pPr>
              <w:ind w:left="20"/>
              <w:spacing w:after="0"/>
              <w:rPr>
                <w:sz w:val="20"/>
                <w:szCs w:val="20"/>
                <w:color w:val="auto"/>
              </w:rPr>
            </w:pPr>
            <w:r>
              <w:rPr>
                <w:rFonts w:ascii="Arial" w:cs="Arial" w:eastAsia="Arial" w:hAnsi="Arial"/>
                <w:sz w:val="13"/>
                <w:szCs w:val="13"/>
                <w:color w:val="auto"/>
              </w:rPr>
              <w:t>Other liabilities</w:t>
            </w:r>
          </w:p>
        </w:tc>
        <w:tc>
          <w:tcPr>
            <w:tcW w:w="4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(2,202)</w:t>
            </w:r>
          </w:p>
        </w:tc>
      </w:tr>
      <w:tr>
        <w:trPr>
          <w:trHeight w:val="171"/>
        </w:trPr>
        <w:tc>
          <w:tcPr>
            <w:tcW w:w="5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Current lease liabilities</w:t>
            </w:r>
          </w:p>
        </w:tc>
        <w:tc>
          <w:tcPr>
            <w:tcW w:w="41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w:t>
            </w:r>
          </w:p>
        </w:tc>
      </w:tr>
      <w:tr>
        <w:trPr>
          <w:trHeight w:val="169"/>
        </w:trPr>
        <w:tc>
          <w:tcPr>
            <w:tcW w:w="5900" w:type="dxa"/>
            <w:vAlign w:val="bottom"/>
          </w:tcPr>
          <w:p>
            <w:pPr>
              <w:ind w:left="20"/>
              <w:spacing w:after="0"/>
              <w:rPr>
                <w:sz w:val="20"/>
                <w:szCs w:val="20"/>
                <w:color w:val="auto"/>
              </w:rPr>
            </w:pPr>
            <w:r>
              <w:rPr>
                <w:rFonts w:ascii="Arial" w:cs="Arial" w:eastAsia="Arial" w:hAnsi="Arial"/>
                <w:sz w:val="13"/>
                <w:szCs w:val="13"/>
                <w:color w:val="auto"/>
              </w:rPr>
              <w:t>Non-current lease liabilities</w:t>
            </w:r>
          </w:p>
        </w:tc>
        <w:tc>
          <w:tcPr>
            <w:tcW w:w="4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(320)</w:t>
            </w:r>
          </w:p>
        </w:tc>
      </w:tr>
      <w:tr>
        <w:trPr>
          <w:trHeight w:val="172"/>
        </w:trPr>
        <w:tc>
          <w:tcPr>
            <w:tcW w:w="5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Non-current deferred tax liability</w:t>
            </w:r>
          </w:p>
        </w:tc>
        <w:tc>
          <w:tcPr>
            <w:tcW w:w="414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(4,090)</w:t>
            </w:r>
          </w:p>
        </w:tc>
      </w:tr>
      <w:tr>
        <w:trPr>
          <w:trHeight w:val="117"/>
        </w:trPr>
        <w:tc>
          <w:tcPr>
            <w:tcW w:w="590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171"/>
        </w:trPr>
        <w:tc>
          <w:tcPr>
            <w:tcW w:w="5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Net assets acquired</w:t>
            </w:r>
          </w:p>
        </w:tc>
        <w:tc>
          <w:tcPr>
            <w:tcW w:w="414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47,556</w:t>
            </w:r>
          </w:p>
        </w:tc>
      </w:tr>
      <w:tr>
        <w:trPr>
          <w:trHeight w:val="149"/>
        </w:trPr>
        <w:tc>
          <w:tcPr>
            <w:tcW w:w="590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70"/>
        </w:trPr>
        <w:tc>
          <w:tcPr>
            <w:tcW w:w="5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outflows</w:t>
            </w:r>
          </w:p>
        </w:tc>
        <w:tc>
          <w:tcPr>
            <w:tcW w:w="414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46,992</w:t>
            </w:r>
          </w:p>
        </w:tc>
      </w:tr>
      <w:tr>
        <w:trPr>
          <w:trHeight w:val="169"/>
        </w:trPr>
        <w:tc>
          <w:tcPr>
            <w:tcW w:w="5900" w:type="dxa"/>
            <w:vAlign w:val="bottom"/>
          </w:tcPr>
          <w:p>
            <w:pPr>
              <w:ind w:left="20"/>
              <w:spacing w:after="0"/>
              <w:rPr>
                <w:sz w:val="20"/>
                <w:szCs w:val="20"/>
                <w:color w:val="auto"/>
              </w:rPr>
            </w:pPr>
            <w:r>
              <w:rPr>
                <w:rFonts w:ascii="Arial" w:cs="Arial" w:eastAsia="Arial" w:hAnsi="Arial"/>
                <w:sz w:val="13"/>
                <w:szCs w:val="13"/>
                <w:color w:val="auto"/>
              </w:rPr>
              <w:t>Working capital adjustment paid</w:t>
            </w:r>
          </w:p>
        </w:tc>
        <w:tc>
          <w:tcPr>
            <w:tcW w:w="4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564</w:t>
            </w:r>
          </w:p>
        </w:tc>
      </w:tr>
      <w:tr>
        <w:trPr>
          <w:trHeight w:val="172"/>
        </w:trPr>
        <w:tc>
          <w:tcPr>
            <w:tcW w:w="5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Contingent consideration **</w:t>
            </w:r>
          </w:p>
        </w:tc>
        <w:tc>
          <w:tcPr>
            <w:tcW w:w="414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91"/>
        </w:trPr>
        <w:tc>
          <w:tcPr>
            <w:tcW w:w="590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71"/>
        </w:trPr>
        <w:tc>
          <w:tcPr>
            <w:tcW w:w="5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 consideration</w:t>
            </w:r>
          </w:p>
        </w:tc>
        <w:tc>
          <w:tcPr>
            <w:tcW w:w="414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47,556</w:t>
            </w:r>
          </w:p>
        </w:tc>
      </w:tr>
    </w:tbl>
    <w:p>
      <w:pPr>
        <w:spacing w:after="0" w:line="159" w:lineRule="exact"/>
        <w:rPr>
          <w:sz w:val="20"/>
          <w:szCs w:val="20"/>
          <w:color w:val="auto"/>
        </w:rPr>
      </w:pPr>
    </w:p>
    <w:p>
      <w:pPr>
        <w:ind w:firstLine="5"/>
        <w:spacing w:after="0" w:line="266" w:lineRule="auto"/>
        <w:tabs>
          <w:tab w:leader="none" w:pos="91" w:val="left"/>
        </w:tabs>
        <w:numPr>
          <w:ilvl w:val="0"/>
          <w:numId w:val="100"/>
        </w:numPr>
        <w:rPr>
          <w:rFonts w:ascii="Arial" w:cs="Arial" w:eastAsia="Arial" w:hAnsi="Arial"/>
          <w:sz w:val="13"/>
          <w:szCs w:val="13"/>
          <w:color w:val="auto"/>
        </w:rPr>
      </w:pPr>
      <w:r>
        <w:rPr>
          <w:rFonts w:ascii="Arial" w:cs="Arial" w:eastAsia="Arial" w:hAnsi="Arial"/>
          <w:sz w:val="13"/>
          <w:szCs w:val="13"/>
          <w:color w:val="auto"/>
        </w:rPr>
        <w:t>Goodwill represents the acquisition of an established workforce that specialises in medical device development and market access. None of the goodwill recognised is expected to be deductible for income tax purposes.</w:t>
      </w:r>
    </w:p>
    <w:p>
      <w:pPr>
        <w:spacing w:after="0" w:line="19" w:lineRule="exact"/>
        <w:rPr>
          <w:sz w:val="20"/>
          <w:szCs w:val="20"/>
          <w:color w:val="auto"/>
        </w:rPr>
      </w:pPr>
    </w:p>
    <w:p>
      <w:pPr>
        <w:ind w:firstLine="5"/>
        <w:spacing w:after="0" w:line="269" w:lineRule="auto"/>
        <w:tabs>
          <w:tab w:leader="none" w:pos="143" w:val="left"/>
        </w:tabs>
        <w:numPr>
          <w:ilvl w:val="0"/>
          <w:numId w:val="101"/>
        </w:numPr>
        <w:rPr>
          <w:rFonts w:ascii="Arial" w:cs="Arial" w:eastAsia="Arial" w:hAnsi="Arial"/>
          <w:sz w:val="13"/>
          <w:szCs w:val="13"/>
          <w:color w:val="auto"/>
        </w:rPr>
      </w:pPr>
      <w:r>
        <w:rPr>
          <w:rFonts w:ascii="Arial" w:cs="Arial" w:eastAsia="Arial" w:hAnsi="Arial"/>
          <w:sz w:val="13"/>
          <w:szCs w:val="13"/>
          <w:color w:val="auto"/>
        </w:rPr>
        <w:t>The fair value of the contingent consideration was estimated at the date of acquisition. Depending on performance of the company, the total consideration could have increased by a maximum of $6.7 million in contingent consideration. At the acquisition date and at 31 December 2020, the fair value of this contingent consideration payable to MedPass is $</w:t>
      </w:r>
      <w:r>
        <w:rPr>
          <w:rFonts w:ascii="Arial" w:cs="Arial" w:eastAsia="Arial" w:hAnsi="Arial"/>
          <w:sz w:val="14"/>
          <w:szCs w:val="14"/>
          <w:color w:val="auto"/>
        </w:rPr>
        <w:t>Nil</w:t>
      </w:r>
      <w:r>
        <w:rPr>
          <w:rFonts w:ascii="Arial" w:cs="Arial" w:eastAsia="Arial" w:hAnsi="Arial"/>
          <w:sz w:val="13"/>
          <w:szCs w:val="13"/>
          <w:color w:val="auto"/>
        </w:rPr>
        <w:t>.</w:t>
      </w:r>
    </w:p>
    <w:p>
      <w:pPr>
        <w:spacing w:after="0" w:line="24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In finalising the acquisition of MedPass in the twelve month period from acquisition, fair value adjustments were made which resulted in an increase in accounts receivable ($0.2 million) and unearned revenue ($0.8 million) and a decrease in operating right of use assets ($0.8 million), other liabilities ($0.8 million), current lease liabilities ($0.1 million), non-current lease liabilities ($0.7 million) and non-current deferred tax liability ($0.6 million). Customer relationship and order backlog assets were also finalised.</w:t>
      </w:r>
    </w:p>
    <w:p>
      <w:pPr>
        <w:spacing w:after="0" w:line="159"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Since 22 January 2020, MedPass has earned revenue of $13.2 million and net income of $2.5 million in the year ended 31 December 2020. The proforma effect of the MedPass acquisition if completed on 1 January 2019 would have resulted in revenue and profit for the fiscal years ending 31 December 2020 and 31 December 2019 as follows: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40" w:type="dxa"/>
            <w:vAlign w:val="bottom"/>
            <w:shd w:val="clear" w:color="auto" w:fill="CCEEFF"/>
          </w:tcPr>
          <w:p>
            <w:pPr>
              <w:spacing w:after="0"/>
              <w:rPr>
                <w:sz w:val="14"/>
                <w:szCs w:val="14"/>
                <w:color w:val="auto"/>
              </w:rPr>
            </w:pPr>
          </w:p>
        </w:tc>
        <w:tc>
          <w:tcPr>
            <w:tcW w:w="4080" w:type="dxa"/>
            <w:vAlign w:val="bottom"/>
            <w:shd w:val="clear" w:color="auto" w:fill="CCEEFF"/>
          </w:tcPr>
          <w:p>
            <w:pPr>
              <w:spacing w:after="0"/>
              <w:rPr>
                <w:sz w:val="14"/>
                <w:szCs w:val="14"/>
                <w:color w:val="auto"/>
              </w:rPr>
            </w:pPr>
          </w:p>
        </w:tc>
        <w:tc>
          <w:tcPr>
            <w:tcW w:w="178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Year Ended</w:t>
            </w:r>
          </w:p>
        </w:tc>
        <w:tc>
          <w:tcPr>
            <w:tcW w:w="860" w:type="dxa"/>
            <w:vAlign w:val="bottom"/>
            <w:shd w:val="clear" w:color="auto" w:fill="CCEEFF"/>
          </w:tcPr>
          <w:p>
            <w:pPr>
              <w:spacing w:after="0"/>
              <w:rPr>
                <w:sz w:val="14"/>
                <w:szCs w:val="14"/>
                <w:color w:val="auto"/>
              </w:rPr>
            </w:pPr>
          </w:p>
        </w:tc>
      </w:tr>
      <w:tr>
        <w:trPr>
          <w:trHeight w:val="170"/>
        </w:trPr>
        <w:tc>
          <w:tcPr>
            <w:tcW w:w="4540" w:type="dxa"/>
            <w:vAlign w:val="bottom"/>
            <w:tcBorders>
              <w:bottom w:val="single" w:sz="8" w:color="auto"/>
            </w:tcBorders>
          </w:tcPr>
          <w:p>
            <w:pPr>
              <w:spacing w:after="0"/>
              <w:rPr>
                <w:sz w:val="14"/>
                <w:szCs w:val="14"/>
                <w:color w:val="auto"/>
              </w:rPr>
            </w:pPr>
          </w:p>
        </w:tc>
        <w:tc>
          <w:tcPr>
            <w:tcW w:w="40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right"/>
              <w:ind w:right="676"/>
              <w:spacing w:after="0"/>
              <w:rPr>
                <w:sz w:val="20"/>
                <w:szCs w:val="20"/>
                <w:color w:val="auto"/>
              </w:rPr>
            </w:pPr>
            <w:r>
              <w:rPr>
                <w:rFonts w:ascii="Arial" w:cs="Arial" w:eastAsia="Arial" w:hAnsi="Arial"/>
                <w:sz w:val="13"/>
                <w:szCs w:val="13"/>
                <w:b w:val="1"/>
                <w:bCs w:val="1"/>
                <w:color w:val="auto"/>
              </w:rPr>
              <w:t>2020</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r>
      <w:tr>
        <w:trPr>
          <w:trHeight w:val="160"/>
        </w:trPr>
        <w:tc>
          <w:tcPr>
            <w:tcW w:w="4540" w:type="dxa"/>
            <w:vAlign w:val="bottom"/>
            <w:shd w:val="clear" w:color="auto" w:fill="CCEEFF"/>
          </w:tcPr>
          <w:p>
            <w:pPr>
              <w:spacing w:after="0"/>
              <w:rPr>
                <w:sz w:val="13"/>
                <w:szCs w:val="13"/>
                <w:color w:val="auto"/>
              </w:rPr>
            </w:pPr>
          </w:p>
        </w:tc>
        <w:tc>
          <w:tcPr>
            <w:tcW w:w="4080" w:type="dxa"/>
            <w:vAlign w:val="bottom"/>
            <w:shd w:val="clear" w:color="auto" w:fill="CCEEFF"/>
          </w:tcPr>
          <w:p>
            <w:pPr>
              <w:spacing w:after="0"/>
              <w:rPr>
                <w:sz w:val="13"/>
                <w:szCs w:val="13"/>
                <w:color w:val="auto"/>
              </w:rPr>
            </w:pPr>
          </w:p>
        </w:tc>
        <w:tc>
          <w:tcPr>
            <w:tcW w:w="1780" w:type="dxa"/>
            <w:vAlign w:val="bottom"/>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(in thousands)</w:t>
            </w:r>
          </w:p>
        </w:tc>
        <w:tc>
          <w:tcPr>
            <w:tcW w:w="860" w:type="dxa"/>
            <w:vAlign w:val="bottom"/>
            <w:shd w:val="clear" w:color="auto" w:fill="CCEEFF"/>
          </w:tcPr>
          <w:p>
            <w:pPr>
              <w:spacing w:after="0"/>
              <w:rPr>
                <w:sz w:val="13"/>
                <w:szCs w:val="13"/>
                <w:color w:val="auto"/>
              </w:rPr>
            </w:pPr>
          </w:p>
        </w:tc>
      </w:tr>
      <w:tr>
        <w:trPr>
          <w:trHeight w:val="170"/>
        </w:trPr>
        <w:tc>
          <w:tcPr>
            <w:tcW w:w="45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1"/>
        </w:trPr>
        <w:tc>
          <w:tcPr>
            <w:tcW w:w="4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Revenue</w:t>
            </w:r>
          </w:p>
        </w:tc>
        <w:tc>
          <w:tcPr>
            <w:tcW w:w="4080" w:type="dxa"/>
            <w:vAlign w:val="bottom"/>
            <w:tcBorders>
              <w:bottom w:val="single" w:sz="8" w:color="auto"/>
            </w:tcBorders>
            <w:shd w:val="clear" w:color="auto" w:fill="CCEEFF"/>
          </w:tcPr>
          <w:p>
            <w:pPr>
              <w:spacing w:after="0"/>
              <w:rPr>
                <w:sz w:val="14"/>
                <w:szCs w:val="14"/>
                <w:color w:val="auto"/>
              </w:rPr>
            </w:pPr>
          </w:p>
        </w:tc>
        <w:tc>
          <w:tcPr>
            <w:tcW w:w="178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3"/>
                <w:szCs w:val="13"/>
                <w:color w:val="auto"/>
              </w:rPr>
              <w:t>2,798,180</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2,820,796</w:t>
            </w:r>
          </w:p>
        </w:tc>
      </w:tr>
      <w:tr>
        <w:trPr>
          <w:trHeight w:val="159"/>
        </w:trPr>
        <w:tc>
          <w:tcPr>
            <w:tcW w:w="454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71"/>
        </w:trPr>
        <w:tc>
          <w:tcPr>
            <w:tcW w:w="4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Profit for the year</w:t>
            </w:r>
          </w:p>
        </w:tc>
        <w:tc>
          <w:tcPr>
            <w:tcW w:w="408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color w:val="auto"/>
              </w:rPr>
              <w:t>$</w:t>
            </w:r>
          </w:p>
        </w:tc>
        <w:tc>
          <w:tcPr>
            <w:tcW w:w="178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3"/>
                <w:szCs w:val="13"/>
                <w:color w:val="auto"/>
              </w:rPr>
              <w:t>331,615</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364,532</w:t>
            </w:r>
          </w:p>
        </w:tc>
      </w:tr>
    </w:tbl>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ectPr>
          <w:pgSz w:w="11900" w:h="16838" w:orient="portrait"/>
          <w:cols w:equalWidth="0" w:num="1">
            <w:col w:w="11280"/>
          </w:cols>
          <w:pgMar w:left="300" w:top="698" w:right="31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275" w:lineRule="exact"/>
        <w:rPr>
          <w:sz w:val="20"/>
          <w:szCs w:val="20"/>
          <w:color w:val="auto"/>
        </w:rPr>
      </w:pPr>
    </w:p>
    <w:p>
      <w:pPr>
        <w:spacing w:after="0"/>
        <w:tabs>
          <w:tab w:leader="none" w:pos="300" w:val="left"/>
        </w:tabs>
        <w:rPr>
          <w:sz w:val="20"/>
          <w:szCs w:val="20"/>
          <w:color w:val="auto"/>
        </w:rPr>
      </w:pPr>
      <w:r>
        <w:rPr>
          <w:rFonts w:ascii="Arial" w:cs="Arial" w:eastAsia="Arial" w:hAnsi="Arial"/>
          <w:sz w:val="13"/>
          <w:szCs w:val="13"/>
          <w:b w:val="1"/>
          <w:bCs w:val="1"/>
          <w:color w:val="auto"/>
        </w:rPr>
        <w:t>15.</w:t>
      </w:r>
      <w:r>
        <w:rPr>
          <w:sz w:val="20"/>
          <w:szCs w:val="20"/>
          <w:color w:val="auto"/>
        </w:rPr>
        <w:tab/>
      </w:r>
      <w:r>
        <w:rPr>
          <w:rFonts w:ascii="Arial" w:cs="Arial" w:eastAsia="Arial" w:hAnsi="Arial"/>
          <w:sz w:val="12"/>
          <w:szCs w:val="12"/>
          <w:b w:val="1"/>
          <w:bCs w:val="1"/>
          <w:color w:val="auto"/>
        </w:rPr>
        <w:t>Inventories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20" w:type="dxa"/>
            <w:vAlign w:val="bottom"/>
            <w:shd w:val="clear" w:color="auto" w:fill="CCEEFF"/>
          </w:tcPr>
          <w:p>
            <w:pPr>
              <w:spacing w:after="0"/>
              <w:rPr>
                <w:sz w:val="13"/>
                <w:szCs w:val="13"/>
                <w:color w:val="auto"/>
              </w:rPr>
            </w:pPr>
          </w:p>
        </w:tc>
        <w:tc>
          <w:tcPr>
            <w:tcW w:w="4880" w:type="dxa"/>
            <w:vAlign w:val="bottom"/>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31 December</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0"/>
        </w:trPr>
        <w:tc>
          <w:tcPr>
            <w:tcW w:w="5020" w:type="dxa"/>
            <w:vAlign w:val="bottom"/>
            <w:tcBorders>
              <w:bottom w:val="single" w:sz="8" w:color="auto"/>
            </w:tcBorders>
            <w:shd w:val="clear" w:color="auto" w:fill="CCEEFF"/>
          </w:tcPr>
          <w:p>
            <w:pPr>
              <w:spacing w:after="0"/>
              <w:rPr>
                <w:sz w:val="14"/>
                <w:szCs w:val="14"/>
                <w:color w:val="auto"/>
              </w:rPr>
            </w:pPr>
          </w:p>
        </w:tc>
        <w:tc>
          <w:tcPr>
            <w:tcW w:w="488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2021</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2020</w:t>
            </w:r>
          </w:p>
        </w:tc>
      </w:tr>
      <w:tr>
        <w:trPr>
          <w:trHeight w:val="160"/>
        </w:trPr>
        <w:tc>
          <w:tcPr>
            <w:tcW w:w="5020" w:type="dxa"/>
            <w:vAlign w:val="bottom"/>
          </w:tcPr>
          <w:p>
            <w:pPr>
              <w:spacing w:after="0"/>
              <w:rPr>
                <w:sz w:val="13"/>
                <w:szCs w:val="13"/>
                <w:color w:val="auto"/>
              </w:rPr>
            </w:pPr>
          </w:p>
        </w:tc>
        <w:tc>
          <w:tcPr>
            <w:tcW w:w="4880" w:type="dxa"/>
            <w:vAlign w:val="bottom"/>
          </w:tcPr>
          <w:p>
            <w:pPr>
              <w:jc w:val="right"/>
              <w:ind w:right="276"/>
              <w:spacing w:after="0"/>
              <w:rPr>
                <w:sz w:val="20"/>
                <w:szCs w:val="20"/>
                <w:color w:val="auto"/>
              </w:rPr>
            </w:pPr>
            <w:r>
              <w:rPr>
                <w:rFonts w:ascii="Arial" w:cs="Arial" w:eastAsia="Arial" w:hAnsi="Arial"/>
                <w:sz w:val="13"/>
                <w:szCs w:val="13"/>
                <w:b w:val="1"/>
                <w:bCs w:val="1"/>
                <w:color w:val="auto"/>
              </w:rPr>
              <w:t>$’000</w:t>
            </w:r>
          </w:p>
        </w:tc>
        <w:tc>
          <w:tcPr>
            <w:tcW w:w="112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202"/>
        </w:trPr>
        <w:tc>
          <w:tcPr>
            <w:tcW w:w="5020" w:type="dxa"/>
            <w:vAlign w:val="bottom"/>
            <w:shd w:val="clear" w:color="auto" w:fill="CCEEFF"/>
          </w:tcPr>
          <w:p>
            <w:pPr>
              <w:spacing w:after="0"/>
              <w:rPr>
                <w:sz w:val="17"/>
                <w:szCs w:val="17"/>
                <w:color w:val="auto"/>
              </w:rPr>
            </w:pPr>
          </w:p>
        </w:tc>
        <w:tc>
          <w:tcPr>
            <w:tcW w:w="48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171"/>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Laboratory inventories</w:t>
            </w:r>
          </w:p>
        </w:tc>
        <w:tc>
          <w:tcPr>
            <w:tcW w:w="488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5,772</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4,806</w:t>
            </w:r>
          </w:p>
        </w:tc>
      </w:tr>
    </w:tbl>
    <w:p>
      <w:pPr>
        <w:spacing w:after="0" w:line="23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cost of inventories is recognised as an expense and included in direct costs in the Consolidated Statement of Profit and Loss. $64.1 million (2020: $46.8 million) was charged to the Consolidated Statement of Profit and Loss for the year ended 31 December 2021. There was no material difference between the Consolidated Statement of Financial Position value of inventories and their replacement costs.</w:t>
      </w:r>
    </w:p>
    <w:p>
      <w:pPr>
        <w:spacing w:after="0" w:line="350" w:lineRule="exact"/>
        <w:rPr>
          <w:sz w:val="20"/>
          <w:szCs w:val="20"/>
          <w:color w:val="auto"/>
        </w:rPr>
      </w:pPr>
    </w:p>
    <w:p>
      <w:pPr>
        <w:ind w:left="320" w:hanging="315"/>
        <w:spacing w:after="0"/>
        <w:tabs>
          <w:tab w:leader="none" w:pos="320" w:val="left"/>
        </w:tabs>
        <w:numPr>
          <w:ilvl w:val="0"/>
          <w:numId w:val="102"/>
        </w:numPr>
        <w:rPr>
          <w:rFonts w:ascii="Arial" w:cs="Arial" w:eastAsia="Arial" w:hAnsi="Arial"/>
          <w:sz w:val="13"/>
          <w:szCs w:val="13"/>
          <w:b w:val="1"/>
          <w:bCs w:val="1"/>
          <w:color w:val="auto"/>
        </w:rPr>
      </w:pPr>
      <w:r>
        <w:rPr>
          <w:rFonts w:ascii="Arial" w:cs="Arial" w:eastAsia="Arial" w:hAnsi="Arial"/>
          <w:sz w:val="13"/>
          <w:szCs w:val="13"/>
          <w:b w:val="1"/>
          <w:bCs w:val="1"/>
          <w:color w:val="auto"/>
        </w:rPr>
        <w:t>Accounts receivable, unbilled services (contract assets) and unearned revenue (contract liabilities)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240" w:type="dxa"/>
            <w:vAlign w:val="bottom"/>
            <w:shd w:val="clear" w:color="auto" w:fill="CCEEFF"/>
          </w:tcPr>
          <w:p>
            <w:pPr>
              <w:spacing w:after="0"/>
              <w:rPr>
                <w:sz w:val="13"/>
                <w:szCs w:val="13"/>
                <w:color w:val="auto"/>
              </w:rPr>
            </w:pPr>
          </w:p>
        </w:tc>
        <w:tc>
          <w:tcPr>
            <w:tcW w:w="3840" w:type="dxa"/>
            <w:vAlign w:val="bottom"/>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31 December</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0"/>
        </w:trPr>
        <w:tc>
          <w:tcPr>
            <w:tcW w:w="6240" w:type="dxa"/>
            <w:vAlign w:val="bottom"/>
            <w:tcBorders>
              <w:bottom w:val="single" w:sz="8" w:color="auto"/>
            </w:tcBorders>
            <w:shd w:val="clear" w:color="auto" w:fill="CCEEFF"/>
          </w:tcPr>
          <w:p>
            <w:pPr>
              <w:spacing w:after="0"/>
              <w:rPr>
                <w:sz w:val="14"/>
                <w:szCs w:val="14"/>
                <w:color w:val="auto"/>
              </w:rPr>
            </w:pPr>
          </w:p>
        </w:tc>
        <w:tc>
          <w:tcPr>
            <w:tcW w:w="384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2021</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2020</w:t>
            </w:r>
          </w:p>
        </w:tc>
      </w:tr>
      <w:tr>
        <w:trPr>
          <w:trHeight w:val="160"/>
        </w:trPr>
        <w:tc>
          <w:tcPr>
            <w:tcW w:w="6240" w:type="dxa"/>
            <w:vAlign w:val="bottom"/>
          </w:tcPr>
          <w:p>
            <w:pPr>
              <w:spacing w:after="0"/>
              <w:rPr>
                <w:sz w:val="13"/>
                <w:szCs w:val="13"/>
                <w:color w:val="auto"/>
              </w:rPr>
            </w:pPr>
          </w:p>
        </w:tc>
        <w:tc>
          <w:tcPr>
            <w:tcW w:w="3840" w:type="dxa"/>
            <w:vAlign w:val="bottom"/>
          </w:tcPr>
          <w:p>
            <w:pPr>
              <w:jc w:val="right"/>
              <w:ind w:right="356"/>
              <w:spacing w:after="0"/>
              <w:rPr>
                <w:sz w:val="20"/>
                <w:szCs w:val="20"/>
                <w:color w:val="auto"/>
              </w:rPr>
            </w:pPr>
            <w:r>
              <w:rPr>
                <w:rFonts w:ascii="Arial" w:cs="Arial" w:eastAsia="Arial" w:hAnsi="Arial"/>
                <w:sz w:val="13"/>
                <w:szCs w:val="13"/>
                <w:b w:val="1"/>
                <w:bCs w:val="1"/>
                <w:color w:val="auto"/>
              </w:rPr>
              <w:t>$’000</w:t>
            </w:r>
          </w:p>
        </w:tc>
        <w:tc>
          <w:tcPr>
            <w:tcW w:w="118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202"/>
        </w:trPr>
        <w:tc>
          <w:tcPr>
            <w:tcW w:w="6240" w:type="dxa"/>
            <w:vAlign w:val="bottom"/>
            <w:shd w:val="clear" w:color="auto" w:fill="CCEEFF"/>
          </w:tcPr>
          <w:p>
            <w:pPr>
              <w:spacing w:after="0"/>
              <w:rPr>
                <w:sz w:val="17"/>
                <w:szCs w:val="17"/>
                <w:color w:val="auto"/>
              </w:rPr>
            </w:pPr>
          </w:p>
        </w:tc>
        <w:tc>
          <w:tcPr>
            <w:tcW w:w="38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170"/>
        </w:trPr>
        <w:tc>
          <w:tcPr>
            <w:tcW w:w="6240" w:type="dxa"/>
            <w:vAlign w:val="bottom"/>
          </w:tcPr>
          <w:p>
            <w:pPr>
              <w:ind w:left="20"/>
              <w:spacing w:after="0"/>
              <w:rPr>
                <w:sz w:val="20"/>
                <w:szCs w:val="20"/>
                <w:color w:val="auto"/>
              </w:rPr>
            </w:pPr>
            <w:r>
              <w:rPr>
                <w:rFonts w:ascii="Arial" w:cs="Arial" w:eastAsia="Arial" w:hAnsi="Arial"/>
                <w:sz w:val="13"/>
                <w:szCs w:val="13"/>
                <w:color w:val="auto"/>
              </w:rPr>
              <w:t>Accounts receivable</w:t>
            </w:r>
          </w:p>
        </w:tc>
        <w:tc>
          <w:tcPr>
            <w:tcW w:w="3840" w:type="dxa"/>
            <w:vAlign w:val="bottom"/>
          </w:tcPr>
          <w:p>
            <w:pPr>
              <w:jc w:val="right"/>
              <w:ind w:right="356"/>
              <w:spacing w:after="0"/>
              <w:rPr>
                <w:sz w:val="20"/>
                <w:szCs w:val="20"/>
                <w:color w:val="auto"/>
              </w:rPr>
            </w:pPr>
            <w:r>
              <w:rPr>
                <w:rFonts w:ascii="Arial" w:cs="Arial" w:eastAsia="Arial" w:hAnsi="Arial"/>
                <w:sz w:val="13"/>
                <w:szCs w:val="13"/>
                <w:b w:val="1"/>
                <w:bCs w:val="1"/>
                <w:color w:val="auto"/>
              </w:rPr>
              <w:t>1,349,851</w:t>
            </w:r>
          </w:p>
        </w:tc>
        <w:tc>
          <w:tcPr>
            <w:tcW w:w="1180" w:type="dxa"/>
            <w:vAlign w:val="bottom"/>
          </w:tcPr>
          <w:p>
            <w:pPr>
              <w:jc w:val="right"/>
              <w:spacing w:after="0"/>
              <w:rPr>
                <w:sz w:val="20"/>
                <w:szCs w:val="20"/>
                <w:color w:val="auto"/>
              </w:rPr>
            </w:pPr>
            <w:r>
              <w:rPr>
                <w:rFonts w:ascii="Arial" w:cs="Arial" w:eastAsia="Arial" w:hAnsi="Arial"/>
                <w:sz w:val="13"/>
                <w:szCs w:val="13"/>
                <w:color w:val="auto"/>
              </w:rPr>
              <w:t>722,420</w:t>
            </w:r>
          </w:p>
        </w:tc>
      </w:tr>
      <w:tr>
        <w:trPr>
          <w:trHeight w:val="170"/>
        </w:trPr>
        <w:tc>
          <w:tcPr>
            <w:tcW w:w="6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Unbilled services (unbilled revenue)</w:t>
            </w:r>
          </w:p>
        </w:tc>
        <w:tc>
          <w:tcPr>
            <w:tcW w:w="3840" w:type="dxa"/>
            <w:vAlign w:val="bottom"/>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623,121</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428,684</w:t>
            </w:r>
          </w:p>
        </w:tc>
      </w:tr>
      <w:tr>
        <w:trPr>
          <w:trHeight w:val="170"/>
        </w:trPr>
        <w:tc>
          <w:tcPr>
            <w:tcW w:w="62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Less allowance for credit losses</w:t>
            </w:r>
          </w:p>
        </w:tc>
        <w:tc>
          <w:tcPr>
            <w:tcW w:w="384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(7,081)</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(7,149)</w:t>
            </w:r>
          </w:p>
        </w:tc>
      </w:tr>
      <w:tr>
        <w:trPr>
          <w:trHeight w:val="182"/>
        </w:trPr>
        <w:tc>
          <w:tcPr>
            <w:tcW w:w="6240" w:type="dxa"/>
            <w:vAlign w:val="bottom"/>
            <w:shd w:val="clear" w:color="auto" w:fill="CCEEFF"/>
          </w:tcPr>
          <w:p>
            <w:pPr>
              <w:spacing w:after="0"/>
              <w:rPr>
                <w:sz w:val="15"/>
                <w:szCs w:val="15"/>
                <w:color w:val="auto"/>
              </w:rPr>
            </w:pPr>
          </w:p>
        </w:tc>
        <w:tc>
          <w:tcPr>
            <w:tcW w:w="38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71"/>
        </w:trPr>
        <w:tc>
          <w:tcPr>
            <w:tcW w:w="62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Accounts receivable and unbilled services (contract assets), net</w:t>
            </w:r>
          </w:p>
        </w:tc>
        <w:tc>
          <w:tcPr>
            <w:tcW w:w="384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1,965,891</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1,143,955</w:t>
            </w:r>
          </w:p>
        </w:tc>
      </w:tr>
    </w:tbl>
    <w:p>
      <w:pPr>
        <w:spacing w:after="0" w:line="255"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Accounts receivables are amounts due from customers for services performed in the ordinary course of business. They are generally due for settlement within 30-90 days and therefore are all classified as current. Accounts receivable are recognised initially at the amount of consideration that is unconditional. Accounts receivable balances do not contain significant financing components. The Group holds the accounts receivable with the objective to collect the contractual cash flows and therefore measures them subsequently at amortised cost.</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Due to the short-term nature of the current receivables, their carrying amount is considered to be the same as their fair value.</w:t>
      </w:r>
    </w:p>
    <w:p>
      <w:pPr>
        <w:spacing w:after="0" w:line="20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Impairment of financial assets</w:t>
      </w:r>
    </w:p>
    <w:p>
      <w:pPr>
        <w:spacing w:after="0" w:line="199" w:lineRule="exact"/>
        <w:rPr>
          <w:sz w:val="20"/>
          <w:szCs w:val="20"/>
          <w:color w:val="auto"/>
        </w:rPr>
      </w:pPr>
    </w:p>
    <w:p>
      <w:pPr>
        <w:spacing w:after="0"/>
        <w:rPr>
          <w:sz w:val="20"/>
          <w:szCs w:val="20"/>
          <w:color w:val="auto"/>
        </w:rPr>
      </w:pPr>
      <w:r>
        <w:rPr>
          <w:rFonts w:ascii="Arial" w:cs="Arial" w:eastAsia="Arial" w:hAnsi="Arial"/>
          <w:sz w:val="13"/>
          <w:szCs w:val="13"/>
          <w:color w:val="auto"/>
        </w:rPr>
        <w:t>The closing loss allowance for trade receivables and contract assets as at 31 December 2021 and 31 December 2020 reconcile to the opening loss allowances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380" w:type="dxa"/>
            <w:vAlign w:val="bottom"/>
            <w:shd w:val="clear" w:color="auto" w:fill="CCEEFF"/>
          </w:tcPr>
          <w:p>
            <w:pPr>
              <w:spacing w:after="0"/>
              <w:rPr>
                <w:sz w:val="12"/>
                <w:szCs w:val="12"/>
                <w:color w:val="auto"/>
              </w:rPr>
            </w:pPr>
          </w:p>
        </w:tc>
        <w:tc>
          <w:tcPr>
            <w:tcW w:w="3700" w:type="dxa"/>
            <w:vAlign w:val="bottom"/>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31 December</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0"/>
        </w:trPr>
        <w:tc>
          <w:tcPr>
            <w:tcW w:w="6380" w:type="dxa"/>
            <w:vAlign w:val="bottom"/>
            <w:tcBorders>
              <w:bottom w:val="single" w:sz="8" w:color="auto"/>
            </w:tcBorders>
            <w:shd w:val="clear" w:color="auto" w:fill="CCEEFF"/>
          </w:tcPr>
          <w:p>
            <w:pPr>
              <w:spacing w:after="0"/>
              <w:rPr>
                <w:sz w:val="14"/>
                <w:szCs w:val="14"/>
                <w:color w:val="auto"/>
              </w:rPr>
            </w:pPr>
          </w:p>
        </w:tc>
        <w:tc>
          <w:tcPr>
            <w:tcW w:w="370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2021</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2020</w:t>
            </w:r>
          </w:p>
        </w:tc>
      </w:tr>
      <w:tr>
        <w:trPr>
          <w:trHeight w:val="160"/>
        </w:trPr>
        <w:tc>
          <w:tcPr>
            <w:tcW w:w="6380" w:type="dxa"/>
            <w:vAlign w:val="bottom"/>
          </w:tcPr>
          <w:p>
            <w:pPr>
              <w:spacing w:after="0"/>
              <w:rPr>
                <w:sz w:val="13"/>
                <w:szCs w:val="13"/>
                <w:color w:val="auto"/>
              </w:rPr>
            </w:pPr>
          </w:p>
        </w:tc>
        <w:tc>
          <w:tcPr>
            <w:tcW w:w="3700" w:type="dxa"/>
            <w:vAlign w:val="bottom"/>
          </w:tcPr>
          <w:p>
            <w:pPr>
              <w:jc w:val="right"/>
              <w:ind w:right="356"/>
              <w:spacing w:after="0"/>
              <w:rPr>
                <w:sz w:val="20"/>
                <w:szCs w:val="20"/>
                <w:color w:val="auto"/>
              </w:rPr>
            </w:pPr>
            <w:r>
              <w:rPr>
                <w:rFonts w:ascii="Arial" w:cs="Arial" w:eastAsia="Arial" w:hAnsi="Arial"/>
                <w:sz w:val="13"/>
                <w:szCs w:val="13"/>
                <w:b w:val="1"/>
                <w:bCs w:val="1"/>
                <w:color w:val="auto"/>
              </w:rPr>
              <w:t>$’000</w:t>
            </w:r>
          </w:p>
        </w:tc>
        <w:tc>
          <w:tcPr>
            <w:tcW w:w="118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202"/>
        </w:trPr>
        <w:tc>
          <w:tcPr>
            <w:tcW w:w="638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170"/>
        </w:trPr>
        <w:tc>
          <w:tcPr>
            <w:tcW w:w="6380" w:type="dxa"/>
            <w:vAlign w:val="bottom"/>
          </w:tcPr>
          <w:p>
            <w:pPr>
              <w:ind w:left="20"/>
              <w:spacing w:after="0"/>
              <w:rPr>
                <w:sz w:val="20"/>
                <w:szCs w:val="20"/>
                <w:color w:val="auto"/>
              </w:rPr>
            </w:pPr>
            <w:r>
              <w:rPr>
                <w:rFonts w:ascii="Arial" w:cs="Arial" w:eastAsia="Arial" w:hAnsi="Arial"/>
                <w:sz w:val="13"/>
                <w:szCs w:val="13"/>
                <w:color w:val="auto"/>
              </w:rPr>
              <w:t>Balance at start of year</w:t>
            </w:r>
          </w:p>
        </w:tc>
        <w:tc>
          <w:tcPr>
            <w:tcW w:w="3700" w:type="dxa"/>
            <w:vAlign w:val="bottom"/>
          </w:tcPr>
          <w:p>
            <w:pPr>
              <w:jc w:val="right"/>
              <w:ind w:right="396"/>
              <w:spacing w:after="0"/>
              <w:rPr>
                <w:sz w:val="20"/>
                <w:szCs w:val="20"/>
                <w:color w:val="auto"/>
              </w:rPr>
            </w:pPr>
            <w:r>
              <w:rPr>
                <w:rFonts w:ascii="Arial" w:cs="Arial" w:eastAsia="Arial" w:hAnsi="Arial"/>
                <w:sz w:val="13"/>
                <w:szCs w:val="13"/>
                <w:b w:val="1"/>
                <w:bCs w:val="1"/>
                <w:color w:val="auto"/>
              </w:rPr>
              <w:t>7,149</w:t>
            </w:r>
          </w:p>
        </w:tc>
        <w:tc>
          <w:tcPr>
            <w:tcW w:w="1180" w:type="dxa"/>
            <w:vAlign w:val="bottom"/>
          </w:tcPr>
          <w:p>
            <w:pPr>
              <w:jc w:val="right"/>
              <w:spacing w:after="0"/>
              <w:rPr>
                <w:sz w:val="20"/>
                <w:szCs w:val="20"/>
                <w:color w:val="auto"/>
              </w:rPr>
            </w:pPr>
            <w:r>
              <w:rPr>
                <w:rFonts w:ascii="Arial" w:cs="Arial" w:eastAsia="Arial" w:hAnsi="Arial"/>
                <w:sz w:val="13"/>
                <w:szCs w:val="13"/>
                <w:color w:val="auto"/>
              </w:rPr>
              <w:t>7,380</w:t>
            </w:r>
          </w:p>
        </w:tc>
      </w:tr>
      <w:tr>
        <w:trPr>
          <w:trHeight w:val="170"/>
        </w:trPr>
        <w:tc>
          <w:tcPr>
            <w:tcW w:w="6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Receivables written off during the year as uncollectible</w:t>
            </w:r>
          </w:p>
        </w:tc>
        <w:tc>
          <w:tcPr>
            <w:tcW w:w="3700" w:type="dxa"/>
            <w:vAlign w:val="bottom"/>
            <w:shd w:val="clear" w:color="auto" w:fill="CCEEFF"/>
          </w:tcPr>
          <w:p>
            <w:pPr>
              <w:jc w:val="right"/>
              <w:ind w:right="376"/>
              <w:spacing w:after="0"/>
              <w:rPr>
                <w:sz w:val="20"/>
                <w:szCs w:val="20"/>
                <w:color w:val="auto"/>
              </w:rPr>
            </w:pPr>
            <w:r>
              <w:rPr>
                <w:rFonts w:ascii="Arial" w:cs="Arial" w:eastAsia="Arial" w:hAnsi="Arial"/>
                <w:sz w:val="13"/>
                <w:szCs w:val="13"/>
                <w:b w:val="1"/>
                <w:bCs w:val="1"/>
                <w:color w:val="auto"/>
              </w:rPr>
              <w:t>(116)</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(2,561)</w:t>
            </w:r>
          </w:p>
        </w:tc>
      </w:tr>
      <w:tr>
        <w:trPr>
          <w:trHeight w:val="170"/>
        </w:trPr>
        <w:tc>
          <w:tcPr>
            <w:tcW w:w="6380" w:type="dxa"/>
            <w:vAlign w:val="bottom"/>
          </w:tcPr>
          <w:p>
            <w:pPr>
              <w:ind w:left="20"/>
              <w:spacing w:after="0"/>
              <w:rPr>
                <w:sz w:val="20"/>
                <w:szCs w:val="20"/>
                <w:color w:val="auto"/>
              </w:rPr>
            </w:pPr>
            <w:r>
              <w:rPr>
                <w:rFonts w:ascii="Arial" w:cs="Arial" w:eastAsia="Arial" w:hAnsi="Arial"/>
                <w:sz w:val="13"/>
                <w:szCs w:val="13"/>
                <w:color w:val="auto"/>
              </w:rPr>
              <w:t>Increase in loss allowance recognised in profit or loss during the year</w:t>
            </w:r>
          </w:p>
        </w:tc>
        <w:tc>
          <w:tcPr>
            <w:tcW w:w="3700" w:type="dxa"/>
            <w:vAlign w:val="bottom"/>
          </w:tcPr>
          <w:p>
            <w:pPr>
              <w:jc w:val="right"/>
              <w:ind w:right="396"/>
              <w:spacing w:after="0"/>
              <w:rPr>
                <w:sz w:val="20"/>
                <w:szCs w:val="20"/>
                <w:color w:val="auto"/>
              </w:rPr>
            </w:pPr>
            <w:r>
              <w:rPr>
                <w:rFonts w:ascii="Arial" w:cs="Arial" w:eastAsia="Arial" w:hAnsi="Arial"/>
                <w:sz w:val="13"/>
                <w:szCs w:val="13"/>
                <w:b w:val="1"/>
                <w:bCs w:val="1"/>
                <w:color w:val="auto"/>
              </w:rPr>
              <w:t>705</w:t>
            </w:r>
          </w:p>
        </w:tc>
        <w:tc>
          <w:tcPr>
            <w:tcW w:w="1180" w:type="dxa"/>
            <w:vAlign w:val="bottom"/>
          </w:tcPr>
          <w:p>
            <w:pPr>
              <w:jc w:val="right"/>
              <w:spacing w:after="0"/>
              <w:rPr>
                <w:sz w:val="20"/>
                <w:szCs w:val="20"/>
                <w:color w:val="auto"/>
              </w:rPr>
            </w:pPr>
            <w:r>
              <w:rPr>
                <w:rFonts w:ascii="Arial" w:cs="Arial" w:eastAsia="Arial" w:hAnsi="Arial"/>
                <w:sz w:val="13"/>
                <w:szCs w:val="13"/>
                <w:color w:val="auto"/>
              </w:rPr>
              <w:t>2,692</w:t>
            </w:r>
          </w:p>
        </w:tc>
      </w:tr>
      <w:tr>
        <w:trPr>
          <w:trHeight w:val="202"/>
        </w:trPr>
        <w:tc>
          <w:tcPr>
            <w:tcW w:w="6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Unused amount reversed</w:t>
            </w:r>
          </w:p>
        </w:tc>
        <w:tc>
          <w:tcPr>
            <w:tcW w:w="3700" w:type="dxa"/>
            <w:vAlign w:val="bottom"/>
            <w:shd w:val="clear" w:color="auto" w:fill="CCEEFF"/>
          </w:tcPr>
          <w:p>
            <w:pPr>
              <w:jc w:val="right"/>
              <w:ind w:right="376"/>
              <w:spacing w:after="0"/>
              <w:rPr>
                <w:sz w:val="20"/>
                <w:szCs w:val="20"/>
                <w:color w:val="auto"/>
              </w:rPr>
            </w:pPr>
            <w:r>
              <w:rPr>
                <w:rFonts w:ascii="Arial" w:cs="Arial" w:eastAsia="Arial" w:hAnsi="Arial"/>
                <w:sz w:val="13"/>
                <w:szCs w:val="13"/>
                <w:b w:val="1"/>
                <w:bCs w:val="1"/>
                <w:color w:val="auto"/>
              </w:rPr>
              <w:t>(544)</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(510)</w:t>
            </w:r>
          </w:p>
        </w:tc>
      </w:tr>
      <w:tr>
        <w:trPr>
          <w:trHeight w:val="178"/>
        </w:trPr>
        <w:tc>
          <w:tcPr>
            <w:tcW w:w="6380" w:type="dxa"/>
            <w:vAlign w:val="bottom"/>
          </w:tcPr>
          <w:p>
            <w:pPr>
              <w:ind w:left="20"/>
              <w:spacing w:after="0"/>
              <w:rPr>
                <w:sz w:val="20"/>
                <w:szCs w:val="20"/>
                <w:color w:val="auto"/>
              </w:rPr>
            </w:pPr>
            <w:r>
              <w:rPr>
                <w:rFonts w:ascii="Arial" w:cs="Arial" w:eastAsia="Arial" w:hAnsi="Arial"/>
                <w:sz w:val="13"/>
                <w:szCs w:val="13"/>
                <w:color w:val="auto"/>
              </w:rPr>
              <w:t>Foreign currency translation</w:t>
            </w:r>
          </w:p>
        </w:tc>
        <w:tc>
          <w:tcPr>
            <w:tcW w:w="3700" w:type="dxa"/>
            <w:vAlign w:val="bottom"/>
          </w:tcPr>
          <w:p>
            <w:pPr>
              <w:jc w:val="right"/>
              <w:ind w:right="376"/>
              <w:spacing w:after="0"/>
              <w:rPr>
                <w:sz w:val="20"/>
                <w:szCs w:val="20"/>
                <w:color w:val="auto"/>
              </w:rPr>
            </w:pPr>
            <w:r>
              <w:rPr>
                <w:rFonts w:ascii="Arial" w:cs="Arial" w:eastAsia="Arial" w:hAnsi="Arial"/>
                <w:sz w:val="13"/>
                <w:szCs w:val="13"/>
                <w:b w:val="1"/>
                <w:bCs w:val="1"/>
                <w:color w:val="auto"/>
              </w:rPr>
              <w:t>(113)</w:t>
            </w:r>
          </w:p>
        </w:tc>
        <w:tc>
          <w:tcPr>
            <w:tcW w:w="1180" w:type="dxa"/>
            <w:vAlign w:val="bottom"/>
          </w:tcPr>
          <w:p>
            <w:pPr>
              <w:jc w:val="right"/>
              <w:spacing w:after="0"/>
              <w:rPr>
                <w:sz w:val="20"/>
                <w:szCs w:val="20"/>
                <w:color w:val="auto"/>
              </w:rPr>
            </w:pPr>
            <w:r>
              <w:rPr>
                <w:rFonts w:ascii="Arial" w:cs="Arial" w:eastAsia="Arial" w:hAnsi="Arial"/>
                <w:sz w:val="13"/>
                <w:szCs w:val="13"/>
                <w:color w:val="auto"/>
              </w:rPr>
              <w:t>148</w:t>
            </w:r>
          </w:p>
        </w:tc>
      </w:tr>
      <w:tr>
        <w:trPr>
          <w:trHeight w:val="24"/>
        </w:trPr>
        <w:tc>
          <w:tcPr>
            <w:tcW w:w="638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2"/>
        </w:trPr>
        <w:tc>
          <w:tcPr>
            <w:tcW w:w="6380" w:type="dxa"/>
            <w:vAlign w:val="bottom"/>
            <w:shd w:val="clear" w:color="auto" w:fill="CCEEFF"/>
          </w:tcPr>
          <w:p>
            <w:pPr>
              <w:spacing w:after="0"/>
              <w:rPr>
                <w:sz w:val="15"/>
                <w:szCs w:val="15"/>
                <w:color w:val="auto"/>
              </w:rPr>
            </w:pPr>
          </w:p>
        </w:tc>
        <w:tc>
          <w:tcPr>
            <w:tcW w:w="37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71"/>
        </w:trPr>
        <w:tc>
          <w:tcPr>
            <w:tcW w:w="63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Balance at end of year</w:t>
            </w:r>
          </w:p>
        </w:tc>
        <w:tc>
          <w:tcPr>
            <w:tcW w:w="370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7,081</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7,149</w:t>
            </w:r>
          </w:p>
        </w:tc>
      </w:tr>
    </w:tbl>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94</w:t>
      </w:r>
    </w:p>
    <w:p>
      <w:pPr>
        <w:sectPr>
          <w:pgSz w:w="11900" w:h="16838" w:orient="portrait"/>
          <w:cols w:equalWidth="0" w:num="1">
            <w:col w:w="11280"/>
          </w:cols>
          <w:pgMar w:left="300" w:top="698" w:right="31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232" w:lineRule="exact"/>
        <w:rPr>
          <w:sz w:val="20"/>
          <w:szCs w:val="20"/>
          <w:color w:val="auto"/>
        </w:rPr>
      </w:pPr>
    </w:p>
    <w:p>
      <w:pPr>
        <w:ind w:left="320" w:hanging="315"/>
        <w:spacing w:after="0"/>
        <w:tabs>
          <w:tab w:leader="none" w:pos="320" w:val="left"/>
        </w:tabs>
        <w:numPr>
          <w:ilvl w:val="0"/>
          <w:numId w:val="103"/>
        </w:numPr>
        <w:rPr>
          <w:rFonts w:ascii="Arial" w:cs="Arial" w:eastAsia="Arial" w:hAnsi="Arial"/>
          <w:sz w:val="13"/>
          <w:szCs w:val="13"/>
          <w:b w:val="1"/>
          <w:bCs w:val="1"/>
          <w:color w:val="auto"/>
        </w:rPr>
      </w:pPr>
      <w:r>
        <w:rPr>
          <w:rFonts w:ascii="Arial" w:cs="Arial" w:eastAsia="Arial" w:hAnsi="Arial"/>
          <w:sz w:val="13"/>
          <w:szCs w:val="13"/>
          <w:b w:val="1"/>
          <w:bCs w:val="1"/>
          <w:color w:val="auto"/>
        </w:rPr>
        <w:t>Accounts receivable, unbilled services (contract assets) and unearned revenue (contract liabilities)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3"/>
          <w:szCs w:val="13"/>
          <w:color w:val="auto"/>
        </w:rPr>
        <w:t>The Group considered that there was evidence of impairment if any of the following indicators were present:</w:t>
      </w:r>
    </w:p>
    <w:p>
      <w:pPr>
        <w:spacing w:after="0" w:line="201" w:lineRule="exact"/>
        <w:rPr>
          <w:sz w:val="20"/>
          <w:szCs w:val="20"/>
          <w:color w:val="auto"/>
        </w:rPr>
      </w:pPr>
    </w:p>
    <w:p>
      <w:pPr>
        <w:ind w:left="500" w:hanging="240"/>
        <w:spacing w:after="0"/>
        <w:tabs>
          <w:tab w:leader="none" w:pos="500" w:val="left"/>
        </w:tabs>
        <w:numPr>
          <w:ilvl w:val="0"/>
          <w:numId w:val="104"/>
        </w:numPr>
        <w:rPr>
          <w:rFonts w:ascii="Arial" w:cs="Arial" w:eastAsia="Arial" w:hAnsi="Arial"/>
          <w:sz w:val="13"/>
          <w:szCs w:val="13"/>
          <w:color w:val="auto"/>
        </w:rPr>
      </w:pPr>
      <w:r>
        <w:rPr>
          <w:rFonts w:ascii="Arial" w:cs="Arial" w:eastAsia="Arial" w:hAnsi="Arial"/>
          <w:sz w:val="13"/>
          <w:szCs w:val="13"/>
          <w:color w:val="auto"/>
        </w:rPr>
        <w:t>significant financial difficulties of the debtor</w:t>
      </w:r>
    </w:p>
    <w:p>
      <w:pPr>
        <w:spacing w:after="0" w:line="11" w:lineRule="exact"/>
        <w:rPr>
          <w:rFonts w:ascii="Arial" w:cs="Arial" w:eastAsia="Arial" w:hAnsi="Arial"/>
          <w:sz w:val="13"/>
          <w:szCs w:val="13"/>
          <w:color w:val="auto"/>
        </w:rPr>
      </w:pPr>
    </w:p>
    <w:p>
      <w:pPr>
        <w:ind w:left="500" w:hanging="240"/>
        <w:spacing w:after="0"/>
        <w:tabs>
          <w:tab w:leader="none" w:pos="500" w:val="left"/>
        </w:tabs>
        <w:numPr>
          <w:ilvl w:val="0"/>
          <w:numId w:val="104"/>
        </w:numPr>
        <w:rPr>
          <w:rFonts w:ascii="Arial" w:cs="Arial" w:eastAsia="Arial" w:hAnsi="Arial"/>
          <w:sz w:val="13"/>
          <w:szCs w:val="13"/>
          <w:color w:val="auto"/>
        </w:rPr>
      </w:pPr>
      <w:r>
        <w:rPr>
          <w:rFonts w:ascii="Arial" w:cs="Arial" w:eastAsia="Arial" w:hAnsi="Arial"/>
          <w:sz w:val="13"/>
          <w:szCs w:val="13"/>
          <w:color w:val="auto"/>
        </w:rPr>
        <w:t>probability that the debtor will enter a financial restructuring process, and</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104"/>
        </w:numPr>
        <w:rPr>
          <w:rFonts w:ascii="Arial" w:cs="Arial" w:eastAsia="Arial" w:hAnsi="Arial"/>
          <w:sz w:val="13"/>
          <w:szCs w:val="13"/>
          <w:color w:val="auto"/>
        </w:rPr>
      </w:pPr>
      <w:r>
        <w:rPr>
          <w:rFonts w:ascii="Arial" w:cs="Arial" w:eastAsia="Arial" w:hAnsi="Arial"/>
          <w:sz w:val="13"/>
          <w:szCs w:val="13"/>
          <w:color w:val="auto"/>
        </w:rPr>
        <w:t>default or late payment</w:t>
      </w:r>
    </w:p>
    <w:p>
      <w:pPr>
        <w:spacing w:after="0" w:line="193"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The Group's estimate of expected credit losses considers historical credit loss information that is adjusted, where necessary, for current conditions and reasonable and supportable forecasts. Historical credit loss experience provides the basis for the estimation of expected credit losses. The Group's receivables and unbilled services are predominantly due from large and mid-tier pharmaceutical and biotechnology companies that share similar risk characteristics. The Group monitors their portfolio of receivables and unbilled services for any deterioration in current or expected credit quality (for example expected delinquency level), and adjusts the allowance for credit losses as required. Receivables for which an impairment provision was recognised were written off against the provision when there was no expectation of recovering additional cash.</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color w:val="auto"/>
        </w:rPr>
        <w:t>At 31 December 2021, the Group maintained an impairment provision of $7.1 million (2020: $7.1 million).</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All receivables are due within twelve months of the year ended 31 December 2021.</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Further analysis of Group’s accounts receivable balances at 31 December 2021 and 31 December 2020 is as follows: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200" w:type="dxa"/>
            <w:vAlign w:val="bottom"/>
            <w:shd w:val="clear" w:color="auto" w:fill="CCEEFF"/>
          </w:tcPr>
          <w:p>
            <w:pPr>
              <w:spacing w:after="0"/>
              <w:rPr>
                <w:sz w:val="13"/>
                <w:szCs w:val="13"/>
                <w:color w:val="auto"/>
              </w:rPr>
            </w:pPr>
          </w:p>
        </w:tc>
        <w:tc>
          <w:tcPr>
            <w:tcW w:w="2760" w:type="dxa"/>
            <w:vAlign w:val="bottom"/>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Gross</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Gross</w:t>
            </w:r>
          </w:p>
        </w:tc>
        <w:tc>
          <w:tcPr>
            <w:tcW w:w="20" w:type="dxa"/>
            <w:vAlign w:val="bottom"/>
          </w:tcPr>
          <w:p>
            <w:pPr>
              <w:spacing w:after="0"/>
              <w:rPr>
                <w:sz w:val="13"/>
                <w:szCs w:val="13"/>
                <w:color w:val="auto"/>
              </w:rPr>
            </w:pPr>
          </w:p>
        </w:tc>
      </w:tr>
      <w:tr>
        <w:trPr>
          <w:trHeight w:val="170"/>
        </w:trPr>
        <w:tc>
          <w:tcPr>
            <w:tcW w:w="7200" w:type="dxa"/>
            <w:vAlign w:val="bottom"/>
            <w:shd w:val="clear" w:color="auto" w:fill="CCEEFF"/>
          </w:tcPr>
          <w:p>
            <w:pPr>
              <w:spacing w:after="0"/>
              <w:rPr>
                <w:sz w:val="14"/>
                <w:szCs w:val="14"/>
                <w:color w:val="auto"/>
              </w:rPr>
            </w:pPr>
          </w:p>
        </w:tc>
        <w:tc>
          <w:tcPr>
            <w:tcW w:w="2760" w:type="dxa"/>
            <w:vAlign w:val="bottom"/>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accounts receivable</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accounts receivable</w:t>
            </w:r>
          </w:p>
        </w:tc>
        <w:tc>
          <w:tcPr>
            <w:tcW w:w="20" w:type="dxa"/>
            <w:vAlign w:val="bottom"/>
          </w:tcPr>
          <w:p>
            <w:pPr>
              <w:spacing w:after="0"/>
              <w:rPr>
                <w:sz w:val="14"/>
                <w:szCs w:val="14"/>
                <w:color w:val="auto"/>
              </w:rPr>
            </w:pPr>
          </w:p>
        </w:tc>
      </w:tr>
      <w:tr>
        <w:trPr>
          <w:trHeight w:val="170"/>
        </w:trPr>
        <w:tc>
          <w:tcPr>
            <w:tcW w:w="720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2021</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2020</w:t>
            </w:r>
          </w:p>
        </w:tc>
        <w:tc>
          <w:tcPr>
            <w:tcW w:w="20" w:type="dxa"/>
            <w:vAlign w:val="bottom"/>
          </w:tcPr>
          <w:p>
            <w:pPr>
              <w:spacing w:after="0"/>
              <w:rPr>
                <w:sz w:val="14"/>
                <w:szCs w:val="14"/>
                <w:color w:val="auto"/>
              </w:rPr>
            </w:pPr>
          </w:p>
        </w:tc>
      </w:tr>
      <w:tr>
        <w:trPr>
          <w:trHeight w:val="160"/>
        </w:trPr>
        <w:tc>
          <w:tcPr>
            <w:tcW w:w="7200" w:type="dxa"/>
            <w:vAlign w:val="bottom"/>
            <w:shd w:val="clear" w:color="auto" w:fill="CCEEFF"/>
          </w:tcPr>
          <w:p>
            <w:pPr>
              <w:spacing w:after="0"/>
              <w:rPr>
                <w:sz w:val="13"/>
                <w:szCs w:val="13"/>
                <w:color w:val="auto"/>
              </w:rPr>
            </w:pPr>
          </w:p>
        </w:tc>
        <w:tc>
          <w:tcPr>
            <w:tcW w:w="2760" w:type="dxa"/>
            <w:vAlign w:val="bottom"/>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$’000</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$’000</w:t>
            </w:r>
          </w:p>
        </w:tc>
        <w:tc>
          <w:tcPr>
            <w:tcW w:w="20" w:type="dxa"/>
            <w:vAlign w:val="bottom"/>
          </w:tcPr>
          <w:p>
            <w:pPr>
              <w:spacing w:after="0"/>
              <w:rPr>
                <w:sz w:val="13"/>
                <w:szCs w:val="13"/>
                <w:color w:val="auto"/>
              </w:rPr>
            </w:pPr>
          </w:p>
        </w:tc>
      </w:tr>
      <w:tr>
        <w:trPr>
          <w:trHeight w:val="212"/>
        </w:trPr>
        <w:tc>
          <w:tcPr>
            <w:tcW w:w="72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0"/>
        </w:trPr>
        <w:tc>
          <w:tcPr>
            <w:tcW w:w="7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Not past due</w:t>
            </w:r>
          </w:p>
        </w:tc>
        <w:tc>
          <w:tcPr>
            <w:tcW w:w="2760" w:type="dxa"/>
            <w:vAlign w:val="bottom"/>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1,089,556</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637,302</w:t>
            </w:r>
          </w:p>
        </w:tc>
        <w:tc>
          <w:tcPr>
            <w:tcW w:w="20" w:type="dxa"/>
            <w:vAlign w:val="bottom"/>
          </w:tcPr>
          <w:p>
            <w:pPr>
              <w:spacing w:after="0"/>
              <w:rPr>
                <w:sz w:val="14"/>
                <w:szCs w:val="14"/>
                <w:color w:val="auto"/>
              </w:rPr>
            </w:pPr>
          </w:p>
        </w:tc>
      </w:tr>
      <w:tr>
        <w:trPr>
          <w:trHeight w:val="170"/>
        </w:trPr>
        <w:tc>
          <w:tcPr>
            <w:tcW w:w="7200" w:type="dxa"/>
            <w:vAlign w:val="bottom"/>
          </w:tcPr>
          <w:p>
            <w:pPr>
              <w:ind w:left="20"/>
              <w:spacing w:after="0"/>
              <w:rPr>
                <w:sz w:val="20"/>
                <w:szCs w:val="20"/>
                <w:color w:val="auto"/>
              </w:rPr>
            </w:pPr>
            <w:r>
              <w:rPr>
                <w:rFonts w:ascii="Arial" w:cs="Arial" w:eastAsia="Arial" w:hAnsi="Arial"/>
                <w:sz w:val="13"/>
                <w:szCs w:val="13"/>
                <w:color w:val="auto"/>
              </w:rPr>
              <w:t>Past due 0 to 30 days</w:t>
            </w:r>
          </w:p>
        </w:tc>
        <w:tc>
          <w:tcPr>
            <w:tcW w:w="2760" w:type="dxa"/>
            <w:vAlign w:val="bottom"/>
          </w:tcPr>
          <w:p>
            <w:pPr>
              <w:jc w:val="right"/>
              <w:ind w:right="136"/>
              <w:spacing w:after="0"/>
              <w:rPr>
                <w:sz w:val="20"/>
                <w:szCs w:val="20"/>
                <w:color w:val="auto"/>
              </w:rPr>
            </w:pPr>
            <w:r>
              <w:rPr>
                <w:rFonts w:ascii="Arial" w:cs="Arial" w:eastAsia="Arial" w:hAnsi="Arial"/>
                <w:sz w:val="13"/>
                <w:szCs w:val="13"/>
                <w:b w:val="1"/>
                <w:bCs w:val="1"/>
                <w:color w:val="auto"/>
              </w:rPr>
              <w:t>155,397</w:t>
            </w:r>
          </w:p>
        </w:tc>
        <w:tc>
          <w:tcPr>
            <w:tcW w:w="1300" w:type="dxa"/>
            <w:vAlign w:val="bottom"/>
          </w:tcPr>
          <w:p>
            <w:pPr>
              <w:jc w:val="right"/>
              <w:spacing w:after="0"/>
              <w:rPr>
                <w:sz w:val="20"/>
                <w:szCs w:val="20"/>
                <w:color w:val="auto"/>
              </w:rPr>
            </w:pPr>
            <w:r>
              <w:rPr>
                <w:rFonts w:ascii="Arial" w:cs="Arial" w:eastAsia="Arial" w:hAnsi="Arial"/>
                <w:sz w:val="13"/>
                <w:szCs w:val="13"/>
                <w:color w:val="auto"/>
              </w:rPr>
              <w:t>36,246</w:t>
            </w:r>
          </w:p>
        </w:tc>
        <w:tc>
          <w:tcPr>
            <w:tcW w:w="20" w:type="dxa"/>
            <w:vAlign w:val="bottom"/>
          </w:tcPr>
          <w:p>
            <w:pPr>
              <w:spacing w:after="0"/>
              <w:rPr>
                <w:sz w:val="14"/>
                <w:szCs w:val="14"/>
                <w:color w:val="auto"/>
              </w:rPr>
            </w:pPr>
          </w:p>
        </w:tc>
      </w:tr>
      <w:tr>
        <w:trPr>
          <w:trHeight w:val="170"/>
        </w:trPr>
        <w:tc>
          <w:tcPr>
            <w:tcW w:w="7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Past due 31 to 60 days</w:t>
            </w:r>
          </w:p>
        </w:tc>
        <w:tc>
          <w:tcPr>
            <w:tcW w:w="2760" w:type="dxa"/>
            <w:vAlign w:val="bottom"/>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40,058</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13,841</w:t>
            </w:r>
          </w:p>
        </w:tc>
        <w:tc>
          <w:tcPr>
            <w:tcW w:w="20" w:type="dxa"/>
            <w:vAlign w:val="bottom"/>
          </w:tcPr>
          <w:p>
            <w:pPr>
              <w:spacing w:after="0"/>
              <w:rPr>
                <w:sz w:val="14"/>
                <w:szCs w:val="14"/>
                <w:color w:val="auto"/>
              </w:rPr>
            </w:pPr>
          </w:p>
        </w:tc>
      </w:tr>
      <w:tr>
        <w:trPr>
          <w:trHeight w:val="170"/>
        </w:trPr>
        <w:tc>
          <w:tcPr>
            <w:tcW w:w="72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Past due 61+ days</w:t>
            </w:r>
          </w:p>
        </w:tc>
        <w:tc>
          <w:tcPr>
            <w:tcW w:w="27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64,840</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35,031</w:t>
            </w:r>
          </w:p>
        </w:tc>
        <w:tc>
          <w:tcPr>
            <w:tcW w:w="20" w:type="dxa"/>
            <w:vAlign w:val="bottom"/>
          </w:tcPr>
          <w:p>
            <w:pPr>
              <w:spacing w:after="0"/>
              <w:rPr>
                <w:sz w:val="14"/>
                <w:szCs w:val="14"/>
                <w:color w:val="auto"/>
              </w:rPr>
            </w:pPr>
          </w:p>
        </w:tc>
      </w:tr>
      <w:tr>
        <w:trPr>
          <w:trHeight w:val="192"/>
        </w:trPr>
        <w:tc>
          <w:tcPr>
            <w:tcW w:w="7200" w:type="dxa"/>
            <w:vAlign w:val="bottom"/>
            <w:shd w:val="clear" w:color="auto" w:fill="CCEEFF"/>
          </w:tcPr>
          <w:p>
            <w:pPr>
              <w:spacing w:after="0"/>
              <w:rPr>
                <w:sz w:val="16"/>
                <w:szCs w:val="16"/>
                <w:color w:val="auto"/>
              </w:rPr>
            </w:pPr>
          </w:p>
        </w:tc>
        <w:tc>
          <w:tcPr>
            <w:tcW w:w="27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71"/>
        </w:trPr>
        <w:tc>
          <w:tcPr>
            <w:tcW w:w="72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Accounts receivable</w:t>
            </w:r>
          </w:p>
        </w:tc>
        <w:tc>
          <w:tcPr>
            <w:tcW w:w="27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1,349,851</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722,420</w:t>
            </w:r>
          </w:p>
        </w:tc>
        <w:tc>
          <w:tcPr>
            <w:tcW w:w="20" w:type="dxa"/>
            <w:vAlign w:val="bottom"/>
          </w:tcPr>
          <w:p>
            <w:pPr>
              <w:spacing w:after="0"/>
              <w:rPr>
                <w:sz w:val="14"/>
                <w:szCs w:val="14"/>
                <w:color w:val="auto"/>
              </w:rPr>
            </w:pPr>
          </w:p>
        </w:tc>
      </w:tr>
      <w:tr>
        <w:trPr>
          <w:trHeight w:val="231"/>
        </w:trPr>
        <w:tc>
          <w:tcPr>
            <w:tcW w:w="7200" w:type="dxa"/>
            <w:vAlign w:val="bottom"/>
          </w:tcPr>
          <w:p>
            <w:pPr>
              <w:spacing w:after="0"/>
              <w:rPr>
                <w:sz w:val="20"/>
                <w:szCs w:val="20"/>
                <w:color w:val="auto"/>
              </w:rPr>
            </w:pPr>
            <w:r>
              <w:rPr>
                <w:rFonts w:ascii="Arial" w:cs="Arial" w:eastAsia="Arial" w:hAnsi="Arial"/>
                <w:sz w:val="13"/>
                <w:szCs w:val="13"/>
                <w:color w:val="auto"/>
              </w:rPr>
              <w:t>The carrying amounts of the Group’s accounts receivables are denominated in the following currencies:</w:t>
            </w:r>
          </w:p>
        </w:tc>
        <w:tc>
          <w:tcPr>
            <w:tcW w:w="27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87"/>
        </w:trPr>
        <w:tc>
          <w:tcPr>
            <w:tcW w:w="7200" w:type="dxa"/>
            <w:vAlign w:val="bottom"/>
          </w:tcPr>
          <w:p>
            <w:pPr>
              <w:spacing w:after="0"/>
              <w:rPr>
                <w:sz w:val="7"/>
                <w:szCs w:val="7"/>
                <w:color w:val="auto"/>
              </w:rPr>
            </w:pPr>
          </w:p>
        </w:tc>
        <w:tc>
          <w:tcPr>
            <w:tcW w:w="2760" w:type="dxa"/>
            <w:vAlign w:val="bottom"/>
          </w:tcPr>
          <w:p>
            <w:pPr>
              <w:spacing w:after="0"/>
              <w:rPr>
                <w:sz w:val="7"/>
                <w:szCs w:val="7"/>
                <w:color w:val="auto"/>
              </w:rPr>
            </w:pPr>
          </w:p>
        </w:tc>
        <w:tc>
          <w:tcPr>
            <w:tcW w:w="1320" w:type="dxa"/>
            <w:vAlign w:val="bottom"/>
            <w:gridSpan w:val="2"/>
          </w:tcPr>
          <w:p>
            <w:pPr>
              <w:spacing w:after="0"/>
              <w:rPr>
                <w:sz w:val="7"/>
                <w:szCs w:val="7"/>
                <w:color w:val="auto"/>
              </w:rPr>
            </w:pPr>
          </w:p>
        </w:tc>
      </w:tr>
      <w:tr>
        <w:trPr>
          <w:trHeight w:val="127"/>
        </w:trPr>
        <w:tc>
          <w:tcPr>
            <w:tcW w:w="7200" w:type="dxa"/>
            <w:vAlign w:val="bottom"/>
            <w:shd w:val="clear" w:color="auto" w:fill="CCEEFF"/>
          </w:tcPr>
          <w:p>
            <w:pPr>
              <w:spacing w:after="0"/>
              <w:rPr>
                <w:sz w:val="11"/>
                <w:szCs w:val="11"/>
                <w:color w:val="auto"/>
              </w:rPr>
            </w:pPr>
          </w:p>
        </w:tc>
        <w:tc>
          <w:tcPr>
            <w:tcW w:w="2760" w:type="dxa"/>
            <w:vAlign w:val="bottom"/>
            <w:shd w:val="clear" w:color="auto" w:fill="CCEEFF"/>
          </w:tcPr>
          <w:p>
            <w:pPr>
              <w:jc w:val="right"/>
              <w:ind w:right="116"/>
              <w:spacing w:after="0" w:line="128" w:lineRule="exact"/>
              <w:rPr>
                <w:sz w:val="20"/>
                <w:szCs w:val="20"/>
                <w:color w:val="auto"/>
              </w:rPr>
            </w:pPr>
            <w:r>
              <w:rPr>
                <w:rFonts w:ascii="Arial" w:cs="Arial" w:eastAsia="Arial" w:hAnsi="Arial"/>
                <w:sz w:val="13"/>
                <w:szCs w:val="13"/>
                <w:b w:val="1"/>
                <w:bCs w:val="1"/>
                <w:color w:val="auto"/>
              </w:rPr>
              <w:t>31 December</w:t>
            </w:r>
          </w:p>
        </w:tc>
        <w:tc>
          <w:tcPr>
            <w:tcW w:w="1320" w:type="dxa"/>
            <w:vAlign w:val="bottom"/>
            <w:gridSpan w:val="2"/>
            <w:shd w:val="clear" w:color="auto" w:fill="CCEEFF"/>
          </w:tcPr>
          <w:p>
            <w:pPr>
              <w:jc w:val="right"/>
              <w:ind w:right="20"/>
              <w:spacing w:after="0" w:line="128" w:lineRule="exact"/>
              <w:rPr>
                <w:sz w:val="20"/>
                <w:szCs w:val="20"/>
                <w:color w:val="auto"/>
              </w:rPr>
            </w:pPr>
            <w:r>
              <w:rPr>
                <w:rFonts w:ascii="Arial" w:cs="Arial" w:eastAsia="Arial" w:hAnsi="Arial"/>
                <w:sz w:val="13"/>
                <w:szCs w:val="13"/>
                <w:color w:val="auto"/>
              </w:rPr>
              <w:t>31 December</w:t>
            </w:r>
          </w:p>
        </w:tc>
      </w:tr>
      <w:tr>
        <w:trPr>
          <w:trHeight w:val="170"/>
        </w:trPr>
        <w:tc>
          <w:tcPr>
            <w:tcW w:w="7200" w:type="dxa"/>
            <w:vAlign w:val="bottom"/>
            <w:tcBorders>
              <w:bottom w:val="single" w:sz="8" w:color="auto"/>
            </w:tcBorders>
            <w:shd w:val="clear" w:color="auto" w:fill="CCEEFF"/>
          </w:tcPr>
          <w:p>
            <w:pPr>
              <w:spacing w:after="0"/>
              <w:rPr>
                <w:sz w:val="14"/>
                <w:szCs w:val="14"/>
                <w:color w:val="auto"/>
              </w:rPr>
            </w:pPr>
          </w:p>
        </w:tc>
        <w:tc>
          <w:tcPr>
            <w:tcW w:w="27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2021</w:t>
            </w:r>
          </w:p>
        </w:tc>
        <w:tc>
          <w:tcPr>
            <w:tcW w:w="13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2020</w:t>
            </w:r>
          </w:p>
        </w:tc>
      </w:tr>
      <w:tr>
        <w:trPr>
          <w:trHeight w:val="160"/>
        </w:trPr>
        <w:tc>
          <w:tcPr>
            <w:tcW w:w="7200" w:type="dxa"/>
            <w:vAlign w:val="bottom"/>
          </w:tcPr>
          <w:p>
            <w:pPr>
              <w:spacing w:after="0"/>
              <w:rPr>
                <w:sz w:val="13"/>
                <w:szCs w:val="13"/>
                <w:color w:val="auto"/>
              </w:rPr>
            </w:pPr>
          </w:p>
        </w:tc>
        <w:tc>
          <w:tcPr>
            <w:tcW w:w="2760" w:type="dxa"/>
            <w:vAlign w:val="bottom"/>
          </w:tcPr>
          <w:p>
            <w:pPr>
              <w:jc w:val="right"/>
              <w:ind w:right="116"/>
              <w:spacing w:after="0"/>
              <w:rPr>
                <w:sz w:val="20"/>
                <w:szCs w:val="20"/>
                <w:color w:val="auto"/>
              </w:rPr>
            </w:pPr>
            <w:r>
              <w:rPr>
                <w:rFonts w:ascii="Arial" w:cs="Arial" w:eastAsia="Arial" w:hAnsi="Arial"/>
                <w:sz w:val="13"/>
                <w:szCs w:val="13"/>
                <w:b w:val="1"/>
                <w:bCs w:val="1"/>
                <w:color w:val="auto"/>
              </w:rPr>
              <w:t>$’000</w:t>
            </w:r>
          </w:p>
        </w:tc>
        <w:tc>
          <w:tcPr>
            <w:tcW w:w="1320" w:type="dxa"/>
            <w:vAlign w:val="bottom"/>
            <w:gridSpan w:val="2"/>
          </w:tcPr>
          <w:p>
            <w:pPr>
              <w:jc w:val="right"/>
              <w:ind w:right="20"/>
              <w:spacing w:after="0"/>
              <w:rPr>
                <w:sz w:val="20"/>
                <w:szCs w:val="20"/>
                <w:color w:val="auto"/>
              </w:rPr>
            </w:pPr>
            <w:r>
              <w:rPr>
                <w:rFonts w:ascii="Arial" w:cs="Arial" w:eastAsia="Arial" w:hAnsi="Arial"/>
                <w:sz w:val="13"/>
                <w:szCs w:val="13"/>
                <w:color w:val="auto"/>
              </w:rPr>
              <w:t>$’000</w:t>
            </w:r>
          </w:p>
        </w:tc>
      </w:tr>
      <w:tr>
        <w:trPr>
          <w:trHeight w:val="202"/>
        </w:trPr>
        <w:tc>
          <w:tcPr>
            <w:tcW w:w="72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Currency</w:t>
            </w:r>
          </w:p>
        </w:tc>
        <w:tc>
          <w:tcPr>
            <w:tcW w:w="27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170"/>
        </w:trPr>
        <w:tc>
          <w:tcPr>
            <w:tcW w:w="7200" w:type="dxa"/>
            <w:vAlign w:val="bottom"/>
          </w:tcPr>
          <w:p>
            <w:pPr>
              <w:ind w:left="20"/>
              <w:spacing w:after="0"/>
              <w:rPr>
                <w:sz w:val="20"/>
                <w:szCs w:val="20"/>
                <w:color w:val="auto"/>
              </w:rPr>
            </w:pPr>
            <w:r>
              <w:rPr>
                <w:rFonts w:ascii="Arial" w:cs="Arial" w:eastAsia="Arial" w:hAnsi="Arial"/>
                <w:sz w:val="13"/>
                <w:szCs w:val="13"/>
                <w:color w:val="auto"/>
              </w:rPr>
              <w:t>US Dollar</w:t>
            </w:r>
          </w:p>
        </w:tc>
        <w:tc>
          <w:tcPr>
            <w:tcW w:w="2760" w:type="dxa"/>
            <w:vAlign w:val="bottom"/>
          </w:tcPr>
          <w:p>
            <w:pPr>
              <w:jc w:val="right"/>
              <w:ind w:right="156"/>
              <w:spacing w:after="0"/>
              <w:rPr>
                <w:sz w:val="20"/>
                <w:szCs w:val="20"/>
                <w:color w:val="auto"/>
              </w:rPr>
            </w:pPr>
            <w:r>
              <w:rPr>
                <w:rFonts w:ascii="Arial" w:cs="Arial" w:eastAsia="Arial" w:hAnsi="Arial"/>
                <w:sz w:val="13"/>
                <w:szCs w:val="13"/>
                <w:b w:val="1"/>
                <w:bCs w:val="1"/>
                <w:color w:val="auto"/>
              </w:rPr>
              <w:t>1,027,467</w:t>
            </w:r>
          </w:p>
        </w:tc>
        <w:tc>
          <w:tcPr>
            <w:tcW w:w="1300" w:type="dxa"/>
            <w:vAlign w:val="bottom"/>
          </w:tcPr>
          <w:p>
            <w:pPr>
              <w:jc w:val="right"/>
              <w:spacing w:after="0"/>
              <w:rPr>
                <w:sz w:val="20"/>
                <w:szCs w:val="20"/>
                <w:color w:val="auto"/>
              </w:rPr>
            </w:pPr>
            <w:r>
              <w:rPr>
                <w:rFonts w:ascii="Arial" w:cs="Arial" w:eastAsia="Arial" w:hAnsi="Arial"/>
                <w:sz w:val="13"/>
                <w:szCs w:val="13"/>
                <w:color w:val="auto"/>
              </w:rPr>
              <w:t>597,875</w:t>
            </w:r>
          </w:p>
        </w:tc>
        <w:tc>
          <w:tcPr>
            <w:tcW w:w="20" w:type="dxa"/>
            <w:vAlign w:val="bottom"/>
          </w:tcPr>
          <w:p>
            <w:pPr>
              <w:spacing w:after="0"/>
              <w:rPr>
                <w:sz w:val="14"/>
                <w:szCs w:val="14"/>
                <w:color w:val="auto"/>
              </w:rPr>
            </w:pPr>
          </w:p>
        </w:tc>
      </w:tr>
      <w:tr>
        <w:trPr>
          <w:trHeight w:val="170"/>
        </w:trPr>
        <w:tc>
          <w:tcPr>
            <w:tcW w:w="7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Euro</w:t>
            </w:r>
          </w:p>
        </w:tc>
        <w:tc>
          <w:tcPr>
            <w:tcW w:w="2760" w:type="dxa"/>
            <w:vAlign w:val="bottom"/>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235,899</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98,983</w:t>
            </w:r>
          </w:p>
        </w:tc>
        <w:tc>
          <w:tcPr>
            <w:tcW w:w="20" w:type="dxa"/>
            <w:vAlign w:val="bottom"/>
            <w:shd w:val="clear" w:color="auto" w:fill="CCEEFF"/>
          </w:tcPr>
          <w:p>
            <w:pPr>
              <w:spacing w:after="0"/>
              <w:rPr>
                <w:sz w:val="14"/>
                <w:szCs w:val="14"/>
                <w:color w:val="auto"/>
              </w:rPr>
            </w:pPr>
          </w:p>
        </w:tc>
      </w:tr>
      <w:tr>
        <w:trPr>
          <w:trHeight w:val="170"/>
        </w:trPr>
        <w:tc>
          <w:tcPr>
            <w:tcW w:w="7200" w:type="dxa"/>
            <w:vAlign w:val="bottom"/>
          </w:tcPr>
          <w:p>
            <w:pPr>
              <w:ind w:left="20"/>
              <w:spacing w:after="0"/>
              <w:rPr>
                <w:sz w:val="20"/>
                <w:szCs w:val="20"/>
                <w:color w:val="auto"/>
              </w:rPr>
            </w:pPr>
            <w:r>
              <w:rPr>
                <w:rFonts w:ascii="Arial" w:cs="Arial" w:eastAsia="Arial" w:hAnsi="Arial"/>
                <w:sz w:val="13"/>
                <w:szCs w:val="13"/>
                <w:color w:val="auto"/>
              </w:rPr>
              <w:t>Sterling</w:t>
            </w:r>
          </w:p>
        </w:tc>
        <w:tc>
          <w:tcPr>
            <w:tcW w:w="2760" w:type="dxa"/>
            <w:vAlign w:val="bottom"/>
          </w:tcPr>
          <w:p>
            <w:pPr>
              <w:jc w:val="right"/>
              <w:ind w:right="156"/>
              <w:spacing w:after="0"/>
              <w:rPr>
                <w:sz w:val="20"/>
                <w:szCs w:val="20"/>
                <w:color w:val="auto"/>
              </w:rPr>
            </w:pPr>
            <w:r>
              <w:rPr>
                <w:rFonts w:ascii="Arial" w:cs="Arial" w:eastAsia="Arial" w:hAnsi="Arial"/>
                <w:sz w:val="13"/>
                <w:szCs w:val="13"/>
                <w:b w:val="1"/>
                <w:bCs w:val="1"/>
                <w:color w:val="auto"/>
              </w:rPr>
              <w:t>17,439</w:t>
            </w:r>
          </w:p>
        </w:tc>
        <w:tc>
          <w:tcPr>
            <w:tcW w:w="1300" w:type="dxa"/>
            <w:vAlign w:val="bottom"/>
          </w:tcPr>
          <w:p>
            <w:pPr>
              <w:jc w:val="right"/>
              <w:spacing w:after="0"/>
              <w:rPr>
                <w:sz w:val="20"/>
                <w:szCs w:val="20"/>
                <w:color w:val="auto"/>
              </w:rPr>
            </w:pPr>
            <w:r>
              <w:rPr>
                <w:rFonts w:ascii="Arial" w:cs="Arial" w:eastAsia="Arial" w:hAnsi="Arial"/>
                <w:sz w:val="13"/>
                <w:szCs w:val="13"/>
                <w:color w:val="auto"/>
              </w:rPr>
              <w:t>8,601</w:t>
            </w:r>
          </w:p>
        </w:tc>
        <w:tc>
          <w:tcPr>
            <w:tcW w:w="20" w:type="dxa"/>
            <w:vAlign w:val="bottom"/>
          </w:tcPr>
          <w:p>
            <w:pPr>
              <w:spacing w:after="0"/>
              <w:rPr>
                <w:sz w:val="14"/>
                <w:szCs w:val="14"/>
                <w:color w:val="auto"/>
              </w:rPr>
            </w:pPr>
          </w:p>
        </w:tc>
      </w:tr>
      <w:tr>
        <w:trPr>
          <w:trHeight w:val="170"/>
        </w:trPr>
        <w:tc>
          <w:tcPr>
            <w:tcW w:w="7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Other currencies</w:t>
            </w:r>
          </w:p>
        </w:tc>
        <w:tc>
          <w:tcPr>
            <w:tcW w:w="276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69,046</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16,961</w:t>
            </w:r>
          </w:p>
        </w:tc>
        <w:tc>
          <w:tcPr>
            <w:tcW w:w="20" w:type="dxa"/>
            <w:vAlign w:val="bottom"/>
            <w:tcBorders>
              <w:bottom w:val="single" w:sz="8" w:color="auto"/>
            </w:tcBorders>
            <w:shd w:val="clear" w:color="auto" w:fill="CCEEFF"/>
          </w:tcPr>
          <w:p>
            <w:pPr>
              <w:spacing w:after="0"/>
              <w:rPr>
                <w:sz w:val="14"/>
                <w:szCs w:val="14"/>
                <w:color w:val="auto"/>
              </w:rPr>
            </w:pPr>
          </w:p>
        </w:tc>
      </w:tr>
      <w:tr>
        <w:trPr>
          <w:trHeight w:val="182"/>
        </w:trPr>
        <w:tc>
          <w:tcPr>
            <w:tcW w:w="720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1"/>
        </w:trPr>
        <w:tc>
          <w:tcPr>
            <w:tcW w:w="72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Total</w:t>
            </w:r>
          </w:p>
        </w:tc>
        <w:tc>
          <w:tcPr>
            <w:tcW w:w="276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1,349,851</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722,420</w:t>
            </w:r>
          </w:p>
        </w:tc>
        <w:tc>
          <w:tcPr>
            <w:tcW w:w="20" w:type="dxa"/>
            <w:vAlign w:val="bottom"/>
            <w:tcBorders>
              <w:bottom w:val="single" w:sz="8" w:color="auto"/>
            </w:tcBorders>
            <w:shd w:val="clear" w:color="auto" w:fill="CCEEFF"/>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95</w:t>
      </w:r>
    </w:p>
    <w:p>
      <w:pPr>
        <w:sectPr>
          <w:pgSz w:w="11900" w:h="16838" w:orient="portrait"/>
          <w:cols w:equalWidth="0" w:num="1">
            <w:col w:w="11280"/>
          </w:cols>
          <w:pgMar w:left="300" w:top="698" w:right="31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232" w:lineRule="exact"/>
        <w:rPr>
          <w:sz w:val="20"/>
          <w:szCs w:val="20"/>
          <w:color w:val="auto"/>
        </w:rPr>
      </w:pPr>
    </w:p>
    <w:p>
      <w:pPr>
        <w:spacing w:after="0"/>
        <w:tabs>
          <w:tab w:leader="none" w:pos="300" w:val="left"/>
        </w:tabs>
        <w:rPr>
          <w:sz w:val="20"/>
          <w:szCs w:val="20"/>
          <w:color w:val="auto"/>
        </w:rPr>
      </w:pPr>
      <w:r>
        <w:rPr>
          <w:rFonts w:ascii="Arial" w:cs="Arial" w:eastAsia="Arial" w:hAnsi="Arial"/>
          <w:sz w:val="13"/>
          <w:szCs w:val="13"/>
          <w:b w:val="1"/>
          <w:bCs w:val="1"/>
          <w:color w:val="auto"/>
        </w:rPr>
        <w:t>16.</w:t>
      </w:r>
      <w:r>
        <w:rPr>
          <w:sz w:val="20"/>
          <w:szCs w:val="20"/>
          <w:color w:val="auto"/>
        </w:rPr>
        <w:tab/>
      </w:r>
      <w:r>
        <w:rPr>
          <w:rFonts w:ascii="Arial" w:cs="Arial" w:eastAsia="Arial" w:hAnsi="Arial"/>
          <w:sz w:val="12"/>
          <w:szCs w:val="12"/>
          <w:b w:val="1"/>
          <w:bCs w:val="1"/>
          <w:color w:val="auto"/>
        </w:rPr>
        <w:t>Accounts receivable, unbilled services (contract assets) and unearned revenue (contract liabilities) (</w:t>
      </w:r>
      <w:r>
        <w:rPr>
          <w:rFonts w:ascii="Arial" w:cs="Arial" w:eastAsia="Arial" w:hAnsi="Arial"/>
          <w:sz w:val="12"/>
          <w:szCs w:val="12"/>
          <w:b w:val="1"/>
          <w:bCs w:val="1"/>
          <w:i w:val="1"/>
          <w:iCs w:val="1"/>
          <w:color w:val="auto"/>
        </w:rPr>
        <w:t>continued</w:t>
      </w:r>
      <w:r>
        <w:rPr>
          <w:rFonts w:ascii="Arial" w:cs="Arial" w:eastAsia="Arial" w:hAnsi="Arial"/>
          <w:sz w:val="12"/>
          <w:szCs w:val="1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3"/>
          <w:szCs w:val="13"/>
          <w:color w:val="auto"/>
        </w:rPr>
        <w:t>Accounts receivables and unbilled revenue are as follows: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500" w:type="dxa"/>
            <w:vAlign w:val="bottom"/>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31 December</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c>
          <w:tcPr>
            <w:tcW w:w="0" w:type="dxa"/>
            <w:vAlign w:val="bottom"/>
          </w:tcPr>
          <w:p>
            <w:pPr>
              <w:spacing w:after="0"/>
              <w:rPr>
                <w:sz w:val="1"/>
                <w:szCs w:val="1"/>
                <w:color w:val="auto"/>
              </w:rPr>
            </w:pPr>
          </w:p>
        </w:tc>
      </w:tr>
      <w:tr>
        <w:trPr>
          <w:trHeight w:val="170"/>
        </w:trPr>
        <w:tc>
          <w:tcPr>
            <w:tcW w:w="51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2021</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2020</w:t>
            </w:r>
          </w:p>
        </w:tc>
        <w:tc>
          <w:tcPr>
            <w:tcW w:w="0" w:type="dxa"/>
            <w:vAlign w:val="bottom"/>
          </w:tcPr>
          <w:p>
            <w:pPr>
              <w:spacing w:after="0"/>
              <w:rPr>
                <w:sz w:val="1"/>
                <w:szCs w:val="1"/>
                <w:color w:val="auto"/>
              </w:rPr>
            </w:pPr>
          </w:p>
        </w:tc>
      </w:tr>
      <w:tr>
        <w:trPr>
          <w:trHeight w:val="160"/>
        </w:trPr>
        <w:tc>
          <w:tcPr>
            <w:tcW w:w="5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500" w:type="dxa"/>
            <w:vAlign w:val="bottom"/>
          </w:tcPr>
          <w:p>
            <w:pPr>
              <w:jc w:val="right"/>
              <w:ind w:right="156"/>
              <w:spacing w:after="0"/>
              <w:rPr>
                <w:sz w:val="20"/>
                <w:szCs w:val="20"/>
                <w:color w:val="auto"/>
              </w:rPr>
            </w:pPr>
            <w:r>
              <w:rPr>
                <w:rFonts w:ascii="Arial" w:cs="Arial" w:eastAsia="Arial" w:hAnsi="Arial"/>
                <w:sz w:val="13"/>
                <w:szCs w:val="13"/>
                <w:b w:val="1"/>
                <w:bCs w:val="1"/>
                <w:color w:val="auto"/>
              </w:rPr>
              <w:t>$’000</w:t>
            </w:r>
          </w:p>
        </w:tc>
        <w:tc>
          <w:tcPr>
            <w:tcW w:w="1260" w:type="dxa"/>
            <w:vAlign w:val="bottom"/>
          </w:tcPr>
          <w:p>
            <w:pPr>
              <w:jc w:val="right"/>
              <w:spacing w:after="0"/>
              <w:rPr>
                <w:sz w:val="20"/>
                <w:szCs w:val="20"/>
                <w:color w:val="auto"/>
              </w:rPr>
            </w:pPr>
            <w:r>
              <w:rPr>
                <w:rFonts w:ascii="Arial" w:cs="Arial" w:eastAsia="Arial" w:hAnsi="Arial"/>
                <w:sz w:val="13"/>
                <w:szCs w:val="13"/>
                <w:color w:val="auto"/>
              </w:rPr>
              <w:t>$’000</w:t>
            </w:r>
          </w:p>
        </w:tc>
        <w:tc>
          <w:tcPr>
            <w:tcW w:w="0" w:type="dxa"/>
            <w:vAlign w:val="bottom"/>
          </w:tcPr>
          <w:p>
            <w:pPr>
              <w:spacing w:after="0"/>
              <w:rPr>
                <w:sz w:val="1"/>
                <w:szCs w:val="1"/>
                <w:color w:val="auto"/>
              </w:rPr>
            </w:pPr>
          </w:p>
        </w:tc>
      </w:tr>
      <w:tr>
        <w:trPr>
          <w:trHeight w:val="212"/>
        </w:trPr>
        <w:tc>
          <w:tcPr>
            <w:tcW w:w="5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5140" w:type="dxa"/>
            <w:vAlign w:val="bottom"/>
          </w:tcPr>
          <w:p>
            <w:pPr>
              <w:ind w:left="20"/>
              <w:spacing w:after="0"/>
              <w:rPr>
                <w:sz w:val="20"/>
                <w:szCs w:val="20"/>
                <w:color w:val="auto"/>
              </w:rPr>
            </w:pPr>
            <w:r>
              <w:rPr>
                <w:rFonts w:ascii="Arial" w:cs="Arial" w:eastAsia="Arial" w:hAnsi="Arial"/>
                <w:sz w:val="13"/>
                <w:szCs w:val="13"/>
                <w:color w:val="auto"/>
              </w:rPr>
              <w:t>Billed services (accounts receivable)</w:t>
            </w: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00" w:type="dxa"/>
            <w:vAlign w:val="bottom"/>
          </w:tcPr>
          <w:p>
            <w:pPr>
              <w:jc w:val="right"/>
              <w:ind w:right="196"/>
              <w:spacing w:after="0"/>
              <w:rPr>
                <w:sz w:val="20"/>
                <w:szCs w:val="20"/>
                <w:color w:val="auto"/>
              </w:rPr>
            </w:pPr>
            <w:r>
              <w:rPr>
                <w:rFonts w:ascii="Arial" w:cs="Arial" w:eastAsia="Arial" w:hAnsi="Arial"/>
                <w:sz w:val="13"/>
                <w:szCs w:val="13"/>
                <w:b w:val="1"/>
                <w:bCs w:val="1"/>
                <w:color w:val="auto"/>
              </w:rPr>
              <w:t>1,349,851</w:t>
            </w:r>
          </w:p>
        </w:tc>
        <w:tc>
          <w:tcPr>
            <w:tcW w:w="1260" w:type="dxa"/>
            <w:vAlign w:val="bottom"/>
          </w:tcPr>
          <w:p>
            <w:pPr>
              <w:jc w:val="right"/>
              <w:spacing w:after="0"/>
              <w:rPr>
                <w:sz w:val="20"/>
                <w:szCs w:val="20"/>
                <w:color w:val="auto"/>
              </w:rPr>
            </w:pPr>
            <w:r>
              <w:rPr>
                <w:rFonts w:ascii="Arial" w:cs="Arial" w:eastAsia="Arial" w:hAnsi="Arial"/>
                <w:sz w:val="13"/>
                <w:szCs w:val="13"/>
                <w:color w:val="auto"/>
              </w:rPr>
              <w:t>722,420</w:t>
            </w:r>
          </w:p>
        </w:tc>
        <w:tc>
          <w:tcPr>
            <w:tcW w:w="0" w:type="dxa"/>
            <w:vAlign w:val="bottom"/>
          </w:tcPr>
          <w:p>
            <w:pPr>
              <w:spacing w:after="0"/>
              <w:rPr>
                <w:sz w:val="1"/>
                <w:szCs w:val="1"/>
                <w:color w:val="auto"/>
              </w:rPr>
            </w:pPr>
          </w:p>
        </w:tc>
      </w:tr>
      <w:tr>
        <w:trPr>
          <w:trHeight w:val="170"/>
        </w:trPr>
        <w:tc>
          <w:tcPr>
            <w:tcW w:w="5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Unbilled services (unbilled revenue)</w:t>
            </w:r>
          </w:p>
        </w:tc>
        <w:tc>
          <w:tcPr>
            <w:tcW w:w="5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623,121</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428,684</w:t>
            </w:r>
          </w:p>
        </w:tc>
        <w:tc>
          <w:tcPr>
            <w:tcW w:w="0" w:type="dxa"/>
            <w:vAlign w:val="bottom"/>
          </w:tcPr>
          <w:p>
            <w:pPr>
              <w:spacing w:after="0"/>
              <w:rPr>
                <w:sz w:val="1"/>
                <w:szCs w:val="1"/>
                <w:color w:val="auto"/>
              </w:rPr>
            </w:pPr>
          </w:p>
        </w:tc>
      </w:tr>
      <w:tr>
        <w:trPr>
          <w:trHeight w:val="160"/>
        </w:trPr>
        <w:tc>
          <w:tcPr>
            <w:tcW w:w="5140" w:type="dxa"/>
            <w:vAlign w:val="bottom"/>
          </w:tcPr>
          <w:p>
            <w:pPr>
              <w:ind w:left="20"/>
              <w:spacing w:after="0"/>
              <w:rPr>
                <w:sz w:val="20"/>
                <w:szCs w:val="20"/>
                <w:color w:val="auto"/>
              </w:rPr>
            </w:pPr>
            <w:r>
              <w:rPr>
                <w:rFonts w:ascii="Arial" w:cs="Arial" w:eastAsia="Arial" w:hAnsi="Arial"/>
                <w:sz w:val="13"/>
                <w:szCs w:val="13"/>
                <w:color w:val="auto"/>
              </w:rPr>
              <w:t>Trade accounts receivable and unbilled revenue, gross</w:t>
            </w:r>
          </w:p>
        </w:tc>
        <w:tc>
          <w:tcPr>
            <w:tcW w:w="5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500" w:type="dxa"/>
            <w:vAlign w:val="bottom"/>
          </w:tcPr>
          <w:p>
            <w:pPr>
              <w:jc w:val="right"/>
              <w:ind w:right="196"/>
              <w:spacing w:after="0"/>
              <w:rPr>
                <w:sz w:val="20"/>
                <w:szCs w:val="20"/>
                <w:color w:val="auto"/>
              </w:rPr>
            </w:pPr>
            <w:r>
              <w:rPr>
                <w:rFonts w:ascii="Arial" w:cs="Arial" w:eastAsia="Arial" w:hAnsi="Arial"/>
                <w:sz w:val="13"/>
                <w:szCs w:val="13"/>
                <w:b w:val="1"/>
                <w:bCs w:val="1"/>
                <w:color w:val="auto"/>
              </w:rPr>
              <w:t>1,972,972</w:t>
            </w:r>
          </w:p>
        </w:tc>
        <w:tc>
          <w:tcPr>
            <w:tcW w:w="1260" w:type="dxa"/>
            <w:vAlign w:val="bottom"/>
          </w:tcPr>
          <w:p>
            <w:pPr>
              <w:jc w:val="right"/>
              <w:spacing w:after="0"/>
              <w:rPr>
                <w:sz w:val="20"/>
                <w:szCs w:val="20"/>
                <w:color w:val="auto"/>
              </w:rPr>
            </w:pPr>
            <w:r>
              <w:rPr>
                <w:rFonts w:ascii="Arial" w:cs="Arial" w:eastAsia="Arial" w:hAnsi="Arial"/>
                <w:sz w:val="13"/>
                <w:szCs w:val="13"/>
                <w:color w:val="auto"/>
              </w:rPr>
              <w:t>1,151,104</w:t>
            </w:r>
          </w:p>
        </w:tc>
        <w:tc>
          <w:tcPr>
            <w:tcW w:w="0" w:type="dxa"/>
            <w:vAlign w:val="bottom"/>
          </w:tcPr>
          <w:p>
            <w:pPr>
              <w:spacing w:after="0"/>
              <w:rPr>
                <w:sz w:val="1"/>
                <w:szCs w:val="1"/>
                <w:color w:val="auto"/>
              </w:rPr>
            </w:pPr>
          </w:p>
        </w:tc>
      </w:tr>
      <w:tr>
        <w:trPr>
          <w:trHeight w:val="170"/>
        </w:trPr>
        <w:tc>
          <w:tcPr>
            <w:tcW w:w="5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Allowance for credit losses</w:t>
            </w:r>
          </w:p>
        </w:tc>
        <w:tc>
          <w:tcPr>
            <w:tcW w:w="5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(7,081)</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(7,149)</w:t>
            </w:r>
          </w:p>
        </w:tc>
        <w:tc>
          <w:tcPr>
            <w:tcW w:w="0" w:type="dxa"/>
            <w:vAlign w:val="bottom"/>
          </w:tcPr>
          <w:p>
            <w:pPr>
              <w:spacing w:after="0"/>
              <w:rPr>
                <w:sz w:val="1"/>
                <w:szCs w:val="1"/>
                <w:color w:val="auto"/>
              </w:rPr>
            </w:pPr>
          </w:p>
        </w:tc>
      </w:tr>
      <w:tr>
        <w:trPr>
          <w:trHeight w:val="160"/>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Trade accounts receivable and unbilled revenue, net</w:t>
            </w:r>
          </w:p>
        </w:tc>
        <w:tc>
          <w:tcPr>
            <w:tcW w:w="5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1,965,891</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1,143,955</w:t>
            </w:r>
          </w:p>
        </w:tc>
        <w:tc>
          <w:tcPr>
            <w:tcW w:w="0" w:type="dxa"/>
            <w:vAlign w:val="bottom"/>
          </w:tcPr>
          <w:p>
            <w:pPr>
              <w:spacing w:after="0"/>
              <w:rPr>
                <w:sz w:val="1"/>
                <w:szCs w:val="1"/>
                <w:color w:val="auto"/>
              </w:rPr>
            </w:pPr>
          </w:p>
        </w:tc>
      </w:tr>
      <w:tr>
        <w:trPr>
          <w:trHeight w:val="20"/>
        </w:trPr>
        <w:tc>
          <w:tcPr>
            <w:tcW w:w="5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5140" w:type="dxa"/>
            <w:vAlign w:val="bottom"/>
          </w:tcPr>
          <w:p>
            <w:pPr>
              <w:spacing w:after="0"/>
              <w:rPr>
                <w:sz w:val="20"/>
                <w:szCs w:val="20"/>
                <w:color w:val="auto"/>
              </w:rPr>
            </w:pPr>
            <w:r>
              <w:rPr>
                <w:rFonts w:ascii="Arial" w:cs="Arial" w:eastAsia="Arial" w:hAnsi="Arial"/>
                <w:sz w:val="13"/>
                <w:szCs w:val="13"/>
                <w:color w:val="auto"/>
              </w:rPr>
              <w:t>Unbilled services and unearned revenue (contract assets and liabilities) were as follows:</w:t>
            </w: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5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5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140" w:type="dxa"/>
            <w:vAlign w:val="bottom"/>
            <w:shd w:val="clear" w:color="auto" w:fill="CCEEFF"/>
          </w:tcPr>
          <w:p>
            <w:pPr>
              <w:jc w:val="right"/>
              <w:ind w:right="16"/>
              <w:spacing w:after="0" w:line="128" w:lineRule="exact"/>
              <w:rPr>
                <w:sz w:val="20"/>
                <w:szCs w:val="20"/>
                <w:color w:val="auto"/>
              </w:rPr>
            </w:pPr>
            <w:r>
              <w:rPr>
                <w:rFonts w:ascii="Arial" w:cs="Arial" w:eastAsia="Arial" w:hAnsi="Arial"/>
                <w:sz w:val="13"/>
                <w:szCs w:val="13"/>
                <w:b w:val="1"/>
                <w:bCs w:val="1"/>
                <w:color w:val="auto"/>
              </w:rPr>
              <w:t>31 December</w:t>
            </w:r>
          </w:p>
        </w:tc>
        <w:tc>
          <w:tcPr>
            <w:tcW w:w="400" w:type="dxa"/>
            <w:vAlign w:val="bottom"/>
            <w:shd w:val="clear" w:color="auto" w:fill="CCEEFF"/>
          </w:tcPr>
          <w:p>
            <w:pPr>
              <w:spacing w:after="0"/>
              <w:rPr>
                <w:sz w:val="11"/>
                <w:szCs w:val="11"/>
                <w:color w:val="auto"/>
              </w:rPr>
            </w:pPr>
          </w:p>
        </w:tc>
        <w:tc>
          <w:tcPr>
            <w:tcW w:w="1280" w:type="dxa"/>
            <w:vAlign w:val="bottom"/>
            <w:shd w:val="clear" w:color="auto" w:fill="CCEEFF"/>
          </w:tcPr>
          <w:p>
            <w:pPr>
              <w:jc w:val="right"/>
              <w:ind w:right="176"/>
              <w:spacing w:after="0" w:line="128" w:lineRule="exact"/>
              <w:rPr>
                <w:sz w:val="20"/>
                <w:szCs w:val="20"/>
                <w:color w:val="auto"/>
              </w:rPr>
            </w:pPr>
            <w:r>
              <w:rPr>
                <w:rFonts w:ascii="Arial" w:cs="Arial" w:eastAsia="Arial" w:hAnsi="Arial"/>
                <w:sz w:val="13"/>
                <w:szCs w:val="13"/>
                <w:color w:val="auto"/>
              </w:rPr>
              <w:t>31 December</w:t>
            </w:r>
          </w:p>
        </w:tc>
        <w:tc>
          <w:tcPr>
            <w:tcW w:w="1500" w:type="dxa"/>
            <w:vAlign w:val="bottom"/>
            <w:vMerge w:val="restart"/>
            <w:shd w:val="clear" w:color="auto" w:fill="CCEEFF"/>
          </w:tcPr>
          <w:p>
            <w:pPr>
              <w:jc w:val="right"/>
              <w:ind w:right="616"/>
              <w:spacing w:after="0"/>
              <w:rPr>
                <w:sz w:val="20"/>
                <w:szCs w:val="20"/>
                <w:color w:val="auto"/>
              </w:rPr>
            </w:pPr>
            <w:r>
              <w:rPr>
                <w:rFonts w:ascii="Arial" w:cs="Arial" w:eastAsia="Arial" w:hAnsi="Arial"/>
                <w:sz w:val="13"/>
                <w:szCs w:val="13"/>
                <w:b w:val="1"/>
                <w:bCs w:val="1"/>
                <w:color w:val="auto"/>
              </w:rPr>
              <w:t>$ Change</w:t>
            </w:r>
          </w:p>
        </w:tc>
        <w:tc>
          <w:tcPr>
            <w:tcW w:w="1260" w:type="dxa"/>
            <w:vAlign w:val="bottom"/>
            <w:vMerge w:val="restart"/>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70"/>
        </w:trPr>
        <w:tc>
          <w:tcPr>
            <w:tcW w:w="51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2021</w:t>
            </w:r>
          </w:p>
        </w:tc>
        <w:tc>
          <w:tcPr>
            <w:tcW w:w="40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rPr>
              <w:t>2020</w:t>
            </w:r>
          </w:p>
        </w:tc>
        <w:tc>
          <w:tcPr>
            <w:tcW w:w="1500" w:type="dxa"/>
            <w:vAlign w:val="bottom"/>
            <w:tcBorders>
              <w:bottom w:val="single" w:sz="8" w:color="auto"/>
            </w:tcBorders>
            <w:vMerge w:val="continue"/>
            <w:shd w:val="clear" w:color="auto" w:fill="CCEEFF"/>
          </w:tcPr>
          <w:p>
            <w:pPr>
              <w:spacing w:after="0"/>
              <w:rPr>
                <w:sz w:val="14"/>
                <w:szCs w:val="14"/>
                <w:color w:val="auto"/>
              </w:rPr>
            </w:pPr>
          </w:p>
        </w:tc>
        <w:tc>
          <w:tcPr>
            <w:tcW w:w="126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tcPr>
          <w:p>
            <w:pPr>
              <w:jc w:val="right"/>
              <w:ind w:right="16"/>
              <w:spacing w:after="0"/>
              <w:rPr>
                <w:sz w:val="20"/>
                <w:szCs w:val="20"/>
                <w:color w:val="auto"/>
              </w:rPr>
            </w:pPr>
            <w:r>
              <w:rPr>
                <w:rFonts w:ascii="Arial" w:cs="Arial" w:eastAsia="Arial" w:hAnsi="Arial"/>
                <w:sz w:val="13"/>
                <w:szCs w:val="13"/>
                <w:b w:val="1"/>
                <w:bCs w:val="1"/>
                <w:color w:val="auto"/>
              </w:rPr>
              <w:t>$’000</w:t>
            </w:r>
          </w:p>
        </w:tc>
        <w:tc>
          <w:tcPr>
            <w:tcW w:w="400" w:type="dxa"/>
            <w:vAlign w:val="bottom"/>
          </w:tcPr>
          <w:p>
            <w:pPr>
              <w:spacing w:after="0"/>
              <w:rPr>
                <w:sz w:val="13"/>
                <w:szCs w:val="13"/>
                <w:color w:val="auto"/>
              </w:rPr>
            </w:pPr>
          </w:p>
        </w:tc>
        <w:tc>
          <w:tcPr>
            <w:tcW w:w="1280" w:type="dxa"/>
            <w:vAlign w:val="bottom"/>
          </w:tcPr>
          <w:p>
            <w:pPr>
              <w:jc w:val="right"/>
              <w:ind w:right="176"/>
              <w:spacing w:after="0"/>
              <w:rPr>
                <w:sz w:val="20"/>
                <w:szCs w:val="20"/>
                <w:color w:val="auto"/>
              </w:rPr>
            </w:pPr>
            <w:r>
              <w:rPr>
                <w:rFonts w:ascii="Arial" w:cs="Arial" w:eastAsia="Arial" w:hAnsi="Arial"/>
                <w:sz w:val="13"/>
                <w:szCs w:val="13"/>
                <w:color w:val="auto"/>
              </w:rPr>
              <w:t>$’000</w:t>
            </w:r>
          </w:p>
        </w:tc>
        <w:tc>
          <w:tcPr>
            <w:tcW w:w="15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Unbilled services (unbilled revenue)</w:t>
            </w:r>
          </w:p>
        </w:tc>
        <w:tc>
          <w:tcPr>
            <w:tcW w:w="540" w:type="dxa"/>
            <w:vAlign w:val="bottom"/>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w:t>
            </w:r>
          </w:p>
        </w:tc>
        <w:tc>
          <w:tcPr>
            <w:tcW w:w="114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623,121</w:t>
            </w:r>
          </w:p>
        </w:tc>
        <w:tc>
          <w:tcPr>
            <w:tcW w:w="40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428,684</w:t>
            </w:r>
          </w:p>
        </w:tc>
        <w:tc>
          <w:tcPr>
            <w:tcW w:w="150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194,437</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45.4 %</w:t>
            </w:r>
          </w:p>
        </w:tc>
        <w:tc>
          <w:tcPr>
            <w:tcW w:w="0" w:type="dxa"/>
            <w:vAlign w:val="bottom"/>
          </w:tcPr>
          <w:p>
            <w:pPr>
              <w:spacing w:after="0"/>
              <w:rPr>
                <w:sz w:val="1"/>
                <w:szCs w:val="1"/>
                <w:color w:val="auto"/>
              </w:rPr>
            </w:pPr>
          </w:p>
        </w:tc>
      </w:tr>
      <w:tr>
        <w:trPr>
          <w:trHeight w:val="170"/>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Unearned revenue (payments on account)</w:t>
            </w:r>
          </w:p>
        </w:tc>
        <w:tc>
          <w:tcPr>
            <w:tcW w:w="5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(1,315,961)</w:t>
            </w: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rPr>
              <w:t>(660,883)</w:t>
            </w:r>
          </w:p>
        </w:tc>
        <w:tc>
          <w:tcPr>
            <w:tcW w:w="15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rPr>
              <w:t>(655,078)</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99.1 %</w:t>
            </w:r>
          </w:p>
        </w:tc>
        <w:tc>
          <w:tcPr>
            <w:tcW w:w="0" w:type="dxa"/>
            <w:vAlign w:val="bottom"/>
          </w:tcPr>
          <w:p>
            <w:pPr>
              <w:spacing w:after="0"/>
              <w:rPr>
                <w:sz w:val="1"/>
                <w:szCs w:val="1"/>
                <w:color w:val="auto"/>
              </w:rPr>
            </w:pPr>
          </w:p>
        </w:tc>
      </w:tr>
      <w:tr>
        <w:trPr>
          <w:trHeight w:val="185"/>
        </w:trPr>
        <w:tc>
          <w:tcPr>
            <w:tcW w:w="51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w:t>
            </w:r>
          </w:p>
        </w:tc>
        <w:tc>
          <w:tcPr>
            <w:tcW w:w="11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(692,840)</w:t>
            </w:r>
          </w:p>
        </w:tc>
        <w:tc>
          <w:tcPr>
            <w:tcW w:w="40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(232,199)</w:t>
            </w:r>
          </w:p>
        </w:tc>
        <w:tc>
          <w:tcPr>
            <w:tcW w:w="150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rPr>
              <w:t>(460,641)</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(198.4)%</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5"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Timing may differ between the satisfaction of performance obligations and the invoicing and collection of amounts related to our contracts with customers. We record assets for amounts related to performance obligations that are satisfied but not yet billed and/or collected. These assets are recorded as unbilled revenue and therefore contract assets rather than accounts receivables when receipt of the consideration is conditional on something other than the passage of time. Liabilities are recorded for amounts that are collected in advance of the satisfaction of performance obligations or billed in advance of the revenue being earned.</w:t>
      </w:r>
    </w:p>
    <w:p>
      <w:pPr>
        <w:spacing w:after="0" w:line="165"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Unbilled services/revenue balances arise where invoicing or billing is based on the timing of agreed milestones related to service contracts for clinical research. Contractual billing arrangements in respect of certain reimbursable expenses (principally investigators) require billing by the investigator to the Company prior to billing by the Company to the customer.</w:t>
      </w:r>
    </w:p>
    <w:p>
      <w:pPr>
        <w:spacing w:after="0" w:line="14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 xml:space="preserve">The Company is the contract principal in respect of both direct services and in the use of third parties (principally investigator services) that support a clinical trial. The progress towards completion for clinical service contracts is measured based on total project costs (including reimbursable costs). Reimbursable expenses are included within direct costs and are recorded based on activity undertaken by the third-party. Amounts owed to investigators and others in respect of reimbursable expenses was $323.6 million at 31 December 2021 and $138.2 million at 31 December 2020 (see </w:t>
      </w:r>
      <w:r>
        <w:rPr>
          <w:rFonts w:ascii="Arial" w:cs="Arial" w:eastAsia="Arial" w:hAnsi="Arial"/>
          <w:sz w:val="13"/>
          <w:szCs w:val="13"/>
          <w:i w:val="1"/>
          <w:iCs w:val="1"/>
          <w:color w:val="auto"/>
        </w:rPr>
        <w:t>note 20 Accrued and other liabilities</w:t>
      </w:r>
      <w:r>
        <w:rPr>
          <w:rFonts w:ascii="Arial" w:cs="Arial" w:eastAsia="Arial" w:hAnsi="Arial"/>
          <w:sz w:val="13"/>
          <w:szCs w:val="13"/>
          <w:color w:val="auto"/>
        </w:rPr>
        <w:t>).</w:t>
      </w:r>
    </w:p>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Unbilled services as at 31 December 2021 increased by $194.4 million as compared to 31 December 2020. Unearned revenue increased by $655.1 million resulting in an increase of $460.6 million in the net balance of unbilled services and unearned revenue between 31 December 2020 and 31 December 2021. These fluctuations are primarily due to the completion of the Merger on 1 July 2021 but are also partially due to timing of payments and invoicing related to the Group's clinical trial management contracts. Billings and payments are established by contractual provisions including predetermined payment schedules which may or may not correspond to the timing of the transfer of control of the Company's services under the contract. Unbilled services arise from long-term contract when a cost-based input method of revenue recognition is applied and revenue recognised exceeds the amount billed to the customer.</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color w:val="auto"/>
        </w:rPr>
        <w:t>The credit loss expense recognised on the Group's receivables and unbilled services was $0.9 million and $2.9 million for the twelve months ended 31 December 2021 and 2020, respectively.</w:t>
      </w:r>
    </w:p>
    <w:p>
      <w:pPr>
        <w:spacing w:after="0" w:line="201" w:lineRule="exact"/>
        <w:rPr>
          <w:sz w:val="20"/>
          <w:szCs w:val="20"/>
          <w:color w:val="auto"/>
        </w:rPr>
      </w:pPr>
    </w:p>
    <w:p>
      <w:pPr>
        <w:spacing w:after="0"/>
        <w:rPr>
          <w:sz w:val="20"/>
          <w:szCs w:val="20"/>
          <w:color w:val="auto"/>
        </w:rPr>
      </w:pPr>
      <w:r>
        <w:rPr>
          <w:rFonts w:ascii="Arial" w:cs="Arial" w:eastAsia="Arial" w:hAnsi="Arial"/>
          <w:sz w:val="12"/>
          <w:szCs w:val="12"/>
          <w:color w:val="auto"/>
        </w:rPr>
        <w:t>As of 31 December 2021 approximately $13.3 billion (2020: $6.3 billion) of revenue is expected to be recognised in the future in respect of unsatisfied performance obligations. The Company expects</w:t>
      </w:r>
    </w:p>
    <w:p>
      <w:pPr>
        <w:spacing w:after="0" w:line="23"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to recognise revenue on approximately 48% (2020: 42%) of the unrealised performance obligation over the next 12 months, with the remainder recognised thereafter over the duration of the customer contracts.</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96</w:t>
      </w:r>
    </w:p>
    <w:p>
      <w:pPr>
        <w:sectPr>
          <w:pgSz w:w="11900" w:h="16838" w:orient="portrait"/>
          <w:cols w:equalWidth="0" w:num="1">
            <w:col w:w="11280"/>
          </w:cols>
          <w:pgMar w:left="300" w:top="698" w:right="31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381" w:lineRule="exact"/>
        <w:rPr>
          <w:sz w:val="20"/>
          <w:szCs w:val="20"/>
          <w:color w:val="auto"/>
        </w:rPr>
      </w:pPr>
    </w:p>
    <w:p>
      <w:pPr>
        <w:spacing w:after="0"/>
        <w:tabs>
          <w:tab w:leader="none" w:pos="300" w:val="left"/>
        </w:tabs>
        <w:rPr>
          <w:sz w:val="20"/>
          <w:szCs w:val="20"/>
          <w:color w:val="auto"/>
        </w:rPr>
      </w:pPr>
      <w:r>
        <w:rPr>
          <w:rFonts w:ascii="Arial" w:cs="Arial" w:eastAsia="Arial" w:hAnsi="Arial"/>
          <w:sz w:val="13"/>
          <w:szCs w:val="13"/>
          <w:b w:val="1"/>
          <w:bCs w:val="1"/>
          <w:color w:val="auto"/>
        </w:rPr>
        <w:t>17.</w:t>
      </w:r>
      <w:r>
        <w:rPr>
          <w:sz w:val="20"/>
          <w:szCs w:val="20"/>
          <w:color w:val="auto"/>
        </w:rPr>
        <w:tab/>
      </w:r>
      <w:r>
        <w:rPr>
          <w:rFonts w:ascii="Arial" w:cs="Arial" w:eastAsia="Arial" w:hAnsi="Arial"/>
          <w:sz w:val="12"/>
          <w:szCs w:val="12"/>
          <w:b w:val="1"/>
          <w:bCs w:val="1"/>
          <w:color w:val="auto"/>
        </w:rPr>
        <w:t>Other assets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20" w:type="dxa"/>
            <w:vAlign w:val="bottom"/>
            <w:shd w:val="clear" w:color="auto" w:fill="CCEEFF"/>
          </w:tcPr>
          <w:p>
            <w:pPr>
              <w:spacing w:after="0"/>
              <w:rPr>
                <w:sz w:val="13"/>
                <w:szCs w:val="13"/>
                <w:color w:val="auto"/>
              </w:rPr>
            </w:pPr>
          </w:p>
        </w:tc>
        <w:tc>
          <w:tcPr>
            <w:tcW w:w="4280" w:type="dxa"/>
            <w:vAlign w:val="bottom"/>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31 December</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0"/>
        </w:trPr>
        <w:tc>
          <w:tcPr>
            <w:tcW w:w="5620" w:type="dxa"/>
            <w:vAlign w:val="bottom"/>
            <w:tcBorders>
              <w:bottom w:val="single" w:sz="8" w:color="auto"/>
            </w:tcBorders>
            <w:shd w:val="clear" w:color="auto" w:fill="CCEEFF"/>
          </w:tcPr>
          <w:p>
            <w:pPr>
              <w:spacing w:after="0"/>
              <w:rPr>
                <w:sz w:val="14"/>
                <w:szCs w:val="14"/>
                <w:color w:val="auto"/>
              </w:rPr>
            </w:pPr>
          </w:p>
        </w:tc>
        <w:tc>
          <w:tcPr>
            <w:tcW w:w="428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2021</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2020</w:t>
            </w:r>
          </w:p>
        </w:tc>
      </w:tr>
      <w:tr>
        <w:trPr>
          <w:trHeight w:val="160"/>
        </w:trPr>
        <w:tc>
          <w:tcPr>
            <w:tcW w:w="5620" w:type="dxa"/>
            <w:vAlign w:val="bottom"/>
          </w:tcPr>
          <w:p>
            <w:pPr>
              <w:spacing w:after="0"/>
              <w:rPr>
                <w:sz w:val="13"/>
                <w:szCs w:val="13"/>
                <w:color w:val="auto"/>
              </w:rPr>
            </w:pPr>
          </w:p>
        </w:tc>
        <w:tc>
          <w:tcPr>
            <w:tcW w:w="4280" w:type="dxa"/>
            <w:vAlign w:val="bottom"/>
          </w:tcPr>
          <w:p>
            <w:pPr>
              <w:jc w:val="right"/>
              <w:ind w:right="276"/>
              <w:spacing w:after="0"/>
              <w:rPr>
                <w:sz w:val="20"/>
                <w:szCs w:val="20"/>
                <w:color w:val="auto"/>
              </w:rPr>
            </w:pPr>
            <w:r>
              <w:rPr>
                <w:rFonts w:ascii="Arial" w:cs="Arial" w:eastAsia="Arial" w:hAnsi="Arial"/>
                <w:sz w:val="13"/>
                <w:szCs w:val="13"/>
                <w:b w:val="1"/>
                <w:bCs w:val="1"/>
                <w:color w:val="auto"/>
              </w:rPr>
              <w:t>$’000</w:t>
            </w:r>
          </w:p>
        </w:tc>
        <w:tc>
          <w:tcPr>
            <w:tcW w:w="112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56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Non-current other assets</w:t>
            </w:r>
          </w:p>
        </w:tc>
        <w:tc>
          <w:tcPr>
            <w:tcW w:w="42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70"/>
        </w:trPr>
        <w:tc>
          <w:tcPr>
            <w:tcW w:w="5620" w:type="dxa"/>
            <w:vAlign w:val="bottom"/>
          </w:tcPr>
          <w:p>
            <w:pPr>
              <w:ind w:left="20"/>
              <w:spacing w:after="0"/>
              <w:rPr>
                <w:sz w:val="20"/>
                <w:szCs w:val="20"/>
                <w:color w:val="auto"/>
              </w:rPr>
            </w:pPr>
            <w:r>
              <w:rPr>
                <w:rFonts w:ascii="Arial" w:cs="Arial" w:eastAsia="Arial" w:hAnsi="Arial"/>
                <w:sz w:val="13"/>
                <w:szCs w:val="13"/>
                <w:color w:val="auto"/>
              </w:rPr>
              <w:t>Lease deposits</w:t>
            </w:r>
          </w:p>
        </w:tc>
        <w:tc>
          <w:tcPr>
            <w:tcW w:w="4280" w:type="dxa"/>
            <w:vAlign w:val="bottom"/>
          </w:tcPr>
          <w:p>
            <w:pPr>
              <w:jc w:val="right"/>
              <w:ind w:right="316"/>
              <w:spacing w:after="0"/>
              <w:rPr>
                <w:sz w:val="20"/>
                <w:szCs w:val="20"/>
                <w:color w:val="auto"/>
              </w:rPr>
            </w:pPr>
            <w:r>
              <w:rPr>
                <w:rFonts w:ascii="Arial" w:cs="Arial" w:eastAsia="Arial" w:hAnsi="Arial"/>
                <w:sz w:val="13"/>
                <w:szCs w:val="13"/>
                <w:b w:val="1"/>
                <w:bCs w:val="1"/>
                <w:color w:val="auto"/>
              </w:rPr>
              <w:t>18,367</w:t>
            </w:r>
          </w:p>
        </w:tc>
        <w:tc>
          <w:tcPr>
            <w:tcW w:w="1120" w:type="dxa"/>
            <w:vAlign w:val="bottom"/>
          </w:tcPr>
          <w:p>
            <w:pPr>
              <w:jc w:val="right"/>
              <w:spacing w:after="0"/>
              <w:rPr>
                <w:sz w:val="20"/>
                <w:szCs w:val="20"/>
                <w:color w:val="auto"/>
              </w:rPr>
            </w:pPr>
            <w:r>
              <w:rPr>
                <w:rFonts w:ascii="Arial" w:cs="Arial" w:eastAsia="Arial" w:hAnsi="Arial"/>
                <w:sz w:val="13"/>
                <w:szCs w:val="13"/>
                <w:color w:val="auto"/>
              </w:rPr>
              <w:t>8,437</w:t>
            </w:r>
          </w:p>
        </w:tc>
      </w:tr>
      <w:tr>
        <w:trPr>
          <w:trHeight w:val="170"/>
        </w:trPr>
        <w:tc>
          <w:tcPr>
            <w:tcW w:w="5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employee savings scheme assets</w:t>
            </w:r>
          </w:p>
        </w:tc>
        <w:tc>
          <w:tcPr>
            <w:tcW w:w="428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21,536</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18,465</w:t>
            </w:r>
          </w:p>
        </w:tc>
      </w:tr>
      <w:tr>
        <w:trPr>
          <w:trHeight w:val="170"/>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Other receivables</w:t>
            </w:r>
          </w:p>
        </w:tc>
        <w:tc>
          <w:tcPr>
            <w:tcW w:w="428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36,897</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50"/>
        </w:trPr>
        <w:tc>
          <w:tcPr>
            <w:tcW w:w="5620" w:type="dxa"/>
            <w:vAlign w:val="bottom"/>
            <w:shd w:val="clear" w:color="auto" w:fill="CCEEFF"/>
          </w:tcPr>
          <w:p>
            <w:pPr>
              <w:spacing w:after="0"/>
              <w:rPr>
                <w:sz w:val="13"/>
                <w:szCs w:val="13"/>
                <w:color w:val="auto"/>
              </w:rPr>
            </w:pPr>
          </w:p>
        </w:tc>
        <w:tc>
          <w:tcPr>
            <w:tcW w:w="42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171"/>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w:t>
            </w:r>
          </w:p>
        </w:tc>
        <w:tc>
          <w:tcPr>
            <w:tcW w:w="428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76,800</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26,902</w:t>
            </w:r>
          </w:p>
        </w:tc>
      </w:tr>
    </w:tbl>
    <w:p>
      <w:pPr>
        <w:spacing w:after="0" w:line="255"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Lease deposits paid in respect of certain premises leased by the Group are refundable on expiry of the related leases. Discounting of the non-current element has not been applied because the discount would be immaterial. However, discounting may apply in the future if the non-current element becomes significant such that the discounting impact would be material.</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Non-current other receivables includes a loan of $10.0 million to Oncacare (see </w:t>
      </w:r>
      <w:r>
        <w:rPr>
          <w:rFonts w:ascii="Arial" w:cs="Arial" w:eastAsia="Arial" w:hAnsi="Arial"/>
          <w:sz w:val="13"/>
          <w:szCs w:val="13"/>
          <w:i w:val="1"/>
          <w:iCs w:val="1"/>
          <w:color w:val="auto"/>
        </w:rPr>
        <w:t>Note 30 Related parties</w:t>
      </w:r>
      <w:r>
        <w:rPr>
          <w:rFonts w:ascii="Arial" w:cs="Arial" w:eastAsia="Arial" w:hAnsi="Arial"/>
          <w:sz w:val="13"/>
          <w:szCs w:val="13"/>
          <w:color w:val="auto"/>
        </w:rPr>
        <w:t xml:space="preserve"> for further details).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980" w:type="dxa"/>
            <w:vAlign w:val="bottom"/>
            <w:shd w:val="clear" w:color="auto" w:fill="CCEEFF"/>
          </w:tcPr>
          <w:p>
            <w:pPr>
              <w:spacing w:after="0"/>
              <w:rPr>
                <w:sz w:val="13"/>
                <w:szCs w:val="13"/>
                <w:color w:val="auto"/>
              </w:rPr>
            </w:pPr>
          </w:p>
        </w:tc>
        <w:tc>
          <w:tcPr>
            <w:tcW w:w="416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0"/>
        </w:trPr>
        <w:tc>
          <w:tcPr>
            <w:tcW w:w="5980" w:type="dxa"/>
            <w:vAlign w:val="bottom"/>
            <w:tcBorders>
              <w:bottom w:val="single" w:sz="8" w:color="auto"/>
            </w:tcBorders>
            <w:shd w:val="clear" w:color="auto" w:fill="CCEEFF"/>
          </w:tcPr>
          <w:p>
            <w:pPr>
              <w:spacing w:after="0"/>
              <w:rPr>
                <w:sz w:val="14"/>
                <w:szCs w:val="14"/>
                <w:color w:val="auto"/>
              </w:rPr>
            </w:pPr>
          </w:p>
        </w:tc>
        <w:tc>
          <w:tcPr>
            <w:tcW w:w="416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2021</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2020</w:t>
            </w:r>
          </w:p>
        </w:tc>
      </w:tr>
      <w:tr>
        <w:trPr>
          <w:trHeight w:val="160"/>
        </w:trPr>
        <w:tc>
          <w:tcPr>
            <w:tcW w:w="5980" w:type="dxa"/>
            <w:vAlign w:val="bottom"/>
          </w:tcPr>
          <w:p>
            <w:pPr>
              <w:spacing w:after="0"/>
              <w:rPr>
                <w:sz w:val="13"/>
                <w:szCs w:val="13"/>
                <w:color w:val="auto"/>
              </w:rPr>
            </w:pPr>
          </w:p>
        </w:tc>
        <w:tc>
          <w:tcPr>
            <w:tcW w:w="416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59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Other current assets</w:t>
            </w:r>
          </w:p>
        </w:tc>
        <w:tc>
          <w:tcPr>
            <w:tcW w:w="41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70"/>
        </w:trPr>
        <w:tc>
          <w:tcPr>
            <w:tcW w:w="5980" w:type="dxa"/>
            <w:vAlign w:val="bottom"/>
          </w:tcPr>
          <w:p>
            <w:pPr>
              <w:ind w:left="20"/>
              <w:spacing w:after="0"/>
              <w:rPr>
                <w:sz w:val="20"/>
                <w:szCs w:val="20"/>
                <w:color w:val="auto"/>
              </w:rPr>
            </w:pPr>
            <w:r>
              <w:rPr>
                <w:rFonts w:ascii="Arial" w:cs="Arial" w:eastAsia="Arial" w:hAnsi="Arial"/>
                <w:sz w:val="13"/>
                <w:szCs w:val="13"/>
                <w:color w:val="auto"/>
              </w:rPr>
              <w:t>Personnel related prepayments</w:t>
            </w:r>
          </w:p>
        </w:tc>
        <w:tc>
          <w:tcPr>
            <w:tcW w:w="4160" w:type="dxa"/>
            <w:vAlign w:val="bottom"/>
          </w:tcPr>
          <w:p>
            <w:pPr>
              <w:jc w:val="right"/>
              <w:ind w:right="336"/>
              <w:spacing w:after="0"/>
              <w:rPr>
                <w:sz w:val="20"/>
                <w:szCs w:val="20"/>
                <w:color w:val="auto"/>
              </w:rPr>
            </w:pPr>
            <w:r>
              <w:rPr>
                <w:rFonts w:ascii="Arial" w:cs="Arial" w:eastAsia="Arial" w:hAnsi="Arial"/>
                <w:sz w:val="13"/>
                <w:szCs w:val="13"/>
                <w:b w:val="1"/>
                <w:bCs w:val="1"/>
                <w:color w:val="auto"/>
              </w:rPr>
              <w:t>1,049</w:t>
            </w:r>
          </w:p>
        </w:tc>
        <w:tc>
          <w:tcPr>
            <w:tcW w:w="1140" w:type="dxa"/>
            <w:vAlign w:val="bottom"/>
          </w:tcPr>
          <w:p>
            <w:pPr>
              <w:jc w:val="right"/>
              <w:spacing w:after="0"/>
              <w:rPr>
                <w:sz w:val="20"/>
                <w:szCs w:val="20"/>
                <w:color w:val="auto"/>
              </w:rPr>
            </w:pPr>
            <w:r>
              <w:rPr>
                <w:rFonts w:ascii="Arial" w:cs="Arial" w:eastAsia="Arial" w:hAnsi="Arial"/>
                <w:sz w:val="13"/>
                <w:szCs w:val="13"/>
                <w:color w:val="auto"/>
              </w:rPr>
              <w:t>1,615</w:t>
            </w:r>
          </w:p>
        </w:tc>
      </w:tr>
      <w:tr>
        <w:trPr>
          <w:trHeight w:val="170"/>
        </w:trPr>
        <w:tc>
          <w:tcPr>
            <w:tcW w:w="5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Facility and information system related prepayments</w:t>
            </w:r>
          </w:p>
        </w:tc>
        <w:tc>
          <w:tcPr>
            <w:tcW w:w="416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36,679</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25,360</w:t>
            </w:r>
          </w:p>
        </w:tc>
      </w:tr>
      <w:tr>
        <w:trPr>
          <w:trHeight w:val="170"/>
        </w:trPr>
        <w:tc>
          <w:tcPr>
            <w:tcW w:w="5980" w:type="dxa"/>
            <w:vAlign w:val="bottom"/>
          </w:tcPr>
          <w:p>
            <w:pPr>
              <w:ind w:left="20"/>
              <w:spacing w:after="0"/>
              <w:rPr>
                <w:sz w:val="20"/>
                <w:szCs w:val="20"/>
                <w:color w:val="auto"/>
              </w:rPr>
            </w:pPr>
            <w:r>
              <w:rPr>
                <w:rFonts w:ascii="Arial" w:cs="Arial" w:eastAsia="Arial" w:hAnsi="Arial"/>
                <w:sz w:val="13"/>
                <w:szCs w:val="13"/>
                <w:color w:val="auto"/>
              </w:rPr>
              <w:t>General overhead prepayments</w:t>
            </w:r>
          </w:p>
        </w:tc>
        <w:tc>
          <w:tcPr>
            <w:tcW w:w="4160" w:type="dxa"/>
            <w:vAlign w:val="bottom"/>
          </w:tcPr>
          <w:p>
            <w:pPr>
              <w:jc w:val="right"/>
              <w:ind w:right="336"/>
              <w:spacing w:after="0"/>
              <w:rPr>
                <w:sz w:val="20"/>
                <w:szCs w:val="20"/>
                <w:color w:val="auto"/>
              </w:rPr>
            </w:pPr>
            <w:r>
              <w:rPr>
                <w:rFonts w:ascii="Arial" w:cs="Arial" w:eastAsia="Arial" w:hAnsi="Arial"/>
                <w:sz w:val="13"/>
                <w:szCs w:val="13"/>
                <w:b w:val="1"/>
                <w:bCs w:val="1"/>
                <w:color w:val="auto"/>
              </w:rPr>
              <w:t>63,858</w:t>
            </w:r>
          </w:p>
        </w:tc>
        <w:tc>
          <w:tcPr>
            <w:tcW w:w="1140" w:type="dxa"/>
            <w:vAlign w:val="bottom"/>
          </w:tcPr>
          <w:p>
            <w:pPr>
              <w:jc w:val="right"/>
              <w:spacing w:after="0"/>
              <w:rPr>
                <w:sz w:val="20"/>
                <w:szCs w:val="20"/>
                <w:color w:val="auto"/>
              </w:rPr>
            </w:pPr>
            <w:r>
              <w:rPr>
                <w:rFonts w:ascii="Arial" w:cs="Arial" w:eastAsia="Arial" w:hAnsi="Arial"/>
                <w:sz w:val="13"/>
                <w:szCs w:val="13"/>
                <w:color w:val="auto"/>
              </w:rPr>
              <w:t>15,488</w:t>
            </w:r>
          </w:p>
        </w:tc>
      </w:tr>
      <w:tr>
        <w:trPr>
          <w:trHeight w:val="170"/>
        </w:trPr>
        <w:tc>
          <w:tcPr>
            <w:tcW w:w="5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Sales tax recoverable</w:t>
            </w:r>
          </w:p>
        </w:tc>
        <w:tc>
          <w:tcPr>
            <w:tcW w:w="416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9,185</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11,878</w:t>
            </w:r>
          </w:p>
        </w:tc>
      </w:tr>
      <w:tr>
        <w:trPr>
          <w:trHeight w:val="170"/>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Other receivables</w:t>
            </w:r>
          </w:p>
        </w:tc>
        <w:tc>
          <w:tcPr>
            <w:tcW w:w="416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48,297</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23,596</w:t>
            </w:r>
          </w:p>
        </w:tc>
      </w:tr>
      <w:tr>
        <w:trPr>
          <w:trHeight w:val="150"/>
        </w:trPr>
        <w:tc>
          <w:tcPr>
            <w:tcW w:w="5980" w:type="dxa"/>
            <w:vAlign w:val="bottom"/>
            <w:shd w:val="clear" w:color="auto" w:fill="CCEEFF"/>
          </w:tcPr>
          <w:p>
            <w:pPr>
              <w:spacing w:after="0"/>
              <w:rPr>
                <w:sz w:val="13"/>
                <w:szCs w:val="13"/>
                <w:color w:val="auto"/>
              </w:rPr>
            </w:pPr>
          </w:p>
        </w:tc>
        <w:tc>
          <w:tcPr>
            <w:tcW w:w="41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71"/>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w:t>
            </w:r>
          </w:p>
        </w:tc>
        <w:tc>
          <w:tcPr>
            <w:tcW w:w="416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159,068</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77,937</w:t>
            </w:r>
          </w:p>
        </w:tc>
      </w:tr>
    </w:tbl>
    <w:p>
      <w:pPr>
        <w:spacing w:after="0" w:line="255"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Other current assets do not contain any impaired assets. The maximum exposure to credit risk at the reporting date is the carrying value of each receivable, other than prepayments which do not have credit risk. The Group does not hold any collateral as security.</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40" w:type="dxa"/>
            <w:vAlign w:val="bottom"/>
            <w:gridSpan w:val="2"/>
          </w:tcPr>
          <w:p>
            <w:pPr>
              <w:spacing w:after="0"/>
              <w:rPr>
                <w:sz w:val="20"/>
                <w:szCs w:val="20"/>
                <w:color w:val="auto"/>
              </w:rPr>
            </w:pPr>
            <w:r>
              <w:rPr>
                <w:rFonts w:ascii="Arial" w:cs="Arial" w:eastAsia="Arial" w:hAnsi="Arial"/>
                <w:sz w:val="13"/>
                <w:szCs w:val="13"/>
                <w:b w:val="1"/>
                <w:bCs w:val="1"/>
                <w:color w:val="auto"/>
              </w:rPr>
              <w:t>18. Financial asset investments</w:t>
            </w:r>
          </w:p>
        </w:tc>
        <w:tc>
          <w:tcPr>
            <w:tcW w:w="38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396"/>
        </w:trPr>
        <w:tc>
          <w:tcPr>
            <w:tcW w:w="5840" w:type="dxa"/>
            <w:vAlign w:val="bottom"/>
            <w:gridSpan w:val="2"/>
          </w:tcPr>
          <w:p>
            <w:pPr>
              <w:spacing w:after="0"/>
              <w:rPr>
                <w:sz w:val="20"/>
                <w:szCs w:val="20"/>
                <w:color w:val="auto"/>
              </w:rPr>
            </w:pPr>
            <w:r>
              <w:rPr>
                <w:rFonts w:ascii="Arial" w:cs="Arial" w:eastAsia="Arial" w:hAnsi="Arial"/>
                <w:sz w:val="13"/>
                <w:szCs w:val="13"/>
                <w:b w:val="1"/>
                <w:bCs w:val="1"/>
                <w:color w:val="auto"/>
              </w:rPr>
              <w:t>(a) Current asset investments - fair value through OCI</w:t>
            </w:r>
          </w:p>
        </w:tc>
        <w:tc>
          <w:tcPr>
            <w:tcW w:w="38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3"/>
        </w:trPr>
        <w:tc>
          <w:tcPr>
            <w:tcW w:w="40" w:type="dxa"/>
            <w:vAlign w:val="bottom"/>
          </w:tcPr>
          <w:p>
            <w:pPr>
              <w:spacing w:after="0"/>
              <w:rPr>
                <w:sz w:val="15"/>
                <w:szCs w:val="15"/>
                <w:color w:val="auto"/>
              </w:rPr>
            </w:pPr>
          </w:p>
        </w:tc>
        <w:tc>
          <w:tcPr>
            <w:tcW w:w="5800" w:type="dxa"/>
            <w:vAlign w:val="bottom"/>
            <w:tcBorders>
              <w:bottom w:val="single" w:sz="8" w:color="auto"/>
            </w:tcBorders>
            <w:shd w:val="clear" w:color="auto" w:fill="CCEEFF"/>
          </w:tcPr>
          <w:p>
            <w:pPr>
              <w:spacing w:after="0"/>
              <w:rPr>
                <w:sz w:val="15"/>
                <w:szCs w:val="15"/>
                <w:color w:val="auto"/>
              </w:rPr>
            </w:pPr>
          </w:p>
        </w:tc>
        <w:tc>
          <w:tcPr>
            <w:tcW w:w="38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31 December 2021</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 December 2020</w:t>
            </w:r>
          </w:p>
        </w:tc>
      </w:tr>
      <w:tr>
        <w:trPr>
          <w:trHeight w:val="160"/>
        </w:trPr>
        <w:tc>
          <w:tcPr>
            <w:tcW w:w="40" w:type="dxa"/>
            <w:vAlign w:val="bottom"/>
          </w:tcPr>
          <w:p>
            <w:pPr>
              <w:spacing w:after="0"/>
              <w:rPr>
                <w:sz w:val="13"/>
                <w:szCs w:val="13"/>
                <w:color w:val="auto"/>
              </w:rPr>
            </w:pPr>
          </w:p>
        </w:tc>
        <w:tc>
          <w:tcPr>
            <w:tcW w:w="5800" w:type="dxa"/>
            <w:vAlign w:val="bottom"/>
          </w:tcPr>
          <w:p>
            <w:pPr>
              <w:spacing w:after="0"/>
              <w:rPr>
                <w:sz w:val="13"/>
                <w:szCs w:val="13"/>
                <w:color w:val="auto"/>
              </w:rPr>
            </w:pPr>
          </w:p>
        </w:tc>
        <w:tc>
          <w:tcPr>
            <w:tcW w:w="3880" w:type="dxa"/>
            <w:vAlign w:val="bottom"/>
          </w:tcPr>
          <w:p>
            <w:pPr>
              <w:jc w:val="center"/>
              <w:ind w:left="3116"/>
              <w:spacing w:after="0"/>
              <w:rPr>
                <w:sz w:val="20"/>
                <w:szCs w:val="20"/>
                <w:color w:val="auto"/>
              </w:rPr>
            </w:pPr>
            <w:r>
              <w:rPr>
                <w:rFonts w:ascii="Arial" w:cs="Arial" w:eastAsia="Arial" w:hAnsi="Arial"/>
                <w:sz w:val="13"/>
                <w:szCs w:val="13"/>
                <w:b w:val="1"/>
                <w:bCs w:val="1"/>
                <w:color w:val="auto"/>
                <w:w w:val="92"/>
              </w:rPr>
              <w:t>$’000</w:t>
            </w:r>
          </w:p>
        </w:tc>
        <w:tc>
          <w:tcPr>
            <w:tcW w:w="128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202"/>
        </w:trPr>
        <w:tc>
          <w:tcPr>
            <w:tcW w:w="40" w:type="dxa"/>
            <w:vAlign w:val="bottom"/>
          </w:tcPr>
          <w:p>
            <w:pPr>
              <w:spacing w:after="0"/>
              <w:rPr>
                <w:sz w:val="17"/>
                <w:szCs w:val="17"/>
                <w:color w:val="auto"/>
              </w:rPr>
            </w:pPr>
          </w:p>
        </w:tc>
        <w:tc>
          <w:tcPr>
            <w:tcW w:w="5800" w:type="dxa"/>
            <w:vAlign w:val="bottom"/>
            <w:shd w:val="clear" w:color="auto" w:fill="CCEEFF"/>
          </w:tcPr>
          <w:p>
            <w:pPr>
              <w:spacing w:after="0"/>
              <w:rPr>
                <w:sz w:val="17"/>
                <w:szCs w:val="17"/>
                <w:color w:val="auto"/>
              </w:rPr>
            </w:pPr>
          </w:p>
        </w:tc>
        <w:tc>
          <w:tcPr>
            <w:tcW w:w="38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170"/>
        </w:trPr>
        <w:tc>
          <w:tcPr>
            <w:tcW w:w="40" w:type="dxa"/>
            <w:vAlign w:val="bottom"/>
          </w:tcPr>
          <w:p>
            <w:pPr>
              <w:spacing w:after="0"/>
              <w:rPr>
                <w:sz w:val="14"/>
                <w:szCs w:val="14"/>
                <w:color w:val="auto"/>
              </w:rPr>
            </w:pPr>
          </w:p>
        </w:tc>
        <w:tc>
          <w:tcPr>
            <w:tcW w:w="5800" w:type="dxa"/>
            <w:vAlign w:val="bottom"/>
          </w:tcPr>
          <w:p>
            <w:pPr>
              <w:ind w:left="20"/>
              <w:spacing w:after="0"/>
              <w:rPr>
                <w:sz w:val="20"/>
                <w:szCs w:val="20"/>
                <w:color w:val="auto"/>
              </w:rPr>
            </w:pPr>
            <w:r>
              <w:rPr>
                <w:rFonts w:ascii="Arial" w:cs="Arial" w:eastAsia="Arial" w:hAnsi="Arial"/>
                <w:sz w:val="13"/>
                <w:szCs w:val="13"/>
                <w:color w:val="auto"/>
              </w:rPr>
              <w:t>At start of year</w:t>
            </w:r>
          </w:p>
        </w:tc>
        <w:tc>
          <w:tcPr>
            <w:tcW w:w="3880" w:type="dxa"/>
            <w:vAlign w:val="bottom"/>
          </w:tcPr>
          <w:p>
            <w:pPr>
              <w:jc w:val="right"/>
              <w:ind w:right="176"/>
              <w:spacing w:after="0"/>
              <w:rPr>
                <w:sz w:val="20"/>
                <w:szCs w:val="20"/>
                <w:color w:val="auto"/>
              </w:rPr>
            </w:pPr>
            <w:r>
              <w:rPr>
                <w:rFonts w:ascii="Arial" w:cs="Arial" w:eastAsia="Arial" w:hAnsi="Arial"/>
                <w:sz w:val="13"/>
                <w:szCs w:val="13"/>
                <w:b w:val="1"/>
                <w:bCs w:val="1"/>
                <w:color w:val="auto"/>
              </w:rPr>
              <w:t>1,729</w:t>
            </w:r>
          </w:p>
        </w:tc>
        <w:tc>
          <w:tcPr>
            <w:tcW w:w="1280" w:type="dxa"/>
            <w:vAlign w:val="bottom"/>
          </w:tcPr>
          <w:p>
            <w:pPr>
              <w:jc w:val="right"/>
              <w:spacing w:after="0"/>
              <w:rPr>
                <w:sz w:val="20"/>
                <w:szCs w:val="20"/>
                <w:color w:val="auto"/>
              </w:rPr>
            </w:pPr>
            <w:r>
              <w:rPr>
                <w:rFonts w:ascii="Arial" w:cs="Arial" w:eastAsia="Arial" w:hAnsi="Arial"/>
                <w:sz w:val="13"/>
                <w:szCs w:val="13"/>
                <w:color w:val="auto"/>
              </w:rPr>
              <w:t>49,628</w:t>
            </w:r>
          </w:p>
        </w:tc>
      </w:tr>
      <w:tr>
        <w:trPr>
          <w:trHeight w:val="170"/>
        </w:trPr>
        <w:tc>
          <w:tcPr>
            <w:tcW w:w="40" w:type="dxa"/>
            <w:vAlign w:val="bottom"/>
          </w:tcPr>
          <w:p>
            <w:pPr>
              <w:spacing w:after="0"/>
              <w:rPr>
                <w:sz w:val="14"/>
                <w:szCs w:val="14"/>
                <w:color w:val="auto"/>
              </w:rPr>
            </w:pPr>
          </w:p>
        </w:tc>
        <w:tc>
          <w:tcPr>
            <w:tcW w:w="5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Additions</w:t>
            </w:r>
          </w:p>
        </w:tc>
        <w:tc>
          <w:tcPr>
            <w:tcW w:w="388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480</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40" w:type="dxa"/>
            <w:vAlign w:val="bottom"/>
          </w:tcPr>
          <w:p>
            <w:pPr>
              <w:spacing w:after="0"/>
              <w:rPr>
                <w:sz w:val="14"/>
                <w:szCs w:val="14"/>
                <w:color w:val="auto"/>
              </w:rPr>
            </w:pPr>
          </w:p>
        </w:tc>
        <w:tc>
          <w:tcPr>
            <w:tcW w:w="5800" w:type="dxa"/>
            <w:vAlign w:val="bottom"/>
          </w:tcPr>
          <w:p>
            <w:pPr>
              <w:ind w:left="20"/>
              <w:spacing w:after="0"/>
              <w:rPr>
                <w:sz w:val="20"/>
                <w:szCs w:val="20"/>
                <w:color w:val="auto"/>
              </w:rPr>
            </w:pPr>
            <w:r>
              <w:rPr>
                <w:rFonts w:ascii="Arial" w:cs="Arial" w:eastAsia="Arial" w:hAnsi="Arial"/>
                <w:sz w:val="13"/>
                <w:szCs w:val="13"/>
                <w:color w:val="auto"/>
              </w:rPr>
              <w:t>Disposals/maturities</w:t>
            </w:r>
          </w:p>
        </w:tc>
        <w:tc>
          <w:tcPr>
            <w:tcW w:w="3880" w:type="dxa"/>
            <w:vAlign w:val="bottom"/>
          </w:tcPr>
          <w:p>
            <w:pPr>
              <w:jc w:val="right"/>
              <w:ind w:right="136"/>
              <w:spacing w:after="0"/>
              <w:rPr>
                <w:sz w:val="20"/>
                <w:szCs w:val="20"/>
                <w:color w:val="auto"/>
              </w:rPr>
            </w:pPr>
            <w:r>
              <w:rPr>
                <w:rFonts w:ascii="Arial" w:cs="Arial" w:eastAsia="Arial" w:hAnsi="Arial"/>
                <w:sz w:val="13"/>
                <w:szCs w:val="13"/>
                <w:b w:val="1"/>
                <w:bCs w:val="1"/>
                <w:color w:val="auto"/>
              </w:rPr>
              <w:t>(497)</w:t>
            </w:r>
          </w:p>
        </w:tc>
        <w:tc>
          <w:tcPr>
            <w:tcW w:w="1280" w:type="dxa"/>
            <w:vAlign w:val="bottom"/>
          </w:tcPr>
          <w:p>
            <w:pPr>
              <w:jc w:val="right"/>
              <w:spacing w:after="0"/>
              <w:rPr>
                <w:sz w:val="20"/>
                <w:szCs w:val="20"/>
                <w:color w:val="auto"/>
              </w:rPr>
            </w:pPr>
            <w:r>
              <w:rPr>
                <w:rFonts w:ascii="Arial" w:cs="Arial" w:eastAsia="Arial" w:hAnsi="Arial"/>
                <w:sz w:val="13"/>
                <w:szCs w:val="13"/>
                <w:color w:val="auto"/>
              </w:rPr>
              <w:t>(47,902)</w:t>
            </w:r>
          </w:p>
        </w:tc>
      </w:tr>
      <w:tr>
        <w:trPr>
          <w:trHeight w:val="170"/>
        </w:trPr>
        <w:tc>
          <w:tcPr>
            <w:tcW w:w="40" w:type="dxa"/>
            <w:vAlign w:val="bottom"/>
          </w:tcPr>
          <w:p>
            <w:pPr>
              <w:spacing w:after="0"/>
              <w:rPr>
                <w:sz w:val="14"/>
                <w:szCs w:val="14"/>
                <w:color w:val="auto"/>
              </w:rPr>
            </w:pPr>
          </w:p>
        </w:tc>
        <w:tc>
          <w:tcPr>
            <w:tcW w:w="5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on short-term investments</w:t>
            </w:r>
          </w:p>
        </w:tc>
        <w:tc>
          <w:tcPr>
            <w:tcW w:w="388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40" w:type="dxa"/>
            <w:vAlign w:val="bottom"/>
          </w:tcPr>
          <w:p>
            <w:pPr>
              <w:spacing w:after="0"/>
              <w:rPr>
                <w:sz w:val="14"/>
                <w:szCs w:val="14"/>
                <w:color w:val="auto"/>
              </w:rPr>
            </w:pPr>
          </w:p>
        </w:tc>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Gain on investments</w:t>
            </w:r>
          </w:p>
        </w:tc>
        <w:tc>
          <w:tcPr>
            <w:tcW w:w="388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r>
      <w:tr>
        <w:trPr>
          <w:trHeight w:val="172"/>
        </w:trPr>
        <w:tc>
          <w:tcPr>
            <w:tcW w:w="40" w:type="dxa"/>
            <w:vAlign w:val="bottom"/>
          </w:tcPr>
          <w:p>
            <w:pPr>
              <w:spacing w:after="0"/>
              <w:rPr>
                <w:sz w:val="14"/>
                <w:szCs w:val="14"/>
                <w:color w:val="auto"/>
              </w:rPr>
            </w:pPr>
          </w:p>
        </w:tc>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At end of year</w:t>
            </w:r>
          </w:p>
        </w:tc>
        <w:tc>
          <w:tcPr>
            <w:tcW w:w="38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1,712</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1,729</w:t>
            </w:r>
          </w:p>
        </w:tc>
      </w:tr>
      <w:tr>
        <w:trPr>
          <w:trHeight w:val="21"/>
        </w:trPr>
        <w:tc>
          <w:tcPr>
            <w:tcW w:w="40" w:type="dxa"/>
            <w:vAlign w:val="bottom"/>
          </w:tcPr>
          <w:p>
            <w:pPr>
              <w:spacing w:after="0" w:line="20" w:lineRule="exact"/>
              <w:rPr>
                <w:sz w:val="1"/>
                <w:szCs w:val="1"/>
                <w:color w:val="auto"/>
              </w:rPr>
            </w:pPr>
          </w:p>
        </w:tc>
        <w:tc>
          <w:tcPr>
            <w:tcW w:w="5800" w:type="dxa"/>
            <w:vAlign w:val="bottom"/>
            <w:shd w:val="clear" w:color="auto" w:fill="000000"/>
          </w:tcPr>
          <w:p>
            <w:pPr>
              <w:spacing w:after="0" w:line="20" w:lineRule="exact"/>
              <w:rPr>
                <w:sz w:val="1"/>
                <w:szCs w:val="1"/>
                <w:color w:val="auto"/>
              </w:rPr>
            </w:pPr>
          </w:p>
        </w:tc>
        <w:tc>
          <w:tcPr>
            <w:tcW w:w="38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13"/>
          <w:szCs w:val="13"/>
          <w:color w:val="auto"/>
        </w:rPr>
        <w:t>Current asset investments comprise highly liquid investments with maturities of greater than three months and minimum “A-” rated fixed and floating rate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97</w:t>
      </w:r>
    </w:p>
    <w:p>
      <w:pPr>
        <w:sectPr>
          <w:pgSz w:w="11900" w:h="16838" w:orient="portrait"/>
          <w:cols w:equalWidth="0" w:num="1">
            <w:col w:w="11280"/>
          </w:cols>
          <w:pgMar w:left="300" w:top="698" w:right="31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18. Financial asset investments </w:t>
      </w:r>
      <w:r>
        <w:rPr>
          <w:rFonts w:ascii="Arial" w:cs="Arial" w:eastAsia="Arial" w:hAnsi="Arial"/>
          <w:sz w:val="13"/>
          <w:szCs w:val="13"/>
          <w:b w:val="1"/>
          <w:bCs w:val="1"/>
          <w:i w:val="1"/>
          <w:iCs w:val="1"/>
          <w:color w:val="auto"/>
        </w:rPr>
        <w:t>(continued)</w:t>
      </w:r>
    </w:p>
    <w:p>
      <w:pPr>
        <w:spacing w:after="0" w:line="36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 Non-current financial assets - fair value through profit or loss</w:t>
      </w:r>
    </w:p>
    <w:p>
      <w:pPr>
        <w:spacing w:after="0" w:line="201"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Company entered into subscription agreements with a number of funds. Capital totalling $16.9 million had been advanced under the terms of the subscription agreements at 31 December 2021 (2020: $13.3 million). The Company determined that the interests in the funds meet the definition of equity securities without readily determinable fair values. There was an increase in fair value of $3.2 million (2020: $2.5 million) recognised in profit during the year bringing the carrying value of the subscriptions to $22.6 million at 31 December 2021 (2020: $15.8 million). At 31 December 2021, the Company had committed to future investments of $17.4 million in respect of these funds.</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 Equity method investments</w:t>
      </w:r>
    </w:p>
    <w:p>
      <w:pPr>
        <w:spacing w:after="0" w:line="22"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 xml:space="preserve">The Company has invested $4.9 million to obtain a 49% interest in the voting share capital of Oncacare. The Company’s investment in Oncacare is accounted for under the equity method due to the Company's ability to exercise significant influence over Oncacare that is considered to be greater than minor. The Company records its pro rata share of the earnings/losses of this investment in 'Share of equity method investment' in the Consolidated Statement of Profit and Loss (see </w:t>
      </w:r>
      <w:r>
        <w:rPr>
          <w:rFonts w:ascii="Arial" w:cs="Arial" w:eastAsia="Arial" w:hAnsi="Arial"/>
          <w:sz w:val="13"/>
          <w:szCs w:val="13"/>
          <w:i w:val="1"/>
          <w:iCs w:val="1"/>
          <w:color w:val="auto"/>
        </w:rPr>
        <w:t>note 1 Basis of preparation and statement of accounting policies</w:t>
      </w:r>
      <w:r>
        <w:rPr>
          <w:rFonts w:ascii="Arial" w:cs="Arial" w:eastAsia="Arial" w:hAnsi="Arial"/>
          <w:sz w:val="13"/>
          <w:szCs w:val="13"/>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color w:val="auto"/>
        </w:rPr>
        <w:t>Oncacare is incorporated in Ireland and operates throughout Europe and the United States.</w:t>
      </w:r>
    </w:p>
    <w:p>
      <w:pPr>
        <w:spacing w:after="0" w:line="20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majority investor has the right to sell the 51% majority voting share capital exclusively to the Company in a two and half year period, commencing 1 January 2023 and ICON also has the right to acquire the 51% majority voting share capital from 1 August 2025. The following table represents our equity method investment at 31 December 2021: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spacing w:after="0"/>
              <w:rPr>
                <w:sz w:val="14"/>
                <w:szCs w:val="14"/>
                <w:color w:val="auto"/>
              </w:rPr>
            </w:pPr>
          </w:p>
        </w:tc>
        <w:tc>
          <w:tcPr>
            <w:tcW w:w="3940" w:type="dxa"/>
            <w:vAlign w:val="bottom"/>
            <w:tcBorders>
              <w:bottom w:val="single" w:sz="8" w:color="auto"/>
            </w:tcBorders>
            <w:shd w:val="clear" w:color="auto" w:fill="CCEEFF"/>
          </w:tcPr>
          <w:p>
            <w:pPr>
              <w:spacing w:after="0"/>
              <w:rPr>
                <w:sz w:val="14"/>
                <w:szCs w:val="14"/>
                <w:color w:val="auto"/>
              </w:rPr>
            </w:pPr>
          </w:p>
        </w:tc>
        <w:tc>
          <w:tcPr>
            <w:tcW w:w="496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31 December 2021</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 December 2020</w:t>
            </w:r>
          </w:p>
        </w:tc>
      </w:tr>
      <w:tr>
        <w:trPr>
          <w:trHeight w:val="160"/>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4960" w:type="dxa"/>
            <w:vAlign w:val="bottom"/>
          </w:tcPr>
          <w:p>
            <w:pPr>
              <w:jc w:val="right"/>
              <w:ind w:right="136"/>
              <w:spacing w:after="0"/>
              <w:rPr>
                <w:sz w:val="20"/>
                <w:szCs w:val="20"/>
                <w:color w:val="auto"/>
              </w:rPr>
            </w:pPr>
            <w:r>
              <w:rPr>
                <w:rFonts w:ascii="Arial" w:cs="Arial" w:eastAsia="Arial" w:hAnsi="Arial"/>
                <w:sz w:val="13"/>
                <w:szCs w:val="13"/>
                <w:b w:val="1"/>
                <w:bCs w:val="1"/>
                <w:color w:val="auto"/>
              </w:rPr>
              <w:t>$’000</w:t>
            </w:r>
          </w:p>
        </w:tc>
        <w:tc>
          <w:tcPr>
            <w:tcW w:w="1300" w:type="dxa"/>
            <w:vAlign w:val="bottom"/>
          </w:tcPr>
          <w:p>
            <w:pPr>
              <w:ind w:left="980"/>
              <w:spacing w:after="0"/>
              <w:rPr>
                <w:sz w:val="20"/>
                <w:szCs w:val="20"/>
                <w:color w:val="auto"/>
              </w:rPr>
            </w:pPr>
            <w:r>
              <w:rPr>
                <w:rFonts w:ascii="Arial" w:cs="Arial" w:eastAsia="Arial" w:hAnsi="Arial"/>
                <w:sz w:val="13"/>
                <w:szCs w:val="13"/>
                <w:color w:val="auto"/>
                <w:w w:val="94"/>
              </w:rPr>
              <w:t>$’000</w:t>
            </w:r>
          </w:p>
        </w:tc>
      </w:tr>
      <w:tr>
        <w:trPr>
          <w:trHeight w:val="202"/>
        </w:trPr>
        <w:tc>
          <w:tcPr>
            <w:tcW w:w="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940" w:type="dxa"/>
            <w:vAlign w:val="bottom"/>
            <w:shd w:val="clear" w:color="auto" w:fill="CCEEFF"/>
          </w:tcPr>
          <w:p>
            <w:pPr>
              <w:spacing w:after="0"/>
              <w:rPr>
                <w:sz w:val="17"/>
                <w:szCs w:val="17"/>
                <w:color w:val="auto"/>
              </w:rPr>
            </w:pPr>
          </w:p>
        </w:tc>
        <w:tc>
          <w:tcPr>
            <w:tcW w:w="49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144"/>
        </w:trPr>
        <w:tc>
          <w:tcPr>
            <w:tcW w:w="20" w:type="dxa"/>
            <w:vAlign w:val="bottom"/>
          </w:tcPr>
          <w:p>
            <w:pPr>
              <w:spacing w:after="0"/>
              <w:rPr>
                <w:sz w:val="12"/>
                <w:szCs w:val="12"/>
                <w:color w:val="auto"/>
              </w:rPr>
            </w:pPr>
          </w:p>
        </w:tc>
        <w:tc>
          <w:tcPr>
            <w:tcW w:w="5000" w:type="dxa"/>
            <w:vAlign w:val="bottom"/>
            <w:gridSpan w:val="2"/>
          </w:tcPr>
          <w:p>
            <w:pPr>
              <w:spacing w:after="0" w:line="138" w:lineRule="exact"/>
              <w:rPr>
                <w:sz w:val="20"/>
                <w:szCs w:val="20"/>
                <w:color w:val="auto"/>
              </w:rPr>
            </w:pPr>
            <w:r>
              <w:rPr>
                <w:rFonts w:ascii="Arial" w:cs="Arial" w:eastAsia="Arial" w:hAnsi="Arial"/>
                <w:sz w:val="13"/>
                <w:szCs w:val="13"/>
                <w:b w:val="1"/>
                <w:bCs w:val="1"/>
                <w:color w:val="auto"/>
              </w:rPr>
              <w:t>Oncacare Limited</w:t>
            </w:r>
          </w:p>
        </w:tc>
        <w:tc>
          <w:tcPr>
            <w:tcW w:w="496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176"/>
        </w:trPr>
        <w:tc>
          <w:tcPr>
            <w:tcW w:w="20" w:type="dxa"/>
            <w:vAlign w:val="bottom"/>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At start of year</w:t>
            </w:r>
          </w:p>
        </w:tc>
        <w:tc>
          <w:tcPr>
            <w:tcW w:w="3940" w:type="dxa"/>
            <w:vAlign w:val="bottom"/>
            <w:shd w:val="clear" w:color="auto" w:fill="CCEEFF"/>
          </w:tcPr>
          <w:p>
            <w:pPr>
              <w:spacing w:after="0"/>
              <w:rPr>
                <w:sz w:val="15"/>
                <w:szCs w:val="15"/>
                <w:color w:val="auto"/>
              </w:rPr>
            </w:pPr>
          </w:p>
        </w:tc>
        <w:tc>
          <w:tcPr>
            <w:tcW w:w="496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4,534</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20" w:type="dxa"/>
            <w:vAlign w:val="bottom"/>
          </w:tcPr>
          <w:p>
            <w:pPr>
              <w:spacing w:after="0"/>
              <w:rPr>
                <w:sz w:val="14"/>
                <w:szCs w:val="14"/>
                <w:color w:val="auto"/>
              </w:rPr>
            </w:pPr>
          </w:p>
        </w:tc>
        <w:tc>
          <w:tcPr>
            <w:tcW w:w="5000" w:type="dxa"/>
            <w:vAlign w:val="bottom"/>
            <w:gridSpan w:val="2"/>
          </w:tcPr>
          <w:p>
            <w:pPr>
              <w:spacing w:after="0"/>
              <w:rPr>
                <w:sz w:val="20"/>
                <w:szCs w:val="20"/>
                <w:color w:val="auto"/>
              </w:rPr>
            </w:pPr>
            <w:r>
              <w:rPr>
                <w:rFonts w:ascii="Arial" w:cs="Arial" w:eastAsia="Arial" w:hAnsi="Arial"/>
                <w:sz w:val="13"/>
                <w:szCs w:val="13"/>
                <w:color w:val="auto"/>
              </w:rPr>
              <w:t>Investment in Oncacare</w:t>
            </w:r>
          </w:p>
        </w:tc>
        <w:tc>
          <w:tcPr>
            <w:tcW w:w="4960" w:type="dxa"/>
            <w:vAlign w:val="bottom"/>
          </w:tcPr>
          <w:p>
            <w:pPr>
              <w:jc w:val="right"/>
              <w:ind w:right="176"/>
              <w:spacing w:after="0"/>
              <w:rPr>
                <w:sz w:val="20"/>
                <w:szCs w:val="20"/>
                <w:color w:val="auto"/>
              </w:rPr>
            </w:pPr>
            <w:r>
              <w:rPr>
                <w:rFonts w:ascii="Arial" w:cs="Arial" w:eastAsia="Arial" w:hAnsi="Arial"/>
                <w:sz w:val="13"/>
                <w:szCs w:val="13"/>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4,900</w:t>
            </w:r>
          </w:p>
        </w:tc>
      </w:tr>
      <w:tr>
        <w:trPr>
          <w:trHeight w:val="170"/>
        </w:trPr>
        <w:tc>
          <w:tcPr>
            <w:tcW w:w="20" w:type="dxa"/>
            <w:vAlign w:val="bottom"/>
            <w:tcBorders>
              <w:bottom w:val="single" w:sz="8" w:color="auto"/>
            </w:tcBorders>
            <w:shd w:val="clear" w:color="auto" w:fill="CCEEFF"/>
          </w:tcPr>
          <w:p>
            <w:pPr>
              <w:spacing w:after="0"/>
              <w:rPr>
                <w:sz w:val="14"/>
                <w:szCs w:val="14"/>
                <w:color w:val="auto"/>
              </w:rPr>
            </w:pPr>
          </w:p>
        </w:tc>
        <w:tc>
          <w:tcPr>
            <w:tcW w:w="50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3"/>
                <w:szCs w:val="13"/>
                <w:color w:val="auto"/>
              </w:rPr>
              <w:t>Loss for the year/period</w:t>
            </w:r>
          </w:p>
        </w:tc>
        <w:tc>
          <w:tcPr>
            <w:tcW w:w="496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(2,161)</w:t>
            </w:r>
          </w:p>
        </w:tc>
        <w:tc>
          <w:tcPr>
            <w:tcW w:w="130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3"/>
                <w:szCs w:val="13"/>
                <w:color w:val="auto"/>
                <w:w w:val="98"/>
              </w:rPr>
              <w:t>(366)</w:t>
            </w:r>
          </w:p>
        </w:tc>
      </w:tr>
      <w:tr>
        <w:trPr>
          <w:trHeight w:val="162"/>
        </w:trPr>
        <w:tc>
          <w:tcPr>
            <w:tcW w:w="20" w:type="dxa"/>
            <w:vAlign w:val="bottom"/>
            <w:tcBorders>
              <w:bottom w:val="single" w:sz="8" w:color="auto"/>
            </w:tcBorders>
          </w:tcPr>
          <w:p>
            <w:pPr>
              <w:spacing w:after="0"/>
              <w:rPr>
                <w:sz w:val="14"/>
                <w:szCs w:val="14"/>
                <w:color w:val="auto"/>
              </w:rPr>
            </w:pPr>
          </w:p>
        </w:tc>
        <w:tc>
          <w:tcPr>
            <w:tcW w:w="500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At end of year</w:t>
            </w:r>
          </w:p>
        </w:tc>
        <w:tc>
          <w:tcPr>
            <w:tcW w:w="496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2,373</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4,534</w:t>
            </w:r>
          </w:p>
        </w:tc>
      </w:tr>
    </w:tbl>
    <w:p>
      <w:pPr>
        <w:spacing w:after="0" w:line="255"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 xml:space="preserve">For the year ended 31 December 2021, the Company has recorded a loss of $2.2 million (31 December 2020: loss $0.4 million) representing its pro rata share of the losses in Oncacare. During the year ended 31 December 2021, the Company provided a loan of $10 million to Oncacare (included in other receivables, see </w:t>
      </w:r>
      <w:r>
        <w:rPr>
          <w:rFonts w:ascii="Arial" w:cs="Arial" w:eastAsia="Arial" w:hAnsi="Arial"/>
          <w:sz w:val="13"/>
          <w:szCs w:val="13"/>
          <w:i w:val="1"/>
          <w:iCs w:val="1"/>
          <w:color w:val="auto"/>
        </w:rPr>
        <w:t>note 17 Other assets</w:t>
      </w:r>
      <w:r>
        <w:rPr>
          <w:rFonts w:ascii="Arial" w:cs="Arial" w:eastAsia="Arial" w:hAnsi="Arial"/>
          <w:sz w:val="13"/>
          <w:szCs w:val="13"/>
          <w:color w:val="auto"/>
        </w:rPr>
        <w:t>) in order to fund the continued development of the business operations. The loan accrues annual interest at 1.6% and the loan is repayable on 30 June 2025. Oncacare continues to perform in line with expectations.</w:t>
      </w:r>
    </w:p>
    <w:p>
      <w:pPr>
        <w:spacing w:after="0" w:line="39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19. Cash and cash equivalents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260" w:type="dxa"/>
            <w:vAlign w:val="bottom"/>
            <w:shd w:val="clear" w:color="auto" w:fill="CCEEFF"/>
          </w:tcPr>
          <w:p>
            <w:pPr>
              <w:spacing w:after="0"/>
              <w:rPr>
                <w:sz w:val="12"/>
                <w:szCs w:val="12"/>
                <w:color w:val="auto"/>
              </w:rPr>
            </w:pPr>
          </w:p>
        </w:tc>
        <w:tc>
          <w:tcPr>
            <w:tcW w:w="488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0"/>
        </w:trPr>
        <w:tc>
          <w:tcPr>
            <w:tcW w:w="5260" w:type="dxa"/>
            <w:vAlign w:val="bottom"/>
            <w:tcBorders>
              <w:bottom w:val="single" w:sz="8" w:color="auto"/>
            </w:tcBorders>
            <w:shd w:val="clear" w:color="auto" w:fill="CCEEFF"/>
          </w:tcPr>
          <w:p>
            <w:pPr>
              <w:spacing w:after="0"/>
              <w:rPr>
                <w:sz w:val="14"/>
                <w:szCs w:val="14"/>
                <w:color w:val="auto"/>
              </w:rPr>
            </w:pPr>
          </w:p>
        </w:tc>
        <w:tc>
          <w:tcPr>
            <w:tcW w:w="488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2021</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2020</w:t>
            </w:r>
          </w:p>
        </w:tc>
      </w:tr>
      <w:tr>
        <w:trPr>
          <w:trHeight w:val="160"/>
        </w:trPr>
        <w:tc>
          <w:tcPr>
            <w:tcW w:w="5260" w:type="dxa"/>
            <w:vAlign w:val="bottom"/>
          </w:tcPr>
          <w:p>
            <w:pPr>
              <w:spacing w:after="0"/>
              <w:rPr>
                <w:sz w:val="13"/>
                <w:szCs w:val="13"/>
                <w:color w:val="auto"/>
              </w:rPr>
            </w:pPr>
          </w:p>
        </w:tc>
        <w:tc>
          <w:tcPr>
            <w:tcW w:w="488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202"/>
        </w:trPr>
        <w:tc>
          <w:tcPr>
            <w:tcW w:w="5260" w:type="dxa"/>
            <w:vAlign w:val="bottom"/>
            <w:shd w:val="clear" w:color="auto" w:fill="CCEEFF"/>
          </w:tcPr>
          <w:p>
            <w:pPr>
              <w:spacing w:after="0"/>
              <w:rPr>
                <w:sz w:val="17"/>
                <w:szCs w:val="17"/>
                <w:color w:val="auto"/>
              </w:rPr>
            </w:pPr>
          </w:p>
        </w:tc>
        <w:tc>
          <w:tcPr>
            <w:tcW w:w="48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70"/>
        </w:trPr>
        <w:tc>
          <w:tcPr>
            <w:tcW w:w="5260" w:type="dxa"/>
            <w:vAlign w:val="bottom"/>
          </w:tcPr>
          <w:p>
            <w:pPr>
              <w:ind w:left="20"/>
              <w:spacing w:after="0"/>
              <w:rPr>
                <w:sz w:val="20"/>
                <w:szCs w:val="20"/>
                <w:color w:val="auto"/>
              </w:rPr>
            </w:pPr>
            <w:r>
              <w:rPr>
                <w:rFonts w:ascii="Arial" w:cs="Arial" w:eastAsia="Arial" w:hAnsi="Arial"/>
                <w:sz w:val="13"/>
                <w:szCs w:val="13"/>
                <w:color w:val="auto"/>
              </w:rPr>
              <w:t>Cash at bank and in hand</w:t>
            </w:r>
          </w:p>
        </w:tc>
        <w:tc>
          <w:tcPr>
            <w:tcW w:w="4880" w:type="dxa"/>
            <w:vAlign w:val="bottom"/>
          </w:tcPr>
          <w:p>
            <w:pPr>
              <w:jc w:val="right"/>
              <w:ind w:right="336"/>
              <w:spacing w:after="0"/>
              <w:rPr>
                <w:sz w:val="20"/>
                <w:szCs w:val="20"/>
                <w:color w:val="auto"/>
              </w:rPr>
            </w:pPr>
            <w:r>
              <w:rPr>
                <w:rFonts w:ascii="Arial" w:cs="Arial" w:eastAsia="Arial" w:hAnsi="Arial"/>
                <w:sz w:val="13"/>
                <w:szCs w:val="13"/>
                <w:b w:val="1"/>
                <w:bCs w:val="1"/>
                <w:color w:val="auto"/>
              </w:rPr>
              <w:t>632,995</w:t>
            </w:r>
          </w:p>
        </w:tc>
        <w:tc>
          <w:tcPr>
            <w:tcW w:w="1140" w:type="dxa"/>
            <w:vAlign w:val="bottom"/>
          </w:tcPr>
          <w:p>
            <w:pPr>
              <w:jc w:val="right"/>
              <w:spacing w:after="0"/>
              <w:rPr>
                <w:sz w:val="20"/>
                <w:szCs w:val="20"/>
                <w:color w:val="auto"/>
              </w:rPr>
            </w:pPr>
            <w:r>
              <w:rPr>
                <w:rFonts w:ascii="Arial" w:cs="Arial" w:eastAsia="Arial" w:hAnsi="Arial"/>
                <w:sz w:val="13"/>
                <w:szCs w:val="13"/>
                <w:color w:val="auto"/>
              </w:rPr>
              <w:t>221,367</w:t>
            </w:r>
          </w:p>
        </w:tc>
      </w:tr>
      <w:tr>
        <w:trPr>
          <w:trHeight w:val="170"/>
        </w:trPr>
        <w:tc>
          <w:tcPr>
            <w:tcW w:w="5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Short-term deposits</w:t>
            </w:r>
          </w:p>
        </w:tc>
        <w:tc>
          <w:tcPr>
            <w:tcW w:w="488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119,218</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618,938</w:t>
            </w:r>
          </w:p>
        </w:tc>
      </w:tr>
      <w:tr>
        <w:trPr>
          <w:trHeight w:val="182"/>
        </w:trPr>
        <w:tc>
          <w:tcPr>
            <w:tcW w:w="526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1"/>
        </w:trPr>
        <w:tc>
          <w:tcPr>
            <w:tcW w:w="5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Cash and cash equivalents</w:t>
            </w:r>
          </w:p>
        </w:tc>
        <w:tc>
          <w:tcPr>
            <w:tcW w:w="488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752,213</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840,305</w:t>
            </w: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98</w:t>
      </w:r>
    </w:p>
    <w:p>
      <w:pPr>
        <w:sectPr>
          <w:pgSz w:w="11900" w:h="16838" w:orient="portrait"/>
          <w:cols w:equalWidth="0" w:num="1">
            <w:col w:w="11280"/>
          </w:cols>
          <w:pgMar w:left="300" w:top="698" w:right="31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232" w:lineRule="exact"/>
        <w:rPr>
          <w:sz w:val="20"/>
          <w:szCs w:val="20"/>
          <w:color w:val="auto"/>
        </w:rPr>
      </w:pPr>
    </w:p>
    <w:p>
      <w:pPr>
        <w:spacing w:after="0"/>
        <w:tabs>
          <w:tab w:leader="none" w:pos="300" w:val="left"/>
        </w:tabs>
        <w:rPr>
          <w:sz w:val="20"/>
          <w:szCs w:val="20"/>
          <w:color w:val="auto"/>
        </w:rPr>
      </w:pPr>
      <w:r>
        <w:rPr>
          <w:rFonts w:ascii="Arial" w:cs="Arial" w:eastAsia="Arial" w:hAnsi="Arial"/>
          <w:sz w:val="13"/>
          <w:szCs w:val="13"/>
          <w:b w:val="1"/>
          <w:bCs w:val="1"/>
          <w:color w:val="auto"/>
        </w:rPr>
        <w:t>20.</w:t>
      </w:r>
      <w:r>
        <w:rPr>
          <w:sz w:val="20"/>
          <w:szCs w:val="20"/>
          <w:color w:val="auto"/>
        </w:rPr>
        <w:tab/>
      </w:r>
      <w:r>
        <w:rPr>
          <w:rFonts w:ascii="Arial" w:cs="Arial" w:eastAsia="Arial" w:hAnsi="Arial"/>
          <w:sz w:val="12"/>
          <w:szCs w:val="12"/>
          <w:b w:val="1"/>
          <w:bCs w:val="1"/>
          <w:color w:val="auto"/>
        </w:rPr>
        <w:t>Accrued and other liabilities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720" w:type="dxa"/>
            <w:vAlign w:val="bottom"/>
            <w:shd w:val="clear" w:color="auto" w:fill="CCEEFF"/>
          </w:tcPr>
          <w:p>
            <w:pPr>
              <w:spacing w:after="0"/>
              <w:rPr>
                <w:sz w:val="13"/>
                <w:szCs w:val="13"/>
                <w:color w:val="auto"/>
              </w:rPr>
            </w:pPr>
          </w:p>
        </w:tc>
        <w:tc>
          <w:tcPr>
            <w:tcW w:w="4180" w:type="dxa"/>
            <w:vAlign w:val="bottom"/>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31 December</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0"/>
        </w:trPr>
        <w:tc>
          <w:tcPr>
            <w:tcW w:w="5720" w:type="dxa"/>
            <w:vAlign w:val="bottom"/>
            <w:tcBorders>
              <w:bottom w:val="single" w:sz="8" w:color="auto"/>
            </w:tcBorders>
            <w:shd w:val="clear" w:color="auto" w:fill="CCEEFF"/>
          </w:tcPr>
          <w:p>
            <w:pPr>
              <w:spacing w:after="0"/>
              <w:rPr>
                <w:sz w:val="14"/>
                <w:szCs w:val="14"/>
                <w:color w:val="auto"/>
              </w:rPr>
            </w:pPr>
          </w:p>
        </w:tc>
        <w:tc>
          <w:tcPr>
            <w:tcW w:w="418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2021</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2020</w:t>
            </w:r>
          </w:p>
        </w:tc>
      </w:tr>
      <w:tr>
        <w:trPr>
          <w:trHeight w:val="160"/>
        </w:trPr>
        <w:tc>
          <w:tcPr>
            <w:tcW w:w="5720" w:type="dxa"/>
            <w:vAlign w:val="bottom"/>
          </w:tcPr>
          <w:p>
            <w:pPr>
              <w:spacing w:after="0"/>
              <w:rPr>
                <w:sz w:val="13"/>
                <w:szCs w:val="13"/>
                <w:color w:val="auto"/>
              </w:rPr>
            </w:pPr>
          </w:p>
        </w:tc>
        <w:tc>
          <w:tcPr>
            <w:tcW w:w="4180" w:type="dxa"/>
            <w:vAlign w:val="bottom"/>
          </w:tcPr>
          <w:p>
            <w:pPr>
              <w:jc w:val="right"/>
              <w:ind w:right="276"/>
              <w:spacing w:after="0"/>
              <w:rPr>
                <w:sz w:val="20"/>
                <w:szCs w:val="20"/>
                <w:color w:val="auto"/>
              </w:rPr>
            </w:pPr>
            <w:r>
              <w:rPr>
                <w:rFonts w:ascii="Arial" w:cs="Arial" w:eastAsia="Arial" w:hAnsi="Arial"/>
                <w:sz w:val="13"/>
                <w:szCs w:val="13"/>
                <w:b w:val="1"/>
                <w:bCs w:val="1"/>
                <w:color w:val="auto"/>
              </w:rPr>
              <w:t>$’000</w:t>
            </w:r>
          </w:p>
        </w:tc>
        <w:tc>
          <w:tcPr>
            <w:tcW w:w="112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212"/>
        </w:trPr>
        <w:tc>
          <w:tcPr>
            <w:tcW w:w="572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193"/>
        </w:trPr>
        <w:tc>
          <w:tcPr>
            <w:tcW w:w="5720" w:type="dxa"/>
            <w:vAlign w:val="bottom"/>
          </w:tcPr>
          <w:p>
            <w:pPr>
              <w:ind w:left="20"/>
              <w:spacing w:after="0"/>
              <w:rPr>
                <w:sz w:val="20"/>
                <w:szCs w:val="20"/>
                <w:color w:val="auto"/>
              </w:rPr>
            </w:pPr>
            <w:r>
              <w:rPr>
                <w:rFonts w:ascii="Arial" w:cs="Arial" w:eastAsia="Arial" w:hAnsi="Arial"/>
                <w:sz w:val="13"/>
                <w:szCs w:val="13"/>
                <w:b w:val="1"/>
                <w:bCs w:val="1"/>
                <w:color w:val="auto"/>
              </w:rPr>
              <w:t>Non-current other liabilities</w:t>
            </w:r>
          </w:p>
        </w:tc>
        <w:tc>
          <w:tcPr>
            <w:tcW w:w="41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21"/>
        </w:trPr>
        <w:tc>
          <w:tcPr>
            <w:tcW w:w="5720" w:type="dxa"/>
            <w:vAlign w:val="bottom"/>
            <w:shd w:val="clear" w:color="auto" w:fill="CCEEFF"/>
          </w:tcPr>
          <w:p>
            <w:pPr>
              <w:spacing w:after="0"/>
              <w:rPr>
                <w:sz w:val="19"/>
                <w:szCs w:val="19"/>
                <w:color w:val="auto"/>
              </w:rPr>
            </w:pPr>
          </w:p>
        </w:tc>
        <w:tc>
          <w:tcPr>
            <w:tcW w:w="4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178"/>
        </w:trPr>
        <w:tc>
          <w:tcPr>
            <w:tcW w:w="5720" w:type="dxa"/>
            <w:vAlign w:val="bottom"/>
          </w:tcPr>
          <w:p>
            <w:pPr>
              <w:ind w:left="20"/>
              <w:spacing w:after="0"/>
              <w:rPr>
                <w:sz w:val="20"/>
                <w:szCs w:val="20"/>
                <w:color w:val="auto"/>
              </w:rPr>
            </w:pPr>
            <w:r>
              <w:rPr>
                <w:rFonts w:ascii="Arial" w:cs="Arial" w:eastAsia="Arial" w:hAnsi="Arial"/>
                <w:sz w:val="13"/>
                <w:szCs w:val="13"/>
                <w:color w:val="auto"/>
              </w:rPr>
              <w:t>Personnel related liabilities</w:t>
            </w:r>
          </w:p>
        </w:tc>
        <w:tc>
          <w:tcPr>
            <w:tcW w:w="4180" w:type="dxa"/>
            <w:vAlign w:val="bottom"/>
          </w:tcPr>
          <w:p>
            <w:pPr>
              <w:jc w:val="right"/>
              <w:ind w:right="316"/>
              <w:spacing w:after="0"/>
              <w:rPr>
                <w:sz w:val="20"/>
                <w:szCs w:val="20"/>
                <w:color w:val="auto"/>
              </w:rPr>
            </w:pPr>
            <w:r>
              <w:rPr>
                <w:rFonts w:ascii="Arial" w:cs="Arial" w:eastAsia="Arial" w:hAnsi="Arial"/>
                <w:sz w:val="13"/>
                <w:szCs w:val="13"/>
                <w:b w:val="1"/>
                <w:bCs w:val="1"/>
                <w:color w:val="auto"/>
              </w:rPr>
              <w:t>200</w:t>
            </w:r>
          </w:p>
        </w:tc>
        <w:tc>
          <w:tcPr>
            <w:tcW w:w="1120" w:type="dxa"/>
            <w:vAlign w:val="bottom"/>
          </w:tcPr>
          <w:p>
            <w:pPr>
              <w:jc w:val="right"/>
              <w:spacing w:after="0"/>
              <w:rPr>
                <w:sz w:val="20"/>
                <w:szCs w:val="20"/>
                <w:color w:val="auto"/>
              </w:rPr>
            </w:pPr>
            <w:r>
              <w:rPr>
                <w:rFonts w:ascii="Arial" w:cs="Arial" w:eastAsia="Arial" w:hAnsi="Arial"/>
                <w:sz w:val="13"/>
                <w:szCs w:val="13"/>
                <w:color w:val="auto"/>
              </w:rPr>
              <w:t>244</w:t>
            </w:r>
          </w:p>
        </w:tc>
      </w:tr>
      <w:tr>
        <w:trPr>
          <w:trHeight w:val="24"/>
        </w:trPr>
        <w:tc>
          <w:tcPr>
            <w:tcW w:w="57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70"/>
        </w:trPr>
        <w:tc>
          <w:tcPr>
            <w:tcW w:w="5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government grants (note 22)</w:t>
            </w:r>
          </w:p>
        </w:tc>
        <w:tc>
          <w:tcPr>
            <w:tcW w:w="418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735</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838</w:t>
            </w:r>
          </w:p>
        </w:tc>
      </w:tr>
      <w:tr>
        <w:trPr>
          <w:trHeight w:val="170"/>
        </w:trPr>
        <w:tc>
          <w:tcPr>
            <w:tcW w:w="5720" w:type="dxa"/>
            <w:vAlign w:val="bottom"/>
          </w:tcPr>
          <w:p>
            <w:pPr>
              <w:ind w:left="20"/>
              <w:spacing w:after="0"/>
              <w:rPr>
                <w:sz w:val="20"/>
                <w:szCs w:val="20"/>
                <w:color w:val="auto"/>
              </w:rPr>
            </w:pPr>
            <w:r>
              <w:rPr>
                <w:rFonts w:ascii="Arial" w:cs="Arial" w:eastAsia="Arial" w:hAnsi="Arial"/>
                <w:sz w:val="13"/>
                <w:szCs w:val="13"/>
                <w:color w:val="auto"/>
              </w:rPr>
              <w:t>Retirement benefit plan net obligation (note 10)</w:t>
            </w:r>
          </w:p>
        </w:tc>
        <w:tc>
          <w:tcPr>
            <w:tcW w:w="4180" w:type="dxa"/>
            <w:vAlign w:val="bottom"/>
          </w:tcPr>
          <w:p>
            <w:pPr>
              <w:jc w:val="right"/>
              <w:ind w:right="316"/>
              <w:spacing w:after="0"/>
              <w:rPr>
                <w:sz w:val="20"/>
                <w:szCs w:val="20"/>
                <w:color w:val="auto"/>
              </w:rPr>
            </w:pPr>
            <w:r>
              <w:rPr>
                <w:rFonts w:ascii="Arial" w:cs="Arial" w:eastAsia="Arial" w:hAnsi="Arial"/>
                <w:sz w:val="13"/>
                <w:szCs w:val="13"/>
                <w:b w:val="1"/>
                <w:bCs w:val="1"/>
                <w:color w:val="auto"/>
              </w:rPr>
              <w:t>16,262</w:t>
            </w:r>
          </w:p>
        </w:tc>
        <w:tc>
          <w:tcPr>
            <w:tcW w:w="1120" w:type="dxa"/>
            <w:vAlign w:val="bottom"/>
          </w:tcPr>
          <w:p>
            <w:pPr>
              <w:jc w:val="right"/>
              <w:spacing w:after="0"/>
              <w:rPr>
                <w:sz w:val="20"/>
                <w:szCs w:val="20"/>
                <w:color w:val="auto"/>
              </w:rPr>
            </w:pPr>
            <w:r>
              <w:rPr>
                <w:rFonts w:ascii="Arial" w:cs="Arial" w:eastAsia="Arial" w:hAnsi="Arial"/>
                <w:sz w:val="13"/>
                <w:szCs w:val="13"/>
                <w:color w:val="auto"/>
              </w:rPr>
              <w:t>10,395</w:t>
            </w:r>
          </w:p>
        </w:tc>
      </w:tr>
      <w:tr>
        <w:trPr>
          <w:trHeight w:val="170"/>
        </w:trPr>
        <w:tc>
          <w:tcPr>
            <w:tcW w:w="5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employee savings scheme liabilities</w:t>
            </w:r>
          </w:p>
        </w:tc>
        <w:tc>
          <w:tcPr>
            <w:tcW w:w="418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13,693</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11,939</w:t>
            </w:r>
          </w:p>
        </w:tc>
      </w:tr>
      <w:tr>
        <w:trPr>
          <w:trHeight w:val="170"/>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Other liabilities</w:t>
            </w:r>
          </w:p>
        </w:tc>
        <w:tc>
          <w:tcPr>
            <w:tcW w:w="418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4,331</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259</w:t>
            </w:r>
          </w:p>
        </w:tc>
      </w:tr>
      <w:tr>
        <w:trPr>
          <w:trHeight w:val="182"/>
        </w:trPr>
        <w:tc>
          <w:tcPr>
            <w:tcW w:w="5720" w:type="dxa"/>
            <w:vAlign w:val="bottom"/>
            <w:shd w:val="clear" w:color="auto" w:fill="CCEEFF"/>
          </w:tcPr>
          <w:p>
            <w:pPr>
              <w:spacing w:after="0"/>
              <w:rPr>
                <w:sz w:val="15"/>
                <w:szCs w:val="15"/>
                <w:color w:val="auto"/>
              </w:rPr>
            </w:pPr>
          </w:p>
        </w:tc>
        <w:tc>
          <w:tcPr>
            <w:tcW w:w="4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71"/>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w:t>
            </w:r>
          </w:p>
        </w:tc>
        <w:tc>
          <w:tcPr>
            <w:tcW w:w="418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35,221</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23,675</w:t>
            </w:r>
          </w:p>
        </w:tc>
      </w:tr>
    </w:tbl>
    <w:p>
      <w:pPr>
        <w:spacing w:after="0" w:line="244"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 xml:space="preserve">Deferred employee savings scheme liabilities are payable more than 5 years from the reporting date (see </w:t>
      </w:r>
      <w:r>
        <w:rPr>
          <w:rFonts w:ascii="Arial" w:cs="Arial" w:eastAsia="Arial" w:hAnsi="Arial"/>
          <w:sz w:val="13"/>
          <w:szCs w:val="13"/>
          <w:i w:val="1"/>
          <w:iCs w:val="1"/>
          <w:color w:val="auto"/>
        </w:rPr>
        <w:t>note 26 Financial instruments)</w:t>
      </w:r>
      <w:r>
        <w:rPr>
          <w:rFonts w:ascii="Arial" w:cs="Arial" w:eastAsia="Arial" w:hAnsi="Arial"/>
          <w:sz w:val="13"/>
          <w:szCs w:val="13"/>
          <w:color w:val="auto"/>
        </w:rPr>
        <w:t>. Discounting of the non-current element has not been applied because the impact would be immaterial. However, discounting may apply in the future if the non-current element becomes significant such that the discounting impact would be material.</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40" w:type="dxa"/>
            <w:vAlign w:val="bottom"/>
            <w:shd w:val="clear" w:color="auto" w:fill="CCEEFF"/>
          </w:tcPr>
          <w:p>
            <w:pPr>
              <w:spacing w:after="0"/>
              <w:rPr>
                <w:sz w:val="13"/>
                <w:szCs w:val="13"/>
                <w:color w:val="auto"/>
              </w:rPr>
            </w:pPr>
          </w:p>
        </w:tc>
        <w:tc>
          <w:tcPr>
            <w:tcW w:w="430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0"/>
        </w:trPr>
        <w:tc>
          <w:tcPr>
            <w:tcW w:w="5840" w:type="dxa"/>
            <w:vAlign w:val="bottom"/>
            <w:tcBorders>
              <w:bottom w:val="single" w:sz="8" w:color="auto"/>
            </w:tcBorders>
            <w:shd w:val="clear" w:color="auto" w:fill="CCEEFF"/>
          </w:tcPr>
          <w:p>
            <w:pPr>
              <w:spacing w:after="0"/>
              <w:rPr>
                <w:sz w:val="14"/>
                <w:szCs w:val="14"/>
                <w:color w:val="auto"/>
              </w:rPr>
            </w:pPr>
          </w:p>
        </w:tc>
        <w:tc>
          <w:tcPr>
            <w:tcW w:w="430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2021</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2020</w:t>
            </w:r>
          </w:p>
        </w:tc>
      </w:tr>
      <w:tr>
        <w:trPr>
          <w:trHeight w:val="160"/>
        </w:trPr>
        <w:tc>
          <w:tcPr>
            <w:tcW w:w="5840" w:type="dxa"/>
            <w:vAlign w:val="bottom"/>
          </w:tcPr>
          <w:p>
            <w:pPr>
              <w:spacing w:after="0"/>
              <w:rPr>
                <w:sz w:val="13"/>
                <w:szCs w:val="13"/>
                <w:color w:val="auto"/>
              </w:rPr>
            </w:pPr>
          </w:p>
        </w:tc>
        <w:tc>
          <w:tcPr>
            <w:tcW w:w="430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202"/>
        </w:trPr>
        <w:tc>
          <w:tcPr>
            <w:tcW w:w="5840" w:type="dxa"/>
            <w:vAlign w:val="bottom"/>
            <w:shd w:val="clear" w:color="auto" w:fill="CCEEFF"/>
          </w:tcPr>
          <w:p>
            <w:pPr>
              <w:spacing w:after="0"/>
              <w:rPr>
                <w:sz w:val="17"/>
                <w:szCs w:val="17"/>
                <w:color w:val="auto"/>
              </w:rPr>
            </w:pPr>
          </w:p>
        </w:tc>
        <w:tc>
          <w:tcPr>
            <w:tcW w:w="4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70"/>
        </w:trPr>
        <w:tc>
          <w:tcPr>
            <w:tcW w:w="5840" w:type="dxa"/>
            <w:vAlign w:val="bottom"/>
          </w:tcPr>
          <w:p>
            <w:pPr>
              <w:ind w:left="20"/>
              <w:spacing w:after="0"/>
              <w:rPr>
                <w:sz w:val="20"/>
                <w:szCs w:val="20"/>
                <w:color w:val="auto"/>
              </w:rPr>
            </w:pPr>
            <w:r>
              <w:rPr>
                <w:rFonts w:ascii="Arial" w:cs="Arial" w:eastAsia="Arial" w:hAnsi="Arial"/>
                <w:sz w:val="13"/>
                <w:szCs w:val="13"/>
                <w:b w:val="1"/>
                <w:bCs w:val="1"/>
                <w:color w:val="auto"/>
              </w:rPr>
              <w:t>Current accrued and other liabilities</w:t>
            </w:r>
          </w:p>
        </w:tc>
        <w:tc>
          <w:tcPr>
            <w:tcW w:w="43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5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Personnel related liabilities</w:t>
            </w:r>
          </w:p>
        </w:tc>
        <w:tc>
          <w:tcPr>
            <w:tcW w:w="43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413,185</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161,363</w:t>
            </w:r>
          </w:p>
        </w:tc>
      </w:tr>
      <w:tr>
        <w:trPr>
          <w:trHeight w:val="170"/>
        </w:trPr>
        <w:tc>
          <w:tcPr>
            <w:tcW w:w="5840" w:type="dxa"/>
            <w:vAlign w:val="bottom"/>
          </w:tcPr>
          <w:p>
            <w:pPr>
              <w:ind w:left="20"/>
              <w:spacing w:after="0"/>
              <w:rPr>
                <w:sz w:val="20"/>
                <w:szCs w:val="20"/>
                <w:color w:val="auto"/>
              </w:rPr>
            </w:pPr>
            <w:r>
              <w:rPr>
                <w:rFonts w:ascii="Arial" w:cs="Arial" w:eastAsia="Arial" w:hAnsi="Arial"/>
                <w:sz w:val="13"/>
                <w:szCs w:val="13"/>
                <w:color w:val="auto"/>
              </w:rPr>
              <w:t>Facility and information system related liabilities</w:t>
            </w:r>
          </w:p>
        </w:tc>
        <w:tc>
          <w:tcPr>
            <w:tcW w:w="4300" w:type="dxa"/>
            <w:vAlign w:val="bottom"/>
          </w:tcPr>
          <w:p>
            <w:pPr>
              <w:jc w:val="right"/>
              <w:ind w:right="336"/>
              <w:spacing w:after="0"/>
              <w:rPr>
                <w:sz w:val="20"/>
                <w:szCs w:val="20"/>
                <w:color w:val="auto"/>
              </w:rPr>
            </w:pPr>
            <w:r>
              <w:rPr>
                <w:rFonts w:ascii="Arial" w:cs="Arial" w:eastAsia="Arial" w:hAnsi="Arial"/>
                <w:sz w:val="13"/>
                <w:szCs w:val="13"/>
                <w:b w:val="1"/>
                <w:bCs w:val="1"/>
                <w:color w:val="auto"/>
              </w:rPr>
              <w:t>12,055</w:t>
            </w:r>
          </w:p>
        </w:tc>
        <w:tc>
          <w:tcPr>
            <w:tcW w:w="1140" w:type="dxa"/>
            <w:vAlign w:val="bottom"/>
          </w:tcPr>
          <w:p>
            <w:pPr>
              <w:jc w:val="right"/>
              <w:spacing w:after="0"/>
              <w:rPr>
                <w:sz w:val="20"/>
                <w:szCs w:val="20"/>
                <w:color w:val="auto"/>
              </w:rPr>
            </w:pPr>
            <w:r>
              <w:rPr>
                <w:rFonts w:ascii="Arial" w:cs="Arial" w:eastAsia="Arial" w:hAnsi="Arial"/>
                <w:sz w:val="13"/>
                <w:szCs w:val="13"/>
                <w:color w:val="auto"/>
              </w:rPr>
              <w:t>9,441</w:t>
            </w:r>
          </w:p>
        </w:tc>
      </w:tr>
      <w:tr>
        <w:trPr>
          <w:trHeight w:val="170"/>
        </w:trPr>
        <w:tc>
          <w:tcPr>
            <w:tcW w:w="5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General overhead liabilities*</w:t>
            </w:r>
          </w:p>
        </w:tc>
        <w:tc>
          <w:tcPr>
            <w:tcW w:w="43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459,814</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188,638</w:t>
            </w:r>
          </w:p>
        </w:tc>
      </w:tr>
      <w:tr>
        <w:trPr>
          <w:trHeight w:val="170"/>
        </w:trPr>
        <w:tc>
          <w:tcPr>
            <w:tcW w:w="5840" w:type="dxa"/>
            <w:vAlign w:val="bottom"/>
          </w:tcPr>
          <w:p>
            <w:pPr>
              <w:ind w:left="20"/>
              <w:spacing w:after="0"/>
              <w:rPr>
                <w:sz w:val="20"/>
                <w:szCs w:val="20"/>
                <w:color w:val="auto"/>
              </w:rPr>
            </w:pPr>
            <w:r>
              <w:rPr>
                <w:rFonts w:ascii="Arial" w:cs="Arial" w:eastAsia="Arial" w:hAnsi="Arial"/>
                <w:sz w:val="13"/>
                <w:szCs w:val="13"/>
                <w:color w:val="auto"/>
              </w:rPr>
              <w:t>Lease liabilities (note 27)</w:t>
            </w:r>
          </w:p>
        </w:tc>
        <w:tc>
          <w:tcPr>
            <w:tcW w:w="4300" w:type="dxa"/>
            <w:vAlign w:val="bottom"/>
          </w:tcPr>
          <w:p>
            <w:pPr>
              <w:jc w:val="right"/>
              <w:ind w:right="336"/>
              <w:spacing w:after="0"/>
              <w:rPr>
                <w:sz w:val="20"/>
                <w:szCs w:val="20"/>
                <w:color w:val="auto"/>
              </w:rPr>
            </w:pPr>
            <w:r>
              <w:rPr>
                <w:rFonts w:ascii="Arial" w:cs="Arial" w:eastAsia="Arial" w:hAnsi="Arial"/>
                <w:sz w:val="13"/>
                <w:szCs w:val="13"/>
                <w:b w:val="1"/>
                <w:bCs w:val="1"/>
                <w:color w:val="auto"/>
              </w:rPr>
              <w:t>49,757</w:t>
            </w:r>
          </w:p>
        </w:tc>
        <w:tc>
          <w:tcPr>
            <w:tcW w:w="1140" w:type="dxa"/>
            <w:vAlign w:val="bottom"/>
          </w:tcPr>
          <w:p>
            <w:pPr>
              <w:jc w:val="right"/>
              <w:spacing w:after="0"/>
              <w:rPr>
                <w:sz w:val="20"/>
                <w:szCs w:val="20"/>
                <w:color w:val="auto"/>
              </w:rPr>
            </w:pPr>
            <w:r>
              <w:rPr>
                <w:rFonts w:ascii="Arial" w:cs="Arial" w:eastAsia="Arial" w:hAnsi="Arial"/>
                <w:sz w:val="13"/>
                <w:szCs w:val="13"/>
                <w:color w:val="auto"/>
              </w:rPr>
              <w:t>24,334</w:t>
            </w:r>
          </w:p>
        </w:tc>
      </w:tr>
      <w:tr>
        <w:trPr>
          <w:trHeight w:val="170"/>
        </w:trPr>
        <w:tc>
          <w:tcPr>
            <w:tcW w:w="5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liabilities</w:t>
            </w:r>
          </w:p>
        </w:tc>
        <w:tc>
          <w:tcPr>
            <w:tcW w:w="43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11,647</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8,726</w:t>
            </w:r>
          </w:p>
        </w:tc>
      </w:tr>
      <w:tr>
        <w:trPr>
          <w:trHeight w:val="170"/>
        </w:trPr>
        <w:tc>
          <w:tcPr>
            <w:tcW w:w="58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Short-term government grants (note 22)</w:t>
            </w:r>
          </w:p>
        </w:tc>
        <w:tc>
          <w:tcPr>
            <w:tcW w:w="430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45</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w:t>
            </w:r>
          </w:p>
        </w:tc>
      </w:tr>
      <w:tr>
        <w:trPr>
          <w:trHeight w:val="182"/>
        </w:trPr>
        <w:tc>
          <w:tcPr>
            <w:tcW w:w="5840" w:type="dxa"/>
            <w:vAlign w:val="bottom"/>
            <w:shd w:val="clear" w:color="auto" w:fill="CCEEFF"/>
          </w:tcPr>
          <w:p>
            <w:pPr>
              <w:spacing w:after="0"/>
              <w:rPr>
                <w:sz w:val="15"/>
                <w:szCs w:val="15"/>
                <w:color w:val="auto"/>
              </w:rPr>
            </w:pPr>
          </w:p>
        </w:tc>
        <w:tc>
          <w:tcPr>
            <w:tcW w:w="4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71"/>
        </w:trPr>
        <w:tc>
          <w:tcPr>
            <w:tcW w:w="58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w:t>
            </w:r>
          </w:p>
        </w:tc>
        <w:tc>
          <w:tcPr>
            <w:tcW w:w="430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946,503</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392,550</w:t>
            </w:r>
          </w:p>
        </w:tc>
      </w:tr>
    </w:tbl>
    <w:p>
      <w:pPr>
        <w:spacing w:after="0" w:line="74" w:lineRule="exact"/>
        <w:rPr>
          <w:sz w:val="20"/>
          <w:szCs w:val="20"/>
          <w:color w:val="auto"/>
        </w:rPr>
      </w:pPr>
    </w:p>
    <w:p>
      <w:pPr>
        <w:spacing w:after="0"/>
        <w:rPr>
          <w:sz w:val="20"/>
          <w:szCs w:val="20"/>
          <w:color w:val="auto"/>
        </w:rPr>
      </w:pPr>
      <w:r>
        <w:rPr>
          <w:rFonts w:ascii="Arial" w:cs="Arial" w:eastAsia="Arial" w:hAnsi="Arial"/>
          <w:sz w:val="13"/>
          <w:szCs w:val="13"/>
          <w:color w:val="auto"/>
        </w:rPr>
        <w:t>*includes amounts due to third parties in respect of accrued reimbursable expenses of $323.6 million at 31 December 2021 and $138.2 million at 31 December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99</w:t>
      </w:r>
    </w:p>
    <w:p>
      <w:pPr>
        <w:sectPr>
          <w:pgSz w:w="11900" w:h="16838" w:orient="portrait"/>
          <w:cols w:equalWidth="0" w:num="1">
            <w:col w:w="11280"/>
          </w:cols>
          <w:pgMar w:left="300" w:top="698" w:right="31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232" w:lineRule="exact"/>
        <w:rPr>
          <w:sz w:val="20"/>
          <w:szCs w:val="20"/>
          <w:color w:val="auto"/>
        </w:rPr>
      </w:pPr>
    </w:p>
    <w:p>
      <w:pPr>
        <w:spacing w:after="0"/>
        <w:tabs>
          <w:tab w:leader="none" w:pos="300" w:val="left"/>
        </w:tabs>
        <w:rPr>
          <w:sz w:val="20"/>
          <w:szCs w:val="20"/>
          <w:color w:val="auto"/>
        </w:rPr>
      </w:pPr>
      <w:r>
        <w:rPr>
          <w:rFonts w:ascii="Arial" w:cs="Arial" w:eastAsia="Arial" w:hAnsi="Arial"/>
          <w:sz w:val="13"/>
          <w:szCs w:val="13"/>
          <w:b w:val="1"/>
          <w:bCs w:val="1"/>
          <w:color w:val="auto"/>
        </w:rPr>
        <w:t>21.</w:t>
      </w:r>
      <w:r>
        <w:rPr>
          <w:sz w:val="20"/>
          <w:szCs w:val="20"/>
          <w:color w:val="auto"/>
        </w:rPr>
        <w:tab/>
      </w:r>
      <w:r>
        <w:rPr>
          <w:rFonts w:ascii="Arial" w:cs="Arial" w:eastAsia="Arial" w:hAnsi="Arial"/>
          <w:sz w:val="12"/>
          <w:szCs w:val="12"/>
          <w:b w:val="1"/>
          <w:bCs w:val="1"/>
          <w:color w:val="auto"/>
        </w:rPr>
        <w:t>Disaggregation of Revenue</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3"/>
          <w:szCs w:val="13"/>
          <w:color w:val="auto"/>
        </w:rPr>
        <w:t>Revenue disaggregated by customer profile is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00" w:type="dxa"/>
            <w:vAlign w:val="bottom"/>
            <w:shd w:val="clear" w:color="auto" w:fill="CCEEFF"/>
          </w:tcPr>
          <w:p>
            <w:pPr>
              <w:spacing w:after="0"/>
              <w:rPr>
                <w:sz w:val="13"/>
                <w:szCs w:val="13"/>
                <w:color w:val="auto"/>
              </w:rPr>
            </w:pPr>
          </w:p>
        </w:tc>
        <w:tc>
          <w:tcPr>
            <w:tcW w:w="528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Year ended 31 December</w:t>
            </w: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Year ended 31 December</w:t>
            </w:r>
          </w:p>
        </w:tc>
      </w:tr>
      <w:tr>
        <w:trPr>
          <w:trHeight w:val="170"/>
        </w:trPr>
        <w:tc>
          <w:tcPr>
            <w:tcW w:w="4400" w:type="dxa"/>
            <w:vAlign w:val="bottom"/>
            <w:tcBorders>
              <w:bottom w:val="single" w:sz="8" w:color="auto"/>
            </w:tcBorders>
            <w:shd w:val="clear" w:color="auto" w:fill="CCEEFF"/>
          </w:tcPr>
          <w:p>
            <w:pPr>
              <w:spacing w:after="0"/>
              <w:rPr>
                <w:sz w:val="14"/>
                <w:szCs w:val="14"/>
                <w:color w:val="auto"/>
              </w:rPr>
            </w:pPr>
          </w:p>
        </w:tc>
        <w:tc>
          <w:tcPr>
            <w:tcW w:w="52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2021</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2020</w:t>
            </w:r>
          </w:p>
        </w:tc>
      </w:tr>
      <w:tr>
        <w:trPr>
          <w:trHeight w:val="160"/>
        </w:trPr>
        <w:tc>
          <w:tcPr>
            <w:tcW w:w="4400" w:type="dxa"/>
            <w:vAlign w:val="bottom"/>
          </w:tcPr>
          <w:p>
            <w:pPr>
              <w:spacing w:after="0"/>
              <w:rPr>
                <w:sz w:val="13"/>
                <w:szCs w:val="13"/>
                <w:color w:val="auto"/>
              </w:rPr>
            </w:pPr>
          </w:p>
        </w:tc>
        <w:tc>
          <w:tcPr>
            <w:tcW w:w="5280" w:type="dxa"/>
            <w:vAlign w:val="bottom"/>
          </w:tcPr>
          <w:p>
            <w:pPr>
              <w:jc w:val="right"/>
              <w:ind w:right="56"/>
              <w:spacing w:after="0"/>
              <w:rPr>
                <w:sz w:val="20"/>
                <w:szCs w:val="20"/>
                <w:color w:val="auto"/>
              </w:rPr>
            </w:pPr>
            <w:r>
              <w:rPr>
                <w:rFonts w:ascii="Arial" w:cs="Arial" w:eastAsia="Arial" w:hAnsi="Arial"/>
                <w:sz w:val="13"/>
                <w:szCs w:val="13"/>
                <w:b w:val="1"/>
                <w:bCs w:val="1"/>
                <w:color w:val="auto"/>
              </w:rPr>
              <w:t>$’000</w:t>
            </w:r>
          </w:p>
        </w:tc>
        <w:tc>
          <w:tcPr>
            <w:tcW w:w="158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212"/>
        </w:trPr>
        <w:tc>
          <w:tcPr>
            <w:tcW w:w="4400" w:type="dxa"/>
            <w:vAlign w:val="bottom"/>
            <w:shd w:val="clear" w:color="auto" w:fill="CCEEFF"/>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170"/>
        </w:trPr>
        <w:tc>
          <w:tcPr>
            <w:tcW w:w="4400" w:type="dxa"/>
            <w:vAlign w:val="bottom"/>
          </w:tcPr>
          <w:p>
            <w:pPr>
              <w:ind w:left="20"/>
              <w:spacing w:after="0"/>
              <w:rPr>
                <w:sz w:val="20"/>
                <w:szCs w:val="20"/>
                <w:color w:val="auto"/>
              </w:rPr>
            </w:pPr>
            <w:r>
              <w:rPr>
                <w:rFonts w:ascii="Arial" w:cs="Arial" w:eastAsia="Arial" w:hAnsi="Arial"/>
                <w:sz w:val="13"/>
                <w:szCs w:val="13"/>
                <w:color w:val="auto"/>
              </w:rPr>
              <w:t>Top client</w:t>
            </w:r>
          </w:p>
        </w:tc>
        <w:tc>
          <w:tcPr>
            <w:tcW w:w="5280" w:type="dxa"/>
            <w:vAlign w:val="bottom"/>
          </w:tcPr>
          <w:p>
            <w:pPr>
              <w:jc w:val="right"/>
              <w:ind w:right="116"/>
              <w:spacing w:after="0"/>
              <w:rPr>
                <w:sz w:val="20"/>
                <w:szCs w:val="20"/>
                <w:color w:val="auto"/>
              </w:rPr>
            </w:pPr>
            <w:r>
              <w:rPr>
                <w:rFonts w:ascii="Arial" w:cs="Arial" w:eastAsia="Arial" w:hAnsi="Arial"/>
                <w:sz w:val="13"/>
                <w:szCs w:val="13"/>
                <w:b w:val="1"/>
                <w:bCs w:val="1"/>
                <w:color w:val="auto"/>
              </w:rPr>
              <w:t>440,529</w:t>
            </w:r>
          </w:p>
        </w:tc>
        <w:tc>
          <w:tcPr>
            <w:tcW w:w="1580" w:type="dxa"/>
            <w:vAlign w:val="bottom"/>
          </w:tcPr>
          <w:p>
            <w:pPr>
              <w:jc w:val="right"/>
              <w:spacing w:after="0"/>
              <w:rPr>
                <w:sz w:val="20"/>
                <w:szCs w:val="20"/>
                <w:color w:val="auto"/>
              </w:rPr>
            </w:pPr>
            <w:r>
              <w:rPr>
                <w:rFonts w:ascii="Arial" w:cs="Arial" w:eastAsia="Arial" w:hAnsi="Arial"/>
                <w:sz w:val="13"/>
                <w:szCs w:val="13"/>
                <w:color w:val="auto"/>
              </w:rPr>
              <w:t>337,904</w:t>
            </w:r>
          </w:p>
        </w:tc>
      </w:tr>
      <w:tr>
        <w:trPr>
          <w:trHeight w:val="170"/>
        </w:trPr>
        <w:tc>
          <w:tcPr>
            <w:tcW w:w="4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Clients 2-5</w:t>
            </w:r>
          </w:p>
        </w:tc>
        <w:tc>
          <w:tcPr>
            <w:tcW w:w="5280" w:type="dxa"/>
            <w:vAlign w:val="bottom"/>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1,290,060</w:t>
            </w: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754,906</w:t>
            </w:r>
          </w:p>
        </w:tc>
      </w:tr>
      <w:tr>
        <w:trPr>
          <w:trHeight w:val="170"/>
        </w:trPr>
        <w:tc>
          <w:tcPr>
            <w:tcW w:w="4400" w:type="dxa"/>
            <w:vAlign w:val="bottom"/>
          </w:tcPr>
          <w:p>
            <w:pPr>
              <w:ind w:left="20"/>
              <w:spacing w:after="0"/>
              <w:rPr>
                <w:sz w:val="20"/>
                <w:szCs w:val="20"/>
                <w:color w:val="auto"/>
              </w:rPr>
            </w:pPr>
            <w:r>
              <w:rPr>
                <w:rFonts w:ascii="Arial" w:cs="Arial" w:eastAsia="Arial" w:hAnsi="Arial"/>
                <w:sz w:val="13"/>
                <w:szCs w:val="13"/>
                <w:color w:val="auto"/>
              </w:rPr>
              <w:t>Clients 6-10</w:t>
            </w:r>
          </w:p>
        </w:tc>
        <w:tc>
          <w:tcPr>
            <w:tcW w:w="5280" w:type="dxa"/>
            <w:vAlign w:val="bottom"/>
          </w:tcPr>
          <w:p>
            <w:pPr>
              <w:jc w:val="right"/>
              <w:ind w:right="116"/>
              <w:spacing w:after="0"/>
              <w:rPr>
                <w:sz w:val="20"/>
                <w:szCs w:val="20"/>
                <w:color w:val="auto"/>
              </w:rPr>
            </w:pPr>
            <w:r>
              <w:rPr>
                <w:rFonts w:ascii="Arial" w:cs="Arial" w:eastAsia="Arial" w:hAnsi="Arial"/>
                <w:sz w:val="13"/>
                <w:szCs w:val="13"/>
                <w:b w:val="1"/>
                <w:bCs w:val="1"/>
                <w:color w:val="auto"/>
              </w:rPr>
              <w:t>751,227</w:t>
            </w:r>
          </w:p>
        </w:tc>
        <w:tc>
          <w:tcPr>
            <w:tcW w:w="1580" w:type="dxa"/>
            <w:vAlign w:val="bottom"/>
          </w:tcPr>
          <w:p>
            <w:pPr>
              <w:jc w:val="right"/>
              <w:spacing w:after="0"/>
              <w:rPr>
                <w:sz w:val="20"/>
                <w:szCs w:val="20"/>
                <w:color w:val="auto"/>
              </w:rPr>
            </w:pPr>
            <w:r>
              <w:rPr>
                <w:rFonts w:ascii="Arial" w:cs="Arial" w:eastAsia="Arial" w:hAnsi="Arial"/>
                <w:sz w:val="13"/>
                <w:szCs w:val="13"/>
                <w:color w:val="auto"/>
              </w:rPr>
              <w:t>350,865</w:t>
            </w:r>
          </w:p>
        </w:tc>
      </w:tr>
      <w:tr>
        <w:trPr>
          <w:trHeight w:val="170"/>
        </w:trPr>
        <w:tc>
          <w:tcPr>
            <w:tcW w:w="4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Clients 11-25</w:t>
            </w:r>
          </w:p>
        </w:tc>
        <w:tc>
          <w:tcPr>
            <w:tcW w:w="5280" w:type="dxa"/>
            <w:vAlign w:val="bottom"/>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1,075,501</w:t>
            </w: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501,643</w:t>
            </w:r>
          </w:p>
        </w:tc>
      </w:tr>
      <w:tr>
        <w:trPr>
          <w:trHeight w:val="170"/>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Other</w:t>
            </w:r>
          </w:p>
        </w:tc>
        <w:tc>
          <w:tcPr>
            <w:tcW w:w="52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1,915,509</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851,970</w:t>
            </w:r>
          </w:p>
        </w:tc>
      </w:tr>
      <w:tr>
        <w:trPr>
          <w:trHeight w:val="162"/>
        </w:trPr>
        <w:tc>
          <w:tcPr>
            <w:tcW w:w="4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52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5,472,826</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2,797,288</w:t>
            </w:r>
          </w:p>
        </w:tc>
      </w:tr>
    </w:tbl>
    <w:p>
      <w:pPr>
        <w:spacing w:after="0" w:line="191" w:lineRule="exact"/>
        <w:rPr>
          <w:sz w:val="20"/>
          <w:szCs w:val="20"/>
          <w:color w:val="auto"/>
        </w:rPr>
      </w:pPr>
    </w:p>
    <w:p>
      <w:pPr>
        <w:spacing w:after="0"/>
        <w:rPr>
          <w:sz w:val="20"/>
          <w:szCs w:val="20"/>
          <w:color w:val="auto"/>
        </w:rPr>
      </w:pPr>
      <w:r>
        <w:rPr>
          <w:rFonts w:ascii="Arial" w:cs="Arial" w:eastAsia="Arial" w:hAnsi="Arial"/>
          <w:sz w:val="13"/>
          <w:szCs w:val="13"/>
          <w:color w:val="auto"/>
        </w:rPr>
        <w:t>Our customers have similar profiles and economic characteristics, and therefore have similar degrees of risk and growth opportunities.</w:t>
      </w:r>
    </w:p>
    <w:p>
      <w:pPr>
        <w:spacing w:after="0" w:line="232" w:lineRule="exact"/>
        <w:rPr>
          <w:sz w:val="20"/>
          <w:szCs w:val="20"/>
          <w:color w:val="auto"/>
        </w:rPr>
      </w:pPr>
    </w:p>
    <w:p>
      <w:pPr>
        <w:ind w:left="320" w:hanging="315"/>
        <w:spacing w:after="0"/>
        <w:tabs>
          <w:tab w:leader="none" w:pos="320" w:val="left"/>
        </w:tabs>
        <w:numPr>
          <w:ilvl w:val="0"/>
          <w:numId w:val="105"/>
        </w:numPr>
        <w:rPr>
          <w:rFonts w:ascii="Arial" w:cs="Arial" w:eastAsia="Arial" w:hAnsi="Arial"/>
          <w:sz w:val="13"/>
          <w:szCs w:val="13"/>
          <w:b w:val="1"/>
          <w:bCs w:val="1"/>
          <w:color w:val="auto"/>
        </w:rPr>
      </w:pPr>
      <w:r>
        <w:rPr>
          <w:rFonts w:ascii="Arial" w:cs="Arial" w:eastAsia="Arial" w:hAnsi="Arial"/>
          <w:sz w:val="13"/>
          <w:szCs w:val="13"/>
          <w:b w:val="1"/>
          <w:bCs w:val="1"/>
          <w:color w:val="auto"/>
        </w:rPr>
        <w:t>Deferred government grants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320" w:type="dxa"/>
            <w:vAlign w:val="bottom"/>
            <w:shd w:val="clear" w:color="auto" w:fill="CCEEFF"/>
          </w:tcPr>
          <w:p>
            <w:pPr>
              <w:spacing w:after="0"/>
              <w:rPr>
                <w:sz w:val="13"/>
                <w:szCs w:val="13"/>
                <w:color w:val="auto"/>
              </w:rPr>
            </w:pPr>
          </w:p>
        </w:tc>
        <w:tc>
          <w:tcPr>
            <w:tcW w:w="482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0"/>
        </w:trPr>
        <w:tc>
          <w:tcPr>
            <w:tcW w:w="5320" w:type="dxa"/>
            <w:vAlign w:val="bottom"/>
            <w:tcBorders>
              <w:bottom w:val="single" w:sz="8" w:color="auto"/>
            </w:tcBorders>
            <w:shd w:val="clear" w:color="auto" w:fill="CCEEFF"/>
          </w:tcPr>
          <w:p>
            <w:pPr>
              <w:spacing w:after="0"/>
              <w:rPr>
                <w:sz w:val="14"/>
                <w:szCs w:val="14"/>
                <w:color w:val="auto"/>
              </w:rPr>
            </w:pPr>
          </w:p>
        </w:tc>
        <w:tc>
          <w:tcPr>
            <w:tcW w:w="482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2021</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2020</w:t>
            </w:r>
          </w:p>
        </w:tc>
      </w:tr>
      <w:tr>
        <w:trPr>
          <w:trHeight w:val="160"/>
        </w:trPr>
        <w:tc>
          <w:tcPr>
            <w:tcW w:w="5320" w:type="dxa"/>
            <w:vAlign w:val="bottom"/>
          </w:tcPr>
          <w:p>
            <w:pPr>
              <w:spacing w:after="0"/>
              <w:rPr>
                <w:sz w:val="13"/>
                <w:szCs w:val="13"/>
                <w:color w:val="auto"/>
              </w:rPr>
            </w:pPr>
          </w:p>
        </w:tc>
        <w:tc>
          <w:tcPr>
            <w:tcW w:w="482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202"/>
        </w:trPr>
        <w:tc>
          <w:tcPr>
            <w:tcW w:w="5320" w:type="dxa"/>
            <w:vAlign w:val="bottom"/>
            <w:shd w:val="clear" w:color="auto" w:fill="CCEEFF"/>
          </w:tcPr>
          <w:p>
            <w:pPr>
              <w:spacing w:after="0"/>
              <w:rPr>
                <w:sz w:val="17"/>
                <w:szCs w:val="17"/>
                <w:color w:val="auto"/>
              </w:rPr>
            </w:pPr>
          </w:p>
        </w:tc>
        <w:tc>
          <w:tcPr>
            <w:tcW w:w="48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70"/>
        </w:trPr>
        <w:tc>
          <w:tcPr>
            <w:tcW w:w="5320" w:type="dxa"/>
            <w:vAlign w:val="bottom"/>
          </w:tcPr>
          <w:p>
            <w:pPr>
              <w:ind w:left="20"/>
              <w:spacing w:after="0"/>
              <w:rPr>
                <w:sz w:val="20"/>
                <w:szCs w:val="20"/>
                <w:color w:val="auto"/>
              </w:rPr>
            </w:pPr>
            <w:r>
              <w:rPr>
                <w:rFonts w:ascii="Arial" w:cs="Arial" w:eastAsia="Arial" w:hAnsi="Arial"/>
                <w:sz w:val="13"/>
                <w:szCs w:val="13"/>
                <w:color w:val="auto"/>
              </w:rPr>
              <w:t>At beginning of year</w:t>
            </w:r>
          </w:p>
        </w:tc>
        <w:tc>
          <w:tcPr>
            <w:tcW w:w="4820" w:type="dxa"/>
            <w:vAlign w:val="bottom"/>
          </w:tcPr>
          <w:p>
            <w:pPr>
              <w:jc w:val="right"/>
              <w:ind w:right="336"/>
              <w:spacing w:after="0"/>
              <w:rPr>
                <w:sz w:val="20"/>
                <w:szCs w:val="20"/>
                <w:color w:val="auto"/>
              </w:rPr>
            </w:pPr>
            <w:r>
              <w:rPr>
                <w:rFonts w:ascii="Arial" w:cs="Arial" w:eastAsia="Arial" w:hAnsi="Arial"/>
                <w:sz w:val="13"/>
                <w:szCs w:val="13"/>
                <w:b w:val="1"/>
                <w:bCs w:val="1"/>
                <w:color w:val="auto"/>
              </w:rPr>
              <w:t>886</w:t>
            </w:r>
          </w:p>
        </w:tc>
        <w:tc>
          <w:tcPr>
            <w:tcW w:w="1140" w:type="dxa"/>
            <w:vAlign w:val="bottom"/>
          </w:tcPr>
          <w:p>
            <w:pPr>
              <w:jc w:val="right"/>
              <w:spacing w:after="0"/>
              <w:rPr>
                <w:sz w:val="20"/>
                <w:szCs w:val="20"/>
                <w:color w:val="auto"/>
              </w:rPr>
            </w:pPr>
            <w:r>
              <w:rPr>
                <w:rFonts w:ascii="Arial" w:cs="Arial" w:eastAsia="Arial" w:hAnsi="Arial"/>
                <w:sz w:val="13"/>
                <w:szCs w:val="13"/>
                <w:color w:val="auto"/>
              </w:rPr>
              <w:t>858</w:t>
            </w:r>
          </w:p>
        </w:tc>
      </w:tr>
      <w:tr>
        <w:trPr>
          <w:trHeight w:val="170"/>
        </w:trPr>
        <w:tc>
          <w:tcPr>
            <w:tcW w:w="5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Amortised during the year</w:t>
            </w:r>
          </w:p>
        </w:tc>
        <w:tc>
          <w:tcPr>
            <w:tcW w:w="482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(47)</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w:t>
            </w:r>
          </w:p>
        </w:tc>
      </w:tr>
      <w:tr>
        <w:trPr>
          <w:trHeight w:val="170"/>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Foreign exchange movement</w:t>
            </w:r>
          </w:p>
        </w:tc>
        <w:tc>
          <w:tcPr>
            <w:tcW w:w="482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(59)</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w:t>
            </w:r>
          </w:p>
        </w:tc>
      </w:tr>
      <w:tr>
        <w:trPr>
          <w:trHeight w:val="182"/>
        </w:trPr>
        <w:tc>
          <w:tcPr>
            <w:tcW w:w="5320" w:type="dxa"/>
            <w:vAlign w:val="bottom"/>
            <w:shd w:val="clear" w:color="auto" w:fill="CCEEFF"/>
          </w:tcPr>
          <w:p>
            <w:pPr>
              <w:spacing w:after="0"/>
              <w:rPr>
                <w:sz w:val="15"/>
                <w:szCs w:val="15"/>
                <w:color w:val="auto"/>
              </w:rPr>
            </w:pPr>
          </w:p>
        </w:tc>
        <w:tc>
          <w:tcPr>
            <w:tcW w:w="48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71"/>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At end of year</w:t>
            </w:r>
          </w:p>
        </w:tc>
        <w:tc>
          <w:tcPr>
            <w:tcW w:w="482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780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886</w:t>
            </w:r>
          </w:p>
        </w:tc>
      </w:tr>
      <w:tr>
        <w:trPr>
          <w:trHeight w:val="191"/>
        </w:trPr>
        <w:tc>
          <w:tcPr>
            <w:tcW w:w="5320" w:type="dxa"/>
            <w:vAlign w:val="bottom"/>
            <w:shd w:val="clear" w:color="auto" w:fill="CCEEFF"/>
          </w:tcPr>
          <w:p>
            <w:pPr>
              <w:spacing w:after="0"/>
              <w:rPr>
                <w:sz w:val="16"/>
                <w:szCs w:val="16"/>
                <w:color w:val="auto"/>
              </w:rPr>
            </w:pPr>
          </w:p>
        </w:tc>
        <w:tc>
          <w:tcPr>
            <w:tcW w:w="48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70"/>
        </w:trPr>
        <w:tc>
          <w:tcPr>
            <w:tcW w:w="5320" w:type="dxa"/>
            <w:vAlign w:val="bottom"/>
          </w:tcPr>
          <w:p>
            <w:pPr>
              <w:ind w:left="20"/>
              <w:spacing w:after="0"/>
              <w:rPr>
                <w:sz w:val="20"/>
                <w:szCs w:val="20"/>
                <w:color w:val="auto"/>
              </w:rPr>
            </w:pPr>
            <w:r>
              <w:rPr>
                <w:rFonts w:ascii="Arial" w:cs="Arial" w:eastAsia="Arial" w:hAnsi="Arial"/>
                <w:sz w:val="13"/>
                <w:szCs w:val="13"/>
                <w:color w:val="auto"/>
              </w:rPr>
              <w:t>Current (note 20)</w:t>
            </w:r>
          </w:p>
        </w:tc>
        <w:tc>
          <w:tcPr>
            <w:tcW w:w="4820" w:type="dxa"/>
            <w:vAlign w:val="bottom"/>
          </w:tcPr>
          <w:p>
            <w:pPr>
              <w:jc w:val="right"/>
              <w:ind w:right="336"/>
              <w:spacing w:after="0"/>
              <w:rPr>
                <w:sz w:val="20"/>
                <w:szCs w:val="20"/>
                <w:color w:val="auto"/>
              </w:rPr>
            </w:pPr>
            <w:r>
              <w:rPr>
                <w:rFonts w:ascii="Arial" w:cs="Arial" w:eastAsia="Arial" w:hAnsi="Arial"/>
                <w:sz w:val="13"/>
                <w:szCs w:val="13"/>
                <w:b w:val="1"/>
                <w:bCs w:val="1"/>
                <w:color w:val="auto"/>
              </w:rPr>
              <w:t>45</w:t>
            </w:r>
          </w:p>
        </w:tc>
        <w:tc>
          <w:tcPr>
            <w:tcW w:w="1140" w:type="dxa"/>
            <w:vAlign w:val="bottom"/>
          </w:tcPr>
          <w:p>
            <w:pPr>
              <w:jc w:val="right"/>
              <w:spacing w:after="0"/>
              <w:rPr>
                <w:sz w:val="20"/>
                <w:szCs w:val="20"/>
                <w:color w:val="auto"/>
              </w:rPr>
            </w:pPr>
            <w:r>
              <w:rPr>
                <w:rFonts w:ascii="Arial" w:cs="Arial" w:eastAsia="Arial" w:hAnsi="Arial"/>
                <w:sz w:val="13"/>
                <w:szCs w:val="13"/>
                <w:color w:val="auto"/>
              </w:rPr>
              <w:t>48</w:t>
            </w:r>
          </w:p>
        </w:tc>
      </w:tr>
      <w:tr>
        <w:trPr>
          <w:trHeight w:val="170"/>
        </w:trPr>
        <w:tc>
          <w:tcPr>
            <w:tcW w:w="5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Non-current (note 20)</w:t>
            </w:r>
          </w:p>
        </w:tc>
        <w:tc>
          <w:tcPr>
            <w:tcW w:w="48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735</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838</w:t>
            </w:r>
          </w:p>
        </w:tc>
      </w:tr>
      <w:tr>
        <w:trPr>
          <w:trHeight w:val="182"/>
        </w:trPr>
        <w:tc>
          <w:tcPr>
            <w:tcW w:w="532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1"/>
        </w:trPr>
        <w:tc>
          <w:tcPr>
            <w:tcW w:w="5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48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780</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886</w:t>
            </w:r>
          </w:p>
        </w:tc>
      </w:tr>
    </w:tbl>
    <w:p>
      <w:pPr>
        <w:spacing w:after="0" w:line="244"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Under grant agreements amounts received may become repayable in full or in part should certain circumstances specified within the grant agreements occur, including downsizing by the Group, disposing of the related assets, ceasing to carry on its business or the appointment of a receiver over any of its assets.</w:t>
      </w:r>
    </w:p>
    <w:p>
      <w:pPr>
        <w:spacing w:after="0" w:line="199" w:lineRule="exact"/>
        <w:rPr>
          <w:sz w:val="20"/>
          <w:szCs w:val="20"/>
          <w:color w:val="auto"/>
        </w:rPr>
      </w:pPr>
    </w:p>
    <w:p>
      <w:pPr>
        <w:ind w:left="320" w:hanging="315"/>
        <w:spacing w:after="0"/>
        <w:tabs>
          <w:tab w:leader="none" w:pos="320" w:val="left"/>
        </w:tabs>
        <w:numPr>
          <w:ilvl w:val="0"/>
          <w:numId w:val="106"/>
        </w:numPr>
        <w:rPr>
          <w:rFonts w:ascii="Arial" w:cs="Arial" w:eastAsia="Arial" w:hAnsi="Arial"/>
          <w:sz w:val="13"/>
          <w:szCs w:val="13"/>
          <w:b w:val="1"/>
          <w:bCs w:val="1"/>
          <w:color w:val="auto"/>
        </w:rPr>
      </w:pPr>
      <w:r>
        <w:rPr>
          <w:rFonts w:ascii="Arial" w:cs="Arial" w:eastAsia="Arial" w:hAnsi="Arial"/>
          <w:sz w:val="13"/>
          <w:szCs w:val="13"/>
          <w:b w:val="1"/>
          <w:bCs w:val="1"/>
          <w:color w:val="auto"/>
        </w:rPr>
        <w:t>Bank credit lines and loan facilities</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The movement in net debt by category is as follows: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38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3"/>
                <w:szCs w:val="13"/>
                <w:color w:val="auto"/>
              </w:rPr>
              <w:t>(in thousands)</w:t>
            </w:r>
          </w:p>
        </w:tc>
        <w:tc>
          <w:tcPr>
            <w:tcW w:w="1920" w:type="dxa"/>
            <w:vAlign w:val="bottom"/>
            <w:tcBorders>
              <w:top w:val="single" w:sz="8" w:color="auto"/>
            </w:tcBorders>
            <w:vMerge w:val="restart"/>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Balance 1 Jan 2021</w:t>
            </w:r>
          </w:p>
        </w:tc>
        <w:tc>
          <w:tcPr>
            <w:tcW w:w="1300" w:type="dxa"/>
            <w:vAlign w:val="bottom"/>
            <w:tcBorders>
              <w:top w:val="single" w:sz="8" w:color="auto"/>
            </w:tcBorders>
            <w:shd w:val="clear" w:color="auto" w:fill="CCEEFF"/>
          </w:tcPr>
          <w:p>
            <w:pPr>
              <w:jc w:val="right"/>
              <w:ind w:right="136"/>
              <w:spacing w:after="0" w:line="138" w:lineRule="exact"/>
              <w:rPr>
                <w:sz w:val="20"/>
                <w:szCs w:val="20"/>
                <w:color w:val="auto"/>
              </w:rPr>
            </w:pPr>
            <w:r>
              <w:rPr>
                <w:rFonts w:ascii="Arial" w:cs="Arial" w:eastAsia="Arial" w:hAnsi="Arial"/>
                <w:sz w:val="13"/>
                <w:szCs w:val="13"/>
                <w:b w:val="1"/>
                <w:bCs w:val="1"/>
                <w:color w:val="auto"/>
              </w:rPr>
              <w:t>Net cash inflow/</w:t>
            </w:r>
          </w:p>
        </w:tc>
        <w:tc>
          <w:tcPr>
            <w:tcW w:w="2560" w:type="dxa"/>
            <w:vAlign w:val="bottom"/>
            <w:tcBorders>
              <w:top w:val="single" w:sz="8" w:color="auto"/>
            </w:tcBorders>
            <w:gridSpan w:val="2"/>
            <w:shd w:val="clear" w:color="auto" w:fill="CCEEFF"/>
          </w:tcPr>
          <w:p>
            <w:pPr>
              <w:jc w:val="right"/>
              <w:ind w:right="96"/>
              <w:spacing w:after="0" w:line="138" w:lineRule="exact"/>
              <w:rPr>
                <w:sz w:val="20"/>
                <w:szCs w:val="20"/>
                <w:color w:val="auto"/>
              </w:rPr>
            </w:pPr>
            <w:r>
              <w:rPr>
                <w:rFonts w:ascii="Arial" w:cs="Arial" w:eastAsia="Arial" w:hAnsi="Arial"/>
                <w:sz w:val="13"/>
                <w:szCs w:val="13"/>
                <w:b w:val="1"/>
                <w:bCs w:val="1"/>
                <w:color w:val="auto"/>
              </w:rPr>
              <w:t>Other non-cash Effects of exchange</w:t>
            </w:r>
          </w:p>
        </w:tc>
        <w:tc>
          <w:tcPr>
            <w:tcW w:w="1100" w:type="dxa"/>
            <w:vAlign w:val="bottom"/>
            <w:tcBorders>
              <w:top w:val="single" w:sz="8" w:color="auto"/>
            </w:tcBorders>
            <w:shd w:val="clear" w:color="auto" w:fill="CCEEFF"/>
          </w:tcPr>
          <w:p>
            <w:pPr>
              <w:jc w:val="right"/>
              <w:spacing w:after="0" w:line="138" w:lineRule="exact"/>
              <w:rPr>
                <w:sz w:val="20"/>
                <w:szCs w:val="20"/>
                <w:color w:val="auto"/>
              </w:rPr>
            </w:pPr>
            <w:r>
              <w:rPr>
                <w:rFonts w:ascii="Arial" w:cs="Arial" w:eastAsia="Arial" w:hAnsi="Arial"/>
                <w:sz w:val="13"/>
                <w:szCs w:val="13"/>
                <w:b w:val="1"/>
                <w:bCs w:val="1"/>
                <w:color w:val="auto"/>
              </w:rPr>
              <w:t>Balance 31 Dec</w:t>
            </w:r>
          </w:p>
        </w:tc>
        <w:tc>
          <w:tcPr>
            <w:tcW w:w="0" w:type="dxa"/>
            <w:vAlign w:val="bottom"/>
          </w:tcPr>
          <w:p>
            <w:pPr>
              <w:spacing w:after="0"/>
              <w:rPr>
                <w:sz w:val="1"/>
                <w:szCs w:val="1"/>
                <w:color w:val="auto"/>
              </w:rPr>
            </w:pPr>
          </w:p>
        </w:tc>
      </w:tr>
      <w:tr>
        <w:trPr>
          <w:trHeight w:val="170"/>
        </w:trPr>
        <w:tc>
          <w:tcPr>
            <w:tcW w:w="4380" w:type="dxa"/>
            <w:vAlign w:val="bottom"/>
            <w:tcBorders>
              <w:bottom w:val="single" w:sz="8" w:color="auto"/>
            </w:tcBorders>
            <w:vMerge w:val="continue"/>
            <w:shd w:val="clear" w:color="auto" w:fill="CCEEFF"/>
          </w:tcPr>
          <w:p>
            <w:pPr>
              <w:spacing w:after="0"/>
              <w:rPr>
                <w:sz w:val="14"/>
                <w:szCs w:val="14"/>
                <w:color w:val="auto"/>
              </w:rPr>
            </w:pPr>
          </w:p>
        </w:tc>
        <w:tc>
          <w:tcPr>
            <w:tcW w:w="1920" w:type="dxa"/>
            <w:vAlign w:val="bottom"/>
            <w:tcBorders>
              <w:bottom w:val="single" w:sz="8" w:color="auto"/>
            </w:tcBorders>
            <w:vMerge w:val="continue"/>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(outflow)</w:t>
            </w:r>
          </w:p>
        </w:tc>
        <w:tc>
          <w:tcPr>
            <w:tcW w:w="15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3"/>
                <w:szCs w:val="13"/>
                <w:b w:val="1"/>
                <w:bCs w:val="1"/>
                <w:color w:val="auto"/>
              </w:rPr>
              <w:t>adjustments</w:t>
            </w:r>
          </w:p>
        </w:tc>
        <w:tc>
          <w:tcPr>
            <w:tcW w:w="10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rates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60"/>
        </w:trPr>
        <w:tc>
          <w:tcPr>
            <w:tcW w:w="4380" w:type="dxa"/>
            <w:vAlign w:val="bottom"/>
          </w:tcPr>
          <w:p>
            <w:pPr>
              <w:ind w:left="20"/>
              <w:spacing w:after="0"/>
              <w:rPr>
                <w:sz w:val="20"/>
                <w:szCs w:val="20"/>
                <w:color w:val="auto"/>
              </w:rPr>
            </w:pPr>
            <w:r>
              <w:rPr>
                <w:rFonts w:ascii="Arial" w:cs="Arial" w:eastAsia="Arial" w:hAnsi="Arial"/>
                <w:sz w:val="13"/>
                <w:szCs w:val="13"/>
                <w:b w:val="1"/>
                <w:bCs w:val="1"/>
                <w:color w:val="auto"/>
              </w:rPr>
              <w:t>Cash and cash equivalents</w:t>
            </w:r>
          </w:p>
        </w:tc>
        <w:tc>
          <w:tcPr>
            <w:tcW w:w="19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and cash equivalents</w:t>
            </w:r>
          </w:p>
        </w:tc>
        <w:tc>
          <w:tcPr>
            <w:tcW w:w="192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840,305</w:t>
            </w:r>
          </w:p>
        </w:tc>
        <w:tc>
          <w:tcPr>
            <w:tcW w:w="13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(80,365)</w:t>
            </w:r>
          </w:p>
        </w:tc>
        <w:tc>
          <w:tcPr>
            <w:tcW w:w="1560" w:type="dxa"/>
            <w:vAlign w:val="bottom"/>
            <w:shd w:val="clear" w:color="auto" w:fill="CCEEFF"/>
          </w:tcPr>
          <w:p>
            <w:pPr>
              <w:ind w:left="98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(7,727)</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752,213</w:t>
            </w:r>
          </w:p>
        </w:tc>
        <w:tc>
          <w:tcPr>
            <w:tcW w:w="0" w:type="dxa"/>
            <w:vAlign w:val="bottom"/>
          </w:tcPr>
          <w:p>
            <w:pPr>
              <w:spacing w:after="0"/>
              <w:rPr>
                <w:sz w:val="1"/>
                <w:szCs w:val="1"/>
                <w:color w:val="auto"/>
              </w:rPr>
            </w:pPr>
          </w:p>
        </w:tc>
      </w:tr>
      <w:tr>
        <w:trPr>
          <w:trHeight w:val="169"/>
        </w:trPr>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Financial assets at fair value through other comprehensive income</w:t>
            </w:r>
          </w:p>
        </w:tc>
        <w:tc>
          <w:tcPr>
            <w:tcW w:w="192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1,729</w:t>
            </w:r>
          </w:p>
        </w:tc>
        <w:tc>
          <w:tcPr>
            <w:tcW w:w="130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(17)</w:t>
            </w:r>
          </w:p>
        </w:tc>
        <w:tc>
          <w:tcPr>
            <w:tcW w:w="1560" w:type="dxa"/>
            <w:vAlign w:val="bottom"/>
            <w:tcBorders>
              <w:bottom w:val="single" w:sz="8" w:color="auto"/>
            </w:tcBorders>
          </w:tcPr>
          <w:p>
            <w:pPr>
              <w:ind w:left="980"/>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1,712</w:t>
            </w:r>
          </w:p>
        </w:tc>
        <w:tc>
          <w:tcPr>
            <w:tcW w:w="0" w:type="dxa"/>
            <w:vAlign w:val="bottom"/>
          </w:tcPr>
          <w:p>
            <w:pPr>
              <w:spacing w:after="0"/>
              <w:rPr>
                <w:sz w:val="1"/>
                <w:szCs w:val="1"/>
                <w:color w:val="auto"/>
              </w:rPr>
            </w:pPr>
          </w:p>
        </w:tc>
      </w:tr>
      <w:tr>
        <w:trPr>
          <w:trHeight w:val="162"/>
        </w:trPr>
        <w:tc>
          <w:tcPr>
            <w:tcW w:w="4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cash and cash equivalents</w:t>
            </w:r>
          </w:p>
        </w:tc>
        <w:tc>
          <w:tcPr>
            <w:tcW w:w="19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842,034</w:t>
            </w:r>
          </w:p>
        </w:tc>
        <w:tc>
          <w:tcPr>
            <w:tcW w:w="13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(80,382)</w:t>
            </w:r>
          </w:p>
        </w:tc>
        <w:tc>
          <w:tcPr>
            <w:tcW w:w="156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3"/>
                <w:szCs w:val="13"/>
                <w:b w:val="1"/>
                <w:bCs w:val="1"/>
                <w:color w:val="auto"/>
              </w:rPr>
              <w:t>—</w:t>
            </w:r>
          </w:p>
        </w:tc>
        <w:tc>
          <w:tcPr>
            <w:tcW w:w="10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(7,727)</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753,925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100</w:t>
      </w:r>
    </w:p>
    <w:p>
      <w:pPr>
        <w:sectPr>
          <w:pgSz w:w="11900" w:h="16838" w:orient="portrait"/>
          <w:cols w:equalWidth="0" w:num="1">
            <w:col w:w="11280"/>
          </w:cols>
          <w:pgMar w:left="300" w:top="698" w:right="31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275" w:lineRule="exact"/>
        <w:rPr>
          <w:sz w:val="20"/>
          <w:szCs w:val="20"/>
          <w:color w:val="auto"/>
        </w:rPr>
      </w:pPr>
    </w:p>
    <w:p>
      <w:pPr>
        <w:ind w:left="320" w:hanging="315"/>
        <w:spacing w:after="0"/>
        <w:tabs>
          <w:tab w:leader="none" w:pos="320" w:val="left"/>
        </w:tabs>
        <w:numPr>
          <w:ilvl w:val="0"/>
          <w:numId w:val="107"/>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Bank credit lines and loan facilities </w:t>
      </w:r>
      <w:r>
        <w:rPr>
          <w:rFonts w:ascii="Arial" w:cs="Arial" w:eastAsia="Arial" w:hAnsi="Arial"/>
          <w:sz w:val="13"/>
          <w:szCs w:val="13"/>
          <w:b w:val="1"/>
          <w:bCs w:val="1"/>
          <w:i w:val="1"/>
          <w:iCs w:val="1"/>
          <w:color w:val="auto"/>
        </w:rPr>
        <w:t>(continued)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8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3"/>
                <w:szCs w:val="13"/>
                <w:color w:val="auto"/>
              </w:rPr>
              <w:t>(in thousands)</w:t>
            </w:r>
          </w:p>
        </w:tc>
        <w:tc>
          <w:tcPr>
            <w:tcW w:w="2220" w:type="dxa"/>
            <w:vAlign w:val="bottom"/>
            <w:tcBorders>
              <w:top w:val="single" w:sz="8" w:color="auto"/>
            </w:tcBorders>
            <w:vMerge w:val="restart"/>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Balance 1 Jan 2021</w:t>
            </w:r>
          </w:p>
        </w:tc>
        <w:tc>
          <w:tcPr>
            <w:tcW w:w="1360" w:type="dxa"/>
            <w:vAlign w:val="bottom"/>
            <w:tcBorders>
              <w:top w:val="single" w:sz="8" w:color="auto"/>
            </w:tcBorders>
            <w:vMerge w:val="restart"/>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Drawn down *</w:t>
            </w:r>
          </w:p>
        </w:tc>
        <w:tc>
          <w:tcPr>
            <w:tcW w:w="920" w:type="dxa"/>
            <w:vAlign w:val="bottom"/>
            <w:tcBorders>
              <w:top w:val="single" w:sz="8" w:color="auto"/>
            </w:tcBorders>
            <w:vMerge w:val="restart"/>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Repaid</w:t>
            </w:r>
          </w:p>
        </w:tc>
        <w:tc>
          <w:tcPr>
            <w:tcW w:w="1360" w:type="dxa"/>
            <w:vAlign w:val="bottom"/>
            <w:tcBorders>
              <w:top w:val="single" w:sz="8" w:color="auto"/>
            </w:tcBorders>
            <w:shd w:val="clear" w:color="auto" w:fill="CCEEFF"/>
          </w:tcPr>
          <w:p>
            <w:pPr>
              <w:jc w:val="right"/>
              <w:ind w:right="156"/>
              <w:spacing w:after="0" w:line="138" w:lineRule="exact"/>
              <w:rPr>
                <w:sz w:val="20"/>
                <w:szCs w:val="20"/>
                <w:color w:val="auto"/>
              </w:rPr>
            </w:pPr>
            <w:r>
              <w:rPr>
                <w:rFonts w:ascii="Arial" w:cs="Arial" w:eastAsia="Arial" w:hAnsi="Arial"/>
                <w:sz w:val="13"/>
                <w:szCs w:val="13"/>
                <w:b w:val="1"/>
                <w:bCs w:val="1"/>
                <w:color w:val="auto"/>
              </w:rPr>
              <w:t>Net cash (inflow)/</w:t>
            </w:r>
          </w:p>
        </w:tc>
        <w:tc>
          <w:tcPr>
            <w:tcW w:w="1260" w:type="dxa"/>
            <w:vAlign w:val="bottom"/>
            <w:tcBorders>
              <w:top w:val="single" w:sz="8" w:color="auto"/>
            </w:tcBorders>
            <w:shd w:val="clear" w:color="auto" w:fill="CCEEFF"/>
          </w:tcPr>
          <w:p>
            <w:pPr>
              <w:jc w:val="right"/>
              <w:ind w:right="56"/>
              <w:spacing w:after="0" w:line="138" w:lineRule="exact"/>
              <w:rPr>
                <w:sz w:val="20"/>
                <w:szCs w:val="20"/>
                <w:color w:val="auto"/>
              </w:rPr>
            </w:pPr>
            <w:r>
              <w:rPr>
                <w:rFonts w:ascii="Arial" w:cs="Arial" w:eastAsia="Arial" w:hAnsi="Arial"/>
                <w:sz w:val="13"/>
                <w:szCs w:val="13"/>
                <w:b w:val="1"/>
                <w:bCs w:val="1"/>
                <w:color w:val="auto"/>
              </w:rPr>
              <w:t>Other non-cash</w:t>
            </w:r>
          </w:p>
        </w:tc>
        <w:tc>
          <w:tcPr>
            <w:tcW w:w="1060" w:type="dxa"/>
            <w:vAlign w:val="bottom"/>
            <w:tcBorders>
              <w:top w:val="single" w:sz="8" w:color="auto"/>
            </w:tcBorders>
            <w:shd w:val="clear" w:color="auto" w:fill="CCEEFF"/>
          </w:tcPr>
          <w:p>
            <w:pPr>
              <w:jc w:val="right"/>
              <w:spacing w:after="0" w:line="138" w:lineRule="exact"/>
              <w:rPr>
                <w:sz w:val="20"/>
                <w:szCs w:val="20"/>
                <w:color w:val="auto"/>
              </w:rPr>
            </w:pPr>
            <w:r>
              <w:rPr>
                <w:rFonts w:ascii="Arial" w:cs="Arial" w:eastAsia="Arial" w:hAnsi="Arial"/>
                <w:sz w:val="13"/>
                <w:szCs w:val="13"/>
                <w:b w:val="1"/>
                <w:bCs w:val="1"/>
                <w:color w:val="auto"/>
              </w:rPr>
              <w:t>Balance 31 Dec</w:t>
            </w:r>
          </w:p>
        </w:tc>
        <w:tc>
          <w:tcPr>
            <w:tcW w:w="0" w:type="dxa"/>
            <w:vAlign w:val="bottom"/>
          </w:tcPr>
          <w:p>
            <w:pPr>
              <w:spacing w:after="0"/>
              <w:rPr>
                <w:sz w:val="1"/>
                <w:szCs w:val="1"/>
                <w:color w:val="auto"/>
              </w:rPr>
            </w:pPr>
          </w:p>
        </w:tc>
      </w:tr>
      <w:tr>
        <w:trPr>
          <w:trHeight w:val="170"/>
        </w:trPr>
        <w:tc>
          <w:tcPr>
            <w:tcW w:w="3080" w:type="dxa"/>
            <w:vAlign w:val="bottom"/>
            <w:tcBorders>
              <w:bottom w:val="single" w:sz="8" w:color="auto"/>
            </w:tcBorders>
            <w:vMerge w:val="continue"/>
            <w:shd w:val="clear" w:color="auto" w:fill="CCEEFF"/>
          </w:tcPr>
          <w:p>
            <w:pPr>
              <w:spacing w:after="0"/>
              <w:rPr>
                <w:sz w:val="14"/>
                <w:szCs w:val="14"/>
                <w:color w:val="auto"/>
              </w:rPr>
            </w:pPr>
          </w:p>
        </w:tc>
        <w:tc>
          <w:tcPr>
            <w:tcW w:w="2220" w:type="dxa"/>
            <w:vAlign w:val="bottom"/>
            <w:tcBorders>
              <w:bottom w:val="single" w:sz="8" w:color="auto"/>
            </w:tcBorders>
            <w:vMerge w:val="continue"/>
            <w:shd w:val="clear" w:color="auto" w:fill="CCEEFF"/>
          </w:tcPr>
          <w:p>
            <w:pPr>
              <w:spacing w:after="0"/>
              <w:rPr>
                <w:sz w:val="14"/>
                <w:szCs w:val="14"/>
                <w:color w:val="auto"/>
              </w:rPr>
            </w:pPr>
          </w:p>
        </w:tc>
        <w:tc>
          <w:tcPr>
            <w:tcW w:w="1360" w:type="dxa"/>
            <w:vAlign w:val="bottom"/>
            <w:tcBorders>
              <w:bottom w:val="single" w:sz="8" w:color="auto"/>
            </w:tcBorders>
            <w:vMerge w:val="continue"/>
            <w:shd w:val="clear" w:color="auto" w:fill="CCEEFF"/>
          </w:tcPr>
          <w:p>
            <w:pPr>
              <w:spacing w:after="0"/>
              <w:rPr>
                <w:sz w:val="14"/>
                <w:szCs w:val="14"/>
                <w:color w:val="auto"/>
              </w:rPr>
            </w:pPr>
          </w:p>
        </w:tc>
        <w:tc>
          <w:tcPr>
            <w:tcW w:w="920" w:type="dxa"/>
            <w:vAlign w:val="bottom"/>
            <w:tcBorders>
              <w:bottom w:val="single" w:sz="8" w:color="auto"/>
            </w:tcBorders>
            <w:vMerge w:val="continue"/>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outflow</w:t>
            </w:r>
          </w:p>
        </w:tc>
        <w:tc>
          <w:tcPr>
            <w:tcW w:w="12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adjustments</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60"/>
        </w:trPr>
        <w:tc>
          <w:tcPr>
            <w:tcW w:w="3080" w:type="dxa"/>
            <w:vAlign w:val="bottom"/>
          </w:tcPr>
          <w:p>
            <w:pPr>
              <w:ind w:left="20"/>
              <w:spacing w:after="0"/>
              <w:rPr>
                <w:sz w:val="20"/>
                <w:szCs w:val="20"/>
                <w:color w:val="auto"/>
              </w:rPr>
            </w:pPr>
            <w:r>
              <w:rPr>
                <w:rFonts w:ascii="Arial" w:cs="Arial" w:eastAsia="Arial" w:hAnsi="Arial"/>
                <w:sz w:val="13"/>
                <w:szCs w:val="13"/>
                <w:b w:val="1"/>
                <w:bCs w:val="1"/>
                <w:color w:val="auto"/>
              </w:rPr>
              <w:t>Borrowings and lease liabilities</w:t>
            </w:r>
          </w:p>
        </w:tc>
        <w:tc>
          <w:tcPr>
            <w:tcW w:w="2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Lease liabilities</w:t>
            </w:r>
          </w:p>
        </w:tc>
        <w:tc>
          <w:tcPr>
            <w:tcW w:w="222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(85,135)</w:t>
            </w:r>
          </w:p>
        </w:tc>
        <w:tc>
          <w:tcPr>
            <w:tcW w:w="136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54,884</w:t>
            </w:r>
          </w:p>
        </w:tc>
        <w:tc>
          <w:tcPr>
            <w:tcW w:w="136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(180,602)</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(210,853)</w:t>
            </w:r>
          </w:p>
        </w:tc>
        <w:tc>
          <w:tcPr>
            <w:tcW w:w="0" w:type="dxa"/>
            <w:vAlign w:val="bottom"/>
          </w:tcPr>
          <w:p>
            <w:pPr>
              <w:spacing w:after="0"/>
              <w:rPr>
                <w:sz w:val="1"/>
                <w:szCs w:val="1"/>
                <w:color w:val="auto"/>
              </w:rPr>
            </w:pPr>
          </w:p>
        </w:tc>
      </w:tr>
      <w:tr>
        <w:trPr>
          <w:trHeight w:val="169"/>
        </w:trPr>
        <w:tc>
          <w:tcPr>
            <w:tcW w:w="3080" w:type="dxa"/>
            <w:vAlign w:val="bottom"/>
          </w:tcPr>
          <w:p>
            <w:pPr>
              <w:ind w:left="20"/>
              <w:spacing w:after="0"/>
              <w:rPr>
                <w:sz w:val="20"/>
                <w:szCs w:val="20"/>
                <w:color w:val="auto"/>
              </w:rPr>
            </w:pPr>
            <w:r>
              <w:rPr>
                <w:rFonts w:ascii="Arial" w:cs="Arial" w:eastAsia="Arial" w:hAnsi="Arial"/>
                <w:sz w:val="13"/>
                <w:szCs w:val="13"/>
                <w:color w:val="auto"/>
              </w:rPr>
              <w:t>2020 Senior Notes</w:t>
            </w:r>
          </w:p>
        </w:tc>
        <w:tc>
          <w:tcPr>
            <w:tcW w:w="2220" w:type="dxa"/>
            <w:vAlign w:val="bottom"/>
          </w:tcPr>
          <w:p>
            <w:pPr>
              <w:jc w:val="right"/>
              <w:ind w:right="136"/>
              <w:spacing w:after="0"/>
              <w:rPr>
                <w:sz w:val="20"/>
                <w:szCs w:val="20"/>
                <w:color w:val="auto"/>
              </w:rPr>
            </w:pPr>
            <w:r>
              <w:rPr>
                <w:rFonts w:ascii="Arial" w:cs="Arial" w:eastAsia="Arial" w:hAnsi="Arial"/>
                <w:sz w:val="13"/>
                <w:szCs w:val="13"/>
                <w:color w:val="auto"/>
              </w:rPr>
              <w:t>(348,477)</w:t>
            </w:r>
          </w:p>
        </w:tc>
        <w:tc>
          <w:tcPr>
            <w:tcW w:w="136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76"/>
              <w:spacing w:after="0"/>
              <w:rPr>
                <w:sz w:val="20"/>
                <w:szCs w:val="20"/>
                <w:color w:val="auto"/>
              </w:rPr>
            </w:pPr>
            <w:r>
              <w:rPr>
                <w:rFonts w:ascii="Arial" w:cs="Arial" w:eastAsia="Arial" w:hAnsi="Arial"/>
                <w:sz w:val="13"/>
                <w:szCs w:val="13"/>
                <w:color w:val="auto"/>
              </w:rPr>
              <w:t>363,993</w:t>
            </w:r>
          </w:p>
        </w:tc>
        <w:tc>
          <w:tcPr>
            <w:tcW w:w="136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56"/>
              <w:spacing w:after="0"/>
              <w:rPr>
                <w:sz w:val="20"/>
                <w:szCs w:val="20"/>
                <w:color w:val="auto"/>
              </w:rPr>
            </w:pPr>
            <w:r>
              <w:rPr>
                <w:rFonts w:ascii="Arial" w:cs="Arial" w:eastAsia="Arial" w:hAnsi="Arial"/>
                <w:sz w:val="13"/>
                <w:szCs w:val="13"/>
                <w:color w:val="auto"/>
              </w:rPr>
              <w:t>(15,516)</w:t>
            </w: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3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Senior Secured Credit Facilities</w:t>
            </w:r>
          </w:p>
        </w:tc>
        <w:tc>
          <w:tcPr>
            <w:tcW w:w="22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136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(5,515,000)</w:t>
            </w:r>
          </w:p>
        </w:tc>
        <w:tc>
          <w:tcPr>
            <w:tcW w:w="9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513,787</w:t>
            </w:r>
          </w:p>
        </w:tc>
        <w:tc>
          <w:tcPr>
            <w:tcW w:w="136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67,903</w:t>
            </w:r>
          </w:p>
        </w:tc>
        <w:tc>
          <w:tcPr>
            <w:tcW w:w="12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(10,468)</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(4,943,778)</w:t>
            </w:r>
          </w:p>
        </w:tc>
        <w:tc>
          <w:tcPr>
            <w:tcW w:w="0" w:type="dxa"/>
            <w:vAlign w:val="bottom"/>
          </w:tcPr>
          <w:p>
            <w:pPr>
              <w:spacing w:after="0"/>
              <w:rPr>
                <w:sz w:val="1"/>
                <w:szCs w:val="1"/>
                <w:color w:val="auto"/>
              </w:rPr>
            </w:pPr>
          </w:p>
        </w:tc>
      </w:tr>
      <w:tr>
        <w:trPr>
          <w:trHeight w:val="169"/>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Senior Secured Notes</w:t>
            </w:r>
          </w:p>
        </w:tc>
        <w:tc>
          <w:tcPr>
            <w:tcW w:w="22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rPr>
              <w:t>—</w:t>
            </w:r>
          </w:p>
        </w:tc>
        <w:tc>
          <w:tcPr>
            <w:tcW w:w="136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color w:val="auto"/>
              </w:rPr>
              <w:t>(500,000)</w:t>
            </w:r>
          </w:p>
        </w:tc>
        <w:tc>
          <w:tcPr>
            <w:tcW w:w="9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36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rPr>
              <w:t>8,296</w:t>
            </w:r>
          </w:p>
        </w:tc>
        <w:tc>
          <w:tcPr>
            <w:tcW w:w="12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(830)</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(492,534)</w:t>
            </w:r>
          </w:p>
        </w:tc>
        <w:tc>
          <w:tcPr>
            <w:tcW w:w="0" w:type="dxa"/>
            <w:vAlign w:val="bottom"/>
          </w:tcPr>
          <w:p>
            <w:pPr>
              <w:spacing w:after="0"/>
              <w:rPr>
                <w:sz w:val="1"/>
                <w:szCs w:val="1"/>
                <w:color w:val="auto"/>
              </w:rPr>
            </w:pPr>
          </w:p>
        </w:tc>
      </w:tr>
      <w:tr>
        <w:trPr>
          <w:trHeight w:val="162"/>
        </w:trPr>
        <w:tc>
          <w:tcPr>
            <w:tcW w:w="3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borrowings and lease liabilities</w:t>
            </w:r>
          </w:p>
        </w:tc>
        <w:tc>
          <w:tcPr>
            <w:tcW w:w="22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(433,612)</w:t>
            </w:r>
          </w:p>
        </w:tc>
        <w:tc>
          <w:tcPr>
            <w:tcW w:w="136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(6,015,000)</w:t>
            </w:r>
          </w:p>
        </w:tc>
        <w:tc>
          <w:tcPr>
            <w:tcW w:w="9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932,664</w:t>
            </w:r>
          </w:p>
        </w:tc>
        <w:tc>
          <w:tcPr>
            <w:tcW w:w="136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76,199</w:t>
            </w:r>
          </w:p>
        </w:tc>
        <w:tc>
          <w:tcPr>
            <w:tcW w:w="12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(207,416)</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(5,647,165)</w:t>
            </w:r>
          </w:p>
        </w:tc>
        <w:tc>
          <w:tcPr>
            <w:tcW w:w="0" w:type="dxa"/>
            <w:vAlign w:val="bottom"/>
          </w:tcPr>
          <w:p>
            <w:pPr>
              <w:spacing w:after="0"/>
              <w:rPr>
                <w:sz w:val="1"/>
                <w:szCs w:val="1"/>
                <w:color w:val="auto"/>
              </w:rPr>
            </w:pPr>
          </w:p>
        </w:tc>
      </w:tr>
    </w:tbl>
    <w:p>
      <w:pPr>
        <w:spacing w:after="0" w:line="43" w:lineRule="exact"/>
        <w:rPr>
          <w:sz w:val="20"/>
          <w:szCs w:val="20"/>
          <w:color w:val="auto"/>
        </w:rPr>
      </w:pPr>
    </w:p>
    <w:p>
      <w:pPr>
        <w:ind w:left="200" w:hanging="4"/>
        <w:spacing w:after="0" w:line="283" w:lineRule="auto"/>
        <w:tabs>
          <w:tab w:leader="none" w:pos="302" w:val="left"/>
        </w:tabs>
        <w:numPr>
          <w:ilvl w:val="0"/>
          <w:numId w:val="108"/>
        </w:numPr>
        <w:rPr>
          <w:rFonts w:ascii="Arial" w:cs="Arial" w:eastAsia="Arial" w:hAnsi="Arial"/>
          <w:sz w:val="13"/>
          <w:szCs w:val="13"/>
          <w:color w:val="auto"/>
        </w:rPr>
      </w:pPr>
      <w:r>
        <w:rPr>
          <w:rFonts w:ascii="Arial" w:cs="Arial" w:eastAsia="Arial" w:hAnsi="Arial"/>
          <w:sz w:val="13"/>
          <w:szCs w:val="13"/>
          <w:color w:val="auto"/>
        </w:rPr>
        <w:t>Drawn down amounts reflect the gross amount of debt drawn down by the Company. Equivalent amounts per the Consolidated Statement of Cash Flows reflect deduction of fees and debt discount paid directly to the lender.</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The Company had the following debt outstanding as at 31 December 2021 and 31 December 2020:</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20" w:type="dxa"/>
            <w:vAlign w:val="bottom"/>
            <w:shd w:val="clear" w:color="auto" w:fill="CCEEFF"/>
          </w:tcPr>
          <w:p>
            <w:pPr>
              <w:spacing w:after="0"/>
              <w:rPr>
                <w:sz w:val="14"/>
                <w:szCs w:val="14"/>
                <w:color w:val="auto"/>
              </w:rPr>
            </w:pPr>
          </w:p>
        </w:tc>
        <w:tc>
          <w:tcPr>
            <w:tcW w:w="2200" w:type="dxa"/>
            <w:vAlign w:val="bottom"/>
            <w:tcBorders>
              <w:bottom w:val="single" w:sz="8" w:color="auto"/>
            </w:tcBorders>
            <w:shd w:val="clear" w:color="auto" w:fill="CCEEFF"/>
          </w:tcPr>
          <w:p>
            <w:pPr>
              <w:jc w:val="right"/>
              <w:ind w:right="596"/>
              <w:spacing w:after="0"/>
              <w:rPr>
                <w:sz w:val="20"/>
                <w:szCs w:val="20"/>
                <w:color w:val="auto"/>
              </w:rPr>
            </w:pPr>
            <w:r>
              <w:rPr>
                <w:rFonts w:ascii="Arial" w:cs="Arial" w:eastAsia="Arial" w:hAnsi="Arial"/>
                <w:sz w:val="13"/>
                <w:szCs w:val="13"/>
                <w:b w:val="1"/>
                <w:bCs w:val="1"/>
                <w:color w:val="auto"/>
              </w:rPr>
              <w:t>Interest rate as of</w:t>
            </w:r>
          </w:p>
        </w:tc>
        <w:tc>
          <w:tcPr>
            <w:tcW w:w="13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3"/>
                <w:szCs w:val="13"/>
                <w:b w:val="1"/>
                <w:bCs w:val="1"/>
                <w:color w:val="auto"/>
              </w:rPr>
              <w:t>Maturity Date</w:t>
            </w:r>
          </w:p>
        </w:tc>
        <w:tc>
          <w:tcPr>
            <w:tcW w:w="300" w:type="dxa"/>
            <w:vAlign w:val="bottom"/>
            <w:tcBorders>
              <w:bottom w:val="single" w:sz="8" w:color="auto"/>
            </w:tcBorders>
            <w:shd w:val="clear" w:color="auto" w:fill="CCEEFF"/>
          </w:tcPr>
          <w:p>
            <w:pPr>
              <w:spacing w:after="0"/>
              <w:rPr>
                <w:sz w:val="14"/>
                <w:szCs w:val="14"/>
                <w:color w:val="auto"/>
              </w:rPr>
            </w:pPr>
          </w:p>
        </w:tc>
        <w:tc>
          <w:tcPr>
            <w:tcW w:w="2280" w:type="dxa"/>
            <w:vAlign w:val="bottom"/>
            <w:tcBorders>
              <w:bottom w:val="single" w:sz="8" w:color="auto"/>
            </w:tcBorders>
            <w:gridSpan w:val="2"/>
            <w:shd w:val="clear" w:color="auto" w:fill="CCEEFF"/>
          </w:tcPr>
          <w:p>
            <w:pPr>
              <w:jc w:val="right"/>
              <w:ind w:right="376"/>
              <w:spacing w:after="0"/>
              <w:rPr>
                <w:sz w:val="20"/>
                <w:szCs w:val="20"/>
                <w:color w:val="auto"/>
              </w:rPr>
            </w:pPr>
            <w:r>
              <w:rPr>
                <w:rFonts w:ascii="Arial" w:cs="Arial" w:eastAsia="Arial" w:hAnsi="Arial"/>
                <w:sz w:val="13"/>
                <w:szCs w:val="13"/>
                <w:b w:val="1"/>
                <w:bCs w:val="1"/>
                <w:color w:val="auto"/>
              </w:rPr>
              <w:t>Principal amount</w:t>
            </w:r>
          </w:p>
        </w:tc>
        <w:tc>
          <w:tcPr>
            <w:tcW w:w="680" w:type="dxa"/>
            <w:vAlign w:val="bottom"/>
            <w:tcBorders>
              <w:bottom w:val="single" w:sz="8" w:color="auto"/>
            </w:tcBorders>
            <w:shd w:val="clear" w:color="auto" w:fill="CCEEFF"/>
          </w:tcPr>
          <w:p>
            <w:pPr>
              <w:spacing w:after="0"/>
              <w:rPr>
                <w:sz w:val="14"/>
                <w:szCs w:val="14"/>
                <w:color w:val="auto"/>
              </w:rPr>
            </w:pPr>
          </w:p>
        </w:tc>
      </w:tr>
      <w:tr>
        <w:trPr>
          <w:trHeight w:val="160"/>
        </w:trPr>
        <w:tc>
          <w:tcPr>
            <w:tcW w:w="44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thousands)</w:t>
            </w:r>
          </w:p>
        </w:tc>
        <w:tc>
          <w:tcPr>
            <w:tcW w:w="220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31 December 2021</w:t>
            </w:r>
          </w:p>
        </w:tc>
        <w:tc>
          <w:tcPr>
            <w:tcW w:w="13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31 December 2021</w:t>
            </w: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31 December 2020</w:t>
            </w:r>
          </w:p>
        </w:tc>
      </w:tr>
      <w:tr>
        <w:trPr>
          <w:trHeight w:val="160"/>
        </w:trPr>
        <w:tc>
          <w:tcPr>
            <w:tcW w:w="4420" w:type="dxa"/>
            <w:vAlign w:val="bottom"/>
            <w:shd w:val="clear" w:color="auto" w:fill="CCEEFF"/>
          </w:tcPr>
          <w:p>
            <w:pPr>
              <w:ind w:left="20"/>
              <w:spacing w:after="0"/>
              <w:rPr>
                <w:sz w:val="20"/>
                <w:szCs w:val="20"/>
                <w:color w:val="auto"/>
              </w:rPr>
            </w:pPr>
            <w:r>
              <w:rPr>
                <w:rFonts w:ascii="Arial" w:cs="Arial" w:eastAsia="Arial" w:hAnsi="Arial"/>
                <w:sz w:val="13"/>
                <w:szCs w:val="13"/>
                <w:b w:val="1"/>
                <w:bCs w:val="1"/>
                <w:i w:val="1"/>
                <w:iCs w:val="1"/>
                <w:color w:val="auto"/>
              </w:rPr>
              <w:t>Senior Secured Credit Facility</w:t>
            </w:r>
          </w:p>
        </w:tc>
        <w:tc>
          <w:tcPr>
            <w:tcW w:w="22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69"/>
        </w:trPr>
        <w:tc>
          <w:tcPr>
            <w:tcW w:w="4420" w:type="dxa"/>
            <w:vAlign w:val="bottom"/>
          </w:tcPr>
          <w:p>
            <w:pPr>
              <w:ind w:left="20"/>
              <w:spacing w:after="0"/>
              <w:rPr>
                <w:sz w:val="20"/>
                <w:szCs w:val="20"/>
                <w:color w:val="auto"/>
              </w:rPr>
            </w:pPr>
            <w:r>
              <w:rPr>
                <w:rFonts w:ascii="Arial" w:cs="Arial" w:eastAsia="Arial" w:hAnsi="Arial"/>
                <w:sz w:val="13"/>
                <w:szCs w:val="13"/>
                <w:color w:val="auto"/>
              </w:rPr>
              <w:t>Term loan</w:t>
            </w:r>
          </w:p>
        </w:tc>
        <w:tc>
          <w:tcPr>
            <w:tcW w:w="2200" w:type="dxa"/>
            <w:vAlign w:val="bottom"/>
          </w:tcPr>
          <w:p>
            <w:pPr>
              <w:jc w:val="right"/>
              <w:ind w:right="136"/>
              <w:spacing w:after="0"/>
              <w:rPr>
                <w:sz w:val="20"/>
                <w:szCs w:val="20"/>
                <w:color w:val="auto"/>
              </w:rPr>
            </w:pPr>
            <w:r>
              <w:rPr>
                <w:rFonts w:ascii="Arial" w:cs="Arial" w:eastAsia="Arial" w:hAnsi="Arial"/>
                <w:sz w:val="13"/>
                <w:szCs w:val="13"/>
                <w:color w:val="auto"/>
              </w:rPr>
              <w:t>2.75 %</w:t>
            </w:r>
          </w:p>
        </w:tc>
        <w:tc>
          <w:tcPr>
            <w:tcW w:w="1380" w:type="dxa"/>
            <w:vAlign w:val="bottom"/>
          </w:tcPr>
          <w:p>
            <w:pPr>
              <w:ind w:left="820"/>
              <w:spacing w:after="0"/>
              <w:rPr>
                <w:sz w:val="20"/>
                <w:szCs w:val="20"/>
                <w:color w:val="auto"/>
              </w:rPr>
            </w:pPr>
            <w:r>
              <w:rPr>
                <w:rFonts w:ascii="Arial" w:cs="Arial" w:eastAsia="Arial" w:hAnsi="Arial"/>
                <w:sz w:val="13"/>
                <w:szCs w:val="13"/>
                <w:color w:val="auto"/>
                <w:w w:val="96"/>
              </w:rPr>
              <w:t>July 2028</w:t>
            </w:r>
          </w:p>
        </w:tc>
        <w:tc>
          <w:tcPr>
            <w:tcW w:w="300" w:type="dxa"/>
            <w:vAlign w:val="bottom"/>
          </w:tcPr>
          <w:p>
            <w:pPr>
              <w:jc w:val="right"/>
              <w:ind w:right="156"/>
              <w:spacing w:after="0"/>
              <w:rPr>
                <w:sz w:val="20"/>
                <w:szCs w:val="20"/>
                <w:color w:val="auto"/>
              </w:rPr>
            </w:pPr>
            <w:r>
              <w:rPr>
                <w:rFonts w:ascii="Arial" w:cs="Arial" w:eastAsia="Arial" w:hAnsi="Arial"/>
                <w:sz w:val="13"/>
                <w:szCs w:val="13"/>
                <w:color w:val="auto"/>
                <w:w w:val="82"/>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5,001,213</w:t>
            </w:r>
          </w:p>
        </w:tc>
        <w:tc>
          <w:tcPr>
            <w:tcW w:w="960" w:type="dxa"/>
            <w:vAlign w:val="bottom"/>
          </w:tcPr>
          <w:p>
            <w:pPr>
              <w:jc w:val="right"/>
              <w:ind w:right="796"/>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4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Senior Secured Notes</w:t>
            </w:r>
          </w:p>
        </w:tc>
        <w:tc>
          <w:tcPr>
            <w:tcW w:w="22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2.875 %</w:t>
            </w:r>
          </w:p>
        </w:tc>
        <w:tc>
          <w:tcPr>
            <w:tcW w:w="1380" w:type="dxa"/>
            <w:vAlign w:val="bottom"/>
            <w:shd w:val="clear" w:color="auto" w:fill="CCEEFF"/>
          </w:tcPr>
          <w:p>
            <w:pPr>
              <w:ind w:left="820"/>
              <w:spacing w:after="0"/>
              <w:rPr>
                <w:sz w:val="20"/>
                <w:szCs w:val="20"/>
                <w:color w:val="auto"/>
              </w:rPr>
            </w:pPr>
            <w:r>
              <w:rPr>
                <w:rFonts w:ascii="Arial" w:cs="Arial" w:eastAsia="Arial" w:hAnsi="Arial"/>
                <w:sz w:val="13"/>
                <w:szCs w:val="13"/>
                <w:color w:val="auto"/>
                <w:w w:val="96"/>
              </w:rPr>
              <w:t>July 2026</w:t>
            </w:r>
          </w:p>
        </w:tc>
        <w:tc>
          <w:tcPr>
            <w:tcW w:w="3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500,000</w:t>
            </w:r>
          </w:p>
        </w:tc>
        <w:tc>
          <w:tcPr>
            <w:tcW w:w="9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442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2020 Senior Notes:</w:t>
            </w:r>
          </w:p>
        </w:tc>
        <w:tc>
          <w:tcPr>
            <w:tcW w:w="2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0"/>
        </w:trPr>
        <w:tc>
          <w:tcPr>
            <w:tcW w:w="44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Series A notes</w:t>
            </w:r>
          </w:p>
        </w:tc>
        <w:tc>
          <w:tcPr>
            <w:tcW w:w="22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275,000</w:t>
            </w:r>
          </w:p>
        </w:tc>
      </w:tr>
      <w:tr>
        <w:trPr>
          <w:trHeight w:val="169"/>
        </w:trPr>
        <w:tc>
          <w:tcPr>
            <w:tcW w:w="4420" w:type="dxa"/>
            <w:vAlign w:val="bottom"/>
            <w:tcBorders>
              <w:bottom w:val="single" w:sz="8" w:color="auto"/>
            </w:tcBorders>
          </w:tcPr>
          <w:p>
            <w:pPr>
              <w:ind w:left="180"/>
              <w:spacing w:after="0"/>
              <w:rPr>
                <w:sz w:val="20"/>
                <w:szCs w:val="20"/>
                <w:color w:val="auto"/>
              </w:rPr>
            </w:pPr>
            <w:r>
              <w:rPr>
                <w:rFonts w:ascii="Arial" w:cs="Arial" w:eastAsia="Arial" w:hAnsi="Arial"/>
                <w:sz w:val="13"/>
                <w:szCs w:val="13"/>
                <w:color w:val="auto"/>
              </w:rPr>
              <w:t>Series B notes</w:t>
            </w:r>
          </w:p>
        </w:tc>
        <w:tc>
          <w:tcPr>
            <w:tcW w:w="2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75,000</w:t>
            </w:r>
          </w:p>
        </w:tc>
      </w:tr>
      <w:tr>
        <w:trPr>
          <w:trHeight w:val="162"/>
        </w:trPr>
        <w:tc>
          <w:tcPr>
            <w:tcW w:w="4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debt</w:t>
            </w:r>
          </w:p>
        </w:tc>
        <w:tc>
          <w:tcPr>
            <w:tcW w:w="22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5,501,213</w:t>
            </w:r>
          </w:p>
        </w:tc>
        <w:tc>
          <w:tcPr>
            <w:tcW w:w="9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350,000</w:t>
            </w:r>
          </w:p>
        </w:tc>
      </w:tr>
      <w:tr>
        <w:trPr>
          <w:trHeight w:val="169"/>
        </w:trPr>
        <w:tc>
          <w:tcPr>
            <w:tcW w:w="44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Less current portion of long-term debt</w:t>
            </w:r>
          </w:p>
        </w:tc>
        <w:tc>
          <w:tcPr>
            <w:tcW w:w="2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(55,150)</w:t>
            </w:r>
          </w:p>
        </w:tc>
        <w:tc>
          <w:tcPr>
            <w:tcW w:w="9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62"/>
        </w:trPr>
        <w:tc>
          <w:tcPr>
            <w:tcW w:w="4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long-term debt</w:t>
            </w:r>
          </w:p>
        </w:tc>
        <w:tc>
          <w:tcPr>
            <w:tcW w:w="22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5,446,063</w:t>
            </w:r>
          </w:p>
        </w:tc>
        <w:tc>
          <w:tcPr>
            <w:tcW w:w="9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350,000</w:t>
            </w:r>
          </w:p>
        </w:tc>
      </w:tr>
      <w:tr>
        <w:trPr>
          <w:trHeight w:val="169"/>
        </w:trPr>
        <w:tc>
          <w:tcPr>
            <w:tcW w:w="44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Less debt issuance costs and debt discount</w:t>
            </w:r>
          </w:p>
        </w:tc>
        <w:tc>
          <w:tcPr>
            <w:tcW w:w="2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(64,901)</w:t>
            </w:r>
          </w:p>
        </w:tc>
        <w:tc>
          <w:tcPr>
            <w:tcW w:w="9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(1,523)</w:t>
            </w:r>
          </w:p>
        </w:tc>
      </w:tr>
      <w:tr>
        <w:trPr>
          <w:trHeight w:val="185"/>
        </w:trPr>
        <w:tc>
          <w:tcPr>
            <w:tcW w:w="4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 long-term debt, net</w:t>
            </w:r>
          </w:p>
        </w:tc>
        <w:tc>
          <w:tcPr>
            <w:tcW w:w="220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5,381,162</w:t>
            </w:r>
          </w:p>
        </w:tc>
        <w:tc>
          <w:tcPr>
            <w:tcW w:w="96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348,477</w:t>
            </w:r>
          </w:p>
        </w:tc>
      </w:tr>
      <w:tr>
        <w:trPr>
          <w:trHeight w:val="20"/>
        </w:trPr>
        <w:tc>
          <w:tcPr>
            <w:tcW w:w="8000" w:type="dxa"/>
            <w:vAlign w:val="bottom"/>
            <w:tcBorders>
              <w:top w:val="single" w:sz="8" w:color="CCEEFF"/>
              <w:bottom w:val="single" w:sz="8" w:color="auto"/>
            </w:tcBorders>
            <w:gridSpan w:val="3"/>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r>
        <w:trPr>
          <w:trHeight w:val="375"/>
        </w:trPr>
        <w:tc>
          <w:tcPr>
            <w:tcW w:w="8000" w:type="dxa"/>
            <w:vAlign w:val="bottom"/>
            <w:gridSpan w:val="3"/>
          </w:tcPr>
          <w:p>
            <w:pPr>
              <w:spacing w:after="0"/>
              <w:rPr>
                <w:sz w:val="20"/>
                <w:szCs w:val="20"/>
                <w:color w:val="auto"/>
              </w:rPr>
            </w:pPr>
            <w:r>
              <w:rPr>
                <w:rFonts w:ascii="Arial" w:cs="Arial" w:eastAsia="Arial" w:hAnsi="Arial"/>
                <w:sz w:val="13"/>
                <w:szCs w:val="13"/>
                <w:color w:val="auto"/>
              </w:rPr>
              <w:t>The Company incurred a $27.6 million debt discount in connection with the Senior Secured Credit Facility and Senior Secured Notes.</w:t>
            </w: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50"/>
        </w:trPr>
        <w:tc>
          <w:tcPr>
            <w:tcW w:w="6620" w:type="dxa"/>
            <w:vAlign w:val="bottom"/>
            <w:gridSpan w:val="2"/>
          </w:tcPr>
          <w:p>
            <w:pPr>
              <w:spacing w:after="0"/>
              <w:rPr>
                <w:sz w:val="20"/>
                <w:szCs w:val="20"/>
                <w:color w:val="auto"/>
              </w:rPr>
            </w:pPr>
            <w:r>
              <w:rPr>
                <w:rFonts w:ascii="Arial" w:cs="Arial" w:eastAsia="Arial" w:hAnsi="Arial"/>
                <w:sz w:val="13"/>
                <w:szCs w:val="13"/>
                <w:color w:val="auto"/>
              </w:rPr>
              <w:t>As of 31 December 2021, the contractual maturities of the Company's debt obligations were as follows:</w:t>
            </w: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4"/>
        </w:trPr>
        <w:tc>
          <w:tcPr>
            <w:tcW w:w="44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70"/>
        </w:trPr>
        <w:tc>
          <w:tcPr>
            <w:tcW w:w="44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Current maturities of long-term debt:</w:t>
            </w:r>
          </w:p>
        </w:tc>
        <w:tc>
          <w:tcPr>
            <w:tcW w:w="22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(in thousands)</w:t>
            </w:r>
          </w:p>
        </w:tc>
        <w:tc>
          <w:tcPr>
            <w:tcW w:w="680" w:type="dxa"/>
            <w:vAlign w:val="bottom"/>
            <w:shd w:val="clear" w:color="auto" w:fill="CCEEFF"/>
          </w:tcPr>
          <w:p>
            <w:pPr>
              <w:spacing w:after="0"/>
              <w:rPr>
                <w:sz w:val="14"/>
                <w:szCs w:val="14"/>
                <w:color w:val="auto"/>
              </w:rPr>
            </w:pPr>
          </w:p>
        </w:tc>
      </w:tr>
      <w:tr>
        <w:trPr>
          <w:trHeight w:val="169"/>
        </w:trPr>
        <w:tc>
          <w:tcPr>
            <w:tcW w:w="4420" w:type="dxa"/>
            <w:vAlign w:val="bottom"/>
          </w:tcPr>
          <w:p>
            <w:pPr>
              <w:ind w:left="20"/>
              <w:spacing w:after="0"/>
              <w:rPr>
                <w:sz w:val="20"/>
                <w:szCs w:val="20"/>
                <w:color w:val="auto"/>
              </w:rPr>
            </w:pPr>
            <w:r>
              <w:rPr>
                <w:rFonts w:ascii="Arial" w:cs="Arial" w:eastAsia="Arial" w:hAnsi="Arial"/>
                <w:sz w:val="13"/>
                <w:szCs w:val="13"/>
                <w:color w:val="auto"/>
              </w:rPr>
              <w:t>2022</w:t>
            </w:r>
          </w:p>
        </w:tc>
        <w:tc>
          <w:tcPr>
            <w:tcW w:w="2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55,150</w:t>
            </w:r>
          </w:p>
        </w:tc>
      </w:tr>
      <w:tr>
        <w:trPr>
          <w:trHeight w:val="171"/>
        </w:trPr>
        <w:tc>
          <w:tcPr>
            <w:tcW w:w="4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2023</w:t>
            </w:r>
          </w:p>
        </w:tc>
        <w:tc>
          <w:tcPr>
            <w:tcW w:w="22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55,150</w:t>
            </w:r>
          </w:p>
        </w:tc>
      </w:tr>
      <w:tr>
        <w:trPr>
          <w:trHeight w:val="169"/>
        </w:trPr>
        <w:tc>
          <w:tcPr>
            <w:tcW w:w="4420" w:type="dxa"/>
            <w:vAlign w:val="bottom"/>
          </w:tcPr>
          <w:p>
            <w:pPr>
              <w:ind w:left="20"/>
              <w:spacing w:after="0"/>
              <w:rPr>
                <w:sz w:val="20"/>
                <w:szCs w:val="20"/>
                <w:color w:val="auto"/>
              </w:rPr>
            </w:pPr>
            <w:r>
              <w:rPr>
                <w:rFonts w:ascii="Arial" w:cs="Arial" w:eastAsia="Arial" w:hAnsi="Arial"/>
                <w:sz w:val="13"/>
                <w:szCs w:val="13"/>
                <w:color w:val="auto"/>
              </w:rPr>
              <w:t>2024</w:t>
            </w:r>
          </w:p>
        </w:tc>
        <w:tc>
          <w:tcPr>
            <w:tcW w:w="2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55,150</w:t>
            </w:r>
          </w:p>
        </w:tc>
      </w:tr>
      <w:tr>
        <w:trPr>
          <w:trHeight w:val="171"/>
        </w:trPr>
        <w:tc>
          <w:tcPr>
            <w:tcW w:w="4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2025</w:t>
            </w:r>
          </w:p>
        </w:tc>
        <w:tc>
          <w:tcPr>
            <w:tcW w:w="22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55,150</w:t>
            </w:r>
          </w:p>
        </w:tc>
      </w:tr>
      <w:tr>
        <w:trPr>
          <w:trHeight w:val="169"/>
        </w:trPr>
        <w:tc>
          <w:tcPr>
            <w:tcW w:w="44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2026 and thereafter</w:t>
            </w:r>
          </w:p>
        </w:tc>
        <w:tc>
          <w:tcPr>
            <w:tcW w:w="2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5,280,613</w:t>
            </w:r>
          </w:p>
        </w:tc>
      </w:tr>
      <w:tr>
        <w:trPr>
          <w:trHeight w:val="187"/>
        </w:trPr>
        <w:tc>
          <w:tcPr>
            <w:tcW w:w="4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220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3"/>
                <w:szCs w:val="13"/>
                <w:b w:val="1"/>
                <w:bCs w:val="1"/>
                <w:color w:val="auto"/>
              </w:rPr>
              <w:t>$</w:t>
            </w:r>
          </w:p>
        </w:tc>
        <w:tc>
          <w:tcPr>
            <w:tcW w:w="9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5,501,213</w:t>
            </w:r>
          </w:p>
        </w:tc>
      </w:tr>
      <w:tr>
        <w:trPr>
          <w:trHeight w:val="20"/>
        </w:trPr>
        <w:tc>
          <w:tcPr>
            <w:tcW w:w="4420" w:type="dxa"/>
            <w:vAlign w:val="bottom"/>
            <w:tcBorders>
              <w:top w:val="single" w:sz="8" w:color="CCEEFF"/>
              <w:bottom w:val="single" w:sz="8" w:color="auto"/>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Company's primary financing arrangements are its senior secured credit facilities (the "Senior Secured Credit Facilities"), which consists of a senior secured term loan and a revolving credit facility, and the senior secured notes (the "Senior Secured Notes").</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101</w:t>
      </w:r>
    </w:p>
    <w:p>
      <w:pPr>
        <w:sectPr>
          <w:pgSz w:w="11900" w:h="16838" w:orient="portrait"/>
          <w:cols w:equalWidth="0" w:num="1">
            <w:col w:w="11280"/>
          </w:cols>
          <w:pgMar w:left="300" w:top="698" w:right="31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275" w:lineRule="exact"/>
        <w:rPr>
          <w:sz w:val="20"/>
          <w:szCs w:val="20"/>
          <w:color w:val="auto"/>
        </w:rPr>
      </w:pPr>
    </w:p>
    <w:p>
      <w:pPr>
        <w:ind w:left="320" w:hanging="315"/>
        <w:spacing w:after="0"/>
        <w:tabs>
          <w:tab w:leader="none" w:pos="320" w:val="left"/>
        </w:tabs>
        <w:numPr>
          <w:ilvl w:val="0"/>
          <w:numId w:val="109"/>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Bank credit lines and loan facilities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Senior Secured Credit Facilities</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In conjunction with the completion of the Merger Agreement, on 1 July 2021, ICON entered into a credit agreement providing for a senior secured term loan facility of $5,515 million and a senior secured revolving loan facility in an initial aggregate principal amount of $300 million. The proceeds of the senior secured term loan facility were used to repay in full (i) PRA’s existing credit facilities and (ii) the Company's private placement notes outstanding and fund, in part, the transaction. The senior secured term loan facility will mature in July 2028 and the revolving loan facility will mature in July 2026.</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Borrowings under the senior secured term loan facility amortise in equal quarterly instalments in an amount equal to 1.00% per annum of the principal amount, with the remaining balance due at final maturity. The interest rate margin applicable to borrowings under the senior secured term loan facility is LIBOR plus an applicable margin of 2.50%, in each case, with a step down of 0.25% if the first lien net leverage ratio is equal to or less than 4.00 to 1.00. The senior secured term loan facility is subject to a LIBOR floor of 0.50%. On 10 November 2021, the Company achieved a net leverage ratio of less than 4 times and the margin applicable to the senior secured term loan was reduced by 0.25% with the overall rate reducing from 3.0% to 2.75%.</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3"/>
          <w:szCs w:val="13"/>
          <w:color w:val="auto"/>
        </w:rPr>
        <w:t>The interest rate margin applicable to borrowings under the revolving loan facility will be, at the option of the borrower, either (i) the applicable base rate plus an applicable margin of 1.00%, 0.60% or 0.25% based on ICON’s current corporate family rating assigned by S&amp;P of BB- (or lower), BB or BB+ (or higher), respectively, or (ii) LIBOR (or an alternative reference rate) plus an applicable margin of 2.00%, 1.60% or 1.25% based on ICON’s current corporate family rating assigned by S&amp;P of BB- (or lower), BB or BB+ (or higher), respectively. In addition, lenders under the revolving loan facility are entitled to commitment fees as a percentage of the applicable margin at the time of drawing and utilisation fees dependent on the proportion of the facility drawn. At 31 December 2021, no amounts have been drawn under the revolving loan facility with the exception of $4.1 million letters of credit given to landlords to guarantee lease arrangements.</w:t>
      </w:r>
    </w:p>
    <w:p>
      <w:pPr>
        <w:spacing w:after="0" w:line="16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We continue to monitor the phasing out of LIBOR. We have engaged with our lenders on the implications of the change and will continue to discuss with them as replacement rates for LIBOR become more prevalent in the syndicated lending market. The Company is therefore subject to interest rate volatility in respect of the senior secured term loan facility, any future draw down on the Revolving Credit Facility or in respect of any future issuances of debt.</w:t>
      </w:r>
    </w:p>
    <w:p>
      <w:pPr>
        <w:spacing w:after="0" w:line="170" w:lineRule="exact"/>
        <w:rPr>
          <w:sz w:val="20"/>
          <w:szCs w:val="20"/>
          <w:color w:val="auto"/>
        </w:rPr>
      </w:pPr>
    </w:p>
    <w:p>
      <w:pPr>
        <w:jc w:val="both"/>
        <w:spacing w:after="0" w:line="237" w:lineRule="auto"/>
        <w:rPr>
          <w:sz w:val="20"/>
          <w:szCs w:val="20"/>
          <w:color w:val="auto"/>
        </w:rPr>
      </w:pPr>
      <w:r>
        <w:rPr>
          <w:rFonts w:ascii="Arial" w:cs="Arial" w:eastAsia="Arial" w:hAnsi="Arial"/>
          <w:sz w:val="13"/>
          <w:szCs w:val="13"/>
          <w:color w:val="auto"/>
        </w:rPr>
        <w:t>The Borrowers’ (as defined in the credit agreement) obligations under the Senior Secured Credit Facilities are guaranteed by ICON and the subsidiary guarantors. The Senior Secured Credit Facilities are secured by a lien on substantially all of ICON’s, the Borrowers’ and each of the subsidiary guarantor’s assets (subject to certain exceptions), and the Senior Secured Credit Facilities will have a first-priority lien on such assets, which will rank pari passu with the lien securing the Senior Secured Notes (see below), subject to other permitted liens. Our long-term debt arrangements contain customary restrictive covenants and, as of 31 December 2021, we were in compliance with our restrictive covenants in all material respects.</w:t>
      </w:r>
    </w:p>
    <w:p>
      <w:pPr>
        <w:spacing w:after="0" w:line="173"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auto"/>
        </w:rPr>
        <w:t>On 27 September 2021, the Company repaid $13.8 million of the senior secured term loan facility and made a quarterly interest payment of $40.4 million. On 29 December 2021, the Company repaid $500.0 million of the senior secured term loan facility and made a quarterly interest payment of $40.8 million. These repayments resulted in an additional charge associated with previously capitalised fees of $5.6 million. On 31 March 2022, the Company repaid $300.0 million of the senior secured term loan facility and made a quarterly interest payment of $35.1 million. These repayments resulted in an additional charge associated with previously capitalised fees of $3.2 million. The Company is permitted to make prepayments on the senior secured term loan without penalty.</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Senior Secured Notes</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In addition to the Senior Secured Credit Facilities, on 1 July 2021, a subsidiary of the Company issued $500 million in aggregate principal amount of 2.875% senior secured notes due 2026 in a private offering (the “Offering”). The Senior Secured Notes will mature on 15 July 2026. The proceeds from the Offering and borrowings made under the Senior Secured Credit Facilities, together with cash on hand, were used to (i) fund the cash consideration payable by ICON for the Merger, (ii) repay existing indebtedness of ICON and PRA and (iii) pay fees and expenses related to the Merger, the Offering and the Senior Secured Credit Facilities. The Senior Secured Notes are guaranteed on a senior secured basis by ICON and its direct and indirect subsidiaries that guarantee the Senior Secured Credit Facilities.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102</w:t>
      </w:r>
    </w:p>
    <w:p>
      <w:pPr>
        <w:sectPr>
          <w:pgSz w:w="11900" w:h="16838" w:orient="portrait"/>
          <w:cols w:equalWidth="0" w:num="1">
            <w:col w:w="11280"/>
          </w:cols>
          <w:pgMar w:left="300" w:top="698" w:right="31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275" w:lineRule="exact"/>
        <w:rPr>
          <w:sz w:val="20"/>
          <w:szCs w:val="20"/>
          <w:color w:val="auto"/>
        </w:rPr>
      </w:pPr>
    </w:p>
    <w:p>
      <w:pPr>
        <w:ind w:left="320" w:hanging="315"/>
        <w:spacing w:after="0"/>
        <w:tabs>
          <w:tab w:leader="none" w:pos="320" w:val="left"/>
        </w:tabs>
        <w:numPr>
          <w:ilvl w:val="0"/>
          <w:numId w:val="110"/>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Bank credit lines and loan facilities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2020 Senior Notes</w:t>
      </w:r>
    </w:p>
    <w:p>
      <w:pPr>
        <w:spacing w:after="0" w:line="177" w:lineRule="exact"/>
        <w:rPr>
          <w:sz w:val="20"/>
          <w:szCs w:val="20"/>
          <w:color w:val="auto"/>
        </w:rPr>
      </w:pPr>
    </w:p>
    <w:p>
      <w:pPr>
        <w:jc w:val="both"/>
        <w:spacing w:after="0" w:line="237" w:lineRule="auto"/>
        <w:rPr>
          <w:sz w:val="20"/>
          <w:szCs w:val="20"/>
          <w:color w:val="auto"/>
        </w:rPr>
      </w:pPr>
      <w:r>
        <w:rPr>
          <w:rFonts w:ascii="Arial" w:cs="Arial" w:eastAsia="Arial" w:hAnsi="Arial"/>
          <w:sz w:val="13"/>
          <w:szCs w:val="13"/>
          <w:color w:val="auto"/>
        </w:rPr>
        <w:t>On 8 December 2020, the Company issued new senior notes, (the "2020 Senior Notes") for aggregate gross proceeds of $350.0 million in the private placement market. The 2020 Senior Notes were issued in two tranches; Series A Notes of $275.0 million at a fixed interest rate of 2.32% and Series B Notes of $75.0 million at a fixed interest rate of 2.43%. The effective interest rate was adjusted by the impact of an interest rate cash flow hedge which was entered into in advance of the rate fixing date. This cash flow hedge was deemed to be fully effective in accordance with IFRS 9 'Financial Instruments'. The realised loss related to this derivative was recorded within other comprehensive income and amortised over the life of the 2020 Senior Notes. The effective rate on the 2020 Senior Notes was fixed at 2.41%.</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In connection with the Merger, the Company was required to repay the 2020 Senior Notes prior to entering into the Senior Secured Credit Facilities and the Senior Secured Notes. In June 2021, ICON committed to entering into the Senior Secured Credit Facilities and the Senior Secured Notes and therefore committed to replacing the 2020 Senior Notes. The 2020 Senior Notes have been repaid and long term financing consisting of the Senior Secured Credit Facilities and the Senior Secured Notes have been drawn. The 2020 Senior Notes were repaid on 1 July 2021 inclusive of early repayment charges. The total repayment on 1 July 2021 was $364.0 million.</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Fair Value of Debt</w:t>
      </w:r>
    </w:p>
    <w:p>
      <w:pPr>
        <w:spacing w:after="0" w:line="9"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The estimated fair value of the Company’s debt was $5,507.2 million at 31 December 2021. The fair values of the Senior Secured Credit Facilities and Senior Secured Notes were determined based on Level 2 inputs, which are based on rates at which the debt is traded among financial institutions.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20"/>
                <w:szCs w:val="20"/>
                <w:color w:val="auto"/>
              </w:rPr>
            </w:pPr>
            <w:r>
              <w:rPr>
                <w:rFonts w:ascii="Arial" w:cs="Arial" w:eastAsia="Arial" w:hAnsi="Arial"/>
                <w:sz w:val="13"/>
                <w:szCs w:val="13"/>
                <w:b w:val="1"/>
                <w:bCs w:val="1"/>
                <w:color w:val="auto"/>
              </w:rPr>
              <w:t>24.  Share capital</w:t>
            </w:r>
          </w:p>
        </w:tc>
        <w:tc>
          <w:tcPr>
            <w:tcW w:w="3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44"/>
        </w:trPr>
        <w:tc>
          <w:tcPr>
            <w:tcW w:w="6640" w:type="dxa"/>
            <w:vAlign w:val="bottom"/>
          </w:tcPr>
          <w:p>
            <w:pPr>
              <w:spacing w:after="0"/>
              <w:rPr>
                <w:sz w:val="20"/>
                <w:szCs w:val="20"/>
                <w:color w:val="auto"/>
              </w:rPr>
            </w:pPr>
            <w:r>
              <w:rPr>
                <w:rFonts w:ascii="Arial" w:cs="Arial" w:eastAsia="Arial" w:hAnsi="Arial"/>
                <w:sz w:val="13"/>
                <w:szCs w:val="13"/>
                <w:b w:val="1"/>
                <w:bCs w:val="1"/>
                <w:i w:val="1"/>
                <w:iCs w:val="1"/>
                <w:color w:val="auto"/>
              </w:rPr>
              <w:t>Group and Company</w:t>
            </w:r>
          </w:p>
        </w:tc>
        <w:tc>
          <w:tcPr>
            <w:tcW w:w="3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03"/>
        </w:trPr>
        <w:tc>
          <w:tcPr>
            <w:tcW w:w="664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460" w:type="dxa"/>
            <w:vAlign w:val="bottom"/>
            <w:gridSpan w:val="2"/>
          </w:tcPr>
          <w:p>
            <w:pPr>
              <w:spacing w:after="0"/>
              <w:rPr>
                <w:sz w:val="8"/>
                <w:szCs w:val="8"/>
                <w:color w:val="auto"/>
              </w:rPr>
            </w:pPr>
          </w:p>
        </w:tc>
      </w:tr>
      <w:tr>
        <w:trPr>
          <w:trHeight w:val="170"/>
        </w:trPr>
        <w:tc>
          <w:tcPr>
            <w:tcW w:w="6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Authorised share capital:</w:t>
            </w:r>
          </w:p>
        </w:tc>
        <w:tc>
          <w:tcPr>
            <w:tcW w:w="318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98"/>
              </w:rPr>
              <w:t>No. of Ordinary Shares</w:t>
            </w:r>
          </w:p>
        </w:tc>
        <w:tc>
          <w:tcPr>
            <w:tcW w:w="20" w:type="dxa"/>
            <w:vAlign w:val="bottom"/>
          </w:tcPr>
          <w:p>
            <w:pPr>
              <w:spacing w:after="0"/>
              <w:rPr>
                <w:sz w:val="14"/>
                <w:szCs w:val="14"/>
                <w:color w:val="auto"/>
              </w:rPr>
            </w:pPr>
          </w:p>
        </w:tc>
      </w:tr>
      <w:tr>
        <w:trPr>
          <w:trHeight w:val="182"/>
        </w:trPr>
        <w:tc>
          <w:tcPr>
            <w:tcW w:w="664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6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Ordinary shares of par value €0.06</w:t>
            </w:r>
          </w:p>
        </w:tc>
        <w:tc>
          <w:tcPr>
            <w:tcW w:w="318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100,000,000</w:t>
            </w:r>
          </w:p>
        </w:tc>
        <w:tc>
          <w:tcPr>
            <w:tcW w:w="20" w:type="dxa"/>
            <w:vAlign w:val="bottom"/>
          </w:tcPr>
          <w:p>
            <w:pPr>
              <w:spacing w:after="0"/>
              <w:rPr>
                <w:sz w:val="14"/>
                <w:szCs w:val="14"/>
                <w:color w:val="auto"/>
              </w:rPr>
            </w:pPr>
          </w:p>
        </w:tc>
      </w:tr>
      <w:tr>
        <w:trPr>
          <w:trHeight w:val="268"/>
        </w:trPr>
        <w:tc>
          <w:tcPr>
            <w:tcW w:w="6640" w:type="dxa"/>
            <w:vAlign w:val="bottom"/>
          </w:tcPr>
          <w:p>
            <w:pPr>
              <w:spacing w:after="0"/>
              <w:rPr>
                <w:sz w:val="23"/>
                <w:szCs w:val="23"/>
                <w:color w:val="auto"/>
              </w:rPr>
            </w:pPr>
          </w:p>
        </w:tc>
        <w:tc>
          <w:tcPr>
            <w:tcW w:w="3180" w:type="dxa"/>
            <w:vAlign w:val="bottom"/>
          </w:tcPr>
          <w:p>
            <w:pPr>
              <w:spacing w:after="0"/>
              <w:rPr>
                <w:sz w:val="23"/>
                <w:szCs w:val="23"/>
                <w:color w:val="auto"/>
              </w:rPr>
            </w:pPr>
          </w:p>
        </w:tc>
        <w:tc>
          <w:tcPr>
            <w:tcW w:w="1460" w:type="dxa"/>
            <w:vAlign w:val="bottom"/>
            <w:gridSpan w:val="2"/>
          </w:tcPr>
          <w:p>
            <w:pPr>
              <w:spacing w:after="0"/>
              <w:rPr>
                <w:sz w:val="23"/>
                <w:szCs w:val="23"/>
                <w:color w:val="auto"/>
              </w:rPr>
            </w:pPr>
          </w:p>
        </w:tc>
      </w:tr>
      <w:tr>
        <w:trPr>
          <w:trHeight w:val="127"/>
        </w:trPr>
        <w:tc>
          <w:tcPr>
            <w:tcW w:w="6640" w:type="dxa"/>
            <w:vAlign w:val="bottom"/>
            <w:shd w:val="clear" w:color="auto" w:fill="CCEEFF"/>
          </w:tcPr>
          <w:p>
            <w:pPr>
              <w:spacing w:after="0"/>
              <w:rPr>
                <w:sz w:val="11"/>
                <w:szCs w:val="11"/>
                <w:color w:val="auto"/>
              </w:rPr>
            </w:pPr>
          </w:p>
        </w:tc>
        <w:tc>
          <w:tcPr>
            <w:tcW w:w="318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31 December</w:t>
            </w:r>
          </w:p>
        </w:tc>
        <w:tc>
          <w:tcPr>
            <w:tcW w:w="1460" w:type="dxa"/>
            <w:vAlign w:val="bottom"/>
            <w:gridSpan w:val="2"/>
            <w:shd w:val="clear" w:color="auto" w:fill="CCEEFF"/>
          </w:tcPr>
          <w:p>
            <w:pPr>
              <w:jc w:val="right"/>
              <w:ind w:right="20"/>
              <w:spacing w:after="0" w:line="128" w:lineRule="exact"/>
              <w:rPr>
                <w:sz w:val="20"/>
                <w:szCs w:val="20"/>
                <w:color w:val="auto"/>
              </w:rPr>
            </w:pPr>
            <w:r>
              <w:rPr>
                <w:rFonts w:ascii="Arial" w:cs="Arial" w:eastAsia="Arial" w:hAnsi="Arial"/>
                <w:sz w:val="13"/>
                <w:szCs w:val="13"/>
                <w:color w:val="auto"/>
              </w:rPr>
              <w:t>31 December</w:t>
            </w:r>
          </w:p>
        </w:tc>
      </w:tr>
      <w:tr>
        <w:trPr>
          <w:trHeight w:val="170"/>
        </w:trPr>
        <w:tc>
          <w:tcPr>
            <w:tcW w:w="6640" w:type="dxa"/>
            <w:vAlign w:val="bottom"/>
            <w:tcBorders>
              <w:bottom w:val="single" w:sz="8" w:color="auto"/>
            </w:tcBorders>
            <w:shd w:val="clear" w:color="auto" w:fill="CCEEFF"/>
          </w:tcPr>
          <w:p>
            <w:pPr>
              <w:spacing w:after="0"/>
              <w:rPr>
                <w:sz w:val="14"/>
                <w:szCs w:val="14"/>
                <w:color w:val="auto"/>
              </w:rPr>
            </w:pPr>
          </w:p>
        </w:tc>
        <w:tc>
          <w:tcPr>
            <w:tcW w:w="3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2021</w:t>
            </w:r>
          </w:p>
        </w:tc>
        <w:tc>
          <w:tcPr>
            <w:tcW w:w="14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2020</w:t>
            </w:r>
          </w:p>
        </w:tc>
      </w:tr>
      <w:tr>
        <w:trPr>
          <w:trHeight w:val="160"/>
        </w:trPr>
        <w:tc>
          <w:tcPr>
            <w:tcW w:w="6640" w:type="dxa"/>
            <w:vAlign w:val="bottom"/>
          </w:tcPr>
          <w:p>
            <w:pPr>
              <w:spacing w:after="0"/>
              <w:rPr>
                <w:sz w:val="13"/>
                <w:szCs w:val="13"/>
                <w:color w:val="auto"/>
              </w:rPr>
            </w:pPr>
          </w:p>
        </w:tc>
        <w:tc>
          <w:tcPr>
            <w:tcW w:w="318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1460" w:type="dxa"/>
            <w:vAlign w:val="bottom"/>
            <w:gridSpan w:val="2"/>
          </w:tcPr>
          <w:p>
            <w:pPr>
              <w:jc w:val="right"/>
              <w:ind w:right="20"/>
              <w:spacing w:after="0"/>
              <w:rPr>
                <w:sz w:val="20"/>
                <w:szCs w:val="20"/>
                <w:color w:val="auto"/>
              </w:rPr>
            </w:pPr>
            <w:r>
              <w:rPr>
                <w:rFonts w:ascii="Arial" w:cs="Arial" w:eastAsia="Arial" w:hAnsi="Arial"/>
                <w:sz w:val="13"/>
                <w:szCs w:val="13"/>
                <w:color w:val="auto"/>
              </w:rPr>
              <w:t>$’000</w:t>
            </w:r>
          </w:p>
        </w:tc>
      </w:tr>
      <w:tr>
        <w:trPr>
          <w:trHeight w:val="170"/>
        </w:trPr>
        <w:tc>
          <w:tcPr>
            <w:tcW w:w="66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Allotted, called up and fully paid</w:t>
            </w:r>
          </w:p>
        </w:tc>
        <w:tc>
          <w:tcPr>
            <w:tcW w:w="31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8"/>
        </w:trPr>
        <w:tc>
          <w:tcPr>
            <w:tcW w:w="6640" w:type="dxa"/>
            <w:vAlign w:val="bottom"/>
          </w:tcPr>
          <w:p>
            <w:pPr>
              <w:ind w:left="20"/>
              <w:spacing w:after="0"/>
              <w:rPr>
                <w:sz w:val="20"/>
                <w:szCs w:val="20"/>
                <w:color w:val="auto"/>
              </w:rPr>
            </w:pPr>
            <w:r>
              <w:rPr>
                <w:rFonts w:ascii="Arial" w:cs="Arial" w:eastAsia="Arial" w:hAnsi="Arial"/>
                <w:sz w:val="13"/>
                <w:szCs w:val="13"/>
                <w:color w:val="auto"/>
              </w:rPr>
              <w:t>81,554,683 (31 December 2020: 52,788,093) ordinary shares of €0.06 each</w:t>
            </w:r>
          </w:p>
        </w:tc>
        <w:tc>
          <w:tcPr>
            <w:tcW w:w="3180" w:type="dxa"/>
            <w:vAlign w:val="bottom"/>
          </w:tcPr>
          <w:p>
            <w:pPr>
              <w:jc w:val="right"/>
              <w:ind w:right="16"/>
              <w:spacing w:after="0"/>
              <w:rPr>
                <w:sz w:val="20"/>
                <w:szCs w:val="20"/>
                <w:color w:val="auto"/>
              </w:rPr>
            </w:pPr>
            <w:r>
              <w:rPr>
                <w:rFonts w:ascii="Arial" w:cs="Arial" w:eastAsia="Arial" w:hAnsi="Arial"/>
                <w:sz w:val="13"/>
                <w:szCs w:val="13"/>
                <w:b w:val="1"/>
                <w:bCs w:val="1"/>
                <w:color w:val="auto"/>
              </w:rPr>
              <w:t>6,640</w:t>
            </w:r>
          </w:p>
        </w:tc>
        <w:tc>
          <w:tcPr>
            <w:tcW w:w="1440" w:type="dxa"/>
            <w:vAlign w:val="bottom"/>
          </w:tcPr>
          <w:p>
            <w:pPr>
              <w:jc w:val="right"/>
              <w:spacing w:after="0"/>
              <w:rPr>
                <w:sz w:val="20"/>
                <w:szCs w:val="20"/>
                <w:color w:val="auto"/>
              </w:rPr>
            </w:pPr>
            <w:r>
              <w:rPr>
                <w:rFonts w:ascii="Arial" w:cs="Arial" w:eastAsia="Arial" w:hAnsi="Arial"/>
                <w:sz w:val="13"/>
                <w:szCs w:val="13"/>
                <w:color w:val="auto"/>
              </w:rPr>
              <w:t>4,580</w:t>
            </w:r>
          </w:p>
        </w:tc>
        <w:tc>
          <w:tcPr>
            <w:tcW w:w="20" w:type="dxa"/>
            <w:vAlign w:val="bottom"/>
          </w:tcPr>
          <w:p>
            <w:pPr>
              <w:spacing w:after="0"/>
              <w:rPr>
                <w:sz w:val="15"/>
                <w:szCs w:val="15"/>
                <w:color w:val="auto"/>
              </w:rPr>
            </w:pPr>
          </w:p>
        </w:tc>
      </w:tr>
      <w:tr>
        <w:trPr>
          <w:trHeight w:val="24"/>
        </w:trPr>
        <w:tc>
          <w:tcPr>
            <w:tcW w:w="66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50"/>
        </w:trPr>
        <w:tc>
          <w:tcPr>
            <w:tcW w:w="6640" w:type="dxa"/>
            <w:vAlign w:val="bottom"/>
            <w:shd w:val="clear" w:color="auto" w:fill="CCEEFF"/>
          </w:tcPr>
          <w:p>
            <w:pPr>
              <w:spacing w:after="0"/>
              <w:rPr>
                <w:sz w:val="13"/>
                <w:szCs w:val="13"/>
                <w:color w:val="auto"/>
              </w:rPr>
            </w:pPr>
          </w:p>
        </w:tc>
        <w:tc>
          <w:tcPr>
            <w:tcW w:w="31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0"/>
        </w:trPr>
        <w:tc>
          <w:tcPr>
            <w:tcW w:w="6640" w:type="dxa"/>
            <w:vAlign w:val="bottom"/>
          </w:tcPr>
          <w:p>
            <w:pPr>
              <w:ind w:left="20"/>
              <w:spacing w:after="0"/>
              <w:rPr>
                <w:sz w:val="20"/>
                <w:szCs w:val="20"/>
                <w:color w:val="auto"/>
              </w:rPr>
            </w:pPr>
            <w:r>
              <w:rPr>
                <w:rFonts w:ascii="Arial" w:cs="Arial" w:eastAsia="Arial" w:hAnsi="Arial"/>
                <w:sz w:val="13"/>
                <w:szCs w:val="13"/>
                <w:b w:val="1"/>
                <w:bCs w:val="1"/>
                <w:color w:val="auto"/>
              </w:rPr>
              <w:t>Issued, fully paid share capital</w:t>
            </w:r>
          </w:p>
        </w:tc>
        <w:tc>
          <w:tcPr>
            <w:tcW w:w="3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0"/>
        </w:trPr>
        <w:tc>
          <w:tcPr>
            <w:tcW w:w="6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At beginning of year</w:t>
            </w:r>
          </w:p>
        </w:tc>
        <w:tc>
          <w:tcPr>
            <w:tcW w:w="318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4,580</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4,635</w:t>
            </w:r>
          </w:p>
        </w:tc>
        <w:tc>
          <w:tcPr>
            <w:tcW w:w="20" w:type="dxa"/>
            <w:vAlign w:val="bottom"/>
            <w:shd w:val="clear" w:color="auto" w:fill="CCEEFF"/>
          </w:tcPr>
          <w:p>
            <w:pPr>
              <w:spacing w:after="0"/>
              <w:rPr>
                <w:sz w:val="14"/>
                <w:szCs w:val="14"/>
                <w:color w:val="auto"/>
              </w:rPr>
            </w:pPr>
          </w:p>
        </w:tc>
      </w:tr>
      <w:tr>
        <w:trPr>
          <w:trHeight w:val="170"/>
        </w:trPr>
        <w:tc>
          <w:tcPr>
            <w:tcW w:w="6640" w:type="dxa"/>
            <w:vAlign w:val="bottom"/>
          </w:tcPr>
          <w:p>
            <w:pPr>
              <w:ind w:left="20"/>
              <w:spacing w:after="0"/>
              <w:rPr>
                <w:sz w:val="20"/>
                <w:szCs w:val="20"/>
                <w:color w:val="auto"/>
              </w:rPr>
            </w:pPr>
            <w:r>
              <w:rPr>
                <w:rFonts w:ascii="Arial" w:cs="Arial" w:eastAsia="Arial" w:hAnsi="Arial"/>
                <w:sz w:val="13"/>
                <w:szCs w:val="13"/>
                <w:color w:val="auto"/>
              </w:rPr>
              <w:t>Employee share options exercised</w:t>
            </w:r>
          </w:p>
        </w:tc>
        <w:tc>
          <w:tcPr>
            <w:tcW w:w="3180" w:type="dxa"/>
            <w:vAlign w:val="bottom"/>
          </w:tcPr>
          <w:p>
            <w:pPr>
              <w:jc w:val="right"/>
              <w:ind w:right="16"/>
              <w:spacing w:after="0"/>
              <w:rPr>
                <w:sz w:val="20"/>
                <w:szCs w:val="20"/>
                <w:color w:val="auto"/>
              </w:rPr>
            </w:pPr>
            <w:r>
              <w:rPr>
                <w:rFonts w:ascii="Arial" w:cs="Arial" w:eastAsia="Arial" w:hAnsi="Arial"/>
                <w:sz w:val="13"/>
                <w:szCs w:val="13"/>
                <w:b w:val="1"/>
                <w:bCs w:val="1"/>
                <w:color w:val="auto"/>
              </w:rPr>
              <w:t>77</w:t>
            </w:r>
          </w:p>
        </w:tc>
        <w:tc>
          <w:tcPr>
            <w:tcW w:w="1440" w:type="dxa"/>
            <w:vAlign w:val="bottom"/>
          </w:tcPr>
          <w:p>
            <w:pPr>
              <w:jc w:val="right"/>
              <w:spacing w:after="0"/>
              <w:rPr>
                <w:sz w:val="20"/>
                <w:szCs w:val="20"/>
                <w:color w:val="auto"/>
              </w:rPr>
            </w:pPr>
            <w:r>
              <w:rPr>
                <w:rFonts w:ascii="Arial" w:cs="Arial" w:eastAsia="Arial" w:hAnsi="Arial"/>
                <w:sz w:val="13"/>
                <w:szCs w:val="13"/>
                <w:color w:val="auto"/>
              </w:rPr>
              <w:t>13</w:t>
            </w:r>
          </w:p>
        </w:tc>
        <w:tc>
          <w:tcPr>
            <w:tcW w:w="20" w:type="dxa"/>
            <w:vAlign w:val="bottom"/>
          </w:tcPr>
          <w:p>
            <w:pPr>
              <w:spacing w:after="0"/>
              <w:rPr>
                <w:sz w:val="14"/>
                <w:szCs w:val="14"/>
                <w:color w:val="auto"/>
              </w:rPr>
            </w:pPr>
          </w:p>
        </w:tc>
      </w:tr>
      <w:tr>
        <w:trPr>
          <w:trHeight w:val="170"/>
        </w:trPr>
        <w:tc>
          <w:tcPr>
            <w:tcW w:w="6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Restricted share units/ performance share units</w:t>
            </w:r>
          </w:p>
        </w:tc>
        <w:tc>
          <w:tcPr>
            <w:tcW w:w="318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23</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20" w:type="dxa"/>
            <w:vAlign w:val="bottom"/>
            <w:shd w:val="clear" w:color="auto" w:fill="CCEEFF"/>
          </w:tcPr>
          <w:p>
            <w:pPr>
              <w:spacing w:after="0"/>
              <w:rPr>
                <w:sz w:val="14"/>
                <w:szCs w:val="14"/>
                <w:color w:val="auto"/>
              </w:rPr>
            </w:pPr>
          </w:p>
        </w:tc>
      </w:tr>
      <w:tr>
        <w:trPr>
          <w:trHeight w:val="170"/>
        </w:trPr>
        <w:tc>
          <w:tcPr>
            <w:tcW w:w="6640" w:type="dxa"/>
            <w:vAlign w:val="bottom"/>
          </w:tcPr>
          <w:p>
            <w:pPr>
              <w:ind w:left="20"/>
              <w:spacing w:after="0"/>
              <w:rPr>
                <w:sz w:val="20"/>
                <w:szCs w:val="20"/>
                <w:color w:val="auto"/>
              </w:rPr>
            </w:pPr>
            <w:r>
              <w:rPr>
                <w:rFonts w:ascii="Arial" w:cs="Arial" w:eastAsia="Arial" w:hAnsi="Arial"/>
                <w:sz w:val="13"/>
                <w:szCs w:val="13"/>
                <w:color w:val="auto"/>
              </w:rPr>
              <w:t>Issue of shares associated with a business combination</w:t>
            </w:r>
          </w:p>
        </w:tc>
        <w:tc>
          <w:tcPr>
            <w:tcW w:w="3180" w:type="dxa"/>
            <w:vAlign w:val="bottom"/>
          </w:tcPr>
          <w:p>
            <w:pPr>
              <w:jc w:val="right"/>
              <w:ind w:right="16"/>
              <w:spacing w:after="0"/>
              <w:rPr>
                <w:sz w:val="20"/>
                <w:szCs w:val="20"/>
                <w:color w:val="auto"/>
              </w:rPr>
            </w:pPr>
            <w:r>
              <w:rPr>
                <w:rFonts w:ascii="Arial" w:cs="Arial" w:eastAsia="Arial" w:hAnsi="Arial"/>
                <w:sz w:val="13"/>
                <w:szCs w:val="13"/>
                <w:b w:val="1"/>
                <w:bCs w:val="1"/>
                <w:color w:val="auto"/>
              </w:rPr>
              <w:t>1,960</w:t>
            </w:r>
          </w:p>
        </w:tc>
        <w:tc>
          <w:tcPr>
            <w:tcW w:w="14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170"/>
        </w:trPr>
        <w:tc>
          <w:tcPr>
            <w:tcW w:w="6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Repurchase of ordinary shares</w:t>
            </w:r>
          </w:p>
        </w:tc>
        <w:tc>
          <w:tcPr>
            <w:tcW w:w="3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20" w:type="dxa"/>
            <w:vAlign w:val="bottom"/>
            <w:tcBorders>
              <w:bottom w:val="single" w:sz="8" w:color="auto"/>
            </w:tcBorders>
            <w:shd w:val="clear" w:color="auto" w:fill="CCEEFF"/>
          </w:tcPr>
          <w:p>
            <w:pPr>
              <w:spacing w:after="0"/>
              <w:rPr>
                <w:sz w:val="14"/>
                <w:szCs w:val="14"/>
                <w:color w:val="auto"/>
              </w:rPr>
            </w:pPr>
          </w:p>
        </w:tc>
      </w:tr>
      <w:tr>
        <w:trPr>
          <w:trHeight w:val="150"/>
        </w:trPr>
        <w:tc>
          <w:tcPr>
            <w:tcW w:w="664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1"/>
        </w:trPr>
        <w:tc>
          <w:tcPr>
            <w:tcW w:w="6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At end of year</w:t>
            </w:r>
          </w:p>
        </w:tc>
        <w:tc>
          <w:tcPr>
            <w:tcW w:w="3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6,640</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4,580</w:t>
            </w:r>
          </w:p>
        </w:tc>
        <w:tc>
          <w:tcPr>
            <w:tcW w:w="20" w:type="dxa"/>
            <w:vAlign w:val="bottom"/>
            <w:tcBorders>
              <w:bottom w:val="single" w:sz="8" w:color="auto"/>
            </w:tcBorders>
            <w:shd w:val="clear" w:color="auto" w:fill="CCEEFF"/>
          </w:tcPr>
          <w:p>
            <w:pPr>
              <w:spacing w:after="0"/>
              <w:rPr>
                <w:sz w:val="14"/>
                <w:szCs w:val="14"/>
                <w:color w:val="auto"/>
              </w:rPr>
            </w:pPr>
          </w:p>
        </w:tc>
      </w:tr>
    </w:tbl>
    <w:p>
      <w:pPr>
        <w:spacing w:after="0" w:line="255"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Holders of ordinary shares will be entitled to receive such dividends as may be recommended by the Board of Directors of the Company and approved by the Shareholders and/or such interim dividends as the Board of Directors of the Company may decide. On liquidation or a winding up of the Company, the par value of the ordinary shares will be repaid out of the assets available for distribution among the holders of the ordinary shares of the Company. Holders of ordinary shares have no conversion or redemption rights. On a show of hands, every holder of an ordinary share present in person or proxy at a general meeting of shareholders shall have one vote, for each ordinary share held with no individual having more than one vote.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103</w:t>
      </w:r>
    </w:p>
    <w:p>
      <w:pPr>
        <w:sectPr>
          <w:pgSz w:w="11900" w:h="16838" w:orient="portrait"/>
          <w:cols w:equalWidth="0" w:num="1">
            <w:col w:w="11280"/>
          </w:cols>
          <w:pgMar w:left="300" w:top="698" w:right="31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275" w:lineRule="exact"/>
        <w:rPr>
          <w:sz w:val="20"/>
          <w:szCs w:val="20"/>
          <w:color w:val="auto"/>
        </w:rPr>
      </w:pPr>
    </w:p>
    <w:p>
      <w:pPr>
        <w:ind w:left="320" w:hanging="315"/>
        <w:spacing w:after="0"/>
        <w:tabs>
          <w:tab w:leader="none" w:pos="320" w:val="left"/>
        </w:tabs>
        <w:numPr>
          <w:ilvl w:val="0"/>
          <w:numId w:val="111"/>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Share capital </w:t>
      </w:r>
      <w:r>
        <w:rPr>
          <w:rFonts w:ascii="Arial" w:cs="Arial" w:eastAsia="Arial" w:hAnsi="Arial"/>
          <w:sz w:val="13"/>
          <w:szCs w:val="13"/>
          <w:b w:val="1"/>
          <w:bCs w:val="1"/>
          <w:i w:val="1"/>
          <w:iCs w:val="1"/>
          <w:color w:val="auto"/>
        </w:rPr>
        <w:t>(continued)</w:t>
      </w:r>
    </w:p>
    <w:p>
      <w:pPr>
        <w:spacing w:after="0" w:line="317"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On 1 July 2021, the Company completed the acquisition of PRA. In accordance with the terms of the Merger Agreement, the Company issued 27,372,427 shares of the Company's ordinary share capital at par value in exchange for all outstanding PRA shares of common stock.</w:t>
      </w:r>
    </w:p>
    <w:p>
      <w:pPr>
        <w:spacing w:after="0" w:line="82"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During the year ended 31 December 2021, 1,065,529 options were exercised by employees at an average exercise price of $111.29 per share for total proceeds of $118.6 million. During the year ended 31 December 2021, 446,404 ordinary shares were issued in respect of certain RSUs and 44,132 ordinary shares were issued in respect of PSUs previously awarded by the Company.</w:t>
      </w:r>
    </w:p>
    <w:p>
      <w:pPr>
        <w:spacing w:after="0" w:line="93"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During the year ended 31 December 2020, 193,417 options were exercised by employees at an average exercise price of $68.19 per share for total proceeds of $13.2 million. During the year ended 31 December 2020, 144,172 ordinary shares were issued in respect of certain RSUs and 63,516 ordinary shares were issued in respect of PSUs previously awarded by the Company.</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Share repurchase programme</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There were no share buybacks in the year ended 31 December 2021.</w:t>
      </w:r>
    </w:p>
    <w:p>
      <w:pPr>
        <w:spacing w:after="0" w:line="95"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A resolution was passed at the Company’s Annual General Meeting (“AGM”) on 22 July 2016, which authorised the Directors to purchase (buyback) up to 10% of the outstanding shares in the Company. This authorisation was renewed at the Company's AGM on each of 25 July 2017, 24 July 2018, 23 July 2019 and 21 July 2020 and 20 July 2021. On 3 October 2016, the Company commenced a share buyback programme of up to $400 million. The share buyback programme was completed during the year ended 31 December 2018 with a total of 4,026,576 ordinary shares redeemed for a total consideration of $372.1 million. On 8 January 2019, the Company commenced a further share buyback programme of up to 1.0 million ordinary shares which was completed during the year ended 31 December 2019. These shares were redeemed by the Company for a total consideration of $141.6 million. On 22 October 2019, the Company commenced a further share buyback programme. At 31 December 2019, 35,100 ordinary shares were redeemed by the Company for a total consideration of $5.3 million. During the year ended 31 December 2020, 1,235,218 ordinary shares were redeemed by the Company under this buyback programme for a total consideration of $175.0 million.</w:t>
      </w:r>
    </w:p>
    <w:p>
      <w:pPr>
        <w:spacing w:after="0" w:line="107"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All ordinary shares that were redeemed under the buyback programme were cancelled in accordance with the Constitution of the Company and the nominal value of these shares transferred to other undenominated capital as required under Irish Company law.</w:t>
      </w:r>
    </w:p>
    <w:p>
      <w:pPr>
        <w:spacing w:after="0" w:line="82"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Under the repurchase programme, a broker purchased the Company’s shares from time to time on the open market or in privately negotiated transactions in accordance with agreed terms and limitations. The programme was designed to allow share repurchases during periods when the Company would ordinarily not be permitted to do so because it may be in possession of material non-public or price-sensitive information, applicable insider trading laws or self-imposed trading blackout periods. The Company’s instructions to the broker were irrevocable and the trading decisions in respect of the repurchase programme were made independently of and uninfluenced by the Company. The Company confirms that on entering the share repurchase plans it had no material non-public, price-sensitive or inside information regarding the Company or its securities. Furthermore, the Company will not enter into additional plans whilst in possession of such information. The timing and actual number of shares acquired by way of the redemption will be dependent on market conditions, legal and regulatory requirements and the other terms and limitations contained in the programme. In addition, acquisitions under the programme may be suspended or discontinued in certain circumstances in accordance with the agreed terms. Therefore, there can be no assurance as to the timing or number of shares that may be acquired under the programme.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104</w:t>
      </w:r>
    </w:p>
    <w:p>
      <w:pPr>
        <w:sectPr>
          <w:pgSz w:w="11900" w:h="16838" w:orient="portrait"/>
          <w:cols w:equalWidth="0" w:num="1">
            <w:col w:w="11280"/>
          </w:cols>
          <w:pgMar w:left="300" w:top="698" w:right="31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275" w:lineRule="exact"/>
        <w:rPr>
          <w:sz w:val="20"/>
          <w:szCs w:val="20"/>
          <w:color w:val="auto"/>
        </w:rPr>
      </w:pPr>
    </w:p>
    <w:p>
      <w:pPr>
        <w:spacing w:after="0"/>
        <w:tabs>
          <w:tab w:leader="none" w:pos="300" w:val="left"/>
        </w:tabs>
        <w:rPr>
          <w:sz w:val="20"/>
          <w:szCs w:val="20"/>
          <w:color w:val="auto"/>
        </w:rPr>
      </w:pPr>
      <w:r>
        <w:rPr>
          <w:rFonts w:ascii="Arial" w:cs="Arial" w:eastAsia="Arial" w:hAnsi="Arial"/>
          <w:sz w:val="13"/>
          <w:szCs w:val="13"/>
          <w:b w:val="1"/>
          <w:bCs w:val="1"/>
          <w:color w:val="auto"/>
        </w:rPr>
        <w:t>25.</w:t>
      </w:r>
      <w:r>
        <w:rPr>
          <w:sz w:val="20"/>
          <w:szCs w:val="20"/>
          <w:color w:val="auto"/>
        </w:rPr>
        <w:tab/>
      </w:r>
      <w:r>
        <w:rPr>
          <w:rFonts w:ascii="Arial" w:cs="Arial" w:eastAsia="Arial" w:hAnsi="Arial"/>
          <w:sz w:val="12"/>
          <w:szCs w:val="12"/>
          <w:b w:val="1"/>
          <w:bCs w:val="1"/>
          <w:color w:val="auto"/>
        </w:rPr>
        <w:t>Capital and reserves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240" w:type="dxa"/>
            <w:vAlign w:val="bottom"/>
            <w:shd w:val="clear" w:color="auto" w:fill="CCEEFF"/>
          </w:tcPr>
          <w:p>
            <w:pPr>
              <w:spacing w:after="0"/>
              <w:rPr>
                <w:sz w:val="13"/>
                <w:szCs w:val="13"/>
                <w:color w:val="auto"/>
              </w:rPr>
            </w:pPr>
          </w:p>
        </w:tc>
        <w:tc>
          <w:tcPr>
            <w:tcW w:w="4660" w:type="dxa"/>
            <w:vAlign w:val="bottom"/>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31 December</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0"/>
        </w:trPr>
        <w:tc>
          <w:tcPr>
            <w:tcW w:w="5240" w:type="dxa"/>
            <w:vAlign w:val="bottom"/>
            <w:tcBorders>
              <w:bottom w:val="single" w:sz="8" w:color="auto"/>
            </w:tcBorders>
            <w:shd w:val="clear" w:color="auto" w:fill="CCEEFF"/>
          </w:tcPr>
          <w:p>
            <w:pPr>
              <w:spacing w:after="0"/>
              <w:rPr>
                <w:sz w:val="14"/>
                <w:szCs w:val="14"/>
                <w:color w:val="auto"/>
              </w:rPr>
            </w:pPr>
          </w:p>
        </w:tc>
        <w:tc>
          <w:tcPr>
            <w:tcW w:w="466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2021</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2020</w:t>
            </w:r>
          </w:p>
        </w:tc>
      </w:tr>
      <w:tr>
        <w:trPr>
          <w:trHeight w:val="160"/>
        </w:trPr>
        <w:tc>
          <w:tcPr>
            <w:tcW w:w="5240" w:type="dxa"/>
            <w:vAlign w:val="bottom"/>
          </w:tcPr>
          <w:p>
            <w:pPr>
              <w:spacing w:after="0"/>
              <w:rPr>
                <w:sz w:val="13"/>
                <w:szCs w:val="13"/>
                <w:color w:val="auto"/>
              </w:rPr>
            </w:pPr>
          </w:p>
        </w:tc>
        <w:tc>
          <w:tcPr>
            <w:tcW w:w="4660" w:type="dxa"/>
            <w:vAlign w:val="bottom"/>
          </w:tcPr>
          <w:p>
            <w:pPr>
              <w:jc w:val="right"/>
              <w:ind w:right="276"/>
              <w:spacing w:after="0"/>
              <w:rPr>
                <w:sz w:val="20"/>
                <w:szCs w:val="20"/>
                <w:color w:val="auto"/>
              </w:rPr>
            </w:pPr>
            <w:r>
              <w:rPr>
                <w:rFonts w:ascii="Arial" w:cs="Arial" w:eastAsia="Arial" w:hAnsi="Arial"/>
                <w:sz w:val="13"/>
                <w:szCs w:val="13"/>
                <w:b w:val="1"/>
                <w:bCs w:val="1"/>
                <w:color w:val="auto"/>
              </w:rPr>
              <w:t>$’000</w:t>
            </w:r>
          </w:p>
        </w:tc>
        <w:tc>
          <w:tcPr>
            <w:tcW w:w="112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202"/>
        </w:trPr>
        <w:tc>
          <w:tcPr>
            <w:tcW w:w="5240" w:type="dxa"/>
            <w:vAlign w:val="bottom"/>
            <w:shd w:val="clear" w:color="auto" w:fill="CCEEFF"/>
          </w:tcPr>
          <w:p>
            <w:pPr>
              <w:spacing w:after="0"/>
              <w:rPr>
                <w:sz w:val="17"/>
                <w:szCs w:val="17"/>
                <w:color w:val="auto"/>
              </w:rPr>
            </w:pPr>
          </w:p>
        </w:tc>
        <w:tc>
          <w:tcPr>
            <w:tcW w:w="46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170"/>
        </w:trPr>
        <w:tc>
          <w:tcPr>
            <w:tcW w:w="5240" w:type="dxa"/>
            <w:vAlign w:val="bottom"/>
          </w:tcPr>
          <w:p>
            <w:pPr>
              <w:ind w:left="20"/>
              <w:spacing w:after="0"/>
              <w:rPr>
                <w:sz w:val="20"/>
                <w:szCs w:val="20"/>
                <w:color w:val="auto"/>
              </w:rPr>
            </w:pPr>
            <w:r>
              <w:rPr>
                <w:rFonts w:ascii="Arial" w:cs="Arial" w:eastAsia="Arial" w:hAnsi="Arial"/>
                <w:sz w:val="13"/>
                <w:szCs w:val="13"/>
                <w:color w:val="auto"/>
              </w:rPr>
              <w:t>Share-based payment reserve</w:t>
            </w:r>
          </w:p>
        </w:tc>
        <w:tc>
          <w:tcPr>
            <w:tcW w:w="4660" w:type="dxa"/>
            <w:vAlign w:val="bottom"/>
          </w:tcPr>
          <w:p>
            <w:pPr>
              <w:jc w:val="right"/>
              <w:ind w:right="316"/>
              <w:spacing w:after="0"/>
              <w:rPr>
                <w:sz w:val="20"/>
                <w:szCs w:val="20"/>
                <w:color w:val="auto"/>
              </w:rPr>
            </w:pPr>
            <w:r>
              <w:rPr>
                <w:rFonts w:ascii="Arial" w:cs="Arial" w:eastAsia="Arial" w:hAnsi="Arial"/>
                <w:sz w:val="13"/>
                <w:szCs w:val="13"/>
                <w:b w:val="1"/>
                <w:bCs w:val="1"/>
                <w:color w:val="auto"/>
              </w:rPr>
              <w:t>420,973</w:t>
            </w:r>
          </w:p>
        </w:tc>
        <w:tc>
          <w:tcPr>
            <w:tcW w:w="1120" w:type="dxa"/>
            <w:vAlign w:val="bottom"/>
          </w:tcPr>
          <w:p>
            <w:pPr>
              <w:jc w:val="right"/>
              <w:spacing w:after="0"/>
              <w:rPr>
                <w:sz w:val="20"/>
                <w:szCs w:val="20"/>
                <w:color w:val="auto"/>
              </w:rPr>
            </w:pPr>
            <w:r>
              <w:rPr>
                <w:rFonts w:ascii="Arial" w:cs="Arial" w:eastAsia="Arial" w:hAnsi="Arial"/>
                <w:sz w:val="13"/>
                <w:szCs w:val="13"/>
                <w:color w:val="auto"/>
              </w:rPr>
              <w:t>179,569</w:t>
            </w:r>
          </w:p>
        </w:tc>
      </w:tr>
      <w:tr>
        <w:trPr>
          <w:trHeight w:val="170"/>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undenominated capital</w:t>
            </w:r>
          </w:p>
        </w:tc>
        <w:tc>
          <w:tcPr>
            <w:tcW w:w="466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1,134</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1,134</w:t>
            </w:r>
          </w:p>
        </w:tc>
      </w:tr>
      <w:tr>
        <w:trPr>
          <w:trHeight w:val="170"/>
        </w:trPr>
        <w:tc>
          <w:tcPr>
            <w:tcW w:w="5240" w:type="dxa"/>
            <w:vAlign w:val="bottom"/>
          </w:tcPr>
          <w:p>
            <w:pPr>
              <w:ind w:left="20"/>
              <w:spacing w:after="0"/>
              <w:rPr>
                <w:sz w:val="20"/>
                <w:szCs w:val="20"/>
                <w:color w:val="auto"/>
              </w:rPr>
            </w:pPr>
            <w:r>
              <w:rPr>
                <w:rFonts w:ascii="Arial" w:cs="Arial" w:eastAsia="Arial" w:hAnsi="Arial"/>
                <w:sz w:val="13"/>
                <w:szCs w:val="13"/>
                <w:color w:val="auto"/>
              </w:rPr>
              <w:t>Other reserves</w:t>
            </w:r>
          </w:p>
        </w:tc>
        <w:tc>
          <w:tcPr>
            <w:tcW w:w="4660" w:type="dxa"/>
            <w:vAlign w:val="bottom"/>
          </w:tcPr>
          <w:p>
            <w:pPr>
              <w:jc w:val="right"/>
              <w:ind w:right="316"/>
              <w:spacing w:after="0"/>
              <w:rPr>
                <w:sz w:val="20"/>
                <w:szCs w:val="20"/>
                <w:color w:val="auto"/>
              </w:rPr>
            </w:pPr>
            <w:r>
              <w:rPr>
                <w:rFonts w:ascii="Arial" w:cs="Arial" w:eastAsia="Arial" w:hAnsi="Arial"/>
                <w:sz w:val="13"/>
                <w:szCs w:val="13"/>
                <w:b w:val="1"/>
                <w:bCs w:val="1"/>
                <w:color w:val="auto"/>
              </w:rPr>
              <w:t>12,438</w:t>
            </w:r>
          </w:p>
        </w:tc>
        <w:tc>
          <w:tcPr>
            <w:tcW w:w="1120" w:type="dxa"/>
            <w:vAlign w:val="bottom"/>
          </w:tcPr>
          <w:p>
            <w:pPr>
              <w:jc w:val="right"/>
              <w:spacing w:after="0"/>
              <w:rPr>
                <w:sz w:val="20"/>
                <w:szCs w:val="20"/>
                <w:color w:val="auto"/>
              </w:rPr>
            </w:pPr>
            <w:r>
              <w:rPr>
                <w:rFonts w:ascii="Arial" w:cs="Arial" w:eastAsia="Arial" w:hAnsi="Arial"/>
                <w:sz w:val="13"/>
                <w:szCs w:val="13"/>
                <w:color w:val="auto"/>
              </w:rPr>
              <w:t>11,966</w:t>
            </w:r>
          </w:p>
        </w:tc>
      </w:tr>
      <w:tr>
        <w:trPr>
          <w:trHeight w:val="170"/>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Currency reserve</w:t>
            </w:r>
          </w:p>
        </w:tc>
        <w:tc>
          <w:tcPr>
            <w:tcW w:w="4660" w:type="dxa"/>
            <w:vAlign w:val="bottom"/>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(86,621)</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(24,966)</w:t>
            </w:r>
          </w:p>
        </w:tc>
      </w:tr>
      <w:tr>
        <w:trPr>
          <w:trHeight w:val="170"/>
        </w:trPr>
        <w:tc>
          <w:tcPr>
            <w:tcW w:w="5240" w:type="dxa"/>
            <w:vAlign w:val="bottom"/>
          </w:tcPr>
          <w:p>
            <w:pPr>
              <w:ind w:left="20"/>
              <w:spacing w:after="0"/>
              <w:rPr>
                <w:sz w:val="20"/>
                <w:szCs w:val="20"/>
                <w:color w:val="auto"/>
              </w:rPr>
            </w:pPr>
            <w:r>
              <w:rPr>
                <w:rFonts w:ascii="Arial" w:cs="Arial" w:eastAsia="Arial" w:hAnsi="Arial"/>
                <w:sz w:val="13"/>
                <w:szCs w:val="13"/>
                <w:color w:val="auto"/>
              </w:rPr>
              <w:t>Merger reserve</w:t>
            </w:r>
          </w:p>
        </w:tc>
        <w:tc>
          <w:tcPr>
            <w:tcW w:w="4660" w:type="dxa"/>
            <w:vAlign w:val="bottom"/>
          </w:tcPr>
          <w:p>
            <w:pPr>
              <w:jc w:val="right"/>
              <w:ind w:right="316"/>
              <w:spacing w:after="0"/>
              <w:rPr>
                <w:sz w:val="20"/>
                <w:szCs w:val="20"/>
                <w:color w:val="auto"/>
              </w:rPr>
            </w:pPr>
            <w:r>
              <w:rPr>
                <w:rFonts w:ascii="Arial" w:cs="Arial" w:eastAsia="Arial" w:hAnsi="Arial"/>
                <w:sz w:val="13"/>
                <w:szCs w:val="13"/>
                <w:b w:val="1"/>
                <w:bCs w:val="1"/>
                <w:color w:val="auto"/>
              </w:rPr>
              <w:t>5,656,195</w:t>
            </w: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5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Retained earnings</w:t>
            </w:r>
          </w:p>
        </w:tc>
        <w:tc>
          <w:tcPr>
            <w:tcW w:w="466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1,730,190</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1,389,982</w:t>
            </w:r>
          </w:p>
        </w:tc>
      </w:tr>
      <w:tr>
        <w:trPr>
          <w:trHeight w:val="164"/>
        </w:trPr>
        <w:tc>
          <w:tcPr>
            <w:tcW w:w="5240" w:type="dxa"/>
            <w:vAlign w:val="bottom"/>
          </w:tcPr>
          <w:p>
            <w:pPr>
              <w:ind w:left="20"/>
              <w:spacing w:after="0"/>
              <w:rPr>
                <w:sz w:val="20"/>
                <w:szCs w:val="20"/>
                <w:color w:val="auto"/>
              </w:rPr>
            </w:pPr>
            <w:r>
              <w:rPr>
                <w:rFonts w:ascii="Arial" w:cs="Arial" w:eastAsia="Arial" w:hAnsi="Arial"/>
                <w:sz w:val="13"/>
                <w:szCs w:val="13"/>
                <w:b w:val="1"/>
                <w:bCs w:val="1"/>
                <w:color w:val="auto"/>
              </w:rPr>
              <w:t>Total</w:t>
            </w:r>
          </w:p>
        </w:tc>
        <w:tc>
          <w:tcPr>
            <w:tcW w:w="4660" w:type="dxa"/>
            <w:vAlign w:val="bottom"/>
          </w:tcPr>
          <w:p>
            <w:pPr>
              <w:jc w:val="right"/>
              <w:ind w:right="316"/>
              <w:spacing w:after="0"/>
              <w:rPr>
                <w:sz w:val="20"/>
                <w:szCs w:val="20"/>
                <w:color w:val="auto"/>
              </w:rPr>
            </w:pPr>
            <w:r>
              <w:rPr>
                <w:rFonts w:ascii="Arial" w:cs="Arial" w:eastAsia="Arial" w:hAnsi="Arial"/>
                <w:sz w:val="13"/>
                <w:szCs w:val="13"/>
                <w:b w:val="1"/>
                <w:bCs w:val="1"/>
                <w:color w:val="auto"/>
              </w:rPr>
              <w:t>7,734,309</w:t>
            </w:r>
          </w:p>
        </w:tc>
        <w:tc>
          <w:tcPr>
            <w:tcW w:w="1120" w:type="dxa"/>
            <w:vAlign w:val="bottom"/>
          </w:tcPr>
          <w:p>
            <w:pPr>
              <w:jc w:val="right"/>
              <w:spacing w:after="0"/>
              <w:rPr>
                <w:sz w:val="20"/>
                <w:szCs w:val="20"/>
                <w:color w:val="auto"/>
              </w:rPr>
            </w:pPr>
            <w:r>
              <w:rPr>
                <w:rFonts w:ascii="Arial" w:cs="Arial" w:eastAsia="Arial" w:hAnsi="Arial"/>
                <w:sz w:val="13"/>
                <w:szCs w:val="13"/>
                <w:color w:val="auto"/>
              </w:rPr>
              <w:t>1,557,685</w:t>
            </w:r>
          </w:p>
        </w:tc>
      </w:tr>
    </w:tbl>
    <w:p>
      <w:pPr>
        <w:spacing w:after="0" w:line="24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Share-based payment reserve</w:t>
      </w:r>
    </w:p>
    <w:p>
      <w:pPr>
        <w:spacing w:after="0" w:line="16"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The share-based payment reserve is used to account for share-based payments. The fair value of share-based payments is expensed to the Consolidated Statement of Profit and Loss over the period the related services are received, with a corresponding increase in equity. At 31 December 2021 the Group has recognised a cumulative charge for share-based payments of $661.7 million net of deferred tax (2020: $288.6 million). The Group has also recognised a cumulative credit of $81.8 million (2020: $51.5 million) in reserves for the current and deferred tax effects of the tax benefits relating to the exercise of employee share options in excess of related cumulative compensation expense. The Group has reclassified a cumulative credit of $322.5 million (2020: $160.5 million) to retained earnings in respect of exercised and expired share-based awards.</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Other undenominated capital</w:t>
      </w:r>
    </w:p>
    <w:p>
      <w:pPr>
        <w:spacing w:after="0" w:line="9"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Other undenominated capital comprises the nominal value of shares repurchased and cancelled by the Company and transferred from share capital to other undenominated capital as required under Irish Company Law. No ordinary shares were repurchased and cancelled by the Group during the year ended 31 December 2021 (31 December 2020: 1,235,218).</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Other reserves</w:t>
      </w:r>
    </w:p>
    <w:p>
      <w:pPr>
        <w:spacing w:after="0" w:line="16" w:lineRule="exact"/>
        <w:rPr>
          <w:sz w:val="20"/>
          <w:szCs w:val="20"/>
          <w:color w:val="auto"/>
        </w:rPr>
      </w:pPr>
    </w:p>
    <w:p>
      <w:pPr>
        <w:jc w:val="both"/>
        <w:spacing w:after="0" w:line="295" w:lineRule="auto"/>
        <w:rPr>
          <w:sz w:val="20"/>
          <w:szCs w:val="20"/>
          <w:color w:val="auto"/>
        </w:rPr>
      </w:pPr>
      <w:r>
        <w:rPr>
          <w:rFonts w:ascii="Arial" w:cs="Arial" w:eastAsia="Arial" w:hAnsi="Arial"/>
          <w:sz w:val="12"/>
          <w:szCs w:val="12"/>
          <w:color w:val="auto"/>
        </w:rPr>
        <w:t>The Group has recognised a non-distributable reserve of $5.6 million in accordance with agreements made between the Group and Enterprise Ireland, an Irish government agency. The requirement for these non-distributable reserves will expire between the period 2022 and 2025. In 2005 the Group also recognised a capital contribution of $6.1 million being the fair value of outstanding ordinary shares transferred to Mr Peter Gray, formerly Vice Chair of the Board of Directors and formerly Chief Executive Officer, by founding Directors, Dr. John Climax and Dr. Ronan Lambe.</w:t>
      </w:r>
    </w:p>
    <w:p>
      <w:pPr>
        <w:spacing w:after="0" w:line="152"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In June 2020, the Company entered into an interest rate hedge in respect of the planned issuance of the Senior Notes in December 2020. The interest rate hedge matured on 9 July 2020 when the interest rate on the Senior Notes was fixed. The cash payment ($0.9 million), representing the realised loss on the interest rate hedge was paid on maturity in July 2020 and was recorded in Other Reserves. The 2020 Senior Notes were repaid on 1 July 2021 and the realised loss was charged to the Consolidated Statement of Profit and Loss.</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Currency reserve</w:t>
      </w:r>
    </w:p>
    <w:p>
      <w:pPr>
        <w:spacing w:after="0" w:line="16" w:lineRule="exact"/>
        <w:rPr>
          <w:sz w:val="20"/>
          <w:szCs w:val="20"/>
          <w:color w:val="auto"/>
        </w:rPr>
      </w:pPr>
    </w:p>
    <w:p>
      <w:pPr>
        <w:jc w:val="both"/>
        <w:spacing w:after="0" w:line="270" w:lineRule="auto"/>
        <w:rPr>
          <w:sz w:val="20"/>
          <w:szCs w:val="20"/>
          <w:color w:val="auto"/>
        </w:rPr>
      </w:pPr>
      <w:r>
        <w:rPr>
          <w:rFonts w:ascii="Arial" w:cs="Arial" w:eastAsia="Arial" w:hAnsi="Arial"/>
          <w:sz w:val="13"/>
          <w:szCs w:val="13"/>
          <w:color w:val="auto"/>
        </w:rPr>
        <w:t>The currency reserve comprises all foreign exchange differences arising from the translation of the financial statements of foreign currency denominated operations of the Group since 1 June 2004, the date of transition to IFRS. As at 31 December 2021, this amounted to a cumulative loss of $86.6 million (2020: loss of $25.0 million).</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Share premium</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Share premium is the difference between the nominal value of shares and the value of consideration for shares issued.</w:t>
      </w:r>
    </w:p>
    <w:p>
      <w:pPr>
        <w:spacing w:after="0" w:line="19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Merger reserve</w:t>
      </w:r>
    </w:p>
    <w:p>
      <w:pPr>
        <w:spacing w:after="0" w:line="16"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On 1 July 2021, the Company completed the Acquisition of PRA by means of a merger whereby Indigo Merger Sub, Inc., a Delaware corporation and subsidiary of the Company, merged with and into PRA, the parent of the PRA Health Sciences Group. Upon completion of the Merger, pursuant to the terms of the Merger Agreement, PRA became a wholly owned subsidiary of the Company. The transaction resulted in the issuance of 27,372,427 shares to the former stockholders of PRA. The Company issued these shares at the prevailing market price and recognised the premium of $5,656.2 million on issuance of these shares as a merger reserve as required under Irish Company Law.</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105</w:t>
      </w:r>
    </w:p>
    <w:p>
      <w:pPr>
        <w:sectPr>
          <w:pgSz w:w="11900" w:h="16838" w:orient="portrait"/>
          <w:cols w:equalWidth="0" w:num="1">
            <w:col w:w="11280"/>
          </w:cols>
          <w:pgMar w:left="300" w:top="698" w:right="31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275" w:lineRule="exact"/>
        <w:rPr>
          <w:sz w:val="20"/>
          <w:szCs w:val="20"/>
          <w:color w:val="auto"/>
        </w:rPr>
      </w:pPr>
    </w:p>
    <w:p>
      <w:pPr>
        <w:ind w:left="320" w:hanging="315"/>
        <w:spacing w:after="0"/>
        <w:tabs>
          <w:tab w:leader="none" w:pos="320" w:val="left"/>
        </w:tabs>
        <w:numPr>
          <w:ilvl w:val="0"/>
          <w:numId w:val="112"/>
        </w:numPr>
        <w:rPr>
          <w:rFonts w:ascii="Arial" w:cs="Arial" w:eastAsia="Arial" w:hAnsi="Arial"/>
          <w:sz w:val="13"/>
          <w:szCs w:val="13"/>
          <w:b w:val="1"/>
          <w:bCs w:val="1"/>
          <w:color w:val="auto"/>
        </w:rPr>
      </w:pPr>
      <w:r>
        <w:rPr>
          <w:rFonts w:ascii="Arial" w:cs="Arial" w:eastAsia="Arial" w:hAnsi="Arial"/>
          <w:sz w:val="13"/>
          <w:szCs w:val="13"/>
          <w:b w:val="1"/>
          <w:bCs w:val="1"/>
          <w:color w:val="auto"/>
        </w:rPr>
        <w:t>Capital and reserves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Retained earnings</w:t>
      </w:r>
    </w:p>
    <w:p>
      <w:pPr>
        <w:spacing w:after="0" w:line="16" w:lineRule="exact"/>
        <w:rPr>
          <w:sz w:val="20"/>
          <w:szCs w:val="20"/>
          <w:color w:val="auto"/>
        </w:rPr>
      </w:pPr>
    </w:p>
    <w:p>
      <w:pPr>
        <w:jc w:val="both"/>
        <w:spacing w:after="0" w:line="255" w:lineRule="auto"/>
        <w:rPr>
          <w:sz w:val="20"/>
          <w:szCs w:val="20"/>
          <w:color w:val="auto"/>
        </w:rPr>
      </w:pPr>
      <w:r>
        <w:rPr>
          <w:rFonts w:ascii="Arial" w:cs="Arial" w:eastAsia="Arial" w:hAnsi="Arial"/>
          <w:sz w:val="13"/>
          <w:szCs w:val="13"/>
          <w:color w:val="auto"/>
        </w:rPr>
        <w:t>In addition to the profit for the financial year the Group has also recognised the re-measurement of the defined benefit pension scheme in this reserve. In 2021, the Group recognised a re-measurement gain on the defined benefit pension scheme of $4.2 million (31 December 2020: a re-measurement loss of $3.7 million). In 2021, the Group recognised share issue costs of $0.9 million in this reserve (2020: $0.1 million). The Group has recognised a credit of $162.0 million (2020: credit of $23.5 million) in respect of exercised and expired share-based awards that have been transferred from the share-based payment reserve. In the prior year, the Group also participated in a share buyback programme. During the year ended 31 December 2020, the Group redeemed a total of 1,235,218 ordinary shares for total consideration of $175.0 million. No ordinary shares were repurchased and cancelled by the Group during the year ended 31 December 2021.</w:t>
      </w:r>
    </w:p>
    <w:p>
      <w:pPr>
        <w:spacing w:after="0" w:line="216" w:lineRule="exact"/>
        <w:rPr>
          <w:sz w:val="20"/>
          <w:szCs w:val="20"/>
          <w:color w:val="auto"/>
        </w:rPr>
      </w:pPr>
    </w:p>
    <w:p>
      <w:pPr>
        <w:ind w:left="320" w:hanging="315"/>
        <w:spacing w:after="0"/>
        <w:tabs>
          <w:tab w:leader="none" w:pos="320" w:val="left"/>
        </w:tabs>
        <w:numPr>
          <w:ilvl w:val="0"/>
          <w:numId w:val="113"/>
        </w:numPr>
        <w:rPr>
          <w:rFonts w:ascii="Arial" w:cs="Arial" w:eastAsia="Arial" w:hAnsi="Arial"/>
          <w:sz w:val="13"/>
          <w:szCs w:val="13"/>
          <w:b w:val="1"/>
          <w:bCs w:val="1"/>
          <w:color w:val="auto"/>
        </w:rPr>
      </w:pPr>
      <w:r>
        <w:rPr>
          <w:rFonts w:ascii="Arial" w:cs="Arial" w:eastAsia="Arial" w:hAnsi="Arial"/>
          <w:sz w:val="13"/>
          <w:szCs w:val="13"/>
          <w:b w:val="1"/>
          <w:bCs w:val="1"/>
          <w:color w:val="auto"/>
        </w:rPr>
        <w:t>Financial instruments</w:t>
      </w:r>
    </w:p>
    <w:p>
      <w:pPr>
        <w:spacing w:after="0" w:line="95"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The Board of Directors have overall responsibility for the establishment and oversight of the Group’s risk management framework. The Group is exposed to various financial risks in the normal course of its business. The principle financial risks to which it is exposed include credit risks related to the creditworthiness of its customers and counterparties, with which it invests surplus cash funds, liquidity risk associated with the availability of sufficient capital resources, foreign currency risks, including both translation and transaction risk, and interest rate risk.</w:t>
      </w:r>
    </w:p>
    <w:p>
      <w:pPr>
        <w:spacing w:after="0" w:line="240" w:lineRule="exact"/>
        <w:rPr>
          <w:sz w:val="20"/>
          <w:szCs w:val="20"/>
          <w:color w:val="auto"/>
        </w:rPr>
      </w:pPr>
    </w:p>
    <w:p>
      <w:pPr>
        <w:jc w:val="both"/>
        <w:spacing w:after="0" w:line="293" w:lineRule="auto"/>
        <w:rPr>
          <w:sz w:val="20"/>
          <w:szCs w:val="20"/>
          <w:color w:val="auto"/>
        </w:rPr>
      </w:pPr>
      <w:r>
        <w:rPr>
          <w:rFonts w:ascii="Arial" w:cs="Arial" w:eastAsia="Arial" w:hAnsi="Arial"/>
          <w:sz w:val="12"/>
          <w:szCs w:val="12"/>
          <w:color w:val="auto"/>
        </w:rPr>
        <w:t>The Group’s risk management policies are established to identify and analyse the risks faced by the Group, to set appropriate risk limits and controls, and to monitor risks and adherence to limits. Risk management policies and systems are reviewed regularly to reflect changes in market conditions and the Group’s activities. The Group, through its training and management standards and procedures, aims to develop a disciplined and constructive control environment in which all employees understand their roles and obligations. The Audit Committee of the Board oversees how management monitors compliance with the Group’s risk management policies and procedures and reviews the adequacy of the risk management framework in relation to the risks faced by the Group.</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Credit risk</w:t>
      </w:r>
    </w:p>
    <w:p>
      <w:pPr>
        <w:spacing w:after="0" w:line="50"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Credit risk arises from cash and cash equivalents, contractual cash flows of debt investments carried at fair value through other comprehensive income and at fair value through profit or loss, favourable derivative financial instruments and deposits with banks and financial institutions, as well as credit exposures to customers, including outstanding accounts receivable, unbilled receivables and other receivables.</w:t>
      </w:r>
    </w:p>
    <w:p>
      <w:pPr>
        <w:spacing w:after="0" w:line="49"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Credit risk is managed on a group basis. For banks and financial institutions, independently rated parties with a minimum rating of BBB+ for overnight maturities and a minimum of A- for any bank deposits greater than overnight and up to three months.</w:t>
      </w:r>
    </w:p>
    <w:p>
      <w:pPr>
        <w:spacing w:after="0" w:line="93"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Current asset investments (recorded at fair value through other comprehensive income) comprise investments with maturities of greater than three months. The minimum ratings required for investment are as follows: bank deposits (A-), money market funds (AAA), liquidity funds (AAA) and fixed rate corporate bonds or floating rate notes (A- non-financial, AA- financial).</w:t>
      </w:r>
    </w:p>
    <w:p>
      <w:pPr>
        <w:spacing w:after="0" w:line="93"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The Group’s exposure to credit risk arises predominately in respect of the credit risk assessment of customers. Customer credit risk is managed through application of credit procedures, in particular through risk assessment of new customers, through assessment of credit quality, taking into account its financial position, past experience and other factors. The compliance with credit terms is regularly monitored by line management.</w:t>
      </w:r>
    </w:p>
    <w:p>
      <w:pPr>
        <w:spacing w:after="0" w:line="102"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Contract terms may range from several weeks to several years depending on the nature of the work to be performed. Contracts are generally fixed price or unit based. In most cases, a portion of the contract fee is paid at the time the study or trial is started. The balance of the contract fee is generally billable in instalments over the study or trial duration and may be based on the delivery of certain performance targets or "milestones" or based on units delivered, or on a fixed monthly payment schedule such as patient enrolment or database delivery.</w:t>
      </w:r>
    </w:p>
    <w:p>
      <w:pPr>
        <w:spacing w:after="0" w:line="10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Where customers request changes in the scope of a trial or in the services to be provided, a change order or amendment is issued which may result either in an increase or decrease in the contract value.</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color w:val="auto"/>
        </w:rPr>
        <w:t>The Group also contracts on a "fee-for-service" or "time and materials" basis.</w:t>
      </w:r>
    </w:p>
    <w:p>
      <w:pPr>
        <w:spacing w:after="0" w:line="137"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During the course of a study, the Group will generally incur reimbursable expenses. Reimbursable expenses are typically estimated and budgeted within the contract and are generally invoiced on a monthly basis based on actual expenses incurred. Reimbursable expenses include payments to investigators, travel and accommodation costs and various other expenses incurred over the course of the clinical trial which are fully reimbursable by the client.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106</w:t>
      </w:r>
    </w:p>
    <w:p>
      <w:pPr>
        <w:sectPr>
          <w:pgSz w:w="11900" w:h="16838" w:orient="portrait"/>
          <w:cols w:equalWidth="0" w:num="1">
            <w:col w:w="11280"/>
          </w:cols>
          <w:pgMar w:left="300" w:top="698" w:right="31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190" w:lineRule="exact"/>
        <w:rPr>
          <w:sz w:val="20"/>
          <w:szCs w:val="20"/>
          <w:color w:val="auto"/>
        </w:rPr>
      </w:pPr>
    </w:p>
    <w:p>
      <w:pPr>
        <w:ind w:left="320" w:hanging="315"/>
        <w:spacing w:after="0"/>
        <w:tabs>
          <w:tab w:leader="none" w:pos="320" w:val="left"/>
        </w:tabs>
        <w:numPr>
          <w:ilvl w:val="0"/>
          <w:numId w:val="114"/>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Financial instruments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Most of the Group’s contracts are terminable immediately by the customer with justifiable cause or with 30 to 90 days' notice without cause. In the event of termination, the Group is usually entitled to all sums owed for work performed through the notice of termination and certain costs associated with termination of the study. Termination or delay in the performance of a contract occurs for various reasons, including, but not limited to, unexpected or undesired results, production problems resulting in shortages of the drug, adverse patient reactions to the drug, the client's decision to de-emphasise a particular trial, inadequate patient enrolment or investigator recruitment.</w:t>
      </w:r>
    </w:p>
    <w:p>
      <w:pPr>
        <w:spacing w:after="0" w:line="108" w:lineRule="exact"/>
        <w:rPr>
          <w:sz w:val="20"/>
          <w:szCs w:val="20"/>
          <w:color w:val="auto"/>
        </w:rPr>
      </w:pPr>
    </w:p>
    <w:p>
      <w:pPr>
        <w:jc w:val="both"/>
        <w:spacing w:after="0" w:line="302" w:lineRule="auto"/>
        <w:rPr>
          <w:sz w:val="20"/>
          <w:szCs w:val="20"/>
          <w:color w:val="auto"/>
        </w:rPr>
      </w:pPr>
      <w:r>
        <w:rPr>
          <w:rFonts w:ascii="Arial" w:cs="Arial" w:eastAsia="Arial" w:hAnsi="Arial"/>
          <w:sz w:val="12"/>
          <w:szCs w:val="12"/>
          <w:color w:val="auto"/>
        </w:rPr>
        <w:t>The Group’s top five customers accounted for approximately 31.6% and 39.1% of revenue during the years ended 31 December 2021 and 31 December 2020 respectively. During the year ended 31 December 2021, 8.0% of the Group’s revenues were derived from its top customer (2020: 12.1%). No customer contributed more than 10% of revenues during the year ended 31 December 2021. The addition of new customer accounts, particularly large and mid-tier pharma customers and biotech customers have resulted in a reduction in this concentration of revenues from our top five customers.</w:t>
      </w:r>
    </w:p>
    <w:p>
      <w:pPr>
        <w:spacing w:after="0" w:line="84"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maximum exposure of credit risk pertaining to customers is the carrying value of accounts receivable and unbilled revenue balances. The gross value of accounts receivable and unbilled revenue balances, by geographic region, at 31 December 2021 was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00" w:type="dxa"/>
            <w:vAlign w:val="bottom"/>
            <w:tcBorders>
              <w:bottom w:val="single" w:sz="8" w:color="auto"/>
            </w:tcBorders>
            <w:shd w:val="clear" w:color="auto" w:fill="CCEEFF"/>
          </w:tcPr>
          <w:p>
            <w:pPr>
              <w:spacing w:after="0"/>
              <w:rPr>
                <w:sz w:val="14"/>
                <w:szCs w:val="14"/>
                <w:color w:val="auto"/>
              </w:rPr>
            </w:pPr>
          </w:p>
        </w:tc>
        <w:tc>
          <w:tcPr>
            <w:tcW w:w="3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Accounts Receivable</w:t>
            </w:r>
          </w:p>
        </w:tc>
        <w:tc>
          <w:tcPr>
            <w:tcW w:w="1140" w:type="dxa"/>
            <w:vAlign w:val="bottom"/>
            <w:tcBorders>
              <w:bottom w:val="single" w:sz="8" w:color="auto"/>
            </w:tcBorders>
            <w:shd w:val="clear" w:color="auto" w:fill="CCEEFF"/>
          </w:tcPr>
          <w:p>
            <w:pPr>
              <w:spacing w:after="0"/>
              <w:rPr>
                <w:sz w:val="14"/>
                <w:szCs w:val="14"/>
                <w:color w:val="auto"/>
              </w:rPr>
            </w:pPr>
          </w:p>
        </w:tc>
        <w:tc>
          <w:tcPr>
            <w:tcW w:w="17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Unbilled Revenue</w:t>
            </w:r>
          </w:p>
        </w:tc>
        <w:tc>
          <w:tcPr>
            <w:tcW w:w="860" w:type="dxa"/>
            <w:vAlign w:val="bottom"/>
            <w:tcBorders>
              <w:bottom w:val="single" w:sz="8" w:color="auto"/>
            </w:tcBorders>
            <w:shd w:val="clear" w:color="auto" w:fill="CCEEFF"/>
          </w:tcPr>
          <w:p>
            <w:pPr>
              <w:spacing w:after="0"/>
              <w:rPr>
                <w:sz w:val="14"/>
                <w:szCs w:val="14"/>
                <w:color w:val="auto"/>
              </w:rPr>
            </w:pPr>
          </w:p>
        </w:tc>
      </w:tr>
      <w:tr>
        <w:trPr>
          <w:trHeight w:val="118"/>
        </w:trPr>
        <w:tc>
          <w:tcPr>
            <w:tcW w:w="4100" w:type="dxa"/>
            <w:vAlign w:val="bottom"/>
          </w:tcPr>
          <w:p>
            <w:pPr>
              <w:spacing w:after="0"/>
              <w:rPr>
                <w:sz w:val="10"/>
                <w:szCs w:val="10"/>
                <w:color w:val="auto"/>
              </w:rPr>
            </w:pPr>
          </w:p>
        </w:tc>
        <w:tc>
          <w:tcPr>
            <w:tcW w:w="3400" w:type="dxa"/>
            <w:vAlign w:val="bottom"/>
          </w:tcPr>
          <w:p>
            <w:pPr>
              <w:jc w:val="right"/>
              <w:ind w:right="636"/>
              <w:spacing w:after="0" w:line="118" w:lineRule="exact"/>
              <w:rPr>
                <w:sz w:val="20"/>
                <w:szCs w:val="20"/>
                <w:color w:val="auto"/>
              </w:rPr>
            </w:pPr>
            <w:r>
              <w:rPr>
                <w:rFonts w:ascii="Arial" w:cs="Arial" w:eastAsia="Arial" w:hAnsi="Arial"/>
                <w:sz w:val="13"/>
                <w:szCs w:val="13"/>
                <w:b w:val="1"/>
                <w:bCs w:val="1"/>
                <w:color w:val="auto"/>
              </w:rPr>
              <w:t>31 December</w:t>
            </w:r>
          </w:p>
        </w:tc>
        <w:tc>
          <w:tcPr>
            <w:tcW w:w="1140" w:type="dxa"/>
            <w:vAlign w:val="bottom"/>
          </w:tcPr>
          <w:p>
            <w:pPr>
              <w:jc w:val="right"/>
              <w:ind w:right="296"/>
              <w:spacing w:after="0" w:line="118" w:lineRule="exact"/>
              <w:rPr>
                <w:sz w:val="20"/>
                <w:szCs w:val="20"/>
                <w:color w:val="auto"/>
              </w:rPr>
            </w:pPr>
            <w:r>
              <w:rPr>
                <w:rFonts w:ascii="Arial" w:cs="Arial" w:eastAsia="Arial" w:hAnsi="Arial"/>
                <w:sz w:val="13"/>
                <w:szCs w:val="13"/>
                <w:color w:val="auto"/>
                <w:w w:val="97"/>
              </w:rPr>
              <w:t>31 December</w:t>
            </w:r>
          </w:p>
        </w:tc>
        <w:tc>
          <w:tcPr>
            <w:tcW w:w="1780" w:type="dxa"/>
            <w:vAlign w:val="bottom"/>
          </w:tcPr>
          <w:p>
            <w:pPr>
              <w:jc w:val="right"/>
              <w:ind w:right="576"/>
              <w:spacing w:after="0" w:line="118" w:lineRule="exact"/>
              <w:rPr>
                <w:sz w:val="20"/>
                <w:szCs w:val="20"/>
                <w:color w:val="auto"/>
              </w:rPr>
            </w:pPr>
            <w:r>
              <w:rPr>
                <w:rFonts w:ascii="Arial" w:cs="Arial" w:eastAsia="Arial" w:hAnsi="Arial"/>
                <w:sz w:val="13"/>
                <w:szCs w:val="13"/>
                <w:b w:val="1"/>
                <w:bCs w:val="1"/>
                <w:color w:val="auto"/>
              </w:rPr>
              <w:t>31 December</w:t>
            </w:r>
          </w:p>
        </w:tc>
        <w:tc>
          <w:tcPr>
            <w:tcW w:w="860" w:type="dxa"/>
            <w:vAlign w:val="bottom"/>
          </w:tcPr>
          <w:p>
            <w:pPr>
              <w:jc w:val="right"/>
              <w:spacing w:after="0" w:line="118" w:lineRule="exact"/>
              <w:rPr>
                <w:sz w:val="20"/>
                <w:szCs w:val="20"/>
                <w:color w:val="auto"/>
              </w:rPr>
            </w:pPr>
            <w:r>
              <w:rPr>
                <w:rFonts w:ascii="Arial" w:cs="Arial" w:eastAsia="Arial" w:hAnsi="Arial"/>
                <w:sz w:val="13"/>
                <w:szCs w:val="13"/>
                <w:color w:val="auto"/>
              </w:rPr>
              <w:t>31 December</w:t>
            </w:r>
          </w:p>
        </w:tc>
      </w:tr>
      <w:tr>
        <w:trPr>
          <w:trHeight w:val="170"/>
        </w:trPr>
        <w:tc>
          <w:tcPr>
            <w:tcW w:w="4100" w:type="dxa"/>
            <w:vAlign w:val="bottom"/>
            <w:tcBorders>
              <w:bottom w:val="single" w:sz="8" w:color="auto"/>
            </w:tcBorders>
          </w:tcPr>
          <w:p>
            <w:pPr>
              <w:spacing w:after="0"/>
              <w:rPr>
                <w:sz w:val="14"/>
                <w:szCs w:val="14"/>
                <w:color w:val="auto"/>
              </w:rPr>
            </w:pPr>
          </w:p>
        </w:tc>
        <w:tc>
          <w:tcPr>
            <w:tcW w:w="3400" w:type="dxa"/>
            <w:vAlign w:val="bottom"/>
            <w:tcBorders>
              <w:bottom w:val="single" w:sz="8" w:color="auto"/>
            </w:tcBorders>
          </w:tcPr>
          <w:p>
            <w:pPr>
              <w:jc w:val="right"/>
              <w:ind w:right="636"/>
              <w:spacing w:after="0"/>
              <w:rPr>
                <w:sz w:val="20"/>
                <w:szCs w:val="20"/>
                <w:color w:val="auto"/>
              </w:rPr>
            </w:pPr>
            <w:r>
              <w:rPr>
                <w:rFonts w:ascii="Arial" w:cs="Arial" w:eastAsia="Arial" w:hAnsi="Arial"/>
                <w:sz w:val="13"/>
                <w:szCs w:val="13"/>
                <w:b w:val="1"/>
                <w:bCs w:val="1"/>
                <w:color w:val="auto"/>
              </w:rPr>
              <w:t>2021</w:t>
            </w:r>
          </w:p>
        </w:tc>
        <w:tc>
          <w:tcPr>
            <w:tcW w:w="114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rPr>
              <w:t>2020</w:t>
            </w:r>
          </w:p>
        </w:tc>
        <w:tc>
          <w:tcPr>
            <w:tcW w:w="1780" w:type="dxa"/>
            <w:vAlign w:val="bottom"/>
            <w:tcBorders>
              <w:bottom w:val="single" w:sz="8" w:color="auto"/>
            </w:tcBorders>
          </w:tcPr>
          <w:p>
            <w:pPr>
              <w:jc w:val="right"/>
              <w:ind w:right="576"/>
              <w:spacing w:after="0"/>
              <w:rPr>
                <w:sz w:val="20"/>
                <w:szCs w:val="20"/>
                <w:color w:val="auto"/>
              </w:rPr>
            </w:pPr>
            <w:r>
              <w:rPr>
                <w:rFonts w:ascii="Arial" w:cs="Arial" w:eastAsia="Arial" w:hAnsi="Arial"/>
                <w:sz w:val="13"/>
                <w:szCs w:val="13"/>
                <w:b w:val="1"/>
                <w:bCs w:val="1"/>
                <w:color w:val="auto"/>
              </w:rPr>
              <w:t>2021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2020</w:t>
            </w:r>
          </w:p>
        </w:tc>
      </w:tr>
      <w:tr>
        <w:trPr>
          <w:trHeight w:val="160"/>
        </w:trPr>
        <w:tc>
          <w:tcPr>
            <w:tcW w:w="4100" w:type="dxa"/>
            <w:vAlign w:val="bottom"/>
            <w:shd w:val="clear" w:color="auto" w:fill="CCEEFF"/>
          </w:tcPr>
          <w:p>
            <w:pPr>
              <w:spacing w:after="0"/>
              <w:rPr>
                <w:sz w:val="13"/>
                <w:szCs w:val="13"/>
                <w:color w:val="auto"/>
              </w:rPr>
            </w:pPr>
          </w:p>
        </w:tc>
        <w:tc>
          <w:tcPr>
            <w:tcW w:w="3400" w:type="dxa"/>
            <w:vAlign w:val="bottom"/>
            <w:shd w:val="clear" w:color="auto" w:fill="CCEEFF"/>
          </w:tcPr>
          <w:p>
            <w:pPr>
              <w:jc w:val="right"/>
              <w:ind w:right="636"/>
              <w:spacing w:after="0"/>
              <w:rPr>
                <w:sz w:val="20"/>
                <w:szCs w:val="20"/>
                <w:color w:val="auto"/>
              </w:rPr>
            </w:pPr>
            <w:r>
              <w:rPr>
                <w:rFonts w:ascii="Arial" w:cs="Arial" w:eastAsia="Arial" w:hAnsi="Arial"/>
                <w:sz w:val="13"/>
                <w:szCs w:val="13"/>
                <w:b w:val="1"/>
                <w:bCs w:val="1"/>
                <w:color w:val="auto"/>
              </w:rPr>
              <w:t>$’000</w:t>
            </w:r>
          </w:p>
        </w:tc>
        <w:tc>
          <w:tcPr>
            <w:tcW w:w="114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$’000</w:t>
            </w:r>
          </w:p>
        </w:tc>
        <w:tc>
          <w:tcPr>
            <w:tcW w:w="1780" w:type="dxa"/>
            <w:vAlign w:val="bottom"/>
            <w:shd w:val="clear" w:color="auto" w:fill="CCEEFF"/>
          </w:tcPr>
          <w:p>
            <w:pPr>
              <w:jc w:val="right"/>
              <w:ind w:right="576"/>
              <w:spacing w:after="0"/>
              <w:rPr>
                <w:sz w:val="20"/>
                <w:szCs w:val="20"/>
                <w:color w:val="auto"/>
              </w:rPr>
            </w:pPr>
            <w:r>
              <w:rPr>
                <w:rFonts w:ascii="Arial" w:cs="Arial" w:eastAsia="Arial" w:hAnsi="Arial"/>
                <w:sz w:val="13"/>
                <w:szCs w:val="13"/>
                <w:b w:val="1"/>
                <w:bCs w:val="1"/>
                <w:color w:val="auto"/>
              </w:rPr>
              <w:t>$’000</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$’000</w:t>
            </w:r>
          </w:p>
        </w:tc>
      </w:tr>
      <w:tr>
        <w:trPr>
          <w:trHeight w:val="212"/>
        </w:trPr>
        <w:tc>
          <w:tcPr>
            <w:tcW w:w="41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70"/>
        </w:trPr>
        <w:tc>
          <w:tcPr>
            <w:tcW w:w="4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Europe</w:t>
            </w:r>
          </w:p>
        </w:tc>
        <w:tc>
          <w:tcPr>
            <w:tcW w:w="3400" w:type="dxa"/>
            <w:vAlign w:val="bottom"/>
            <w:shd w:val="clear" w:color="auto" w:fill="CCEEFF"/>
          </w:tcPr>
          <w:p>
            <w:pPr>
              <w:jc w:val="right"/>
              <w:ind w:right="676"/>
              <w:spacing w:after="0"/>
              <w:rPr>
                <w:sz w:val="20"/>
                <w:szCs w:val="20"/>
                <w:color w:val="auto"/>
              </w:rPr>
            </w:pPr>
            <w:r>
              <w:rPr>
                <w:rFonts w:ascii="Arial" w:cs="Arial" w:eastAsia="Arial" w:hAnsi="Arial"/>
                <w:sz w:val="13"/>
                <w:szCs w:val="13"/>
                <w:b w:val="1"/>
                <w:bCs w:val="1"/>
                <w:color w:val="auto"/>
              </w:rPr>
              <w:t>684,600</w:t>
            </w:r>
          </w:p>
        </w:tc>
        <w:tc>
          <w:tcPr>
            <w:tcW w:w="114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rPr>
              <w:t>510,005</w:t>
            </w:r>
          </w:p>
        </w:tc>
        <w:tc>
          <w:tcPr>
            <w:tcW w:w="1780" w:type="dxa"/>
            <w:vAlign w:val="bottom"/>
            <w:shd w:val="clear" w:color="auto" w:fill="CCEEFF"/>
          </w:tcPr>
          <w:p>
            <w:pPr>
              <w:jc w:val="right"/>
              <w:ind w:right="616"/>
              <w:spacing w:after="0"/>
              <w:rPr>
                <w:sz w:val="20"/>
                <w:szCs w:val="20"/>
                <w:color w:val="auto"/>
              </w:rPr>
            </w:pPr>
            <w:r>
              <w:rPr>
                <w:rFonts w:ascii="Arial" w:cs="Arial" w:eastAsia="Arial" w:hAnsi="Arial"/>
                <w:sz w:val="13"/>
                <w:szCs w:val="13"/>
                <w:b w:val="1"/>
                <w:bCs w:val="1"/>
                <w:color w:val="auto"/>
              </w:rPr>
              <w:t>315,538</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290,968</w:t>
            </w:r>
          </w:p>
        </w:tc>
      </w:tr>
      <w:tr>
        <w:trPr>
          <w:trHeight w:val="170"/>
        </w:trPr>
        <w:tc>
          <w:tcPr>
            <w:tcW w:w="4100" w:type="dxa"/>
            <w:vAlign w:val="bottom"/>
          </w:tcPr>
          <w:p>
            <w:pPr>
              <w:ind w:left="20"/>
              <w:spacing w:after="0"/>
              <w:rPr>
                <w:sz w:val="20"/>
                <w:szCs w:val="20"/>
                <w:color w:val="auto"/>
              </w:rPr>
            </w:pPr>
            <w:r>
              <w:rPr>
                <w:rFonts w:ascii="Arial" w:cs="Arial" w:eastAsia="Arial" w:hAnsi="Arial"/>
                <w:sz w:val="13"/>
                <w:szCs w:val="13"/>
                <w:color w:val="auto"/>
              </w:rPr>
              <w:t>United States</w:t>
            </w:r>
          </w:p>
        </w:tc>
        <w:tc>
          <w:tcPr>
            <w:tcW w:w="3400" w:type="dxa"/>
            <w:vAlign w:val="bottom"/>
          </w:tcPr>
          <w:p>
            <w:pPr>
              <w:jc w:val="right"/>
              <w:ind w:right="676"/>
              <w:spacing w:after="0"/>
              <w:rPr>
                <w:sz w:val="20"/>
                <w:szCs w:val="20"/>
                <w:color w:val="auto"/>
              </w:rPr>
            </w:pPr>
            <w:r>
              <w:rPr>
                <w:rFonts w:ascii="Arial" w:cs="Arial" w:eastAsia="Arial" w:hAnsi="Arial"/>
                <w:sz w:val="13"/>
                <w:szCs w:val="13"/>
                <w:b w:val="1"/>
                <w:bCs w:val="1"/>
                <w:color w:val="auto"/>
              </w:rPr>
              <w:t>619,071</w:t>
            </w:r>
          </w:p>
        </w:tc>
        <w:tc>
          <w:tcPr>
            <w:tcW w:w="1140" w:type="dxa"/>
            <w:vAlign w:val="bottom"/>
          </w:tcPr>
          <w:p>
            <w:pPr>
              <w:jc w:val="right"/>
              <w:ind w:right="336"/>
              <w:spacing w:after="0"/>
              <w:rPr>
                <w:sz w:val="20"/>
                <w:szCs w:val="20"/>
                <w:color w:val="auto"/>
              </w:rPr>
            </w:pPr>
            <w:r>
              <w:rPr>
                <w:rFonts w:ascii="Arial" w:cs="Arial" w:eastAsia="Arial" w:hAnsi="Arial"/>
                <w:sz w:val="13"/>
                <w:szCs w:val="13"/>
                <w:color w:val="auto"/>
              </w:rPr>
              <w:t>195,691</w:t>
            </w:r>
          </w:p>
        </w:tc>
        <w:tc>
          <w:tcPr>
            <w:tcW w:w="1780" w:type="dxa"/>
            <w:vAlign w:val="bottom"/>
          </w:tcPr>
          <w:p>
            <w:pPr>
              <w:jc w:val="right"/>
              <w:ind w:right="616"/>
              <w:spacing w:after="0"/>
              <w:rPr>
                <w:sz w:val="20"/>
                <w:szCs w:val="20"/>
                <w:color w:val="auto"/>
              </w:rPr>
            </w:pPr>
            <w:r>
              <w:rPr>
                <w:rFonts w:ascii="Arial" w:cs="Arial" w:eastAsia="Arial" w:hAnsi="Arial"/>
                <w:sz w:val="13"/>
                <w:szCs w:val="13"/>
                <w:b w:val="1"/>
                <w:bCs w:val="1"/>
                <w:color w:val="auto"/>
              </w:rPr>
              <w:t>244,800</w:t>
            </w:r>
          </w:p>
        </w:tc>
        <w:tc>
          <w:tcPr>
            <w:tcW w:w="860" w:type="dxa"/>
            <w:vAlign w:val="bottom"/>
          </w:tcPr>
          <w:p>
            <w:pPr>
              <w:jc w:val="right"/>
              <w:spacing w:after="0"/>
              <w:rPr>
                <w:sz w:val="20"/>
                <w:szCs w:val="20"/>
                <w:color w:val="auto"/>
              </w:rPr>
            </w:pPr>
            <w:r>
              <w:rPr>
                <w:rFonts w:ascii="Arial" w:cs="Arial" w:eastAsia="Arial" w:hAnsi="Arial"/>
                <w:sz w:val="13"/>
                <w:szCs w:val="13"/>
                <w:color w:val="auto"/>
              </w:rPr>
              <w:t>106,448</w:t>
            </w:r>
          </w:p>
        </w:tc>
      </w:tr>
      <w:tr>
        <w:trPr>
          <w:trHeight w:val="170"/>
        </w:trPr>
        <w:tc>
          <w:tcPr>
            <w:tcW w:w="4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Rest of World</w:t>
            </w:r>
          </w:p>
        </w:tc>
        <w:tc>
          <w:tcPr>
            <w:tcW w:w="340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3"/>
                <w:szCs w:val="13"/>
                <w:b w:val="1"/>
                <w:bCs w:val="1"/>
                <w:color w:val="auto"/>
              </w:rPr>
              <w:t>46,180</w:t>
            </w:r>
          </w:p>
        </w:tc>
        <w:tc>
          <w:tcPr>
            <w:tcW w:w="114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color w:val="auto"/>
              </w:rPr>
              <w:t>16,724</w:t>
            </w:r>
          </w:p>
        </w:tc>
        <w:tc>
          <w:tcPr>
            <w:tcW w:w="178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3"/>
                <w:szCs w:val="13"/>
                <w:b w:val="1"/>
                <w:bCs w:val="1"/>
                <w:color w:val="auto"/>
              </w:rPr>
              <w:t>62,783</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31,268</w:t>
            </w:r>
          </w:p>
        </w:tc>
      </w:tr>
      <w:tr>
        <w:trPr>
          <w:trHeight w:val="160"/>
        </w:trPr>
        <w:tc>
          <w:tcPr>
            <w:tcW w:w="4100" w:type="dxa"/>
            <w:vAlign w:val="bottom"/>
          </w:tcPr>
          <w:p>
            <w:pPr>
              <w:ind w:left="20"/>
              <w:spacing w:after="0"/>
              <w:rPr>
                <w:sz w:val="20"/>
                <w:szCs w:val="20"/>
                <w:color w:val="auto"/>
              </w:rPr>
            </w:pPr>
            <w:r>
              <w:rPr>
                <w:rFonts w:ascii="Arial" w:cs="Arial" w:eastAsia="Arial" w:hAnsi="Arial"/>
                <w:sz w:val="13"/>
                <w:szCs w:val="13"/>
                <w:color w:val="auto"/>
              </w:rPr>
              <w:t>Gross balance</w:t>
            </w:r>
          </w:p>
        </w:tc>
        <w:tc>
          <w:tcPr>
            <w:tcW w:w="3400" w:type="dxa"/>
            <w:vAlign w:val="bottom"/>
          </w:tcPr>
          <w:p>
            <w:pPr>
              <w:jc w:val="right"/>
              <w:ind w:right="676"/>
              <w:spacing w:after="0"/>
              <w:rPr>
                <w:sz w:val="20"/>
                <w:szCs w:val="20"/>
                <w:color w:val="auto"/>
              </w:rPr>
            </w:pPr>
            <w:r>
              <w:rPr>
                <w:rFonts w:ascii="Arial" w:cs="Arial" w:eastAsia="Arial" w:hAnsi="Arial"/>
                <w:sz w:val="13"/>
                <w:szCs w:val="13"/>
                <w:b w:val="1"/>
                <w:bCs w:val="1"/>
                <w:color w:val="auto"/>
              </w:rPr>
              <w:t>1,349,851</w:t>
            </w:r>
          </w:p>
        </w:tc>
        <w:tc>
          <w:tcPr>
            <w:tcW w:w="1140" w:type="dxa"/>
            <w:vAlign w:val="bottom"/>
          </w:tcPr>
          <w:p>
            <w:pPr>
              <w:jc w:val="right"/>
              <w:ind w:right="336"/>
              <w:spacing w:after="0"/>
              <w:rPr>
                <w:sz w:val="20"/>
                <w:szCs w:val="20"/>
                <w:color w:val="auto"/>
              </w:rPr>
            </w:pPr>
            <w:r>
              <w:rPr>
                <w:rFonts w:ascii="Arial" w:cs="Arial" w:eastAsia="Arial" w:hAnsi="Arial"/>
                <w:sz w:val="13"/>
                <w:szCs w:val="13"/>
                <w:color w:val="auto"/>
              </w:rPr>
              <w:t>722,420</w:t>
            </w:r>
          </w:p>
        </w:tc>
        <w:tc>
          <w:tcPr>
            <w:tcW w:w="1780" w:type="dxa"/>
            <w:vAlign w:val="bottom"/>
          </w:tcPr>
          <w:p>
            <w:pPr>
              <w:jc w:val="right"/>
              <w:ind w:right="616"/>
              <w:spacing w:after="0"/>
              <w:rPr>
                <w:sz w:val="20"/>
                <w:szCs w:val="20"/>
                <w:color w:val="auto"/>
              </w:rPr>
            </w:pPr>
            <w:r>
              <w:rPr>
                <w:rFonts w:ascii="Arial" w:cs="Arial" w:eastAsia="Arial" w:hAnsi="Arial"/>
                <w:sz w:val="13"/>
                <w:szCs w:val="13"/>
                <w:b w:val="1"/>
                <w:bCs w:val="1"/>
                <w:color w:val="auto"/>
              </w:rPr>
              <w:t>623,121</w:t>
            </w:r>
          </w:p>
        </w:tc>
        <w:tc>
          <w:tcPr>
            <w:tcW w:w="860" w:type="dxa"/>
            <w:vAlign w:val="bottom"/>
          </w:tcPr>
          <w:p>
            <w:pPr>
              <w:jc w:val="right"/>
              <w:spacing w:after="0"/>
              <w:rPr>
                <w:sz w:val="20"/>
                <w:szCs w:val="20"/>
                <w:color w:val="auto"/>
              </w:rPr>
            </w:pPr>
            <w:r>
              <w:rPr>
                <w:rFonts w:ascii="Arial" w:cs="Arial" w:eastAsia="Arial" w:hAnsi="Arial"/>
                <w:sz w:val="13"/>
                <w:szCs w:val="13"/>
                <w:color w:val="auto"/>
              </w:rPr>
              <w:t>428,684</w:t>
            </w:r>
          </w:p>
        </w:tc>
      </w:tr>
      <w:tr>
        <w:trPr>
          <w:trHeight w:val="170"/>
        </w:trPr>
        <w:tc>
          <w:tcPr>
            <w:tcW w:w="4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Allowance for for credit losses</w:t>
            </w:r>
          </w:p>
        </w:tc>
        <w:tc>
          <w:tcPr>
            <w:tcW w:w="340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3"/>
                <w:szCs w:val="13"/>
                <w:b w:val="1"/>
                <w:bCs w:val="1"/>
                <w:color w:val="auto"/>
              </w:rPr>
              <w:t>(7,081)</w:t>
            </w:r>
          </w:p>
        </w:tc>
        <w:tc>
          <w:tcPr>
            <w:tcW w:w="114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rPr>
              <w:t>(7,149)</w:t>
            </w:r>
          </w:p>
        </w:tc>
        <w:tc>
          <w:tcPr>
            <w:tcW w:w="178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3"/>
                <w:szCs w:val="13"/>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92"/>
        </w:trPr>
        <w:tc>
          <w:tcPr>
            <w:tcW w:w="410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71"/>
        </w:trPr>
        <w:tc>
          <w:tcPr>
            <w:tcW w:w="4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 net of allowance for credit losses</w:t>
            </w:r>
          </w:p>
        </w:tc>
        <w:tc>
          <w:tcPr>
            <w:tcW w:w="340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3"/>
                <w:szCs w:val="13"/>
                <w:b w:val="1"/>
                <w:bCs w:val="1"/>
                <w:color w:val="auto"/>
              </w:rPr>
              <w:t>1,342,770</w:t>
            </w:r>
          </w:p>
        </w:tc>
        <w:tc>
          <w:tcPr>
            <w:tcW w:w="114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color w:val="auto"/>
              </w:rPr>
              <w:t>715,271</w:t>
            </w:r>
          </w:p>
        </w:tc>
        <w:tc>
          <w:tcPr>
            <w:tcW w:w="178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3"/>
                <w:szCs w:val="13"/>
                <w:b w:val="1"/>
                <w:bCs w:val="1"/>
                <w:color w:val="auto"/>
              </w:rPr>
              <w:t>623,121</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428,684</w:t>
            </w:r>
          </w:p>
        </w:tc>
      </w:tr>
    </w:tbl>
    <w:p>
      <w:pPr>
        <w:spacing w:after="0" w:line="244" w:lineRule="exact"/>
        <w:rPr>
          <w:sz w:val="20"/>
          <w:szCs w:val="20"/>
          <w:color w:val="auto"/>
        </w:rPr>
      </w:pPr>
    </w:p>
    <w:p>
      <w:pPr>
        <w:spacing w:after="0"/>
        <w:rPr>
          <w:sz w:val="20"/>
          <w:szCs w:val="20"/>
          <w:color w:val="auto"/>
        </w:rPr>
      </w:pPr>
      <w:r>
        <w:rPr>
          <w:rFonts w:ascii="Arial" w:cs="Arial" w:eastAsia="Arial" w:hAnsi="Arial"/>
          <w:sz w:val="13"/>
          <w:szCs w:val="13"/>
          <w:color w:val="auto"/>
        </w:rPr>
        <w:t>The Group has four types of financial assets that are subject to the expected credit loss model:</w:t>
      </w:r>
    </w:p>
    <w:p>
      <w:pPr>
        <w:spacing w:after="0" w:line="18" w:lineRule="exact"/>
        <w:rPr>
          <w:sz w:val="20"/>
          <w:szCs w:val="20"/>
          <w:color w:val="auto"/>
        </w:rPr>
      </w:pPr>
    </w:p>
    <w:p>
      <w:pPr>
        <w:ind w:left="500" w:hanging="240"/>
        <w:spacing w:after="0"/>
        <w:tabs>
          <w:tab w:leader="none" w:pos="500" w:val="left"/>
        </w:tabs>
        <w:numPr>
          <w:ilvl w:val="0"/>
          <w:numId w:val="115"/>
        </w:numPr>
        <w:rPr>
          <w:rFonts w:ascii="Arial" w:cs="Arial" w:eastAsia="Arial" w:hAnsi="Arial"/>
          <w:sz w:val="13"/>
          <w:szCs w:val="13"/>
          <w:color w:val="auto"/>
        </w:rPr>
      </w:pPr>
      <w:r>
        <w:rPr>
          <w:rFonts w:ascii="Arial" w:cs="Arial" w:eastAsia="Arial" w:hAnsi="Arial"/>
          <w:sz w:val="13"/>
          <w:szCs w:val="13"/>
          <w:color w:val="auto"/>
        </w:rPr>
        <w:t>trade receivables (billed amounts) for services provided to customers</w:t>
      </w:r>
    </w:p>
    <w:p>
      <w:pPr>
        <w:spacing w:after="0" w:line="9" w:lineRule="exact"/>
        <w:rPr>
          <w:rFonts w:ascii="Arial" w:cs="Arial" w:eastAsia="Arial" w:hAnsi="Arial"/>
          <w:sz w:val="13"/>
          <w:szCs w:val="13"/>
          <w:color w:val="auto"/>
        </w:rPr>
      </w:pPr>
    </w:p>
    <w:p>
      <w:pPr>
        <w:ind w:left="500" w:hanging="240"/>
        <w:spacing w:after="0"/>
        <w:tabs>
          <w:tab w:leader="none" w:pos="500" w:val="left"/>
        </w:tabs>
        <w:numPr>
          <w:ilvl w:val="0"/>
          <w:numId w:val="115"/>
        </w:numPr>
        <w:rPr>
          <w:rFonts w:ascii="Arial" w:cs="Arial" w:eastAsia="Arial" w:hAnsi="Arial"/>
          <w:sz w:val="13"/>
          <w:szCs w:val="13"/>
          <w:color w:val="auto"/>
        </w:rPr>
      </w:pPr>
      <w:r>
        <w:rPr>
          <w:rFonts w:ascii="Arial" w:cs="Arial" w:eastAsia="Arial" w:hAnsi="Arial"/>
          <w:sz w:val="13"/>
          <w:szCs w:val="13"/>
          <w:color w:val="auto"/>
        </w:rPr>
        <w:t>unbilled receivables (contract assets) for services provided to customers</w:t>
      </w:r>
    </w:p>
    <w:p>
      <w:pPr>
        <w:spacing w:after="0" w:line="9" w:lineRule="exact"/>
        <w:rPr>
          <w:rFonts w:ascii="Arial" w:cs="Arial" w:eastAsia="Arial" w:hAnsi="Arial"/>
          <w:sz w:val="13"/>
          <w:szCs w:val="13"/>
          <w:color w:val="auto"/>
        </w:rPr>
      </w:pPr>
    </w:p>
    <w:p>
      <w:pPr>
        <w:ind w:left="500" w:hanging="240"/>
        <w:spacing w:after="0"/>
        <w:tabs>
          <w:tab w:leader="none" w:pos="500" w:val="left"/>
        </w:tabs>
        <w:numPr>
          <w:ilvl w:val="0"/>
          <w:numId w:val="115"/>
        </w:numPr>
        <w:rPr>
          <w:rFonts w:ascii="Arial" w:cs="Arial" w:eastAsia="Arial" w:hAnsi="Arial"/>
          <w:sz w:val="13"/>
          <w:szCs w:val="13"/>
          <w:color w:val="auto"/>
        </w:rPr>
      </w:pPr>
      <w:r>
        <w:rPr>
          <w:rFonts w:ascii="Arial" w:cs="Arial" w:eastAsia="Arial" w:hAnsi="Arial"/>
          <w:sz w:val="13"/>
          <w:szCs w:val="13"/>
          <w:color w:val="auto"/>
        </w:rPr>
        <w:t>other receivables</w:t>
      </w:r>
    </w:p>
    <w:p>
      <w:pPr>
        <w:spacing w:after="0" w:line="9" w:lineRule="exact"/>
        <w:rPr>
          <w:rFonts w:ascii="Arial" w:cs="Arial" w:eastAsia="Arial" w:hAnsi="Arial"/>
          <w:sz w:val="13"/>
          <w:szCs w:val="13"/>
          <w:color w:val="auto"/>
        </w:rPr>
      </w:pPr>
    </w:p>
    <w:p>
      <w:pPr>
        <w:ind w:left="500" w:hanging="240"/>
        <w:spacing w:after="0"/>
        <w:tabs>
          <w:tab w:leader="none" w:pos="500" w:val="left"/>
        </w:tabs>
        <w:numPr>
          <w:ilvl w:val="0"/>
          <w:numId w:val="115"/>
        </w:numPr>
        <w:rPr>
          <w:rFonts w:ascii="Arial" w:cs="Arial" w:eastAsia="Arial" w:hAnsi="Arial"/>
          <w:sz w:val="13"/>
          <w:szCs w:val="13"/>
          <w:color w:val="auto"/>
        </w:rPr>
      </w:pPr>
      <w:r>
        <w:rPr>
          <w:rFonts w:ascii="Arial" w:cs="Arial" w:eastAsia="Arial" w:hAnsi="Arial"/>
          <w:sz w:val="13"/>
          <w:szCs w:val="13"/>
          <w:color w:val="auto"/>
        </w:rPr>
        <w:t>cash and cash equivalents</w:t>
      </w:r>
    </w:p>
    <w:p>
      <w:pPr>
        <w:spacing w:after="0" w:line="19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Trade receivables, contract assets and other receivables</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The Group applies the IFRS 9 simplified approach to measuring expected credit losses which uses a lifetime expected loss allowance for all trade receivables and contract assets.</w:t>
      </w:r>
    </w:p>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To measure the expected credit losses, trade receivables and contract assets have been grouped based on shared credit risk characteristics and the days past due. The contract assets relate to unbilled work in progress and have substantially the same risk characteristics as the trade receivables for the same types of contracts. The Group has therefore concluded that the expected loss rates for trade receivables are a reasonable approximation for the loss rates for the contract assets.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 xml:space="preserve">The expected loss rates are based on the payment profiles of revenue over a period of 36 months before 31 December 2021. The historical loss rates are adjusted to reflect current and forward-looking information on macroeconomic factors affecting the ability of the customers to settle receivables. The group has identified the GDP and the unemployment rate of the countries in which it sells its services to be the most relevant factors, and accordingly adjusts the historical loss rates based on expected changes in these factors. See </w:t>
      </w:r>
      <w:r>
        <w:rPr>
          <w:rFonts w:ascii="Arial" w:cs="Arial" w:eastAsia="Arial" w:hAnsi="Arial"/>
          <w:sz w:val="13"/>
          <w:szCs w:val="13"/>
          <w:i w:val="1"/>
          <w:iCs w:val="1"/>
          <w:color w:val="auto"/>
        </w:rPr>
        <w:t>note 16 - Accounts receivable, unbilled services (contract</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assets) and unearned revenue (contract liabilities) </w:t>
      </w:r>
      <w:r>
        <w:rPr>
          <w:rFonts w:ascii="Arial" w:cs="Arial" w:eastAsia="Arial" w:hAnsi="Arial"/>
          <w:sz w:val="13"/>
          <w:szCs w:val="13"/>
          <w:color w:val="auto"/>
        </w:rPr>
        <w:t>for assessment of the allowance for credit losses for both trade receivables and contract assets.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107</w:t>
      </w:r>
    </w:p>
    <w:p>
      <w:pPr>
        <w:sectPr>
          <w:pgSz w:w="11900" w:h="16838" w:orient="portrait"/>
          <w:cols w:equalWidth="0" w:num="1">
            <w:col w:w="11280"/>
          </w:cols>
          <w:pgMar w:left="300" w:top="698" w:right="31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190" w:lineRule="exact"/>
        <w:rPr>
          <w:sz w:val="20"/>
          <w:szCs w:val="20"/>
          <w:color w:val="auto"/>
        </w:rPr>
      </w:pPr>
    </w:p>
    <w:p>
      <w:pPr>
        <w:ind w:left="320" w:hanging="315"/>
        <w:spacing w:after="0"/>
        <w:tabs>
          <w:tab w:leader="none" w:pos="320" w:val="left"/>
        </w:tabs>
        <w:numPr>
          <w:ilvl w:val="0"/>
          <w:numId w:val="116"/>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Financial instruments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Trade receivables, other receivables and contract assets are written off when there is no reasonable expectation of recovery. Indicators that there is no reasonable expectation of recovery include, amongst others, the failure of a debtor to engage in a repayment plan with the group, and a failure to make contractual payments for a period of greater than 120 days past due. Impairment losses on trade receivables, other receivables and contract assets are presented as net impairment losses within operating profit. Subsequent recoveries of amounts previously written off are credited against the same line item.</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Liquid and capital resources</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The Group’s liquid and capital resources at 31 December 2021 were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540" w:type="dxa"/>
            <w:vAlign w:val="bottom"/>
            <w:shd w:val="clear" w:color="auto" w:fill="CCEEFF"/>
          </w:tcPr>
          <w:p>
            <w:pPr>
              <w:spacing w:after="0"/>
              <w:rPr>
                <w:sz w:val="13"/>
                <w:szCs w:val="13"/>
                <w:color w:val="auto"/>
              </w:rPr>
            </w:pPr>
          </w:p>
        </w:tc>
        <w:tc>
          <w:tcPr>
            <w:tcW w:w="460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0"/>
        </w:trPr>
        <w:tc>
          <w:tcPr>
            <w:tcW w:w="5540" w:type="dxa"/>
            <w:vAlign w:val="bottom"/>
            <w:tcBorders>
              <w:bottom w:val="single" w:sz="8" w:color="auto"/>
            </w:tcBorders>
            <w:shd w:val="clear" w:color="auto" w:fill="CCEEFF"/>
          </w:tcPr>
          <w:p>
            <w:pPr>
              <w:spacing w:after="0"/>
              <w:rPr>
                <w:sz w:val="14"/>
                <w:szCs w:val="14"/>
                <w:color w:val="auto"/>
              </w:rPr>
            </w:pPr>
          </w:p>
        </w:tc>
        <w:tc>
          <w:tcPr>
            <w:tcW w:w="460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2021</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2020</w:t>
            </w:r>
          </w:p>
        </w:tc>
      </w:tr>
      <w:tr>
        <w:trPr>
          <w:trHeight w:val="160"/>
        </w:trPr>
        <w:tc>
          <w:tcPr>
            <w:tcW w:w="5540" w:type="dxa"/>
            <w:vAlign w:val="bottom"/>
          </w:tcPr>
          <w:p>
            <w:pPr>
              <w:spacing w:after="0"/>
              <w:rPr>
                <w:sz w:val="13"/>
                <w:szCs w:val="13"/>
                <w:color w:val="auto"/>
              </w:rPr>
            </w:pPr>
          </w:p>
        </w:tc>
        <w:tc>
          <w:tcPr>
            <w:tcW w:w="460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5540" w:type="dxa"/>
            <w:vAlign w:val="bottom"/>
            <w:shd w:val="clear" w:color="auto" w:fill="CCEEFF"/>
          </w:tcPr>
          <w:p>
            <w:pPr>
              <w:spacing w:after="0"/>
              <w:rPr>
                <w:sz w:val="14"/>
                <w:szCs w:val="14"/>
                <w:color w:val="auto"/>
              </w:rPr>
            </w:pPr>
          </w:p>
        </w:tc>
        <w:tc>
          <w:tcPr>
            <w:tcW w:w="46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70"/>
        </w:trPr>
        <w:tc>
          <w:tcPr>
            <w:tcW w:w="5540" w:type="dxa"/>
            <w:vAlign w:val="bottom"/>
          </w:tcPr>
          <w:p>
            <w:pPr>
              <w:ind w:left="20"/>
              <w:spacing w:after="0"/>
              <w:rPr>
                <w:sz w:val="20"/>
                <w:szCs w:val="20"/>
                <w:color w:val="auto"/>
              </w:rPr>
            </w:pPr>
            <w:r>
              <w:rPr>
                <w:rFonts w:ascii="Arial" w:cs="Arial" w:eastAsia="Arial" w:hAnsi="Arial"/>
                <w:sz w:val="13"/>
                <w:szCs w:val="13"/>
                <w:color w:val="auto"/>
              </w:rPr>
              <w:t>Current asset investments (note 18)</w:t>
            </w:r>
          </w:p>
        </w:tc>
        <w:tc>
          <w:tcPr>
            <w:tcW w:w="4600" w:type="dxa"/>
            <w:vAlign w:val="bottom"/>
          </w:tcPr>
          <w:p>
            <w:pPr>
              <w:jc w:val="right"/>
              <w:ind w:right="336"/>
              <w:spacing w:after="0"/>
              <w:rPr>
                <w:sz w:val="20"/>
                <w:szCs w:val="20"/>
                <w:color w:val="auto"/>
              </w:rPr>
            </w:pPr>
            <w:r>
              <w:rPr>
                <w:rFonts w:ascii="Arial" w:cs="Arial" w:eastAsia="Arial" w:hAnsi="Arial"/>
                <w:sz w:val="13"/>
                <w:szCs w:val="13"/>
                <w:b w:val="1"/>
                <w:bCs w:val="1"/>
                <w:color w:val="auto"/>
              </w:rPr>
              <w:t>1,712</w:t>
            </w:r>
          </w:p>
        </w:tc>
        <w:tc>
          <w:tcPr>
            <w:tcW w:w="1140" w:type="dxa"/>
            <w:vAlign w:val="bottom"/>
          </w:tcPr>
          <w:p>
            <w:pPr>
              <w:jc w:val="right"/>
              <w:spacing w:after="0"/>
              <w:rPr>
                <w:sz w:val="20"/>
                <w:szCs w:val="20"/>
                <w:color w:val="auto"/>
              </w:rPr>
            </w:pPr>
            <w:r>
              <w:rPr>
                <w:rFonts w:ascii="Arial" w:cs="Arial" w:eastAsia="Arial" w:hAnsi="Arial"/>
                <w:sz w:val="13"/>
                <w:szCs w:val="13"/>
                <w:color w:val="auto"/>
              </w:rPr>
              <w:t>1,729</w:t>
            </w:r>
          </w:p>
        </w:tc>
      </w:tr>
      <w:tr>
        <w:trPr>
          <w:trHeight w:val="170"/>
        </w:trPr>
        <w:tc>
          <w:tcPr>
            <w:tcW w:w="5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Cash and cash equivalents (note 19)</w:t>
            </w:r>
          </w:p>
        </w:tc>
        <w:tc>
          <w:tcPr>
            <w:tcW w:w="460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752,213</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840,305</w:t>
            </w:r>
          </w:p>
        </w:tc>
      </w:tr>
      <w:tr>
        <w:trPr>
          <w:trHeight w:val="150"/>
        </w:trPr>
        <w:tc>
          <w:tcPr>
            <w:tcW w:w="554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71"/>
        </w:trPr>
        <w:tc>
          <w:tcPr>
            <w:tcW w:w="5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 liquid resources</w:t>
            </w:r>
          </w:p>
        </w:tc>
        <w:tc>
          <w:tcPr>
            <w:tcW w:w="460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753,925</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842,034</w:t>
            </w:r>
          </w:p>
        </w:tc>
      </w:tr>
      <w:tr>
        <w:trPr>
          <w:trHeight w:val="159"/>
        </w:trPr>
        <w:tc>
          <w:tcPr>
            <w:tcW w:w="554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71"/>
        </w:trPr>
        <w:tc>
          <w:tcPr>
            <w:tcW w:w="5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Shareholders’ equity</w:t>
            </w:r>
          </w:p>
        </w:tc>
        <w:tc>
          <w:tcPr>
            <w:tcW w:w="460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8,177,865</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1,880,669</w:t>
            </w:r>
          </w:p>
        </w:tc>
      </w:tr>
    </w:tbl>
    <w:p>
      <w:pPr>
        <w:spacing w:after="0" w:line="244"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The principal operating cash requirements of the Group include payment of salaries, office rents, travel expenditures and payments to investigators. Other cash requirements include capital expenditures for facilities and information system enhancements and cash required to fund acquisitions and other growth opportunities. The CRO industry is generally not capital intensive. The Group primarily finances its operations and growth through cash flows from operations, together with amounts drawn under negotiated facilities as required.</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color w:val="auto"/>
        </w:rPr>
        <w:t>The Group’s primary objectives in managing its liquid and capital resources are as follows:</w:t>
      </w:r>
    </w:p>
    <w:p>
      <w:pPr>
        <w:spacing w:after="0" w:line="201" w:lineRule="exact"/>
        <w:rPr>
          <w:sz w:val="20"/>
          <w:szCs w:val="20"/>
          <w:color w:val="auto"/>
        </w:rPr>
      </w:pPr>
    </w:p>
    <w:p>
      <w:pPr>
        <w:ind w:left="500" w:hanging="304"/>
        <w:spacing w:after="0"/>
        <w:tabs>
          <w:tab w:leader="none" w:pos="50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to maintain adequate resources to fund its continued operations,</w:t>
      </w:r>
    </w:p>
    <w:p>
      <w:pPr>
        <w:spacing w:after="0" w:line="17" w:lineRule="exact"/>
        <w:rPr>
          <w:rFonts w:ascii="Arial" w:cs="Arial" w:eastAsia="Arial" w:hAnsi="Arial"/>
          <w:sz w:val="13"/>
          <w:szCs w:val="13"/>
          <w:color w:val="auto"/>
        </w:rPr>
      </w:pPr>
    </w:p>
    <w:p>
      <w:pPr>
        <w:ind w:left="500" w:hanging="304"/>
        <w:spacing w:after="0"/>
        <w:tabs>
          <w:tab w:leader="none" w:pos="50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to ensure availability of sufficient resources to sustain future development and growth of the business,</w:t>
      </w:r>
    </w:p>
    <w:p>
      <w:pPr>
        <w:spacing w:after="0" w:line="2" w:lineRule="exact"/>
        <w:rPr>
          <w:rFonts w:ascii="Arial" w:cs="Arial" w:eastAsia="Arial" w:hAnsi="Arial"/>
          <w:sz w:val="13"/>
          <w:szCs w:val="13"/>
          <w:color w:val="auto"/>
        </w:rPr>
      </w:pPr>
    </w:p>
    <w:p>
      <w:pPr>
        <w:ind w:left="500" w:hanging="304"/>
        <w:spacing w:after="0"/>
        <w:tabs>
          <w:tab w:leader="none" w:pos="50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to maintain sufficient resources to mitigate risks and unforeseen events which may arise.</w:t>
      </w:r>
    </w:p>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 xml:space="preserve">The Group manages risks associated with liquid and capital resources through ongoing monitoring of actual and forecast cash balances and by reviewing the existing and future cash requirements of the business. It ensures that sufficient headroom is available under the Group’s existing negotiated facilities and negotiates additional facilities as required. Details of the Group’s negotiated facilities are set out in </w:t>
      </w:r>
      <w:r>
        <w:rPr>
          <w:rFonts w:ascii="Arial" w:cs="Arial" w:eastAsia="Arial" w:hAnsi="Arial"/>
          <w:sz w:val="13"/>
          <w:szCs w:val="13"/>
          <w:i w:val="1"/>
          <w:iCs w:val="1"/>
          <w:color w:val="auto"/>
        </w:rPr>
        <w:t>note 23 Bank credit lines and loan facilities.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In conjunction with the completion of the Merger Agreement, on 1 July 2021, ICON entered into a credit agreement providing for a senior secured term loan facility of $5,515 million and a senior secured revolving loan facility in an initial aggregate principal amount of $300 million (the "Senior Secured Credit Facilities"). The proceeds of the senior secured term loan facility were used to repay the outstanding amount of (i) PRA’s existing credit facilities and (ii) the Company's private placement notes outstanding and fund, in part, the Merger. The senior secured term loan facility will mature in July 2028 and the revolving loan facility will mature in July 2026. No amounts have been drawn down under the revolving loan facility at 31 December 2021.</w:t>
      </w:r>
    </w:p>
    <w:p>
      <w:pPr>
        <w:spacing w:after="0" w:line="159"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In addition to the Senior Secured Credit Facilities, on 1 July 2021, the Company issued $500.0 million in aggregate principal amount of 2.875% senior secured notes due July 2026 (the “Senior Secured Notes”) in a private offering ("the Offering”). The Senior Secured Notes will mature on 15 July 2026. The Issuer will pay interest on the Senior Secured Notes on January 15 and July 15 of each year. Interest on the Senior Secured Notes will accrue at a rate of 2.875% per annum.</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108</w:t>
      </w:r>
    </w:p>
    <w:p>
      <w:pPr>
        <w:sectPr>
          <w:pgSz w:w="11900" w:h="16838" w:orient="portrait"/>
          <w:cols w:equalWidth="0" w:num="1">
            <w:col w:w="11280"/>
          </w:cols>
          <w:pgMar w:left="300" w:top="698" w:right="31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190" w:lineRule="exact"/>
        <w:rPr>
          <w:sz w:val="20"/>
          <w:szCs w:val="20"/>
          <w:color w:val="auto"/>
        </w:rPr>
      </w:pPr>
    </w:p>
    <w:p>
      <w:pPr>
        <w:ind w:left="320" w:hanging="315"/>
        <w:spacing w:after="0"/>
        <w:tabs>
          <w:tab w:leader="none" w:pos="320" w:val="left"/>
        </w:tabs>
        <w:numPr>
          <w:ilvl w:val="0"/>
          <w:numId w:val="118"/>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Financial instruments </w:t>
      </w:r>
      <w:r>
        <w:rPr>
          <w:rFonts w:ascii="Arial" w:cs="Arial" w:eastAsia="Arial" w:hAnsi="Arial"/>
          <w:sz w:val="13"/>
          <w:szCs w:val="13"/>
          <w:b w:val="1"/>
          <w:bCs w:val="1"/>
          <w:i w:val="1"/>
          <w:iCs w:val="1"/>
          <w:color w:val="auto"/>
        </w:rPr>
        <w:t>(continued)</w:t>
      </w:r>
    </w:p>
    <w:p>
      <w:pPr>
        <w:spacing w:after="0" w:line="392" w:lineRule="exact"/>
        <w:rPr>
          <w:sz w:val="20"/>
          <w:szCs w:val="20"/>
          <w:color w:val="auto"/>
        </w:rPr>
      </w:pPr>
    </w:p>
    <w:p>
      <w:pPr>
        <w:jc w:val="both"/>
        <w:spacing w:after="0" w:line="237" w:lineRule="auto"/>
        <w:rPr>
          <w:sz w:val="20"/>
          <w:szCs w:val="20"/>
          <w:color w:val="auto"/>
        </w:rPr>
      </w:pPr>
      <w:r>
        <w:rPr>
          <w:rFonts w:ascii="Arial" w:cs="Arial" w:eastAsia="Arial" w:hAnsi="Arial"/>
          <w:sz w:val="13"/>
          <w:szCs w:val="13"/>
          <w:color w:val="auto"/>
        </w:rPr>
        <w:t>On 8 December 2020, the Company issued new senior notes, (the "2020 Senior Notes") for aggregate gross proceeds of $350.0 million in the private placement market. The 2020 Senior Notes were issued in two tranches; Series A Notes of $275.0 million at a fixed interest rate of 2.32% and Series B Notes of $75.0 million at a fixed interest rate of 2.43%. The effective interest rate was adjusted by the impact of an interest rate cash flow hedge which was entered into in advance of the rate fixing date. The realised loss related to this derivative was recorded within other comprehensive income and amortised over the life of the 2020 Senior Notes. The effective rate on the 2020 Senior Notes was fixed at 2.41%.</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In connection with the Merger, the Company was required to repay the 2020 Senior Notes prior to entering into the Senior Secured Credit Facilities and the Senior Secured Notes. In June 2021, ICON committed to entering into the Senior Secured Credit Facilities and the Senior Secured Notes and therefore committed to replacing the 2020 Senior Notes. The 2020 Senior Notes have been repaid and long term financing consisting of the Senior Secured Credit Facilities and the Senior Secured Notes have been drawn. The 2020 Senior Notes were repaid on 1 July 2021 inclusive of early repayment charges. The total repayment on 1 July 2021 was $364.0 million.</w:t>
      </w:r>
    </w:p>
    <w:p>
      <w:pPr>
        <w:spacing w:after="0" w:line="161"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following table sets out details of the maturity of the Group’s financial liabilities into the relevant maturity groupings based on the remaining period from the financial year end date to contractual maturity date:</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Year ended 31 December 2021</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Carrying</w:t>
            </w:r>
          </w:p>
        </w:tc>
        <w:tc>
          <w:tcPr>
            <w:tcW w:w="1380" w:type="dxa"/>
            <w:vAlign w:val="bottom"/>
            <w:shd w:val="clear" w:color="auto" w:fill="CCEEFF"/>
          </w:tcPr>
          <w:p>
            <w:pPr>
              <w:jc w:val="right"/>
              <w:ind w:right="137"/>
              <w:spacing w:after="0"/>
              <w:rPr>
                <w:sz w:val="20"/>
                <w:szCs w:val="20"/>
                <w:color w:val="auto"/>
              </w:rPr>
            </w:pPr>
            <w:r>
              <w:rPr>
                <w:rFonts w:ascii="Arial" w:cs="Arial" w:eastAsia="Arial" w:hAnsi="Arial"/>
                <w:sz w:val="13"/>
                <w:szCs w:val="13"/>
                <w:b w:val="1"/>
                <w:bCs w:val="1"/>
                <w:color w:val="auto"/>
              </w:rPr>
              <w:t>Contractual cash</w:t>
            </w: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6 months</w:t>
            </w:r>
          </w:p>
        </w:tc>
        <w:tc>
          <w:tcPr>
            <w:tcW w:w="1220" w:type="dxa"/>
            <w:vAlign w:val="bottom"/>
            <w:vMerge w:val="restart"/>
            <w:shd w:val="clear" w:color="auto" w:fill="CCEEFF"/>
          </w:tcPr>
          <w:p>
            <w:pPr>
              <w:jc w:val="right"/>
              <w:ind w:right="177"/>
              <w:spacing w:after="0"/>
              <w:rPr>
                <w:sz w:val="20"/>
                <w:szCs w:val="20"/>
                <w:color w:val="auto"/>
              </w:rPr>
            </w:pPr>
            <w:r>
              <w:rPr>
                <w:rFonts w:ascii="Arial" w:cs="Arial" w:eastAsia="Arial" w:hAnsi="Arial"/>
                <w:sz w:val="13"/>
                <w:szCs w:val="13"/>
                <w:b w:val="1"/>
                <w:bCs w:val="1"/>
                <w:color w:val="auto"/>
              </w:rPr>
              <w:t>6-12 months</w:t>
            </w:r>
          </w:p>
        </w:tc>
        <w:tc>
          <w:tcPr>
            <w:tcW w:w="1060" w:type="dxa"/>
            <w:vAlign w:val="bottom"/>
            <w:vMerge w:val="restart"/>
            <w:shd w:val="clear" w:color="auto" w:fill="CCEEFF"/>
          </w:tcPr>
          <w:p>
            <w:pPr>
              <w:jc w:val="right"/>
              <w:ind w:right="177"/>
              <w:spacing w:after="0"/>
              <w:rPr>
                <w:sz w:val="20"/>
                <w:szCs w:val="20"/>
                <w:color w:val="auto"/>
              </w:rPr>
            </w:pPr>
            <w:r>
              <w:rPr>
                <w:rFonts w:ascii="Arial" w:cs="Arial" w:eastAsia="Arial" w:hAnsi="Arial"/>
                <w:sz w:val="13"/>
                <w:szCs w:val="13"/>
                <w:b w:val="1"/>
                <w:bCs w:val="1"/>
                <w:color w:val="auto"/>
              </w:rPr>
              <w:t>1-2 years</w:t>
            </w:r>
          </w:p>
        </w:tc>
        <w:tc>
          <w:tcPr>
            <w:tcW w:w="1140" w:type="dxa"/>
            <w:vAlign w:val="bottom"/>
            <w:vMerge w:val="restart"/>
            <w:shd w:val="clear" w:color="auto" w:fill="CCEEFF"/>
          </w:tcPr>
          <w:p>
            <w:pPr>
              <w:jc w:val="right"/>
              <w:ind w:right="177"/>
              <w:spacing w:after="0"/>
              <w:rPr>
                <w:sz w:val="20"/>
                <w:szCs w:val="20"/>
                <w:color w:val="auto"/>
              </w:rPr>
            </w:pPr>
            <w:r>
              <w:rPr>
                <w:rFonts w:ascii="Arial" w:cs="Arial" w:eastAsia="Arial" w:hAnsi="Arial"/>
                <w:sz w:val="13"/>
                <w:szCs w:val="13"/>
                <w:b w:val="1"/>
                <w:bCs w:val="1"/>
                <w:color w:val="auto"/>
              </w:rPr>
              <w:t>2-5 years</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More than</w:t>
            </w:r>
          </w:p>
        </w:tc>
        <w:tc>
          <w:tcPr>
            <w:tcW w:w="0" w:type="dxa"/>
            <w:vAlign w:val="bottom"/>
          </w:tcPr>
          <w:p>
            <w:pPr>
              <w:spacing w:after="0"/>
              <w:rPr>
                <w:sz w:val="1"/>
                <w:szCs w:val="1"/>
                <w:color w:val="auto"/>
              </w:rPr>
            </w:pPr>
          </w:p>
        </w:tc>
      </w:tr>
      <w:tr>
        <w:trPr>
          <w:trHeight w:val="170"/>
        </w:trPr>
        <w:tc>
          <w:tcPr>
            <w:tcW w:w="320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amount</w:t>
            </w:r>
          </w:p>
        </w:tc>
        <w:tc>
          <w:tcPr>
            <w:tcW w:w="138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b w:val="1"/>
                <w:bCs w:val="1"/>
                <w:color w:val="auto"/>
              </w:rPr>
              <w:t>flows</w:t>
            </w:r>
          </w:p>
        </w:tc>
        <w:tc>
          <w:tcPr>
            <w:tcW w:w="10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or less</w:t>
            </w:r>
          </w:p>
        </w:tc>
        <w:tc>
          <w:tcPr>
            <w:tcW w:w="1220" w:type="dxa"/>
            <w:vAlign w:val="bottom"/>
            <w:tcBorders>
              <w:bottom w:val="single" w:sz="8" w:color="auto"/>
            </w:tcBorders>
            <w:vMerge w:val="continue"/>
            <w:shd w:val="clear" w:color="auto" w:fill="CCEEFF"/>
          </w:tcPr>
          <w:p>
            <w:pPr>
              <w:spacing w:after="0"/>
              <w:rPr>
                <w:sz w:val="14"/>
                <w:szCs w:val="14"/>
                <w:color w:val="auto"/>
              </w:rPr>
            </w:pPr>
          </w:p>
        </w:tc>
        <w:tc>
          <w:tcPr>
            <w:tcW w:w="1060" w:type="dxa"/>
            <w:vAlign w:val="bottom"/>
            <w:tcBorders>
              <w:bottom w:val="single" w:sz="8" w:color="auto"/>
            </w:tcBorders>
            <w:vMerge w:val="continue"/>
            <w:shd w:val="clear" w:color="auto" w:fill="CCEEFF"/>
          </w:tcPr>
          <w:p>
            <w:pPr>
              <w:spacing w:after="0"/>
              <w:rPr>
                <w:sz w:val="14"/>
                <w:szCs w:val="14"/>
                <w:color w:val="auto"/>
              </w:rPr>
            </w:pPr>
          </w:p>
        </w:tc>
        <w:tc>
          <w:tcPr>
            <w:tcW w:w="1140" w:type="dxa"/>
            <w:vAlign w:val="bottom"/>
            <w:tcBorders>
              <w:bottom w:val="single" w:sz="8" w:color="auto"/>
            </w:tcBorders>
            <w:vMerge w:val="continue"/>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 years</w:t>
            </w:r>
          </w:p>
        </w:tc>
        <w:tc>
          <w:tcPr>
            <w:tcW w:w="0" w:type="dxa"/>
            <w:vAlign w:val="bottom"/>
          </w:tcPr>
          <w:p>
            <w:pPr>
              <w:spacing w:after="0"/>
              <w:rPr>
                <w:sz w:val="1"/>
                <w:szCs w:val="1"/>
                <w:color w:val="auto"/>
              </w:rPr>
            </w:pPr>
          </w:p>
        </w:tc>
      </w:tr>
      <w:tr>
        <w:trPr>
          <w:trHeight w:val="160"/>
        </w:trPr>
        <w:tc>
          <w:tcPr>
            <w:tcW w:w="3200" w:type="dxa"/>
            <w:vAlign w:val="bottom"/>
          </w:tcPr>
          <w:p>
            <w:pPr>
              <w:spacing w:after="0"/>
              <w:rPr>
                <w:sz w:val="13"/>
                <w:szCs w:val="13"/>
                <w:color w:val="auto"/>
              </w:rPr>
            </w:pPr>
          </w:p>
        </w:tc>
        <w:tc>
          <w:tcPr>
            <w:tcW w:w="1320" w:type="dxa"/>
            <w:vAlign w:val="bottom"/>
          </w:tcPr>
          <w:p>
            <w:pPr>
              <w:jc w:val="right"/>
              <w:ind w:right="17"/>
              <w:spacing w:after="0"/>
              <w:rPr>
                <w:sz w:val="20"/>
                <w:szCs w:val="20"/>
                <w:color w:val="auto"/>
              </w:rPr>
            </w:pPr>
            <w:r>
              <w:rPr>
                <w:rFonts w:ascii="Arial" w:cs="Arial" w:eastAsia="Arial" w:hAnsi="Arial"/>
                <w:sz w:val="13"/>
                <w:szCs w:val="13"/>
                <w:b w:val="1"/>
                <w:bCs w:val="1"/>
                <w:color w:val="auto"/>
              </w:rPr>
              <w:t>$’000</w:t>
            </w:r>
          </w:p>
        </w:tc>
        <w:tc>
          <w:tcPr>
            <w:tcW w:w="1380" w:type="dxa"/>
            <w:vAlign w:val="bottom"/>
          </w:tcPr>
          <w:p>
            <w:pPr>
              <w:jc w:val="right"/>
              <w:ind w:right="137"/>
              <w:spacing w:after="0"/>
              <w:rPr>
                <w:sz w:val="20"/>
                <w:szCs w:val="20"/>
                <w:color w:val="auto"/>
              </w:rPr>
            </w:pPr>
            <w:r>
              <w:rPr>
                <w:rFonts w:ascii="Arial" w:cs="Arial" w:eastAsia="Arial" w:hAnsi="Arial"/>
                <w:sz w:val="13"/>
                <w:szCs w:val="13"/>
                <w:b w:val="1"/>
                <w:bCs w:val="1"/>
                <w:color w:val="auto"/>
              </w:rPr>
              <w:t>$’000</w:t>
            </w:r>
          </w:p>
        </w:tc>
        <w:tc>
          <w:tcPr>
            <w:tcW w:w="1040" w:type="dxa"/>
            <w:vAlign w:val="bottom"/>
          </w:tcPr>
          <w:p>
            <w:pPr>
              <w:jc w:val="right"/>
              <w:ind w:right="37"/>
              <w:spacing w:after="0"/>
              <w:rPr>
                <w:sz w:val="20"/>
                <w:szCs w:val="20"/>
                <w:color w:val="auto"/>
              </w:rPr>
            </w:pPr>
            <w:r>
              <w:rPr>
                <w:rFonts w:ascii="Arial" w:cs="Arial" w:eastAsia="Arial" w:hAnsi="Arial"/>
                <w:sz w:val="13"/>
                <w:szCs w:val="13"/>
                <w:b w:val="1"/>
                <w:bCs w:val="1"/>
                <w:color w:val="auto"/>
              </w:rPr>
              <w:t>$’000</w:t>
            </w:r>
          </w:p>
        </w:tc>
        <w:tc>
          <w:tcPr>
            <w:tcW w:w="1220" w:type="dxa"/>
            <w:vAlign w:val="bottom"/>
          </w:tcPr>
          <w:p>
            <w:pPr>
              <w:jc w:val="right"/>
              <w:ind w:right="177"/>
              <w:spacing w:after="0"/>
              <w:rPr>
                <w:sz w:val="20"/>
                <w:szCs w:val="20"/>
                <w:color w:val="auto"/>
              </w:rPr>
            </w:pPr>
            <w:r>
              <w:rPr>
                <w:rFonts w:ascii="Arial" w:cs="Arial" w:eastAsia="Arial" w:hAnsi="Arial"/>
                <w:sz w:val="13"/>
                <w:szCs w:val="13"/>
                <w:b w:val="1"/>
                <w:bCs w:val="1"/>
                <w:color w:val="auto"/>
              </w:rPr>
              <w:t>$’000</w:t>
            </w:r>
          </w:p>
        </w:tc>
        <w:tc>
          <w:tcPr>
            <w:tcW w:w="1060" w:type="dxa"/>
            <w:vAlign w:val="bottom"/>
          </w:tcPr>
          <w:p>
            <w:pPr>
              <w:jc w:val="right"/>
              <w:ind w:right="177"/>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ind w:right="177"/>
              <w:spacing w:after="0"/>
              <w:rPr>
                <w:sz w:val="20"/>
                <w:szCs w:val="20"/>
                <w:color w:val="auto"/>
              </w:rPr>
            </w:pPr>
            <w:r>
              <w:rPr>
                <w:rFonts w:ascii="Arial" w:cs="Arial" w:eastAsia="Arial" w:hAnsi="Arial"/>
                <w:sz w:val="13"/>
                <w:szCs w:val="13"/>
                <w:b w:val="1"/>
                <w:bCs w:val="1"/>
                <w:color w:val="auto"/>
              </w:rPr>
              <w:t>$’000</w:t>
            </w: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0" w:type="dxa"/>
            <w:vAlign w:val="bottom"/>
          </w:tcPr>
          <w:p>
            <w:pPr>
              <w:spacing w:after="0"/>
              <w:rPr>
                <w:sz w:val="1"/>
                <w:szCs w:val="1"/>
                <w:color w:val="auto"/>
              </w:rPr>
            </w:pPr>
          </w:p>
        </w:tc>
      </w:tr>
      <w:tr>
        <w:trPr>
          <w:trHeight w:val="170"/>
        </w:trPr>
        <w:tc>
          <w:tcPr>
            <w:tcW w:w="32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00" w:type="dxa"/>
            <w:vAlign w:val="bottom"/>
          </w:tcPr>
          <w:p>
            <w:pPr>
              <w:ind w:left="20"/>
              <w:spacing w:after="0"/>
              <w:rPr>
                <w:sz w:val="20"/>
                <w:szCs w:val="20"/>
                <w:color w:val="auto"/>
              </w:rPr>
            </w:pPr>
            <w:r>
              <w:rPr>
                <w:rFonts w:ascii="Arial" w:cs="Arial" w:eastAsia="Arial" w:hAnsi="Arial"/>
                <w:sz w:val="13"/>
                <w:szCs w:val="13"/>
                <w:color w:val="auto"/>
              </w:rPr>
              <w:t>Bank credit lines and loan facilities</w:t>
            </w:r>
          </w:p>
        </w:tc>
        <w:tc>
          <w:tcPr>
            <w:tcW w:w="1320" w:type="dxa"/>
            <w:vAlign w:val="bottom"/>
          </w:tcPr>
          <w:p>
            <w:pPr>
              <w:jc w:val="right"/>
              <w:ind w:right="17"/>
              <w:spacing w:after="0"/>
              <w:rPr>
                <w:sz w:val="20"/>
                <w:szCs w:val="20"/>
                <w:color w:val="auto"/>
              </w:rPr>
            </w:pPr>
            <w:r>
              <w:rPr>
                <w:rFonts w:ascii="Arial" w:cs="Arial" w:eastAsia="Arial" w:hAnsi="Arial"/>
                <w:sz w:val="12"/>
                <w:szCs w:val="12"/>
                <w:color w:val="auto"/>
              </w:rPr>
              <w:t>(5,436,312)</w:t>
            </w:r>
          </w:p>
        </w:tc>
        <w:tc>
          <w:tcPr>
            <w:tcW w:w="1380" w:type="dxa"/>
            <w:vAlign w:val="bottom"/>
          </w:tcPr>
          <w:p>
            <w:pPr>
              <w:jc w:val="right"/>
              <w:ind w:right="137"/>
              <w:spacing w:after="0"/>
              <w:rPr>
                <w:sz w:val="20"/>
                <w:szCs w:val="20"/>
                <w:color w:val="auto"/>
              </w:rPr>
            </w:pPr>
            <w:r>
              <w:rPr>
                <w:rFonts w:ascii="Arial" w:cs="Arial" w:eastAsia="Arial" w:hAnsi="Arial"/>
                <w:sz w:val="12"/>
                <w:szCs w:val="12"/>
                <w:color w:val="auto"/>
              </w:rPr>
              <w:t>(5,501,213)</w:t>
            </w:r>
          </w:p>
        </w:tc>
        <w:tc>
          <w:tcPr>
            <w:tcW w:w="1040" w:type="dxa"/>
            <w:vAlign w:val="bottom"/>
          </w:tcPr>
          <w:p>
            <w:pPr>
              <w:jc w:val="right"/>
              <w:ind w:right="37"/>
              <w:spacing w:after="0"/>
              <w:rPr>
                <w:sz w:val="20"/>
                <w:szCs w:val="20"/>
                <w:color w:val="auto"/>
              </w:rPr>
            </w:pPr>
            <w:r>
              <w:rPr>
                <w:rFonts w:ascii="Arial" w:cs="Arial" w:eastAsia="Arial" w:hAnsi="Arial"/>
                <w:sz w:val="12"/>
                <w:szCs w:val="12"/>
                <w:color w:val="auto"/>
              </w:rPr>
              <w:t>(27,575)</w:t>
            </w:r>
          </w:p>
        </w:tc>
        <w:tc>
          <w:tcPr>
            <w:tcW w:w="1220" w:type="dxa"/>
            <w:vAlign w:val="bottom"/>
          </w:tcPr>
          <w:p>
            <w:pPr>
              <w:jc w:val="right"/>
              <w:ind w:right="197"/>
              <w:spacing w:after="0"/>
              <w:rPr>
                <w:sz w:val="20"/>
                <w:szCs w:val="20"/>
                <w:color w:val="auto"/>
              </w:rPr>
            </w:pPr>
            <w:r>
              <w:rPr>
                <w:rFonts w:ascii="Arial" w:cs="Arial" w:eastAsia="Arial" w:hAnsi="Arial"/>
                <w:sz w:val="12"/>
                <w:szCs w:val="12"/>
                <w:color w:val="auto"/>
              </w:rPr>
              <w:t>(27,575)</w:t>
            </w:r>
          </w:p>
        </w:tc>
        <w:tc>
          <w:tcPr>
            <w:tcW w:w="1060" w:type="dxa"/>
            <w:vAlign w:val="bottom"/>
          </w:tcPr>
          <w:p>
            <w:pPr>
              <w:jc w:val="right"/>
              <w:ind w:right="177"/>
              <w:spacing w:after="0"/>
              <w:rPr>
                <w:sz w:val="20"/>
                <w:szCs w:val="20"/>
                <w:color w:val="auto"/>
              </w:rPr>
            </w:pPr>
            <w:r>
              <w:rPr>
                <w:rFonts w:ascii="Arial" w:cs="Arial" w:eastAsia="Arial" w:hAnsi="Arial"/>
                <w:sz w:val="12"/>
                <w:szCs w:val="12"/>
                <w:color w:val="auto"/>
              </w:rPr>
              <w:t>(55,150)</w:t>
            </w:r>
          </w:p>
        </w:tc>
        <w:tc>
          <w:tcPr>
            <w:tcW w:w="1140" w:type="dxa"/>
            <w:vAlign w:val="bottom"/>
          </w:tcPr>
          <w:p>
            <w:pPr>
              <w:jc w:val="right"/>
              <w:ind w:right="197"/>
              <w:spacing w:after="0"/>
              <w:rPr>
                <w:sz w:val="20"/>
                <w:szCs w:val="20"/>
                <w:color w:val="auto"/>
              </w:rPr>
            </w:pPr>
            <w:r>
              <w:rPr>
                <w:rFonts w:ascii="Arial" w:cs="Arial" w:eastAsia="Arial" w:hAnsi="Arial"/>
                <w:sz w:val="12"/>
                <w:szCs w:val="12"/>
                <w:color w:val="auto"/>
              </w:rPr>
              <w:t>(665,450)</w:t>
            </w:r>
          </w:p>
        </w:tc>
        <w:tc>
          <w:tcPr>
            <w:tcW w:w="900" w:type="dxa"/>
            <w:vAlign w:val="bottom"/>
          </w:tcPr>
          <w:p>
            <w:pPr>
              <w:jc w:val="right"/>
              <w:spacing w:after="0"/>
              <w:rPr>
                <w:sz w:val="20"/>
                <w:szCs w:val="20"/>
                <w:color w:val="auto"/>
              </w:rPr>
            </w:pPr>
            <w:r>
              <w:rPr>
                <w:rFonts w:ascii="Arial" w:cs="Arial" w:eastAsia="Arial" w:hAnsi="Arial"/>
                <w:sz w:val="12"/>
                <w:szCs w:val="12"/>
                <w:color w:val="auto"/>
              </w:rPr>
              <w:t>(4,725,463)</w:t>
            </w:r>
          </w:p>
        </w:tc>
        <w:tc>
          <w:tcPr>
            <w:tcW w:w="0" w:type="dxa"/>
            <w:vAlign w:val="bottom"/>
          </w:tcPr>
          <w:p>
            <w:pPr>
              <w:spacing w:after="0"/>
              <w:rPr>
                <w:sz w:val="1"/>
                <w:szCs w:val="1"/>
                <w:color w:val="auto"/>
              </w:rPr>
            </w:pPr>
          </w:p>
        </w:tc>
      </w:tr>
      <w:tr>
        <w:trPr>
          <w:trHeight w:val="171"/>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on bank credit lines and loan facilities</w:t>
            </w:r>
          </w:p>
        </w:tc>
        <w:tc>
          <w:tcPr>
            <w:tcW w:w="1320" w:type="dxa"/>
            <w:vAlign w:val="bottom"/>
            <w:shd w:val="clear" w:color="auto" w:fill="CCEEFF"/>
          </w:tcPr>
          <w:p>
            <w:pPr>
              <w:jc w:val="right"/>
              <w:ind w:right="17"/>
              <w:spacing w:after="0"/>
              <w:rPr>
                <w:sz w:val="20"/>
                <w:szCs w:val="20"/>
                <w:color w:val="auto"/>
              </w:rPr>
            </w:pPr>
            <w:r>
              <w:rPr>
                <w:rFonts w:ascii="Arial" w:cs="Arial" w:eastAsia="Arial" w:hAnsi="Arial"/>
                <w:sz w:val="12"/>
                <w:szCs w:val="12"/>
                <w:color w:val="auto"/>
              </w:rPr>
              <w:t>(8,438)</w:t>
            </w:r>
          </w:p>
        </w:tc>
        <w:tc>
          <w:tcPr>
            <w:tcW w:w="1380" w:type="dxa"/>
            <w:vAlign w:val="bottom"/>
            <w:shd w:val="clear" w:color="auto" w:fill="CCEEFF"/>
          </w:tcPr>
          <w:p>
            <w:pPr>
              <w:jc w:val="right"/>
              <w:ind w:right="137"/>
              <w:spacing w:after="0"/>
              <w:rPr>
                <w:sz w:val="20"/>
                <w:szCs w:val="20"/>
                <w:color w:val="auto"/>
              </w:rPr>
            </w:pPr>
            <w:r>
              <w:rPr>
                <w:rFonts w:ascii="Arial" w:cs="Arial" w:eastAsia="Arial" w:hAnsi="Arial"/>
                <w:sz w:val="12"/>
                <w:szCs w:val="12"/>
                <w:color w:val="auto"/>
              </w:rPr>
              <w:t>(950,267)</w:t>
            </w: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2"/>
                <w:szCs w:val="12"/>
                <w:color w:val="auto"/>
              </w:rPr>
              <w:t>(76,238)</w:t>
            </w:r>
          </w:p>
        </w:tc>
        <w:tc>
          <w:tcPr>
            <w:tcW w:w="1220" w:type="dxa"/>
            <w:vAlign w:val="bottom"/>
            <w:shd w:val="clear" w:color="auto" w:fill="CCEEFF"/>
          </w:tcPr>
          <w:p>
            <w:pPr>
              <w:jc w:val="right"/>
              <w:ind w:right="197"/>
              <w:spacing w:after="0"/>
              <w:rPr>
                <w:sz w:val="20"/>
                <w:szCs w:val="20"/>
                <w:color w:val="auto"/>
              </w:rPr>
            </w:pPr>
            <w:r>
              <w:rPr>
                <w:rFonts w:ascii="Arial" w:cs="Arial" w:eastAsia="Arial" w:hAnsi="Arial"/>
                <w:sz w:val="12"/>
                <w:szCs w:val="12"/>
                <w:color w:val="auto"/>
              </w:rPr>
              <w:t>(76,996)</w:t>
            </w:r>
          </w:p>
        </w:tc>
        <w:tc>
          <w:tcPr>
            <w:tcW w:w="1060" w:type="dxa"/>
            <w:vAlign w:val="bottom"/>
            <w:shd w:val="clear" w:color="auto" w:fill="CCEEFF"/>
          </w:tcPr>
          <w:p>
            <w:pPr>
              <w:jc w:val="right"/>
              <w:ind w:right="177"/>
              <w:spacing w:after="0"/>
              <w:rPr>
                <w:sz w:val="20"/>
                <w:szCs w:val="20"/>
                <w:color w:val="auto"/>
              </w:rPr>
            </w:pPr>
            <w:r>
              <w:rPr>
                <w:rFonts w:ascii="Arial" w:cs="Arial" w:eastAsia="Arial" w:hAnsi="Arial"/>
                <w:sz w:val="12"/>
                <w:szCs w:val="12"/>
                <w:color w:val="auto"/>
              </w:rPr>
              <w:t>(151,696)</w:t>
            </w:r>
          </w:p>
        </w:tc>
        <w:tc>
          <w:tcPr>
            <w:tcW w:w="1140" w:type="dxa"/>
            <w:vAlign w:val="bottom"/>
            <w:shd w:val="clear" w:color="auto" w:fill="CCEEFF"/>
          </w:tcPr>
          <w:p>
            <w:pPr>
              <w:jc w:val="right"/>
              <w:ind w:right="197"/>
              <w:spacing w:after="0"/>
              <w:rPr>
                <w:sz w:val="20"/>
                <w:szCs w:val="20"/>
                <w:color w:val="auto"/>
              </w:rPr>
            </w:pPr>
            <w:r>
              <w:rPr>
                <w:rFonts w:ascii="Arial" w:cs="Arial" w:eastAsia="Arial" w:hAnsi="Arial"/>
                <w:sz w:val="12"/>
                <w:szCs w:val="12"/>
                <w:color w:val="auto"/>
              </w:rPr>
              <w:t>(439,049)</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(206,288)</w:t>
            </w:r>
          </w:p>
        </w:tc>
        <w:tc>
          <w:tcPr>
            <w:tcW w:w="0" w:type="dxa"/>
            <w:vAlign w:val="bottom"/>
          </w:tcPr>
          <w:p>
            <w:pPr>
              <w:spacing w:after="0"/>
              <w:rPr>
                <w:sz w:val="1"/>
                <w:szCs w:val="1"/>
                <w:color w:val="auto"/>
              </w:rPr>
            </w:pPr>
          </w:p>
        </w:tc>
      </w:tr>
      <w:tr>
        <w:trPr>
          <w:trHeight w:val="169"/>
        </w:trPr>
        <w:tc>
          <w:tcPr>
            <w:tcW w:w="3200" w:type="dxa"/>
            <w:vAlign w:val="bottom"/>
          </w:tcPr>
          <w:p>
            <w:pPr>
              <w:ind w:left="20"/>
              <w:spacing w:after="0"/>
              <w:rPr>
                <w:sz w:val="20"/>
                <w:szCs w:val="20"/>
                <w:color w:val="auto"/>
              </w:rPr>
            </w:pPr>
            <w:r>
              <w:rPr>
                <w:rFonts w:ascii="Arial" w:cs="Arial" w:eastAsia="Arial" w:hAnsi="Arial"/>
                <w:sz w:val="13"/>
                <w:szCs w:val="13"/>
                <w:color w:val="auto"/>
              </w:rPr>
              <w:t>Non-current lease liabilities</w:t>
            </w:r>
          </w:p>
        </w:tc>
        <w:tc>
          <w:tcPr>
            <w:tcW w:w="1320" w:type="dxa"/>
            <w:vAlign w:val="bottom"/>
          </w:tcPr>
          <w:p>
            <w:pPr>
              <w:jc w:val="right"/>
              <w:ind w:right="17"/>
              <w:spacing w:after="0"/>
              <w:rPr>
                <w:sz w:val="20"/>
                <w:szCs w:val="20"/>
                <w:color w:val="auto"/>
              </w:rPr>
            </w:pPr>
            <w:r>
              <w:rPr>
                <w:rFonts w:ascii="Arial" w:cs="Arial" w:eastAsia="Arial" w:hAnsi="Arial"/>
                <w:sz w:val="12"/>
                <w:szCs w:val="12"/>
                <w:color w:val="auto"/>
              </w:rPr>
              <w:t>(161,096)</w:t>
            </w:r>
          </w:p>
        </w:tc>
        <w:tc>
          <w:tcPr>
            <w:tcW w:w="1380" w:type="dxa"/>
            <w:vAlign w:val="bottom"/>
          </w:tcPr>
          <w:p>
            <w:pPr>
              <w:jc w:val="right"/>
              <w:ind w:right="137"/>
              <w:spacing w:after="0"/>
              <w:rPr>
                <w:sz w:val="20"/>
                <w:szCs w:val="20"/>
                <w:color w:val="auto"/>
              </w:rPr>
            </w:pPr>
            <w:r>
              <w:rPr>
                <w:rFonts w:ascii="Arial" w:cs="Arial" w:eastAsia="Arial" w:hAnsi="Arial"/>
                <w:sz w:val="12"/>
                <w:szCs w:val="12"/>
                <w:color w:val="auto"/>
              </w:rPr>
              <w:t>(175,699)</w:t>
            </w:r>
          </w:p>
        </w:tc>
        <w:tc>
          <w:tcPr>
            <w:tcW w:w="1040" w:type="dxa"/>
            <w:vAlign w:val="bottom"/>
          </w:tcPr>
          <w:p>
            <w:pPr>
              <w:jc w:val="right"/>
              <w:ind w:right="77"/>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217"/>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177"/>
              <w:spacing w:after="0"/>
              <w:rPr>
                <w:sz w:val="20"/>
                <w:szCs w:val="20"/>
                <w:color w:val="auto"/>
              </w:rPr>
            </w:pPr>
            <w:r>
              <w:rPr>
                <w:rFonts w:ascii="Arial" w:cs="Arial" w:eastAsia="Arial" w:hAnsi="Arial"/>
                <w:sz w:val="12"/>
                <w:szCs w:val="12"/>
                <w:color w:val="auto"/>
              </w:rPr>
              <w:t>(44,591)</w:t>
            </w:r>
          </w:p>
        </w:tc>
        <w:tc>
          <w:tcPr>
            <w:tcW w:w="1140" w:type="dxa"/>
            <w:vAlign w:val="bottom"/>
          </w:tcPr>
          <w:p>
            <w:pPr>
              <w:jc w:val="right"/>
              <w:ind w:right="197"/>
              <w:spacing w:after="0"/>
              <w:rPr>
                <w:sz w:val="20"/>
                <w:szCs w:val="20"/>
                <w:color w:val="auto"/>
              </w:rPr>
            </w:pPr>
            <w:r>
              <w:rPr>
                <w:rFonts w:ascii="Arial" w:cs="Arial" w:eastAsia="Arial" w:hAnsi="Arial"/>
                <w:sz w:val="12"/>
                <w:szCs w:val="12"/>
                <w:color w:val="auto"/>
              </w:rPr>
              <w:t>(67,433)</w:t>
            </w:r>
          </w:p>
        </w:tc>
        <w:tc>
          <w:tcPr>
            <w:tcW w:w="900" w:type="dxa"/>
            <w:vAlign w:val="bottom"/>
          </w:tcPr>
          <w:p>
            <w:pPr>
              <w:jc w:val="right"/>
              <w:spacing w:after="0"/>
              <w:rPr>
                <w:sz w:val="20"/>
                <w:szCs w:val="20"/>
                <w:color w:val="auto"/>
              </w:rPr>
            </w:pPr>
            <w:r>
              <w:rPr>
                <w:rFonts w:ascii="Arial" w:cs="Arial" w:eastAsia="Arial" w:hAnsi="Arial"/>
                <w:sz w:val="12"/>
                <w:szCs w:val="12"/>
                <w:color w:val="auto"/>
              </w:rPr>
              <w:t>(63,675)</w:t>
            </w:r>
          </w:p>
        </w:tc>
        <w:tc>
          <w:tcPr>
            <w:tcW w:w="0" w:type="dxa"/>
            <w:vAlign w:val="bottom"/>
          </w:tcPr>
          <w:p>
            <w:pPr>
              <w:spacing w:after="0"/>
              <w:rPr>
                <w:sz w:val="1"/>
                <w:szCs w:val="1"/>
                <w:color w:val="auto"/>
              </w:rPr>
            </w:pPr>
          </w:p>
        </w:tc>
      </w:tr>
      <w:tr>
        <w:trPr>
          <w:trHeight w:val="171"/>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Non-current other liabilities*</w:t>
            </w:r>
          </w:p>
        </w:tc>
        <w:tc>
          <w:tcPr>
            <w:tcW w:w="1320" w:type="dxa"/>
            <w:vAlign w:val="bottom"/>
            <w:shd w:val="clear" w:color="auto" w:fill="CCEEFF"/>
          </w:tcPr>
          <w:p>
            <w:pPr>
              <w:jc w:val="right"/>
              <w:ind w:right="17"/>
              <w:spacing w:after="0"/>
              <w:rPr>
                <w:sz w:val="20"/>
                <w:szCs w:val="20"/>
                <w:color w:val="auto"/>
              </w:rPr>
            </w:pPr>
            <w:r>
              <w:rPr>
                <w:rFonts w:ascii="Arial" w:cs="Arial" w:eastAsia="Arial" w:hAnsi="Arial"/>
                <w:sz w:val="12"/>
                <w:szCs w:val="12"/>
                <w:color w:val="auto"/>
              </w:rPr>
              <w:t>(18,226)</w:t>
            </w:r>
          </w:p>
        </w:tc>
        <w:tc>
          <w:tcPr>
            <w:tcW w:w="1380" w:type="dxa"/>
            <w:vAlign w:val="bottom"/>
            <w:shd w:val="clear" w:color="auto" w:fill="CCEEFF"/>
          </w:tcPr>
          <w:p>
            <w:pPr>
              <w:jc w:val="right"/>
              <w:ind w:right="137"/>
              <w:spacing w:after="0"/>
              <w:rPr>
                <w:sz w:val="20"/>
                <w:szCs w:val="20"/>
                <w:color w:val="auto"/>
              </w:rPr>
            </w:pPr>
            <w:r>
              <w:rPr>
                <w:rFonts w:ascii="Arial" w:cs="Arial" w:eastAsia="Arial" w:hAnsi="Arial"/>
                <w:sz w:val="12"/>
                <w:szCs w:val="12"/>
                <w:color w:val="auto"/>
              </w:rPr>
              <w:t>(18,226)</w:t>
            </w: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2"/>
                <w:szCs w:val="12"/>
                <w:color w:val="auto"/>
              </w:rPr>
              <w:t>(41)</w:t>
            </w:r>
          </w:p>
        </w:tc>
        <w:tc>
          <w:tcPr>
            <w:tcW w:w="1220" w:type="dxa"/>
            <w:vAlign w:val="bottom"/>
            <w:shd w:val="clear" w:color="auto" w:fill="CCEEFF"/>
          </w:tcPr>
          <w:p>
            <w:pPr>
              <w:jc w:val="right"/>
              <w:ind w:right="197"/>
              <w:spacing w:after="0"/>
              <w:rPr>
                <w:sz w:val="20"/>
                <w:szCs w:val="20"/>
                <w:color w:val="auto"/>
              </w:rPr>
            </w:pPr>
            <w:r>
              <w:rPr>
                <w:rFonts w:ascii="Arial" w:cs="Arial" w:eastAsia="Arial" w:hAnsi="Arial"/>
                <w:sz w:val="12"/>
                <w:szCs w:val="12"/>
                <w:color w:val="auto"/>
              </w:rPr>
              <w:t>(39)</w:t>
            </w:r>
          </w:p>
        </w:tc>
        <w:tc>
          <w:tcPr>
            <w:tcW w:w="1060" w:type="dxa"/>
            <w:vAlign w:val="bottom"/>
            <w:shd w:val="clear" w:color="auto" w:fill="CCEEFF"/>
          </w:tcPr>
          <w:p>
            <w:pPr>
              <w:jc w:val="right"/>
              <w:ind w:right="177"/>
              <w:spacing w:after="0"/>
              <w:rPr>
                <w:sz w:val="20"/>
                <w:szCs w:val="20"/>
                <w:color w:val="auto"/>
              </w:rPr>
            </w:pPr>
            <w:r>
              <w:rPr>
                <w:rFonts w:ascii="Arial" w:cs="Arial" w:eastAsia="Arial" w:hAnsi="Arial"/>
                <w:sz w:val="12"/>
                <w:szCs w:val="12"/>
                <w:color w:val="auto"/>
              </w:rPr>
              <w:t>(58)</w:t>
            </w:r>
          </w:p>
        </w:tc>
        <w:tc>
          <w:tcPr>
            <w:tcW w:w="1140" w:type="dxa"/>
            <w:vAlign w:val="bottom"/>
            <w:shd w:val="clear" w:color="auto" w:fill="CCEEFF"/>
          </w:tcPr>
          <w:p>
            <w:pPr>
              <w:jc w:val="right"/>
              <w:ind w:right="217"/>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(18,088)</w:t>
            </w:r>
          </w:p>
        </w:tc>
        <w:tc>
          <w:tcPr>
            <w:tcW w:w="0" w:type="dxa"/>
            <w:vAlign w:val="bottom"/>
          </w:tcPr>
          <w:p>
            <w:pPr>
              <w:spacing w:after="0"/>
              <w:rPr>
                <w:sz w:val="1"/>
                <w:szCs w:val="1"/>
                <w:color w:val="auto"/>
              </w:rPr>
            </w:pPr>
          </w:p>
        </w:tc>
      </w:tr>
      <w:tr>
        <w:trPr>
          <w:trHeight w:val="169"/>
        </w:trPr>
        <w:tc>
          <w:tcPr>
            <w:tcW w:w="3200" w:type="dxa"/>
            <w:vAlign w:val="bottom"/>
          </w:tcPr>
          <w:p>
            <w:pPr>
              <w:ind w:left="20"/>
              <w:spacing w:after="0"/>
              <w:rPr>
                <w:sz w:val="20"/>
                <w:szCs w:val="20"/>
                <w:color w:val="auto"/>
              </w:rPr>
            </w:pPr>
            <w:r>
              <w:rPr>
                <w:rFonts w:ascii="Arial" w:cs="Arial" w:eastAsia="Arial" w:hAnsi="Arial"/>
                <w:sz w:val="13"/>
                <w:szCs w:val="13"/>
                <w:color w:val="auto"/>
              </w:rPr>
              <w:t>Accounts payable</w:t>
            </w:r>
          </w:p>
        </w:tc>
        <w:tc>
          <w:tcPr>
            <w:tcW w:w="1320" w:type="dxa"/>
            <w:vAlign w:val="bottom"/>
          </w:tcPr>
          <w:p>
            <w:pPr>
              <w:jc w:val="right"/>
              <w:ind w:right="17"/>
              <w:spacing w:after="0"/>
              <w:rPr>
                <w:sz w:val="20"/>
                <w:szCs w:val="20"/>
                <w:color w:val="auto"/>
              </w:rPr>
            </w:pPr>
            <w:r>
              <w:rPr>
                <w:rFonts w:ascii="Arial" w:cs="Arial" w:eastAsia="Arial" w:hAnsi="Arial"/>
                <w:sz w:val="12"/>
                <w:szCs w:val="12"/>
                <w:color w:val="auto"/>
              </w:rPr>
              <w:t>(90,764)</w:t>
            </w:r>
          </w:p>
        </w:tc>
        <w:tc>
          <w:tcPr>
            <w:tcW w:w="1380" w:type="dxa"/>
            <w:vAlign w:val="bottom"/>
          </w:tcPr>
          <w:p>
            <w:pPr>
              <w:jc w:val="right"/>
              <w:ind w:right="137"/>
              <w:spacing w:after="0"/>
              <w:rPr>
                <w:sz w:val="20"/>
                <w:szCs w:val="20"/>
                <w:color w:val="auto"/>
              </w:rPr>
            </w:pPr>
            <w:r>
              <w:rPr>
                <w:rFonts w:ascii="Arial" w:cs="Arial" w:eastAsia="Arial" w:hAnsi="Arial"/>
                <w:sz w:val="12"/>
                <w:szCs w:val="12"/>
                <w:color w:val="auto"/>
              </w:rPr>
              <w:t>(90,764)</w:t>
            </w:r>
          </w:p>
        </w:tc>
        <w:tc>
          <w:tcPr>
            <w:tcW w:w="1040" w:type="dxa"/>
            <w:vAlign w:val="bottom"/>
          </w:tcPr>
          <w:p>
            <w:pPr>
              <w:jc w:val="right"/>
              <w:ind w:right="37"/>
              <w:spacing w:after="0"/>
              <w:rPr>
                <w:sz w:val="20"/>
                <w:szCs w:val="20"/>
                <w:color w:val="auto"/>
              </w:rPr>
            </w:pPr>
            <w:r>
              <w:rPr>
                <w:rFonts w:ascii="Arial" w:cs="Arial" w:eastAsia="Arial" w:hAnsi="Arial"/>
                <w:sz w:val="12"/>
                <w:szCs w:val="12"/>
                <w:color w:val="auto"/>
              </w:rPr>
              <w:t>(90,764)</w:t>
            </w:r>
          </w:p>
        </w:tc>
        <w:tc>
          <w:tcPr>
            <w:tcW w:w="1220" w:type="dxa"/>
            <w:vAlign w:val="bottom"/>
          </w:tcPr>
          <w:p>
            <w:pPr>
              <w:jc w:val="right"/>
              <w:ind w:right="217"/>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217"/>
              <w:spacing w:after="0"/>
              <w:rPr>
                <w:sz w:val="20"/>
                <w:szCs w:val="20"/>
                <w:color w:val="auto"/>
              </w:rPr>
            </w:pPr>
            <w:r>
              <w:rPr>
                <w:rFonts w:ascii="Arial" w:cs="Arial" w:eastAsia="Arial" w:hAnsi="Arial"/>
                <w:sz w:val="12"/>
                <w:szCs w:val="12"/>
                <w:color w:val="auto"/>
              </w:rPr>
              <w:t>—</w:t>
            </w:r>
          </w:p>
        </w:tc>
        <w:tc>
          <w:tcPr>
            <w:tcW w:w="1140" w:type="dxa"/>
            <w:vAlign w:val="bottom"/>
          </w:tcPr>
          <w:p>
            <w:pPr>
              <w:jc w:val="right"/>
              <w:ind w:right="217"/>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0"/>
        </w:trPr>
        <w:tc>
          <w:tcPr>
            <w:tcW w:w="3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Accrued and other liabilities*</w:t>
            </w:r>
          </w:p>
        </w:tc>
        <w:tc>
          <w:tcPr>
            <w:tcW w:w="13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2"/>
                <w:szCs w:val="12"/>
                <w:color w:val="auto"/>
              </w:rPr>
              <w:t>(938,212)</w:t>
            </w:r>
          </w:p>
        </w:tc>
        <w:tc>
          <w:tcPr>
            <w:tcW w:w="138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2"/>
                <w:szCs w:val="12"/>
                <w:color w:val="auto"/>
              </w:rPr>
              <w:t>(938,212)</w:t>
            </w:r>
          </w:p>
        </w:tc>
        <w:tc>
          <w:tcPr>
            <w:tcW w:w="10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2"/>
                <w:szCs w:val="12"/>
                <w:color w:val="auto"/>
              </w:rPr>
              <w:t>(913,237)</w:t>
            </w:r>
          </w:p>
        </w:tc>
        <w:tc>
          <w:tcPr>
            <w:tcW w:w="122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2"/>
                <w:szCs w:val="12"/>
                <w:color w:val="auto"/>
              </w:rPr>
              <w:t>(24,975)</w:t>
            </w:r>
          </w:p>
        </w:tc>
        <w:tc>
          <w:tcPr>
            <w:tcW w:w="1060" w:type="dxa"/>
            <w:vAlign w:val="bottom"/>
            <w:tcBorders>
              <w:bottom w:val="single" w:sz="8" w:color="auto"/>
            </w:tcBorders>
            <w:shd w:val="clear" w:color="auto" w:fill="CCEEFF"/>
          </w:tcPr>
          <w:p>
            <w:pPr>
              <w:jc w:val="right"/>
              <w:ind w:right="217"/>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shd w:val="clear" w:color="auto" w:fill="CCEEFF"/>
          </w:tcPr>
          <w:p>
            <w:pPr>
              <w:jc w:val="right"/>
              <w:ind w:right="217"/>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3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20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2"/>
                <w:szCs w:val="12"/>
                <w:b w:val="1"/>
                <w:bCs w:val="1"/>
                <w:color w:val="auto"/>
              </w:rPr>
              <w:t>(6,653,048)</w:t>
            </w:r>
          </w:p>
        </w:tc>
        <w:tc>
          <w:tcPr>
            <w:tcW w:w="138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2"/>
                <w:szCs w:val="12"/>
                <w:b w:val="1"/>
                <w:bCs w:val="1"/>
                <w:color w:val="auto"/>
              </w:rPr>
              <w:t>(7,674,381)</w:t>
            </w:r>
          </w:p>
        </w:tc>
        <w:tc>
          <w:tcPr>
            <w:tcW w:w="10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2"/>
                <w:szCs w:val="12"/>
                <w:b w:val="1"/>
                <w:bCs w:val="1"/>
                <w:color w:val="auto"/>
              </w:rPr>
              <w:t>(1,107,855)</w:t>
            </w:r>
          </w:p>
        </w:tc>
        <w:tc>
          <w:tcPr>
            <w:tcW w:w="122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2"/>
                <w:szCs w:val="12"/>
                <w:b w:val="1"/>
                <w:bCs w:val="1"/>
                <w:color w:val="auto"/>
              </w:rPr>
              <w:t>(129,585)</w:t>
            </w:r>
          </w:p>
        </w:tc>
        <w:tc>
          <w:tcPr>
            <w:tcW w:w="106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2"/>
                <w:szCs w:val="12"/>
                <w:b w:val="1"/>
                <w:bCs w:val="1"/>
                <w:color w:val="auto"/>
              </w:rPr>
              <w:t>(251,495)</w:t>
            </w:r>
          </w:p>
        </w:tc>
        <w:tc>
          <w:tcPr>
            <w:tcW w:w="114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2"/>
                <w:szCs w:val="12"/>
                <w:b w:val="1"/>
                <w:bCs w:val="1"/>
                <w:color w:val="auto"/>
              </w:rPr>
              <w:t>(1,171,932)</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(5,013,514)</w:t>
            </w:r>
          </w:p>
        </w:tc>
        <w:tc>
          <w:tcPr>
            <w:tcW w:w="0" w:type="dxa"/>
            <w:vAlign w:val="bottom"/>
          </w:tcPr>
          <w:p>
            <w:pPr>
              <w:spacing w:after="0"/>
              <w:rPr>
                <w:sz w:val="1"/>
                <w:szCs w:val="1"/>
                <w:color w:val="auto"/>
              </w:rPr>
            </w:pPr>
          </w:p>
        </w:tc>
      </w:tr>
      <w:tr>
        <w:trPr>
          <w:trHeight w:val="411"/>
        </w:trPr>
        <w:tc>
          <w:tcPr>
            <w:tcW w:w="3200" w:type="dxa"/>
            <w:vAlign w:val="bottom"/>
          </w:tcPr>
          <w:p>
            <w:pPr>
              <w:spacing w:after="0"/>
              <w:rPr>
                <w:sz w:val="20"/>
                <w:szCs w:val="20"/>
                <w:color w:val="auto"/>
              </w:rPr>
            </w:pPr>
            <w:r>
              <w:rPr>
                <w:rFonts w:ascii="Arial" w:cs="Arial" w:eastAsia="Arial" w:hAnsi="Arial"/>
                <w:sz w:val="13"/>
                <w:szCs w:val="13"/>
                <w:i w:val="1"/>
                <w:iCs w:val="1"/>
                <w:color w:val="auto"/>
              </w:rPr>
              <w:t>Year ended 31 December 2020</w:t>
            </w: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32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3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97"/>
              <w:spacing w:after="0"/>
              <w:rPr>
                <w:sz w:val="20"/>
                <w:szCs w:val="20"/>
                <w:color w:val="auto"/>
              </w:rPr>
            </w:pPr>
            <w:r>
              <w:rPr>
                <w:rFonts w:ascii="Arial" w:cs="Arial" w:eastAsia="Arial" w:hAnsi="Arial"/>
                <w:sz w:val="13"/>
                <w:szCs w:val="13"/>
                <w:b w:val="1"/>
                <w:bCs w:val="1"/>
                <w:color w:val="auto"/>
              </w:rPr>
              <w:t>Carrying</w:t>
            </w:r>
          </w:p>
        </w:tc>
        <w:tc>
          <w:tcPr>
            <w:tcW w:w="1380" w:type="dxa"/>
            <w:vAlign w:val="bottom"/>
            <w:shd w:val="clear" w:color="auto" w:fill="CCEEFF"/>
          </w:tcPr>
          <w:p>
            <w:pPr>
              <w:jc w:val="right"/>
              <w:ind w:right="217"/>
              <w:spacing w:after="0"/>
              <w:rPr>
                <w:sz w:val="20"/>
                <w:szCs w:val="20"/>
                <w:color w:val="auto"/>
              </w:rPr>
            </w:pPr>
            <w:r>
              <w:rPr>
                <w:rFonts w:ascii="Arial" w:cs="Arial" w:eastAsia="Arial" w:hAnsi="Arial"/>
                <w:sz w:val="13"/>
                <w:szCs w:val="13"/>
                <w:b w:val="1"/>
                <w:bCs w:val="1"/>
                <w:color w:val="auto"/>
              </w:rPr>
              <w:t>Contractual cash</w:t>
            </w:r>
          </w:p>
        </w:tc>
        <w:tc>
          <w:tcPr>
            <w:tcW w:w="1040" w:type="dxa"/>
            <w:vAlign w:val="bottom"/>
            <w:shd w:val="clear" w:color="auto" w:fill="CCEEFF"/>
          </w:tcPr>
          <w:p>
            <w:pPr>
              <w:jc w:val="right"/>
              <w:ind w:right="197"/>
              <w:spacing w:after="0"/>
              <w:rPr>
                <w:sz w:val="20"/>
                <w:szCs w:val="20"/>
                <w:color w:val="auto"/>
              </w:rPr>
            </w:pPr>
            <w:r>
              <w:rPr>
                <w:rFonts w:ascii="Arial" w:cs="Arial" w:eastAsia="Arial" w:hAnsi="Arial"/>
                <w:sz w:val="13"/>
                <w:szCs w:val="13"/>
                <w:b w:val="1"/>
                <w:bCs w:val="1"/>
                <w:color w:val="auto"/>
              </w:rPr>
              <w:t>6 months</w:t>
            </w:r>
          </w:p>
        </w:tc>
        <w:tc>
          <w:tcPr>
            <w:tcW w:w="1220" w:type="dxa"/>
            <w:vAlign w:val="bottom"/>
            <w:vMerge w:val="restart"/>
            <w:shd w:val="clear" w:color="auto" w:fill="CCEEFF"/>
          </w:tcPr>
          <w:p>
            <w:pPr>
              <w:jc w:val="right"/>
              <w:ind w:right="297"/>
              <w:spacing w:after="0"/>
              <w:rPr>
                <w:sz w:val="20"/>
                <w:szCs w:val="20"/>
                <w:color w:val="auto"/>
              </w:rPr>
            </w:pPr>
            <w:r>
              <w:rPr>
                <w:rFonts w:ascii="Arial" w:cs="Arial" w:eastAsia="Arial" w:hAnsi="Arial"/>
                <w:sz w:val="13"/>
                <w:szCs w:val="13"/>
                <w:b w:val="1"/>
                <w:bCs w:val="1"/>
                <w:color w:val="auto"/>
              </w:rPr>
              <w:t>6-12 months</w:t>
            </w:r>
          </w:p>
        </w:tc>
        <w:tc>
          <w:tcPr>
            <w:tcW w:w="1060" w:type="dxa"/>
            <w:vAlign w:val="bottom"/>
            <w:vMerge w:val="restart"/>
            <w:shd w:val="clear" w:color="auto" w:fill="CCEEFF"/>
          </w:tcPr>
          <w:p>
            <w:pPr>
              <w:jc w:val="right"/>
              <w:ind w:right="217"/>
              <w:spacing w:after="0"/>
              <w:rPr>
                <w:sz w:val="20"/>
                <w:szCs w:val="20"/>
                <w:color w:val="auto"/>
              </w:rPr>
            </w:pPr>
            <w:r>
              <w:rPr>
                <w:rFonts w:ascii="Arial" w:cs="Arial" w:eastAsia="Arial" w:hAnsi="Arial"/>
                <w:sz w:val="13"/>
                <w:szCs w:val="13"/>
                <w:b w:val="1"/>
                <w:bCs w:val="1"/>
                <w:color w:val="auto"/>
              </w:rPr>
              <w:t>1-2 years</w:t>
            </w:r>
          </w:p>
        </w:tc>
        <w:tc>
          <w:tcPr>
            <w:tcW w:w="1140" w:type="dxa"/>
            <w:vAlign w:val="bottom"/>
            <w:vMerge w:val="restart"/>
            <w:shd w:val="clear" w:color="auto" w:fill="CCEEFF"/>
          </w:tcPr>
          <w:p>
            <w:pPr>
              <w:jc w:val="right"/>
              <w:ind w:right="197"/>
              <w:spacing w:after="0"/>
              <w:rPr>
                <w:sz w:val="20"/>
                <w:szCs w:val="20"/>
                <w:color w:val="auto"/>
              </w:rPr>
            </w:pPr>
            <w:r>
              <w:rPr>
                <w:rFonts w:ascii="Arial" w:cs="Arial" w:eastAsia="Arial" w:hAnsi="Arial"/>
                <w:sz w:val="13"/>
                <w:szCs w:val="13"/>
                <w:b w:val="1"/>
                <w:bCs w:val="1"/>
                <w:color w:val="auto"/>
              </w:rPr>
              <w:t>2-5 years</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More than</w:t>
            </w:r>
          </w:p>
        </w:tc>
        <w:tc>
          <w:tcPr>
            <w:tcW w:w="0" w:type="dxa"/>
            <w:vAlign w:val="bottom"/>
          </w:tcPr>
          <w:p>
            <w:pPr>
              <w:spacing w:after="0"/>
              <w:rPr>
                <w:sz w:val="1"/>
                <w:szCs w:val="1"/>
                <w:color w:val="auto"/>
              </w:rPr>
            </w:pPr>
          </w:p>
        </w:tc>
      </w:tr>
      <w:tr>
        <w:trPr>
          <w:trHeight w:val="170"/>
        </w:trPr>
        <w:tc>
          <w:tcPr>
            <w:tcW w:w="320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b w:val="1"/>
                <w:bCs w:val="1"/>
                <w:color w:val="auto"/>
              </w:rPr>
              <w:t>amount</w:t>
            </w:r>
          </w:p>
        </w:tc>
        <w:tc>
          <w:tcPr>
            <w:tcW w:w="1380" w:type="dxa"/>
            <w:vAlign w:val="bottom"/>
            <w:tcBorders>
              <w:bottom w:val="single" w:sz="8" w:color="auto"/>
            </w:tcBorders>
            <w:shd w:val="clear" w:color="auto" w:fill="CCEEFF"/>
          </w:tcPr>
          <w:p>
            <w:pPr>
              <w:jc w:val="right"/>
              <w:ind w:right="217"/>
              <w:spacing w:after="0"/>
              <w:rPr>
                <w:sz w:val="20"/>
                <w:szCs w:val="20"/>
                <w:color w:val="auto"/>
              </w:rPr>
            </w:pPr>
            <w:r>
              <w:rPr>
                <w:rFonts w:ascii="Arial" w:cs="Arial" w:eastAsia="Arial" w:hAnsi="Arial"/>
                <w:sz w:val="13"/>
                <w:szCs w:val="13"/>
                <w:b w:val="1"/>
                <w:bCs w:val="1"/>
                <w:color w:val="auto"/>
              </w:rPr>
              <w:t>flows</w:t>
            </w:r>
          </w:p>
        </w:tc>
        <w:tc>
          <w:tcPr>
            <w:tcW w:w="104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3"/>
                <w:szCs w:val="13"/>
                <w:b w:val="1"/>
                <w:bCs w:val="1"/>
                <w:color w:val="auto"/>
              </w:rPr>
              <w:t>or less</w:t>
            </w:r>
          </w:p>
        </w:tc>
        <w:tc>
          <w:tcPr>
            <w:tcW w:w="1220" w:type="dxa"/>
            <w:vAlign w:val="bottom"/>
            <w:tcBorders>
              <w:bottom w:val="single" w:sz="8" w:color="auto"/>
            </w:tcBorders>
            <w:vMerge w:val="continue"/>
            <w:shd w:val="clear" w:color="auto" w:fill="CCEEFF"/>
          </w:tcPr>
          <w:p>
            <w:pPr>
              <w:spacing w:after="0"/>
              <w:rPr>
                <w:sz w:val="14"/>
                <w:szCs w:val="14"/>
                <w:color w:val="auto"/>
              </w:rPr>
            </w:pPr>
          </w:p>
        </w:tc>
        <w:tc>
          <w:tcPr>
            <w:tcW w:w="1060" w:type="dxa"/>
            <w:vAlign w:val="bottom"/>
            <w:tcBorders>
              <w:bottom w:val="single" w:sz="8" w:color="auto"/>
            </w:tcBorders>
            <w:vMerge w:val="continue"/>
            <w:shd w:val="clear" w:color="auto" w:fill="CCEEFF"/>
          </w:tcPr>
          <w:p>
            <w:pPr>
              <w:spacing w:after="0"/>
              <w:rPr>
                <w:sz w:val="14"/>
                <w:szCs w:val="14"/>
                <w:color w:val="auto"/>
              </w:rPr>
            </w:pPr>
          </w:p>
        </w:tc>
        <w:tc>
          <w:tcPr>
            <w:tcW w:w="1140" w:type="dxa"/>
            <w:vAlign w:val="bottom"/>
            <w:tcBorders>
              <w:bottom w:val="single" w:sz="8" w:color="auto"/>
            </w:tcBorders>
            <w:vMerge w:val="continue"/>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 years</w:t>
            </w:r>
          </w:p>
        </w:tc>
        <w:tc>
          <w:tcPr>
            <w:tcW w:w="0" w:type="dxa"/>
            <w:vAlign w:val="bottom"/>
          </w:tcPr>
          <w:p>
            <w:pPr>
              <w:spacing w:after="0"/>
              <w:rPr>
                <w:sz w:val="1"/>
                <w:szCs w:val="1"/>
                <w:color w:val="auto"/>
              </w:rPr>
            </w:pPr>
          </w:p>
        </w:tc>
      </w:tr>
      <w:tr>
        <w:trPr>
          <w:trHeight w:val="160"/>
        </w:trPr>
        <w:tc>
          <w:tcPr>
            <w:tcW w:w="3200" w:type="dxa"/>
            <w:vAlign w:val="bottom"/>
          </w:tcPr>
          <w:p>
            <w:pPr>
              <w:spacing w:after="0"/>
              <w:rPr>
                <w:sz w:val="13"/>
                <w:szCs w:val="13"/>
                <w:color w:val="auto"/>
              </w:rPr>
            </w:pPr>
          </w:p>
        </w:tc>
        <w:tc>
          <w:tcPr>
            <w:tcW w:w="1320" w:type="dxa"/>
            <w:vAlign w:val="bottom"/>
          </w:tcPr>
          <w:p>
            <w:pPr>
              <w:jc w:val="right"/>
              <w:ind w:right="97"/>
              <w:spacing w:after="0"/>
              <w:rPr>
                <w:sz w:val="20"/>
                <w:szCs w:val="20"/>
                <w:color w:val="auto"/>
              </w:rPr>
            </w:pPr>
            <w:r>
              <w:rPr>
                <w:rFonts w:ascii="Arial" w:cs="Arial" w:eastAsia="Arial" w:hAnsi="Arial"/>
                <w:sz w:val="13"/>
                <w:szCs w:val="13"/>
                <w:b w:val="1"/>
                <w:bCs w:val="1"/>
                <w:color w:val="auto"/>
              </w:rPr>
              <w:t>$’000</w:t>
            </w:r>
          </w:p>
        </w:tc>
        <w:tc>
          <w:tcPr>
            <w:tcW w:w="1380" w:type="dxa"/>
            <w:vAlign w:val="bottom"/>
          </w:tcPr>
          <w:p>
            <w:pPr>
              <w:jc w:val="right"/>
              <w:ind w:right="217"/>
              <w:spacing w:after="0"/>
              <w:rPr>
                <w:sz w:val="20"/>
                <w:szCs w:val="20"/>
                <w:color w:val="auto"/>
              </w:rPr>
            </w:pPr>
            <w:r>
              <w:rPr>
                <w:rFonts w:ascii="Arial" w:cs="Arial" w:eastAsia="Arial" w:hAnsi="Arial"/>
                <w:sz w:val="13"/>
                <w:szCs w:val="13"/>
                <w:b w:val="1"/>
                <w:bCs w:val="1"/>
                <w:color w:val="auto"/>
              </w:rPr>
              <w:t>$’000</w:t>
            </w:r>
          </w:p>
        </w:tc>
        <w:tc>
          <w:tcPr>
            <w:tcW w:w="1040" w:type="dxa"/>
            <w:vAlign w:val="bottom"/>
          </w:tcPr>
          <w:p>
            <w:pPr>
              <w:jc w:val="right"/>
              <w:ind w:right="177"/>
              <w:spacing w:after="0"/>
              <w:rPr>
                <w:sz w:val="20"/>
                <w:szCs w:val="20"/>
                <w:color w:val="auto"/>
              </w:rPr>
            </w:pPr>
            <w:r>
              <w:rPr>
                <w:rFonts w:ascii="Arial" w:cs="Arial" w:eastAsia="Arial" w:hAnsi="Arial"/>
                <w:sz w:val="13"/>
                <w:szCs w:val="13"/>
                <w:b w:val="1"/>
                <w:bCs w:val="1"/>
                <w:color w:val="auto"/>
              </w:rPr>
              <w:t>$’000</w:t>
            </w:r>
          </w:p>
        </w:tc>
        <w:tc>
          <w:tcPr>
            <w:tcW w:w="1220" w:type="dxa"/>
            <w:vAlign w:val="bottom"/>
          </w:tcPr>
          <w:p>
            <w:pPr>
              <w:jc w:val="right"/>
              <w:ind w:right="297"/>
              <w:spacing w:after="0"/>
              <w:rPr>
                <w:sz w:val="20"/>
                <w:szCs w:val="20"/>
                <w:color w:val="auto"/>
              </w:rPr>
            </w:pPr>
            <w:r>
              <w:rPr>
                <w:rFonts w:ascii="Arial" w:cs="Arial" w:eastAsia="Arial" w:hAnsi="Arial"/>
                <w:sz w:val="13"/>
                <w:szCs w:val="13"/>
                <w:b w:val="1"/>
                <w:bCs w:val="1"/>
                <w:color w:val="auto"/>
              </w:rPr>
              <w:t>$’000</w:t>
            </w:r>
          </w:p>
        </w:tc>
        <w:tc>
          <w:tcPr>
            <w:tcW w:w="1060" w:type="dxa"/>
            <w:vAlign w:val="bottom"/>
          </w:tcPr>
          <w:p>
            <w:pPr>
              <w:jc w:val="right"/>
              <w:ind w:right="217"/>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ind w:right="197"/>
              <w:spacing w:after="0"/>
              <w:rPr>
                <w:sz w:val="20"/>
                <w:szCs w:val="20"/>
                <w:color w:val="auto"/>
              </w:rPr>
            </w:pPr>
            <w:r>
              <w:rPr>
                <w:rFonts w:ascii="Arial" w:cs="Arial" w:eastAsia="Arial" w:hAnsi="Arial"/>
                <w:sz w:val="13"/>
                <w:szCs w:val="13"/>
                <w:b w:val="1"/>
                <w:bCs w:val="1"/>
                <w:color w:val="auto"/>
              </w:rPr>
              <w:t>$’000</w:t>
            </w: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0" w:type="dxa"/>
            <w:vAlign w:val="bottom"/>
          </w:tcPr>
          <w:p>
            <w:pPr>
              <w:spacing w:after="0"/>
              <w:rPr>
                <w:sz w:val="1"/>
                <w:szCs w:val="1"/>
                <w:color w:val="auto"/>
              </w:rPr>
            </w:pPr>
          </w:p>
        </w:tc>
      </w:tr>
      <w:tr>
        <w:trPr>
          <w:trHeight w:val="170"/>
        </w:trPr>
        <w:tc>
          <w:tcPr>
            <w:tcW w:w="32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00" w:type="dxa"/>
            <w:vAlign w:val="bottom"/>
          </w:tcPr>
          <w:p>
            <w:pPr>
              <w:ind w:left="20"/>
              <w:spacing w:after="0"/>
              <w:rPr>
                <w:sz w:val="20"/>
                <w:szCs w:val="20"/>
                <w:color w:val="auto"/>
              </w:rPr>
            </w:pPr>
            <w:r>
              <w:rPr>
                <w:rFonts w:ascii="Arial" w:cs="Arial" w:eastAsia="Arial" w:hAnsi="Arial"/>
                <w:sz w:val="13"/>
                <w:szCs w:val="13"/>
                <w:color w:val="auto"/>
              </w:rPr>
              <w:t>Senior Notes</w:t>
            </w:r>
          </w:p>
        </w:tc>
        <w:tc>
          <w:tcPr>
            <w:tcW w:w="1320" w:type="dxa"/>
            <w:vAlign w:val="bottom"/>
          </w:tcPr>
          <w:p>
            <w:pPr>
              <w:jc w:val="right"/>
              <w:ind w:right="117"/>
              <w:spacing w:after="0"/>
              <w:rPr>
                <w:sz w:val="20"/>
                <w:szCs w:val="20"/>
                <w:color w:val="auto"/>
              </w:rPr>
            </w:pPr>
            <w:r>
              <w:rPr>
                <w:rFonts w:ascii="Arial" w:cs="Arial" w:eastAsia="Arial" w:hAnsi="Arial"/>
                <w:sz w:val="13"/>
                <w:szCs w:val="13"/>
                <w:color w:val="auto"/>
              </w:rPr>
              <w:t>(348,477)</w:t>
            </w:r>
          </w:p>
        </w:tc>
        <w:tc>
          <w:tcPr>
            <w:tcW w:w="1380" w:type="dxa"/>
            <w:vAlign w:val="bottom"/>
          </w:tcPr>
          <w:p>
            <w:pPr>
              <w:jc w:val="right"/>
              <w:ind w:right="237"/>
              <w:spacing w:after="0"/>
              <w:rPr>
                <w:sz w:val="20"/>
                <w:szCs w:val="20"/>
                <w:color w:val="auto"/>
              </w:rPr>
            </w:pPr>
            <w:r>
              <w:rPr>
                <w:rFonts w:ascii="Arial" w:cs="Arial" w:eastAsia="Arial" w:hAnsi="Arial"/>
                <w:sz w:val="13"/>
                <w:szCs w:val="13"/>
                <w:color w:val="auto"/>
              </w:rPr>
              <w:t>(350,000)</w:t>
            </w:r>
          </w:p>
        </w:tc>
        <w:tc>
          <w:tcPr>
            <w:tcW w:w="104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337"/>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217"/>
              <w:spacing w:after="0"/>
              <w:rPr>
                <w:sz w:val="20"/>
                <w:szCs w:val="20"/>
                <w:color w:val="auto"/>
              </w:rPr>
            </w:pPr>
            <w:r>
              <w:rPr>
                <w:rFonts w:ascii="Arial" w:cs="Arial" w:eastAsia="Arial" w:hAnsi="Arial"/>
                <w:sz w:val="13"/>
                <w:szCs w:val="13"/>
                <w:color w:val="auto"/>
              </w:rPr>
              <w:t>(350,000)</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on Senior Notes</w:t>
            </w:r>
          </w:p>
        </w:tc>
        <w:tc>
          <w:tcPr>
            <w:tcW w:w="132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(524)</w:t>
            </w:r>
          </w:p>
        </w:tc>
        <w:tc>
          <w:tcPr>
            <w:tcW w:w="138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(28,253)</w:t>
            </w:r>
          </w:p>
        </w:tc>
        <w:tc>
          <w:tcPr>
            <w:tcW w:w="104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(4,101)</w:t>
            </w:r>
          </w:p>
        </w:tc>
        <w:tc>
          <w:tcPr>
            <w:tcW w:w="1220" w:type="dxa"/>
            <w:vAlign w:val="bottom"/>
            <w:shd w:val="clear" w:color="auto" w:fill="CCEEFF"/>
          </w:tcPr>
          <w:p>
            <w:pPr>
              <w:jc w:val="right"/>
              <w:ind w:right="297"/>
              <w:spacing w:after="0"/>
              <w:rPr>
                <w:sz w:val="20"/>
                <w:szCs w:val="20"/>
                <w:color w:val="auto"/>
              </w:rPr>
            </w:pPr>
            <w:r>
              <w:rPr>
                <w:rFonts w:ascii="Arial" w:cs="Arial" w:eastAsia="Arial" w:hAnsi="Arial"/>
                <w:sz w:val="13"/>
                <w:szCs w:val="13"/>
                <w:color w:val="auto"/>
              </w:rPr>
              <w:t>(4,101)</w:t>
            </w:r>
          </w:p>
        </w:tc>
        <w:tc>
          <w:tcPr>
            <w:tcW w:w="106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(8,203)</w:t>
            </w:r>
          </w:p>
        </w:tc>
        <w:tc>
          <w:tcPr>
            <w:tcW w:w="114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(11,848)</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3200" w:type="dxa"/>
            <w:vAlign w:val="bottom"/>
          </w:tcPr>
          <w:p>
            <w:pPr>
              <w:ind w:left="20"/>
              <w:spacing w:after="0"/>
              <w:rPr>
                <w:sz w:val="20"/>
                <w:szCs w:val="20"/>
                <w:color w:val="auto"/>
              </w:rPr>
            </w:pPr>
            <w:r>
              <w:rPr>
                <w:rFonts w:ascii="Arial" w:cs="Arial" w:eastAsia="Arial" w:hAnsi="Arial"/>
                <w:sz w:val="13"/>
                <w:szCs w:val="13"/>
                <w:color w:val="auto"/>
              </w:rPr>
              <w:t>Non-current lease liabilities</w:t>
            </w:r>
          </w:p>
        </w:tc>
        <w:tc>
          <w:tcPr>
            <w:tcW w:w="1320" w:type="dxa"/>
            <w:vAlign w:val="bottom"/>
          </w:tcPr>
          <w:p>
            <w:pPr>
              <w:jc w:val="right"/>
              <w:ind w:right="117"/>
              <w:spacing w:after="0"/>
              <w:rPr>
                <w:sz w:val="20"/>
                <w:szCs w:val="20"/>
                <w:color w:val="auto"/>
              </w:rPr>
            </w:pPr>
            <w:r>
              <w:rPr>
                <w:rFonts w:ascii="Arial" w:cs="Arial" w:eastAsia="Arial" w:hAnsi="Arial"/>
                <w:sz w:val="13"/>
                <w:szCs w:val="13"/>
                <w:color w:val="auto"/>
              </w:rPr>
              <w:t>(60,801)</w:t>
            </w:r>
          </w:p>
        </w:tc>
        <w:tc>
          <w:tcPr>
            <w:tcW w:w="1380" w:type="dxa"/>
            <w:vAlign w:val="bottom"/>
          </w:tcPr>
          <w:p>
            <w:pPr>
              <w:jc w:val="right"/>
              <w:ind w:right="237"/>
              <w:spacing w:after="0"/>
              <w:rPr>
                <w:sz w:val="20"/>
                <w:szCs w:val="20"/>
                <w:color w:val="auto"/>
              </w:rPr>
            </w:pPr>
            <w:r>
              <w:rPr>
                <w:rFonts w:ascii="Arial" w:cs="Arial" w:eastAsia="Arial" w:hAnsi="Arial"/>
                <w:sz w:val="13"/>
                <w:szCs w:val="13"/>
                <w:color w:val="auto"/>
              </w:rPr>
              <w:t>(64,319)</w:t>
            </w:r>
          </w:p>
        </w:tc>
        <w:tc>
          <w:tcPr>
            <w:tcW w:w="104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337"/>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217"/>
              <w:spacing w:after="0"/>
              <w:rPr>
                <w:sz w:val="20"/>
                <w:szCs w:val="20"/>
                <w:color w:val="auto"/>
              </w:rPr>
            </w:pPr>
            <w:r>
              <w:rPr>
                <w:rFonts w:ascii="Arial" w:cs="Arial" w:eastAsia="Arial" w:hAnsi="Arial"/>
                <w:sz w:val="13"/>
                <w:szCs w:val="13"/>
                <w:color w:val="auto"/>
              </w:rPr>
              <w:t>(21,510)</w:t>
            </w:r>
          </w:p>
        </w:tc>
        <w:tc>
          <w:tcPr>
            <w:tcW w:w="1140" w:type="dxa"/>
            <w:vAlign w:val="bottom"/>
          </w:tcPr>
          <w:p>
            <w:pPr>
              <w:jc w:val="right"/>
              <w:ind w:right="217"/>
              <w:spacing w:after="0"/>
              <w:rPr>
                <w:sz w:val="20"/>
                <w:szCs w:val="20"/>
                <w:color w:val="auto"/>
              </w:rPr>
            </w:pPr>
            <w:r>
              <w:rPr>
                <w:rFonts w:ascii="Arial" w:cs="Arial" w:eastAsia="Arial" w:hAnsi="Arial"/>
                <w:sz w:val="13"/>
                <w:szCs w:val="13"/>
                <w:color w:val="auto"/>
              </w:rPr>
              <w:t>(32,319)</w:t>
            </w:r>
          </w:p>
        </w:tc>
        <w:tc>
          <w:tcPr>
            <w:tcW w:w="900" w:type="dxa"/>
            <w:vAlign w:val="bottom"/>
          </w:tcPr>
          <w:p>
            <w:pPr>
              <w:jc w:val="right"/>
              <w:spacing w:after="0"/>
              <w:rPr>
                <w:sz w:val="20"/>
                <w:szCs w:val="20"/>
                <w:color w:val="auto"/>
              </w:rPr>
            </w:pPr>
            <w:r>
              <w:rPr>
                <w:rFonts w:ascii="Arial" w:cs="Arial" w:eastAsia="Arial" w:hAnsi="Arial"/>
                <w:sz w:val="13"/>
                <w:szCs w:val="13"/>
                <w:color w:val="auto"/>
              </w:rPr>
              <w:t>(10,490)</w:t>
            </w:r>
          </w:p>
        </w:tc>
        <w:tc>
          <w:tcPr>
            <w:tcW w:w="0" w:type="dxa"/>
            <w:vAlign w:val="bottom"/>
          </w:tcPr>
          <w:p>
            <w:pPr>
              <w:spacing w:after="0"/>
              <w:rPr>
                <w:sz w:val="1"/>
                <w:szCs w:val="1"/>
                <w:color w:val="auto"/>
              </w:rPr>
            </w:pPr>
          </w:p>
        </w:tc>
      </w:tr>
      <w:tr>
        <w:trPr>
          <w:trHeight w:val="171"/>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Non-current other liabilities*</w:t>
            </w:r>
          </w:p>
        </w:tc>
        <w:tc>
          <w:tcPr>
            <w:tcW w:w="132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(12,442)</w:t>
            </w:r>
          </w:p>
        </w:tc>
        <w:tc>
          <w:tcPr>
            <w:tcW w:w="138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(12,442)</w:t>
            </w:r>
          </w:p>
        </w:tc>
        <w:tc>
          <w:tcPr>
            <w:tcW w:w="104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ind w:right="337"/>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(224)</w:t>
            </w:r>
          </w:p>
        </w:tc>
        <w:tc>
          <w:tcPr>
            <w:tcW w:w="114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(60)</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(12,158)</w:t>
            </w:r>
          </w:p>
        </w:tc>
        <w:tc>
          <w:tcPr>
            <w:tcW w:w="0" w:type="dxa"/>
            <w:vAlign w:val="bottom"/>
          </w:tcPr>
          <w:p>
            <w:pPr>
              <w:spacing w:after="0"/>
              <w:rPr>
                <w:sz w:val="1"/>
                <w:szCs w:val="1"/>
                <w:color w:val="auto"/>
              </w:rPr>
            </w:pPr>
          </w:p>
        </w:tc>
      </w:tr>
      <w:tr>
        <w:trPr>
          <w:trHeight w:val="169"/>
        </w:trPr>
        <w:tc>
          <w:tcPr>
            <w:tcW w:w="3200" w:type="dxa"/>
            <w:vAlign w:val="bottom"/>
          </w:tcPr>
          <w:p>
            <w:pPr>
              <w:ind w:left="20"/>
              <w:spacing w:after="0"/>
              <w:rPr>
                <w:sz w:val="20"/>
                <w:szCs w:val="20"/>
                <w:color w:val="auto"/>
              </w:rPr>
            </w:pPr>
            <w:r>
              <w:rPr>
                <w:rFonts w:ascii="Arial" w:cs="Arial" w:eastAsia="Arial" w:hAnsi="Arial"/>
                <w:sz w:val="13"/>
                <w:szCs w:val="13"/>
                <w:color w:val="auto"/>
              </w:rPr>
              <w:t>Accounts payable</w:t>
            </w:r>
          </w:p>
        </w:tc>
        <w:tc>
          <w:tcPr>
            <w:tcW w:w="1320" w:type="dxa"/>
            <w:vAlign w:val="bottom"/>
          </w:tcPr>
          <w:p>
            <w:pPr>
              <w:jc w:val="right"/>
              <w:ind w:right="117"/>
              <w:spacing w:after="0"/>
              <w:rPr>
                <w:sz w:val="20"/>
                <w:szCs w:val="20"/>
                <w:color w:val="auto"/>
              </w:rPr>
            </w:pPr>
            <w:r>
              <w:rPr>
                <w:rFonts w:ascii="Arial" w:cs="Arial" w:eastAsia="Arial" w:hAnsi="Arial"/>
                <w:sz w:val="13"/>
                <w:szCs w:val="13"/>
                <w:color w:val="auto"/>
              </w:rPr>
              <w:t>(51,113)</w:t>
            </w:r>
          </w:p>
        </w:tc>
        <w:tc>
          <w:tcPr>
            <w:tcW w:w="1380" w:type="dxa"/>
            <w:vAlign w:val="bottom"/>
          </w:tcPr>
          <w:p>
            <w:pPr>
              <w:jc w:val="right"/>
              <w:ind w:right="237"/>
              <w:spacing w:after="0"/>
              <w:rPr>
                <w:sz w:val="20"/>
                <w:szCs w:val="20"/>
                <w:color w:val="auto"/>
              </w:rPr>
            </w:pPr>
            <w:r>
              <w:rPr>
                <w:rFonts w:ascii="Arial" w:cs="Arial" w:eastAsia="Arial" w:hAnsi="Arial"/>
                <w:sz w:val="13"/>
                <w:szCs w:val="13"/>
                <w:color w:val="auto"/>
              </w:rPr>
              <w:t>(51,113)</w:t>
            </w:r>
          </w:p>
        </w:tc>
        <w:tc>
          <w:tcPr>
            <w:tcW w:w="1040" w:type="dxa"/>
            <w:vAlign w:val="bottom"/>
          </w:tcPr>
          <w:p>
            <w:pPr>
              <w:jc w:val="right"/>
              <w:ind w:right="177"/>
              <w:spacing w:after="0"/>
              <w:rPr>
                <w:sz w:val="20"/>
                <w:szCs w:val="20"/>
                <w:color w:val="auto"/>
              </w:rPr>
            </w:pPr>
            <w:r>
              <w:rPr>
                <w:rFonts w:ascii="Arial" w:cs="Arial" w:eastAsia="Arial" w:hAnsi="Arial"/>
                <w:sz w:val="13"/>
                <w:szCs w:val="13"/>
                <w:color w:val="auto"/>
              </w:rPr>
              <w:t>(51,113)</w:t>
            </w:r>
          </w:p>
        </w:tc>
        <w:tc>
          <w:tcPr>
            <w:tcW w:w="1220" w:type="dxa"/>
            <w:vAlign w:val="bottom"/>
          </w:tcPr>
          <w:p>
            <w:pPr>
              <w:jc w:val="right"/>
              <w:ind w:right="337"/>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3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Accrued and other liabilities*</w:t>
            </w:r>
          </w:p>
        </w:tc>
        <w:tc>
          <w:tcPr>
            <w:tcW w:w="132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(391,977)</w:t>
            </w:r>
          </w:p>
        </w:tc>
        <w:tc>
          <w:tcPr>
            <w:tcW w:w="1380" w:type="dxa"/>
            <w:vAlign w:val="bottom"/>
            <w:tcBorders>
              <w:bottom w:val="single" w:sz="8" w:color="auto"/>
            </w:tcBorders>
            <w:shd w:val="clear" w:color="auto" w:fill="CCEEFF"/>
          </w:tcPr>
          <w:p>
            <w:pPr>
              <w:jc w:val="right"/>
              <w:ind w:right="237"/>
              <w:spacing w:after="0"/>
              <w:rPr>
                <w:sz w:val="20"/>
                <w:szCs w:val="20"/>
                <w:color w:val="auto"/>
              </w:rPr>
            </w:pPr>
            <w:r>
              <w:rPr>
                <w:rFonts w:ascii="Arial" w:cs="Arial" w:eastAsia="Arial" w:hAnsi="Arial"/>
                <w:sz w:val="13"/>
                <w:szCs w:val="13"/>
                <w:color w:val="auto"/>
              </w:rPr>
              <w:t>(391,977)</w:t>
            </w:r>
          </w:p>
        </w:tc>
        <w:tc>
          <w:tcPr>
            <w:tcW w:w="104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3"/>
                <w:szCs w:val="13"/>
                <w:color w:val="auto"/>
              </w:rPr>
              <w:t>(379,810)</w:t>
            </w:r>
          </w:p>
        </w:tc>
        <w:tc>
          <w:tcPr>
            <w:tcW w:w="1220" w:type="dxa"/>
            <w:vAlign w:val="bottom"/>
            <w:tcBorders>
              <w:bottom w:val="single" w:sz="8" w:color="auto"/>
            </w:tcBorders>
            <w:shd w:val="clear" w:color="auto" w:fill="CCEEFF"/>
          </w:tcPr>
          <w:p>
            <w:pPr>
              <w:jc w:val="right"/>
              <w:ind w:right="297"/>
              <w:spacing w:after="0"/>
              <w:rPr>
                <w:sz w:val="20"/>
                <w:szCs w:val="20"/>
                <w:color w:val="auto"/>
              </w:rPr>
            </w:pPr>
            <w:r>
              <w:rPr>
                <w:rFonts w:ascii="Arial" w:cs="Arial" w:eastAsia="Arial" w:hAnsi="Arial"/>
                <w:sz w:val="13"/>
                <w:szCs w:val="13"/>
                <w:color w:val="auto"/>
              </w:rPr>
              <w:t>(12,167)</w:t>
            </w:r>
          </w:p>
        </w:tc>
        <w:tc>
          <w:tcPr>
            <w:tcW w:w="1060" w:type="dxa"/>
            <w:vAlign w:val="bottom"/>
            <w:tcBorders>
              <w:bottom w:val="single" w:sz="8" w:color="auto"/>
            </w:tcBorders>
            <w:shd w:val="clear" w:color="auto" w:fill="CCEEFF"/>
          </w:tcPr>
          <w:p>
            <w:pPr>
              <w:jc w:val="right"/>
              <w:ind w:right="257"/>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shd w:val="clear" w:color="auto" w:fill="CCEEFF"/>
          </w:tcPr>
          <w:p>
            <w:pPr>
              <w:jc w:val="right"/>
              <w:ind w:right="257"/>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3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20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b w:val="1"/>
                <w:bCs w:val="1"/>
                <w:color w:val="auto"/>
              </w:rPr>
              <w:t>(865,334)</w:t>
            </w:r>
          </w:p>
        </w:tc>
        <w:tc>
          <w:tcPr>
            <w:tcW w:w="1380" w:type="dxa"/>
            <w:vAlign w:val="bottom"/>
            <w:tcBorders>
              <w:bottom w:val="single" w:sz="8" w:color="auto"/>
            </w:tcBorders>
            <w:shd w:val="clear" w:color="auto" w:fill="CCEEFF"/>
          </w:tcPr>
          <w:p>
            <w:pPr>
              <w:jc w:val="right"/>
              <w:ind w:right="237"/>
              <w:spacing w:after="0"/>
              <w:rPr>
                <w:sz w:val="20"/>
                <w:szCs w:val="20"/>
                <w:color w:val="auto"/>
              </w:rPr>
            </w:pPr>
            <w:r>
              <w:rPr>
                <w:rFonts w:ascii="Arial" w:cs="Arial" w:eastAsia="Arial" w:hAnsi="Arial"/>
                <w:sz w:val="13"/>
                <w:szCs w:val="13"/>
                <w:b w:val="1"/>
                <w:bCs w:val="1"/>
                <w:color w:val="auto"/>
              </w:rPr>
              <w:t>(898,104)</w:t>
            </w:r>
          </w:p>
        </w:tc>
        <w:tc>
          <w:tcPr>
            <w:tcW w:w="104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3"/>
                <w:szCs w:val="13"/>
                <w:b w:val="1"/>
                <w:bCs w:val="1"/>
                <w:color w:val="auto"/>
              </w:rPr>
              <w:t>(435,024)</w:t>
            </w:r>
          </w:p>
        </w:tc>
        <w:tc>
          <w:tcPr>
            <w:tcW w:w="1220" w:type="dxa"/>
            <w:vAlign w:val="bottom"/>
            <w:tcBorders>
              <w:bottom w:val="single" w:sz="8" w:color="auto"/>
            </w:tcBorders>
            <w:shd w:val="clear" w:color="auto" w:fill="CCEEFF"/>
          </w:tcPr>
          <w:p>
            <w:pPr>
              <w:jc w:val="right"/>
              <w:ind w:right="297"/>
              <w:spacing w:after="0"/>
              <w:rPr>
                <w:sz w:val="20"/>
                <w:szCs w:val="20"/>
                <w:color w:val="auto"/>
              </w:rPr>
            </w:pPr>
            <w:r>
              <w:rPr>
                <w:rFonts w:ascii="Arial" w:cs="Arial" w:eastAsia="Arial" w:hAnsi="Arial"/>
                <w:sz w:val="13"/>
                <w:szCs w:val="13"/>
                <w:b w:val="1"/>
                <w:bCs w:val="1"/>
                <w:color w:val="auto"/>
              </w:rPr>
              <w:t>(16,268)</w:t>
            </w:r>
          </w:p>
        </w:tc>
        <w:tc>
          <w:tcPr>
            <w:tcW w:w="1060" w:type="dxa"/>
            <w:vAlign w:val="bottom"/>
            <w:tcBorders>
              <w:bottom w:val="single" w:sz="8" w:color="auto"/>
            </w:tcBorders>
            <w:shd w:val="clear" w:color="auto" w:fill="CCEEFF"/>
          </w:tcPr>
          <w:p>
            <w:pPr>
              <w:jc w:val="right"/>
              <w:ind w:right="217"/>
              <w:spacing w:after="0"/>
              <w:rPr>
                <w:sz w:val="20"/>
                <w:szCs w:val="20"/>
                <w:color w:val="auto"/>
              </w:rPr>
            </w:pPr>
            <w:r>
              <w:rPr>
                <w:rFonts w:ascii="Arial" w:cs="Arial" w:eastAsia="Arial" w:hAnsi="Arial"/>
                <w:sz w:val="13"/>
                <w:szCs w:val="13"/>
                <w:b w:val="1"/>
                <w:bCs w:val="1"/>
                <w:color w:val="auto"/>
              </w:rPr>
              <w:t>(29,937)</w:t>
            </w:r>
          </w:p>
        </w:tc>
        <w:tc>
          <w:tcPr>
            <w:tcW w:w="1140" w:type="dxa"/>
            <w:vAlign w:val="bottom"/>
            <w:tcBorders>
              <w:bottom w:val="single" w:sz="8" w:color="auto"/>
            </w:tcBorders>
            <w:shd w:val="clear" w:color="auto" w:fill="CCEEFF"/>
          </w:tcPr>
          <w:p>
            <w:pPr>
              <w:jc w:val="right"/>
              <w:ind w:right="217"/>
              <w:spacing w:after="0"/>
              <w:rPr>
                <w:sz w:val="20"/>
                <w:szCs w:val="20"/>
                <w:color w:val="auto"/>
              </w:rPr>
            </w:pPr>
            <w:r>
              <w:rPr>
                <w:rFonts w:ascii="Arial" w:cs="Arial" w:eastAsia="Arial" w:hAnsi="Arial"/>
                <w:sz w:val="13"/>
                <w:szCs w:val="13"/>
                <w:b w:val="1"/>
                <w:bCs w:val="1"/>
                <w:color w:val="auto"/>
              </w:rPr>
              <w:t>(394,227)</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(22,648)</w:t>
            </w:r>
          </w:p>
        </w:tc>
        <w:tc>
          <w:tcPr>
            <w:tcW w:w="0" w:type="dxa"/>
            <w:vAlign w:val="bottom"/>
          </w:tcPr>
          <w:p>
            <w:pPr>
              <w:spacing w:after="0"/>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Non-current other liabilities above excludes retirement plan net benefit obligation (2021: $16.3 million and 2020: $10.4 million) and deferred government grants (2021: $0.7 million and 2020: $0.8</w:t>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million). Accrued and other liabilities excludes interest on senior notes presented separately above and deferred government grants (2021: $45,000 and 2020: $48,000).</w:t>
      </w:r>
    </w:p>
    <w:p>
      <w:pPr>
        <w:spacing w:after="0" w:line="19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Foreign currency risk</w:t>
      </w:r>
    </w:p>
    <w:p>
      <w:pPr>
        <w:spacing w:after="0" w:line="16"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The Group is subject to a number of foreign currency risks given the global nature of its operations. The principal foreign currency risks to which the business is subject includes both foreign currency translation risk and foreign currency transaction risk. Although domiciled in Ireland, the Group presents its results in U.S. dollars. As a consequence, the results of non-U.S. based operations, when translated into U.S. dollars, could be affected by fluctuations in exchange rates between the U.S. dollar and the currencies of those operations.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109</w:t>
      </w:r>
    </w:p>
    <w:p>
      <w:pPr>
        <w:sectPr>
          <w:pgSz w:w="11900" w:h="16838" w:orient="portrait"/>
          <w:cols w:equalWidth="0" w:num="1">
            <w:col w:w="11280"/>
          </w:cols>
          <w:pgMar w:left="300" w:top="698" w:right="31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190" w:lineRule="exact"/>
        <w:rPr>
          <w:sz w:val="20"/>
          <w:szCs w:val="20"/>
          <w:color w:val="auto"/>
        </w:rPr>
      </w:pPr>
    </w:p>
    <w:p>
      <w:pPr>
        <w:ind w:left="320" w:hanging="315"/>
        <w:spacing w:after="0"/>
        <w:tabs>
          <w:tab w:leader="none" w:pos="320" w:val="left"/>
        </w:tabs>
        <w:numPr>
          <w:ilvl w:val="0"/>
          <w:numId w:val="119"/>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Financial instruments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Group is also subject to foreign currency transaction exposures as the currency in which contracts are priced can be different from the currencies in which costs relating to those contracts are incurred. The Group’s operations in the United States are not materially exposed to such currency differences as the majority of revenues and costs are in U.S. dollars. However, outside the United States the multinational nature of the Group’s activities means that contracts are usually priced in a single currency, most often U.S. dollars, Euros or pounds Sterling, while costs arise in a number of currencies, depending on, among other things, which of the Group’s offices provide staff for the contract and the location of investigator sites.</w:t>
      </w:r>
    </w:p>
    <w:p>
      <w:pPr>
        <w:spacing w:after="0" w:line="165"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the results of the Group’s operations. The Group regularly reviews its foreign currency exposures and usually negotiates currency fluctuation clauses in its contracts which allow for price negotiation if certain exchange rate triggers occur.</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020" w:type="dxa"/>
            <w:vAlign w:val="bottom"/>
          </w:tcPr>
          <w:p>
            <w:pPr>
              <w:spacing w:after="0"/>
              <w:rPr>
                <w:sz w:val="20"/>
                <w:szCs w:val="20"/>
                <w:color w:val="auto"/>
              </w:rPr>
            </w:pPr>
            <w:r>
              <w:rPr>
                <w:rFonts w:ascii="Arial" w:cs="Arial" w:eastAsia="Arial" w:hAnsi="Arial"/>
                <w:sz w:val="13"/>
                <w:szCs w:val="13"/>
                <w:color w:val="auto"/>
              </w:rPr>
              <w:t>The following significant exchange rates applied during the year:</w:t>
            </w:r>
          </w:p>
        </w:tc>
        <w:tc>
          <w:tcPr>
            <w:tcW w:w="25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15"/>
        </w:trPr>
        <w:tc>
          <w:tcPr>
            <w:tcW w:w="50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170"/>
        </w:trPr>
        <w:tc>
          <w:tcPr>
            <w:tcW w:w="5020" w:type="dxa"/>
            <w:vAlign w:val="bottom"/>
            <w:shd w:val="clear" w:color="auto" w:fill="CCEEFF"/>
          </w:tcPr>
          <w:p>
            <w:pPr>
              <w:spacing w:after="0"/>
              <w:rPr>
                <w:sz w:val="14"/>
                <w:szCs w:val="14"/>
                <w:color w:val="auto"/>
              </w:rPr>
            </w:pPr>
          </w:p>
        </w:tc>
        <w:tc>
          <w:tcPr>
            <w:tcW w:w="2540" w:type="dxa"/>
            <w:vAlign w:val="bottom"/>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Average Rate</w:t>
            </w:r>
          </w:p>
        </w:tc>
        <w:tc>
          <w:tcPr>
            <w:tcW w:w="1280" w:type="dxa"/>
            <w:vAlign w:val="bottom"/>
            <w:shd w:val="clear" w:color="auto" w:fill="CCEEFF"/>
          </w:tcPr>
          <w:p>
            <w:pPr>
              <w:spacing w:after="0"/>
              <w:rPr>
                <w:sz w:val="14"/>
                <w:szCs w:val="14"/>
                <w:color w:val="auto"/>
              </w:rPr>
            </w:pPr>
          </w:p>
        </w:tc>
        <w:tc>
          <w:tcPr>
            <w:tcW w:w="170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Closing Rate</w:t>
            </w:r>
          </w:p>
        </w:tc>
        <w:tc>
          <w:tcPr>
            <w:tcW w:w="740" w:type="dxa"/>
            <w:vAlign w:val="bottom"/>
            <w:shd w:val="clear" w:color="auto" w:fill="CCEEFF"/>
          </w:tcPr>
          <w:p>
            <w:pPr>
              <w:spacing w:after="0"/>
              <w:rPr>
                <w:sz w:val="14"/>
                <w:szCs w:val="14"/>
                <w:color w:val="auto"/>
              </w:rPr>
            </w:pPr>
          </w:p>
        </w:tc>
      </w:tr>
      <w:tr>
        <w:trPr>
          <w:trHeight w:val="170"/>
        </w:trPr>
        <w:tc>
          <w:tcPr>
            <w:tcW w:w="502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tcPr>
          <w:p>
            <w:pPr>
              <w:jc w:val="right"/>
              <w:ind w:right="696"/>
              <w:spacing w:after="0"/>
              <w:rPr>
                <w:sz w:val="20"/>
                <w:szCs w:val="20"/>
                <w:color w:val="auto"/>
              </w:rPr>
            </w:pPr>
            <w:r>
              <w:rPr>
                <w:rFonts w:ascii="Arial" w:cs="Arial" w:eastAsia="Arial" w:hAnsi="Arial"/>
                <w:sz w:val="13"/>
                <w:szCs w:val="13"/>
                <w:b w:val="1"/>
                <w:bCs w:val="1"/>
                <w:color w:val="auto"/>
              </w:rPr>
              <w:t>2021</w:t>
            </w:r>
          </w:p>
        </w:tc>
        <w:tc>
          <w:tcPr>
            <w:tcW w:w="128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color w:val="auto"/>
              </w:rPr>
              <w:t>2020</w:t>
            </w:r>
          </w:p>
        </w:tc>
        <w:tc>
          <w:tcPr>
            <w:tcW w:w="1700" w:type="dxa"/>
            <w:vAlign w:val="bottom"/>
            <w:tcBorders>
              <w:bottom w:val="single" w:sz="8" w:color="auto"/>
            </w:tcBorders>
          </w:tcPr>
          <w:p>
            <w:pPr>
              <w:jc w:val="right"/>
              <w:ind w:right="696"/>
              <w:spacing w:after="0"/>
              <w:rPr>
                <w:sz w:val="20"/>
                <w:szCs w:val="20"/>
                <w:color w:val="auto"/>
              </w:rPr>
            </w:pPr>
            <w:r>
              <w:rPr>
                <w:rFonts w:ascii="Arial" w:cs="Arial" w:eastAsia="Arial" w:hAnsi="Arial"/>
                <w:sz w:val="13"/>
                <w:szCs w:val="13"/>
                <w:b w:val="1"/>
                <w:bCs w:val="1"/>
                <w:color w:val="auto"/>
              </w:rPr>
              <w:t>2021</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2020</w:t>
            </w:r>
          </w:p>
        </w:tc>
      </w:tr>
      <w:tr>
        <w:trPr>
          <w:trHeight w:val="150"/>
        </w:trPr>
        <w:tc>
          <w:tcPr>
            <w:tcW w:w="5020" w:type="dxa"/>
            <w:vAlign w:val="bottom"/>
            <w:shd w:val="clear" w:color="auto" w:fill="CCEEFF"/>
          </w:tcPr>
          <w:p>
            <w:pPr>
              <w:spacing w:after="0"/>
              <w:rPr>
                <w:sz w:val="13"/>
                <w:szCs w:val="13"/>
                <w:color w:val="auto"/>
              </w:rPr>
            </w:pPr>
          </w:p>
        </w:tc>
        <w:tc>
          <w:tcPr>
            <w:tcW w:w="25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r>
      <w:tr>
        <w:trPr>
          <w:trHeight w:val="170"/>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Euro 1:$</w:t>
            </w:r>
          </w:p>
        </w:tc>
        <w:tc>
          <w:tcPr>
            <w:tcW w:w="2540" w:type="dxa"/>
            <w:vAlign w:val="bottom"/>
            <w:tcBorders>
              <w:bottom w:val="single" w:sz="8" w:color="auto"/>
            </w:tcBorders>
          </w:tcPr>
          <w:p>
            <w:pPr>
              <w:jc w:val="right"/>
              <w:ind w:right="696"/>
              <w:spacing w:after="0"/>
              <w:rPr>
                <w:sz w:val="20"/>
                <w:szCs w:val="20"/>
                <w:color w:val="auto"/>
              </w:rPr>
            </w:pPr>
            <w:r>
              <w:rPr>
                <w:rFonts w:ascii="Arial" w:cs="Arial" w:eastAsia="Arial" w:hAnsi="Arial"/>
                <w:sz w:val="13"/>
                <w:szCs w:val="13"/>
                <w:b w:val="1"/>
                <w:bCs w:val="1"/>
                <w:color w:val="auto"/>
              </w:rPr>
              <w:t>1.1886</w:t>
            </w:r>
          </w:p>
        </w:tc>
        <w:tc>
          <w:tcPr>
            <w:tcW w:w="128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color w:val="auto"/>
              </w:rPr>
              <w:t>1.1357</w:t>
            </w:r>
          </w:p>
        </w:tc>
        <w:tc>
          <w:tcPr>
            <w:tcW w:w="1700" w:type="dxa"/>
            <w:vAlign w:val="bottom"/>
            <w:tcBorders>
              <w:bottom w:val="single" w:sz="8" w:color="auto"/>
            </w:tcBorders>
          </w:tcPr>
          <w:p>
            <w:pPr>
              <w:jc w:val="right"/>
              <w:ind w:right="696"/>
              <w:spacing w:after="0"/>
              <w:rPr>
                <w:sz w:val="20"/>
                <w:szCs w:val="20"/>
                <w:color w:val="auto"/>
              </w:rPr>
            </w:pPr>
            <w:r>
              <w:rPr>
                <w:rFonts w:ascii="Arial" w:cs="Arial" w:eastAsia="Arial" w:hAnsi="Arial"/>
                <w:sz w:val="13"/>
                <w:szCs w:val="13"/>
                <w:b w:val="1"/>
                <w:bCs w:val="1"/>
                <w:color w:val="auto"/>
              </w:rPr>
              <w:t>1.1370</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1.2216</w:t>
            </w:r>
          </w:p>
        </w:tc>
      </w:tr>
      <w:tr>
        <w:trPr>
          <w:trHeight w:val="150"/>
        </w:trPr>
        <w:tc>
          <w:tcPr>
            <w:tcW w:w="5020" w:type="dxa"/>
            <w:vAlign w:val="bottom"/>
            <w:shd w:val="clear" w:color="auto" w:fill="CCEEFF"/>
          </w:tcPr>
          <w:p>
            <w:pPr>
              <w:spacing w:after="0"/>
              <w:rPr>
                <w:sz w:val="13"/>
                <w:szCs w:val="13"/>
                <w:color w:val="auto"/>
              </w:rPr>
            </w:pPr>
          </w:p>
        </w:tc>
        <w:tc>
          <w:tcPr>
            <w:tcW w:w="25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r>
      <w:tr>
        <w:trPr>
          <w:trHeight w:val="171"/>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Pound Sterling 1:$</w:t>
            </w:r>
          </w:p>
        </w:tc>
        <w:tc>
          <w:tcPr>
            <w:tcW w:w="2540" w:type="dxa"/>
            <w:vAlign w:val="bottom"/>
            <w:tcBorders>
              <w:bottom w:val="single" w:sz="8" w:color="auto"/>
            </w:tcBorders>
          </w:tcPr>
          <w:p>
            <w:pPr>
              <w:jc w:val="right"/>
              <w:ind w:right="696"/>
              <w:spacing w:after="0"/>
              <w:rPr>
                <w:sz w:val="20"/>
                <w:szCs w:val="20"/>
                <w:color w:val="auto"/>
              </w:rPr>
            </w:pPr>
            <w:r>
              <w:rPr>
                <w:rFonts w:ascii="Arial" w:cs="Arial" w:eastAsia="Arial" w:hAnsi="Arial"/>
                <w:sz w:val="13"/>
                <w:szCs w:val="13"/>
                <w:b w:val="1"/>
                <w:bCs w:val="1"/>
                <w:color w:val="auto"/>
              </w:rPr>
              <w:t>1.3788</w:t>
            </w:r>
          </w:p>
        </w:tc>
        <w:tc>
          <w:tcPr>
            <w:tcW w:w="128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color w:val="auto"/>
              </w:rPr>
              <w:t>1.2821</w:t>
            </w:r>
          </w:p>
        </w:tc>
        <w:tc>
          <w:tcPr>
            <w:tcW w:w="1700" w:type="dxa"/>
            <w:vAlign w:val="bottom"/>
            <w:tcBorders>
              <w:bottom w:val="single" w:sz="8" w:color="auto"/>
            </w:tcBorders>
          </w:tcPr>
          <w:p>
            <w:pPr>
              <w:jc w:val="right"/>
              <w:ind w:right="696"/>
              <w:spacing w:after="0"/>
              <w:rPr>
                <w:sz w:val="20"/>
                <w:szCs w:val="20"/>
                <w:color w:val="auto"/>
              </w:rPr>
            </w:pPr>
            <w:r>
              <w:rPr>
                <w:rFonts w:ascii="Arial" w:cs="Arial" w:eastAsia="Arial" w:hAnsi="Arial"/>
                <w:sz w:val="13"/>
                <w:szCs w:val="13"/>
                <w:b w:val="1"/>
                <w:bCs w:val="1"/>
                <w:color w:val="auto"/>
              </w:rPr>
              <w:t>1.3532</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1.3670</w:t>
            </w:r>
          </w:p>
        </w:tc>
      </w:tr>
    </w:tbl>
    <w:p>
      <w:pPr>
        <w:spacing w:after="0" w:line="255"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A simultaneous ten percent strengthening or weakening of the US Dollar, Euro and Sterling against all other currencies (which remained constant) would have increased or decreased profit by $27.3 million, $23.1 million and $5.9 million respectively (31 December 2020: $3.2 million, $13.0 million and $5.6 million respectively) as a consequence of the retranslation of foreign currency denominated financial assets and liabilities at those dates. This change in profit is excluding the effect of foreign currency denominated long term loans.</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Interest rate risk</w:t>
      </w:r>
    </w:p>
    <w:p>
      <w:pPr>
        <w:spacing w:after="0" w:line="188"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The Group is exposed to interest rate risk in respect of our cash and cash equivalents and available for sale investments. Our treasury function actively manages our available cash resources and invests significant cash balances to ensure optimum returns for the Company. Financial instruments are classified either as cash and cash equivalents or available for sale investments depending upon the maturity of the related investment. Funds may be invested in the form of floating rate notes and medium term minimum “A-” rated corporate securities. We may be subject to interest rate risk in respect of interest rate changes on amounts invested. Interest rate risk is managed by monitoring the composition of the Company’s investment portfolio on an ongoing basis having regard to current market interest rates and future trends.</w:t>
      </w:r>
    </w:p>
    <w:p>
      <w:pPr>
        <w:spacing w:after="0" w:line="171"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In conjunction with the completion of the Merger Agreement, on 1 July 2021, ICON entered into a credit agreement providing for a Senior Secured Term Loan Facility of $5,515 million. Borrowings under the Senior Secured Term Loan facility amortise in quarterly instalments equal to 1.00% per annum of the original principal amount ($5,515 million), and the remaining balance is due for repayment by July 2028. The interest rate margin applicable to the borrowings under the Senior Secured Term Loan Facility will be, at the option of the applicable borrower (as defined in the credit agreement), either (1) the base rate (as described in the credit agreement) plus an applicable margin of 1.50% or (2) LIBOR plus an applicable margin of 2.50%, in each case, with a step down of 0.25% if the first lien net leverage ratio is equal to or less than 4.00 to 1.00. The senior secured facility is subject to a LIBOR floor of 0.50%</w:t>
      </w:r>
    </w:p>
    <w:p>
      <w:pPr>
        <w:spacing w:after="0" w:line="169"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As at the 31 December 2021 the outstanding principal amount of the Senior Secured Term Loan Facility was $5,001 million. The applicable interest rate for the next quarterly interest period is expected to be 2.75%, comprising of the lower margin of 2.25% and the LIBOR floor of 0.50%. The interest rate is fixed on this debt on a calendar quarter basis and is subject to external market conditions. As at 31 December 2021 no hedges had been entered into to fix the interest on this debt beyond the quarterly term.</w:t>
      </w:r>
    </w:p>
    <w:p>
      <w:pPr>
        <w:spacing w:after="0" w:line="17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In addition to the Senior Secured Facilities, on 1 July 2021, the Company issued $500 million in aggregate principal senior notes due in 2026 in a private (“the Offering“). The Senior Secured Notes will mature in July 2026 and pay a fixed semi annual coupon to investors of 2.875% per annum. This debt is not subject to movements in interest rate conditions.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110</w:t>
      </w:r>
    </w:p>
    <w:p>
      <w:pPr>
        <w:sectPr>
          <w:pgSz w:w="11900" w:h="16838" w:orient="portrait"/>
          <w:cols w:equalWidth="0" w:num="1">
            <w:col w:w="11280"/>
          </w:cols>
          <w:pgMar w:left="300" w:top="698" w:right="31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190" w:lineRule="exact"/>
        <w:rPr>
          <w:sz w:val="20"/>
          <w:szCs w:val="20"/>
          <w:color w:val="auto"/>
        </w:rPr>
      </w:pPr>
    </w:p>
    <w:p>
      <w:pPr>
        <w:ind w:left="320" w:hanging="315"/>
        <w:spacing w:after="0"/>
        <w:tabs>
          <w:tab w:leader="none" w:pos="320" w:val="left"/>
        </w:tabs>
        <w:numPr>
          <w:ilvl w:val="0"/>
          <w:numId w:val="120"/>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Financial instruments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regularly evaluate our debt arrangements, as well as market conditions, and we will explore the opportunity to modify our existing arrangements or pursue additional financing arrangements that may result in the issuance of new debt securities by us or our affiliates.</w:t>
      </w:r>
    </w:p>
    <w:p>
      <w:pPr>
        <w:spacing w:after="0" w:line="157" w:lineRule="exact"/>
        <w:rPr>
          <w:sz w:val="20"/>
          <w:szCs w:val="20"/>
          <w:color w:val="auto"/>
        </w:rPr>
      </w:pPr>
    </w:p>
    <w:p>
      <w:pPr>
        <w:jc w:val="both"/>
        <w:spacing w:after="0" w:line="273" w:lineRule="auto"/>
        <w:rPr>
          <w:sz w:val="20"/>
          <w:szCs w:val="20"/>
          <w:color w:val="auto"/>
        </w:rPr>
      </w:pPr>
      <w:r>
        <w:rPr>
          <w:rFonts w:ascii="Arial" w:cs="Arial" w:eastAsia="Arial" w:hAnsi="Arial"/>
          <w:sz w:val="12"/>
          <w:szCs w:val="12"/>
          <w:color w:val="auto"/>
        </w:rPr>
        <w:t>On 27 July 2017, the U.K. Financial Conduct Authority (the “FCA”) announced that it intends to end the use of LIBOR effective after 31 December 2021 as the benchmark rate that many banks and issuers use to set interest rates for loans, securities, derivative contracts and other financial instruments. Recognising the need to replace LIBOR, authorities in the United States convened the Alternative Reference Rates Committee (“ARRC”) in 2014 to identify a replacement for LIBOR with respect to indebtedness denominated in U.S. Dollars. In 2017, the ARRC identified the Secured Overnight Financing Rate (“SOFR”), and in April 2018, the Federal Reserve Bank of New York began publishing SOFR. SOFR is a measure of the cost of borrowing cash overnight, collateralised by U.S. Treasury securities, and is based on directly observable U.S. Treasury-backed repurchase transactions. Although the U.S. Treasury-backed overnight repo market is highly liquid, there is currently no robust market for determining forward-looking, SOFR term rates. Because SOFR is an overnight risk-free rate, whereas LIBOR has various terms and an embedded credit charge, the transition from LIBOR to SOFR will require adjustments, which may continue to vary for certain forms of indebtedness and financial instruments as the relevant markets adapt to SOFR’s implementation. Similar alternative benchmark replacements will be required to be implemented in respect of indebtedness and other financial instruments that are currently based on LIBOR quotes for currencies other than the U.S. Dollar. At 31 December 2021, the Company has a debt principal amount of $5,001 million associated with its term loan facility which has LIBOR has its reference rate.</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term loan facility provides that LIBOR may be replaced by a SOFR-based rate for borrowings in U.S. Dollars upon (i) the FCA ceasing to provide LIBOR for U.S. Dollars or announcing that LIBOR is no longer representative or (ii) an early election by the Company and the administrative agent under our credit agreement to transition from LIBOR. We will continue to work with the administrative agent and other lenders to determine whether, and when, we expect to transition to a SOFR-based rate prior to LIBOR being formally phased out for the applicable tenors. This transition may impact our interest expense with respect to borrowings under the Senior Secured Credit Facilities.</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The sensitivity analysis below represents the hypothetical change in the interest income and interest expense of a 1% movement in market interest rates.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0" w:type="dxa"/>
            <w:vAlign w:val="bottom"/>
            <w:shd w:val="clear" w:color="auto" w:fill="CCEEFF"/>
          </w:tcPr>
          <w:p>
            <w:pPr>
              <w:spacing w:after="0"/>
              <w:rPr>
                <w:sz w:val="14"/>
                <w:szCs w:val="14"/>
                <w:color w:val="auto"/>
              </w:rPr>
            </w:pPr>
          </w:p>
        </w:tc>
        <w:tc>
          <w:tcPr>
            <w:tcW w:w="3320" w:type="dxa"/>
            <w:vAlign w:val="bottom"/>
            <w:shd w:val="clear" w:color="auto" w:fill="CCEEFF"/>
          </w:tcPr>
          <w:p>
            <w:pPr>
              <w:spacing w:after="0"/>
              <w:rPr>
                <w:sz w:val="14"/>
                <w:szCs w:val="14"/>
                <w:color w:val="auto"/>
              </w:rPr>
            </w:pPr>
          </w:p>
        </w:tc>
        <w:tc>
          <w:tcPr>
            <w:tcW w:w="4040" w:type="dxa"/>
            <w:vAlign w:val="bottom"/>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Interest Income</w:t>
            </w:r>
          </w:p>
        </w:tc>
        <w:tc>
          <w:tcPr>
            <w:tcW w:w="1160" w:type="dxa"/>
            <w:vAlign w:val="bottom"/>
            <w:shd w:val="clear" w:color="auto" w:fill="CCEEFF"/>
          </w:tcPr>
          <w:p>
            <w:pPr>
              <w:spacing w:after="0"/>
              <w:rPr>
                <w:sz w:val="14"/>
                <w:szCs w:val="14"/>
                <w:color w:val="auto"/>
              </w:rPr>
            </w:pPr>
          </w:p>
        </w:tc>
        <w:tc>
          <w:tcPr>
            <w:tcW w:w="1820" w:type="dxa"/>
            <w:vAlign w:val="bottom"/>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Interest Expense</w:t>
            </w:r>
          </w:p>
        </w:tc>
        <w:tc>
          <w:tcPr>
            <w:tcW w:w="720" w:type="dxa"/>
            <w:vAlign w:val="bottom"/>
            <w:shd w:val="clear" w:color="auto" w:fill="CCEEFF"/>
          </w:tcPr>
          <w:p>
            <w:pPr>
              <w:spacing w:after="0"/>
              <w:rPr>
                <w:sz w:val="14"/>
                <w:szCs w:val="14"/>
                <w:color w:val="auto"/>
              </w:rPr>
            </w:pPr>
          </w:p>
        </w:tc>
      </w:tr>
      <w:tr>
        <w:trPr>
          <w:trHeight w:val="170"/>
        </w:trPr>
        <w:tc>
          <w:tcPr>
            <w:tcW w:w="220" w:type="dxa"/>
            <w:vAlign w:val="bottom"/>
            <w:tcBorders>
              <w:bottom w:val="single" w:sz="8" w:color="auto"/>
            </w:tcBorders>
          </w:tcPr>
          <w:p>
            <w:pPr>
              <w:spacing w:after="0"/>
              <w:rPr>
                <w:sz w:val="14"/>
                <w:szCs w:val="14"/>
                <w:color w:val="auto"/>
              </w:rPr>
            </w:pPr>
          </w:p>
        </w:tc>
        <w:tc>
          <w:tcPr>
            <w:tcW w:w="3320" w:type="dxa"/>
            <w:vAlign w:val="bottom"/>
            <w:tcBorders>
              <w:bottom w:val="single" w:sz="8" w:color="auto"/>
            </w:tcBorders>
          </w:tcPr>
          <w:p>
            <w:pPr>
              <w:spacing w:after="0"/>
              <w:rPr>
                <w:sz w:val="14"/>
                <w:szCs w:val="14"/>
                <w:color w:val="auto"/>
              </w:rPr>
            </w:pPr>
          </w:p>
        </w:tc>
        <w:tc>
          <w:tcPr>
            <w:tcW w:w="4040" w:type="dxa"/>
            <w:vAlign w:val="bottom"/>
            <w:tcBorders>
              <w:bottom w:val="single" w:sz="8" w:color="auto"/>
            </w:tcBorders>
          </w:tcPr>
          <w:p>
            <w:pPr>
              <w:jc w:val="right"/>
              <w:ind w:right="736"/>
              <w:spacing w:after="0"/>
              <w:rPr>
                <w:sz w:val="20"/>
                <w:szCs w:val="20"/>
                <w:color w:val="auto"/>
              </w:rPr>
            </w:pPr>
            <w:r>
              <w:rPr>
                <w:rFonts w:ascii="Arial" w:cs="Arial" w:eastAsia="Arial" w:hAnsi="Arial"/>
                <w:sz w:val="13"/>
                <w:szCs w:val="13"/>
                <w:b w:val="1"/>
                <w:bCs w:val="1"/>
                <w:color w:val="auto"/>
              </w:rPr>
              <w:t>2021</w:t>
            </w:r>
          </w:p>
        </w:tc>
        <w:tc>
          <w:tcPr>
            <w:tcW w:w="116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color w:val="auto"/>
              </w:rPr>
              <w:t>2020</w:t>
            </w:r>
          </w:p>
        </w:tc>
        <w:tc>
          <w:tcPr>
            <w:tcW w:w="1820" w:type="dxa"/>
            <w:vAlign w:val="bottom"/>
            <w:tcBorders>
              <w:bottom w:val="single" w:sz="8" w:color="auto"/>
            </w:tcBorders>
          </w:tcPr>
          <w:p>
            <w:pPr>
              <w:jc w:val="right"/>
              <w:ind w:right="716"/>
              <w:spacing w:after="0"/>
              <w:rPr>
                <w:sz w:val="20"/>
                <w:szCs w:val="20"/>
                <w:color w:val="auto"/>
              </w:rPr>
            </w:pPr>
            <w:r>
              <w:rPr>
                <w:rFonts w:ascii="Arial" w:cs="Arial" w:eastAsia="Arial" w:hAnsi="Arial"/>
                <w:sz w:val="13"/>
                <w:szCs w:val="13"/>
                <w:b w:val="1"/>
                <w:bCs w:val="1"/>
                <w:color w:val="auto"/>
              </w:rPr>
              <w:t>2021</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2020</w:t>
            </w:r>
          </w:p>
        </w:tc>
      </w:tr>
      <w:tr>
        <w:trPr>
          <w:trHeight w:val="160"/>
        </w:trPr>
        <w:tc>
          <w:tcPr>
            <w:tcW w:w="220" w:type="dxa"/>
            <w:vAlign w:val="bottom"/>
            <w:shd w:val="clear" w:color="auto" w:fill="CCEEFF"/>
          </w:tcPr>
          <w:p>
            <w:pPr>
              <w:spacing w:after="0"/>
              <w:rPr>
                <w:sz w:val="13"/>
                <w:szCs w:val="13"/>
                <w:color w:val="auto"/>
              </w:rPr>
            </w:pPr>
          </w:p>
        </w:tc>
        <w:tc>
          <w:tcPr>
            <w:tcW w:w="3320" w:type="dxa"/>
            <w:vAlign w:val="bottom"/>
            <w:shd w:val="clear" w:color="auto" w:fill="CCEEFF"/>
          </w:tcPr>
          <w:p>
            <w:pPr>
              <w:spacing w:after="0"/>
              <w:rPr>
                <w:sz w:val="13"/>
                <w:szCs w:val="13"/>
                <w:color w:val="auto"/>
              </w:rPr>
            </w:pPr>
          </w:p>
        </w:tc>
        <w:tc>
          <w:tcPr>
            <w:tcW w:w="4040" w:type="dxa"/>
            <w:vAlign w:val="bottom"/>
            <w:shd w:val="clear" w:color="auto" w:fill="CCEEFF"/>
          </w:tcPr>
          <w:p>
            <w:pPr>
              <w:jc w:val="right"/>
              <w:ind w:right="736"/>
              <w:spacing w:after="0"/>
              <w:rPr>
                <w:sz w:val="20"/>
                <w:szCs w:val="20"/>
                <w:color w:val="auto"/>
              </w:rPr>
            </w:pPr>
            <w:r>
              <w:rPr>
                <w:rFonts w:ascii="Arial" w:cs="Arial" w:eastAsia="Arial" w:hAnsi="Arial"/>
                <w:sz w:val="13"/>
                <w:szCs w:val="13"/>
                <w:b w:val="1"/>
                <w:bCs w:val="1"/>
                <w:color w:val="auto"/>
              </w:rPr>
              <w:t>$’000</w:t>
            </w:r>
          </w:p>
        </w:tc>
        <w:tc>
          <w:tcPr>
            <w:tcW w:w="116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rPr>
              <w:t>$’000</w:t>
            </w:r>
          </w:p>
        </w:tc>
        <w:tc>
          <w:tcPr>
            <w:tcW w:w="1820" w:type="dxa"/>
            <w:vAlign w:val="bottom"/>
            <w:shd w:val="clear" w:color="auto" w:fill="CCEEFF"/>
          </w:tcPr>
          <w:p>
            <w:pPr>
              <w:jc w:val="right"/>
              <w:ind w:right="716"/>
              <w:spacing w:after="0"/>
              <w:rPr>
                <w:sz w:val="20"/>
                <w:szCs w:val="20"/>
                <w:color w:val="auto"/>
              </w:rPr>
            </w:pPr>
            <w:r>
              <w:rPr>
                <w:rFonts w:ascii="Arial" w:cs="Arial" w:eastAsia="Arial" w:hAnsi="Arial"/>
                <w:sz w:val="13"/>
                <w:szCs w:val="13"/>
                <w:b w:val="1"/>
                <w:bCs w:val="1"/>
                <w:color w:val="auto"/>
              </w:rPr>
              <w:t>$’000</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3540" w:type="dxa"/>
            <w:vAlign w:val="bottom"/>
            <w:gridSpan w:val="2"/>
          </w:tcPr>
          <w:p>
            <w:pPr>
              <w:spacing w:after="0"/>
              <w:rPr>
                <w:sz w:val="14"/>
                <w:szCs w:val="14"/>
                <w:color w:val="auto"/>
              </w:rPr>
            </w:pPr>
          </w:p>
        </w:tc>
        <w:tc>
          <w:tcPr>
            <w:tcW w:w="4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35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3"/>
                <w:szCs w:val="13"/>
                <w:color w:val="auto"/>
              </w:rPr>
              <w:t>As reported</w:t>
            </w:r>
          </w:p>
        </w:tc>
        <w:tc>
          <w:tcPr>
            <w:tcW w:w="404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3"/>
                <w:szCs w:val="13"/>
                <w:b w:val="1"/>
                <w:bCs w:val="1"/>
                <w:color w:val="auto"/>
              </w:rPr>
              <w:t>574</w:t>
            </w:r>
          </w:p>
        </w:tc>
        <w:tc>
          <w:tcPr>
            <w:tcW w:w="116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color w:val="auto"/>
              </w:rPr>
              <w:t>2,724</w:t>
            </w:r>
          </w:p>
        </w:tc>
        <w:tc>
          <w:tcPr>
            <w:tcW w:w="182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3"/>
                <w:szCs w:val="13"/>
                <w:b w:val="1"/>
                <w:bCs w:val="1"/>
                <w:color w:val="auto"/>
              </w:rPr>
              <w:t>182,423</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13,019</w:t>
            </w:r>
          </w:p>
        </w:tc>
      </w:tr>
      <w:tr>
        <w:trPr>
          <w:trHeight w:val="159"/>
        </w:trPr>
        <w:tc>
          <w:tcPr>
            <w:tcW w:w="2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71"/>
        </w:trPr>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w w:val="95"/>
              </w:rPr>
              <w:t>1%</w:t>
            </w:r>
          </w:p>
        </w:tc>
        <w:tc>
          <w:tcPr>
            <w:tcW w:w="3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Increase</w:t>
            </w:r>
          </w:p>
        </w:tc>
        <w:tc>
          <w:tcPr>
            <w:tcW w:w="404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3"/>
                <w:szCs w:val="13"/>
                <w:b w:val="1"/>
                <w:bCs w:val="1"/>
                <w:color w:val="auto"/>
              </w:rPr>
              <w:t>9,772</w:t>
            </w:r>
          </w:p>
        </w:tc>
        <w:tc>
          <w:tcPr>
            <w:tcW w:w="116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color w:val="auto"/>
              </w:rPr>
              <w:t>9,011</w:t>
            </w:r>
          </w:p>
        </w:tc>
        <w:tc>
          <w:tcPr>
            <w:tcW w:w="182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3"/>
                <w:szCs w:val="13"/>
                <w:b w:val="1"/>
                <w:bCs w:val="1"/>
                <w:color w:val="auto"/>
              </w:rPr>
              <w:t>206,398 *</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13,019</w:t>
            </w:r>
          </w:p>
        </w:tc>
      </w:tr>
      <w:tr>
        <w:trPr>
          <w:trHeight w:val="159"/>
        </w:trPr>
        <w:tc>
          <w:tcPr>
            <w:tcW w:w="2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71"/>
        </w:trPr>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w w:val="95"/>
              </w:rPr>
              <w:t>1%</w:t>
            </w:r>
          </w:p>
        </w:tc>
        <w:tc>
          <w:tcPr>
            <w:tcW w:w="3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Decrease</w:t>
            </w:r>
          </w:p>
        </w:tc>
        <w:tc>
          <w:tcPr>
            <w:tcW w:w="404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3"/>
                <w:szCs w:val="13"/>
                <w:b w:val="1"/>
                <w:bCs w:val="1"/>
                <w:color w:val="auto"/>
              </w:rPr>
              <w:t>1</w:t>
            </w:r>
          </w:p>
        </w:tc>
        <w:tc>
          <w:tcPr>
            <w:tcW w:w="116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color w:val="auto"/>
              </w:rPr>
              <w:t>244</w:t>
            </w:r>
          </w:p>
        </w:tc>
        <w:tc>
          <w:tcPr>
            <w:tcW w:w="182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3"/>
                <w:szCs w:val="13"/>
                <w:b w:val="1"/>
                <w:bCs w:val="1"/>
                <w:color w:val="auto"/>
              </w:rPr>
              <w:t>150,178 *</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13,019</w:t>
            </w:r>
          </w:p>
        </w:tc>
      </w:tr>
    </w:tbl>
    <w:p>
      <w:pPr>
        <w:spacing w:after="0" w:line="106" w:lineRule="exact"/>
        <w:rPr>
          <w:sz w:val="20"/>
          <w:szCs w:val="20"/>
          <w:color w:val="auto"/>
        </w:rPr>
      </w:pPr>
    </w:p>
    <w:p>
      <w:pPr>
        <w:ind w:left="100" w:hanging="95"/>
        <w:spacing w:after="0"/>
        <w:tabs>
          <w:tab w:leader="none" w:pos="100" w:val="left"/>
        </w:tabs>
        <w:numPr>
          <w:ilvl w:val="0"/>
          <w:numId w:val="121"/>
        </w:numPr>
        <w:rPr>
          <w:rFonts w:ascii="Arial" w:cs="Arial" w:eastAsia="Arial" w:hAnsi="Arial"/>
          <w:sz w:val="13"/>
          <w:szCs w:val="13"/>
          <w:color w:val="auto"/>
        </w:rPr>
      </w:pPr>
      <w:r>
        <w:rPr>
          <w:rFonts w:ascii="Arial" w:cs="Arial" w:eastAsia="Arial" w:hAnsi="Arial"/>
          <w:sz w:val="13"/>
          <w:szCs w:val="13"/>
          <w:color w:val="auto"/>
        </w:rPr>
        <w:t>14% of the interest costs fixed due to high yield bond issuance. $88.6 million financing fees have been allocated to interest cost which are not impacted by a change in the interest rate.</w:t>
      </w:r>
    </w:p>
    <w:p>
      <w:pPr>
        <w:spacing w:after="0" w:line="345" w:lineRule="exact"/>
        <w:rPr>
          <w:rFonts w:ascii="Arial" w:cs="Arial" w:eastAsia="Arial" w:hAnsi="Arial"/>
          <w:sz w:val="13"/>
          <w:szCs w:val="13"/>
          <w:color w:val="auto"/>
        </w:rPr>
      </w:pPr>
    </w:p>
    <w:p>
      <w:pPr>
        <w:ind w:left="5540"/>
        <w:spacing w:after="0"/>
        <w:rPr>
          <w:rFonts w:ascii="Arial" w:cs="Arial" w:eastAsia="Arial" w:hAnsi="Arial"/>
          <w:sz w:val="13"/>
          <w:szCs w:val="13"/>
          <w:color w:val="auto"/>
        </w:rPr>
      </w:pPr>
      <w:r>
        <w:rPr>
          <w:rFonts w:ascii="Arial" w:cs="Arial" w:eastAsia="Arial" w:hAnsi="Arial"/>
          <w:sz w:val="14"/>
          <w:szCs w:val="14"/>
          <w:color w:val="auto"/>
        </w:rPr>
        <w:t>111</w:t>
      </w:r>
    </w:p>
    <w:p>
      <w:pPr>
        <w:sectPr>
          <w:pgSz w:w="11900" w:h="16838" w:orient="portrait"/>
          <w:cols w:equalWidth="0" w:num="1">
            <w:col w:w="11280"/>
          </w:cols>
          <w:pgMar w:left="300" w:top="698" w:right="31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190" w:lineRule="exact"/>
        <w:rPr>
          <w:sz w:val="20"/>
          <w:szCs w:val="20"/>
          <w:color w:val="auto"/>
        </w:rPr>
      </w:pPr>
    </w:p>
    <w:p>
      <w:pPr>
        <w:ind w:left="320" w:hanging="315"/>
        <w:spacing w:after="0"/>
        <w:tabs>
          <w:tab w:leader="none" w:pos="320" w:val="left"/>
        </w:tabs>
        <w:numPr>
          <w:ilvl w:val="0"/>
          <w:numId w:val="122"/>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Financial instruments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Fair values</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Certain financial instruments are measured in the Statement of Financial Position at fair value using a fair value hierarchy of valuation inputs. The hierarchy prioritises the inputs into three levels based on the extent to which inputs used in measuring fair value are observable in the market. Each fair value measurement is reported in one of three levels, which is determined by the lowest level input that is significant to the fair value measurement in its entirety. These levels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44450</wp:posOffset>
            </wp:positionV>
            <wp:extent cx="7148195" cy="1079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8195" cy="107950"/>
                    </a:xfrm>
                    <a:prstGeom prst="rect">
                      <a:avLst/>
                    </a:prstGeom>
                    <a:noFill/>
                  </pic:spPr>
                </pic:pic>
              </a:graphicData>
            </a:graphic>
          </wp:anchor>
        </w:drawing>
      </w:r>
    </w:p>
    <w:p>
      <w:pPr>
        <w:spacing w:after="0" w:line="50"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3"/>
          <w:szCs w:val="13"/>
          <w:color w:val="auto"/>
        </w:rPr>
        <w:t>Level 1:</w:t>
      </w:r>
      <w:r>
        <w:rPr>
          <w:sz w:val="20"/>
          <w:szCs w:val="20"/>
          <w:color w:val="auto"/>
        </w:rPr>
        <w:tab/>
      </w:r>
      <w:r>
        <w:rPr>
          <w:rFonts w:ascii="Arial" w:cs="Arial" w:eastAsia="Arial" w:hAnsi="Arial"/>
          <w:sz w:val="12"/>
          <w:szCs w:val="12"/>
          <w:color w:val="auto"/>
        </w:rPr>
        <w:t>Inputs are based upon unadjusted quoted prices for identical instruments traded in active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93345</wp:posOffset>
            </wp:positionV>
            <wp:extent cx="7148195" cy="269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8195" cy="269240"/>
                    </a:xfrm>
                    <a:prstGeom prst="rect">
                      <a:avLst/>
                    </a:prstGeom>
                    <a:noFill/>
                  </pic:spPr>
                </pic:pic>
              </a:graphicData>
            </a:graphic>
          </wp:anchor>
        </w:drawing>
      </w:r>
    </w:p>
    <w:p>
      <w:pPr>
        <w:spacing w:after="0" w:line="128" w:lineRule="exact"/>
        <w:rPr>
          <w:sz w:val="20"/>
          <w:szCs w:val="20"/>
          <w:color w:val="auto"/>
        </w:rPr>
      </w:pPr>
    </w:p>
    <w:p>
      <w:pPr>
        <w:jc w:val="both"/>
        <w:ind w:left="1200" w:right="40" w:hanging="1177"/>
        <w:spacing w:after="0" w:line="225" w:lineRule="auto"/>
        <w:tabs>
          <w:tab w:leader="none" w:pos="1180" w:val="left"/>
        </w:tabs>
        <w:rPr>
          <w:sz w:val="20"/>
          <w:szCs w:val="20"/>
          <w:color w:val="auto"/>
        </w:rPr>
      </w:pPr>
      <w:r>
        <w:rPr>
          <w:rFonts w:ascii="Arial" w:cs="Arial" w:eastAsia="Arial" w:hAnsi="Arial"/>
          <w:sz w:val="13"/>
          <w:szCs w:val="13"/>
          <w:color w:val="auto"/>
        </w:rPr>
        <w:t>Level 2:</w:t>
      </w:r>
      <w:r>
        <w:rPr>
          <w:sz w:val="20"/>
          <w:szCs w:val="20"/>
          <w:color w:val="auto"/>
        </w:rPr>
        <w:tab/>
      </w:r>
      <w:r>
        <w:rPr>
          <w:rFonts w:ascii="Arial" w:cs="Arial" w:eastAsia="Arial" w:hAnsi="Arial"/>
          <w:sz w:val="13"/>
          <w:szCs w:val="13"/>
          <w:color w:val="auto"/>
        </w:rPr>
        <w:t>Inputs are based upon quoted prices for similar instruments in active markets,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48195" cy="1079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8195" cy="107950"/>
                    </a:xfrm>
                    <a:prstGeom prst="rect">
                      <a:avLst/>
                    </a:prstGeom>
                    <a:noFill/>
                  </pic:spPr>
                </pic:pic>
              </a:graphicData>
            </a:graphic>
          </wp:anchor>
        </w:drawing>
      </w:r>
    </w:p>
    <w:p>
      <w:pPr>
        <w:spacing w:after="0" w:line="111"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3"/>
          <w:szCs w:val="13"/>
          <w:color w:val="auto"/>
        </w:rPr>
        <w:t>Level 3:</w:t>
      </w:r>
      <w:r>
        <w:rPr>
          <w:sz w:val="20"/>
          <w:szCs w:val="20"/>
          <w:color w:val="auto"/>
        </w:rPr>
        <w:tab/>
      </w:r>
      <w:r>
        <w:rPr>
          <w:rFonts w:ascii="Arial" w:cs="Arial" w:eastAsia="Arial" w:hAnsi="Arial"/>
          <w:sz w:val="12"/>
          <w:szCs w:val="12"/>
          <w:color w:val="auto"/>
        </w:rPr>
        <w:t>Inputs are generally unobservable and typically reflect management’s estimates of assumptions that market participants would use in pricing the asset or liability.</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The fair value of financial assets together with the carrying amounts shown in the Statement of Financial Position is as follows: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60" w:type="dxa"/>
            <w:vAlign w:val="bottom"/>
            <w:shd w:val="clear" w:color="auto" w:fill="CCEEFF"/>
          </w:tcPr>
          <w:p>
            <w:pPr>
              <w:spacing w:after="0"/>
              <w:rPr>
                <w:sz w:val="13"/>
                <w:szCs w:val="13"/>
                <w:color w:val="auto"/>
              </w:rPr>
            </w:pPr>
          </w:p>
        </w:tc>
        <w:tc>
          <w:tcPr>
            <w:tcW w:w="1380" w:type="dxa"/>
            <w:vAlign w:val="bottom"/>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31 December</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31 December</w:t>
            </w:r>
          </w:p>
        </w:tc>
        <w:tc>
          <w:tcPr>
            <w:tcW w:w="1340" w:type="dxa"/>
            <w:vAlign w:val="bottom"/>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31 December</w:t>
            </w:r>
          </w:p>
        </w:tc>
        <w:tc>
          <w:tcPr>
            <w:tcW w:w="12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31 December</w:t>
            </w:r>
          </w:p>
        </w:tc>
        <w:tc>
          <w:tcPr>
            <w:tcW w:w="10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31 December</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0"/>
        </w:trPr>
        <w:tc>
          <w:tcPr>
            <w:tcW w:w="416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2021</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2021</w:t>
            </w:r>
          </w:p>
        </w:tc>
        <w:tc>
          <w:tcPr>
            <w:tcW w:w="13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2021</w:t>
            </w:r>
          </w:p>
        </w:tc>
        <w:tc>
          <w:tcPr>
            <w:tcW w:w="12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rPr>
              <w:t>2020</w:t>
            </w:r>
          </w:p>
        </w:tc>
        <w:tc>
          <w:tcPr>
            <w:tcW w:w="10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2020</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2020</w:t>
            </w:r>
          </w:p>
        </w:tc>
      </w:tr>
      <w:tr>
        <w:trPr>
          <w:trHeight w:val="118"/>
        </w:trPr>
        <w:tc>
          <w:tcPr>
            <w:tcW w:w="4160" w:type="dxa"/>
            <w:vAlign w:val="bottom"/>
          </w:tcPr>
          <w:p>
            <w:pPr>
              <w:spacing w:after="0"/>
              <w:rPr>
                <w:sz w:val="10"/>
                <w:szCs w:val="10"/>
                <w:color w:val="auto"/>
              </w:rPr>
            </w:pPr>
          </w:p>
        </w:tc>
        <w:tc>
          <w:tcPr>
            <w:tcW w:w="1380" w:type="dxa"/>
            <w:vAlign w:val="bottom"/>
          </w:tcPr>
          <w:p>
            <w:pPr>
              <w:jc w:val="right"/>
              <w:ind w:right="156"/>
              <w:spacing w:after="0" w:line="118" w:lineRule="exact"/>
              <w:rPr>
                <w:sz w:val="20"/>
                <w:szCs w:val="20"/>
                <w:color w:val="auto"/>
              </w:rPr>
            </w:pPr>
            <w:r>
              <w:rPr>
                <w:rFonts w:ascii="Arial" w:cs="Arial" w:eastAsia="Arial" w:hAnsi="Arial"/>
                <w:sz w:val="13"/>
                <w:szCs w:val="13"/>
                <w:b w:val="1"/>
                <w:bCs w:val="1"/>
                <w:color w:val="auto"/>
              </w:rPr>
              <w:t>Carrying</w:t>
            </w:r>
          </w:p>
        </w:tc>
        <w:tc>
          <w:tcPr>
            <w:tcW w:w="1020" w:type="dxa"/>
            <w:vAlign w:val="bottom"/>
          </w:tcPr>
          <w:p>
            <w:pPr>
              <w:jc w:val="right"/>
              <w:ind w:right="16"/>
              <w:spacing w:after="0" w:line="118" w:lineRule="exact"/>
              <w:rPr>
                <w:sz w:val="20"/>
                <w:szCs w:val="20"/>
                <w:color w:val="auto"/>
              </w:rPr>
            </w:pPr>
            <w:r>
              <w:rPr>
                <w:rFonts w:ascii="Arial" w:cs="Arial" w:eastAsia="Arial" w:hAnsi="Arial"/>
                <w:sz w:val="13"/>
                <w:szCs w:val="13"/>
                <w:b w:val="1"/>
                <w:bCs w:val="1"/>
                <w:color w:val="auto"/>
              </w:rPr>
              <w:t>Fair</w:t>
            </w:r>
          </w:p>
        </w:tc>
        <w:tc>
          <w:tcPr>
            <w:tcW w:w="1340" w:type="dxa"/>
            <w:vAlign w:val="bottom"/>
          </w:tcPr>
          <w:p>
            <w:pPr>
              <w:jc w:val="right"/>
              <w:ind w:right="156"/>
              <w:spacing w:after="0" w:line="118" w:lineRule="exact"/>
              <w:rPr>
                <w:sz w:val="20"/>
                <w:szCs w:val="20"/>
                <w:color w:val="auto"/>
              </w:rPr>
            </w:pPr>
            <w:r>
              <w:rPr>
                <w:rFonts w:ascii="Arial" w:cs="Arial" w:eastAsia="Arial" w:hAnsi="Arial"/>
                <w:sz w:val="13"/>
                <w:szCs w:val="13"/>
                <w:b w:val="1"/>
                <w:bCs w:val="1"/>
                <w:color w:val="auto"/>
              </w:rPr>
              <w:t>Fair Value Level 3</w:t>
            </w:r>
          </w:p>
        </w:tc>
        <w:tc>
          <w:tcPr>
            <w:tcW w:w="1200" w:type="dxa"/>
            <w:vAlign w:val="bottom"/>
          </w:tcPr>
          <w:p>
            <w:pPr>
              <w:jc w:val="right"/>
              <w:ind w:right="176"/>
              <w:spacing w:after="0" w:line="118" w:lineRule="exact"/>
              <w:rPr>
                <w:sz w:val="20"/>
                <w:szCs w:val="20"/>
                <w:color w:val="auto"/>
              </w:rPr>
            </w:pPr>
            <w:r>
              <w:rPr>
                <w:rFonts w:ascii="Arial" w:cs="Arial" w:eastAsia="Arial" w:hAnsi="Arial"/>
                <w:sz w:val="13"/>
                <w:szCs w:val="13"/>
                <w:color w:val="auto"/>
              </w:rPr>
              <w:t>Carrying</w:t>
            </w:r>
          </w:p>
        </w:tc>
        <w:tc>
          <w:tcPr>
            <w:tcW w:w="1060" w:type="dxa"/>
            <w:vAlign w:val="bottom"/>
          </w:tcPr>
          <w:p>
            <w:pPr>
              <w:jc w:val="right"/>
              <w:ind w:right="56"/>
              <w:spacing w:after="0" w:line="118" w:lineRule="exact"/>
              <w:rPr>
                <w:sz w:val="20"/>
                <w:szCs w:val="20"/>
                <w:color w:val="auto"/>
              </w:rPr>
            </w:pPr>
            <w:r>
              <w:rPr>
                <w:rFonts w:ascii="Arial" w:cs="Arial" w:eastAsia="Arial" w:hAnsi="Arial"/>
                <w:sz w:val="13"/>
                <w:szCs w:val="13"/>
                <w:color w:val="auto"/>
              </w:rPr>
              <w:t>Fair</w:t>
            </w:r>
          </w:p>
        </w:tc>
        <w:tc>
          <w:tcPr>
            <w:tcW w:w="1100" w:type="dxa"/>
            <w:vAlign w:val="bottom"/>
          </w:tcPr>
          <w:p>
            <w:pPr>
              <w:jc w:val="right"/>
              <w:spacing w:after="0" w:line="118" w:lineRule="exact"/>
              <w:rPr>
                <w:sz w:val="20"/>
                <w:szCs w:val="20"/>
                <w:color w:val="auto"/>
              </w:rPr>
            </w:pPr>
            <w:r>
              <w:rPr>
                <w:rFonts w:ascii="Arial" w:cs="Arial" w:eastAsia="Arial" w:hAnsi="Arial"/>
                <w:sz w:val="13"/>
                <w:szCs w:val="13"/>
                <w:color w:val="auto"/>
              </w:rPr>
              <w:t>Fair Value Level 3</w:t>
            </w:r>
          </w:p>
        </w:tc>
      </w:tr>
      <w:tr>
        <w:trPr>
          <w:trHeight w:val="127"/>
        </w:trPr>
        <w:tc>
          <w:tcPr>
            <w:tcW w:w="4160" w:type="dxa"/>
            <w:vAlign w:val="bottom"/>
          </w:tcPr>
          <w:p>
            <w:pPr>
              <w:spacing w:after="0"/>
              <w:rPr>
                <w:sz w:val="11"/>
                <w:szCs w:val="11"/>
                <w:color w:val="auto"/>
              </w:rPr>
            </w:pPr>
          </w:p>
        </w:tc>
        <w:tc>
          <w:tcPr>
            <w:tcW w:w="1380" w:type="dxa"/>
            <w:vAlign w:val="bottom"/>
          </w:tcPr>
          <w:p>
            <w:pPr>
              <w:jc w:val="right"/>
              <w:ind w:right="136"/>
              <w:spacing w:after="0" w:line="128" w:lineRule="exact"/>
              <w:rPr>
                <w:sz w:val="20"/>
                <w:szCs w:val="20"/>
                <w:color w:val="auto"/>
              </w:rPr>
            </w:pPr>
            <w:r>
              <w:rPr>
                <w:rFonts w:ascii="Arial" w:cs="Arial" w:eastAsia="Arial" w:hAnsi="Arial"/>
                <w:sz w:val="13"/>
                <w:szCs w:val="13"/>
                <w:b w:val="1"/>
                <w:bCs w:val="1"/>
                <w:color w:val="auto"/>
              </w:rPr>
              <w:t>Amount</w:t>
            </w:r>
          </w:p>
        </w:tc>
        <w:tc>
          <w:tcPr>
            <w:tcW w:w="1020" w:type="dxa"/>
            <w:vAlign w:val="bottom"/>
          </w:tcPr>
          <w:p>
            <w:pPr>
              <w:jc w:val="right"/>
              <w:spacing w:after="0" w:line="128" w:lineRule="exact"/>
              <w:rPr>
                <w:sz w:val="20"/>
                <w:szCs w:val="20"/>
                <w:color w:val="auto"/>
              </w:rPr>
            </w:pPr>
            <w:r>
              <w:rPr>
                <w:rFonts w:ascii="Arial" w:cs="Arial" w:eastAsia="Arial" w:hAnsi="Arial"/>
                <w:sz w:val="13"/>
                <w:szCs w:val="13"/>
                <w:b w:val="1"/>
                <w:bCs w:val="1"/>
                <w:color w:val="auto"/>
              </w:rPr>
              <w:t>Value</w:t>
            </w:r>
          </w:p>
        </w:tc>
        <w:tc>
          <w:tcPr>
            <w:tcW w:w="1340" w:type="dxa"/>
            <w:vAlign w:val="bottom"/>
          </w:tcPr>
          <w:p>
            <w:pPr>
              <w:spacing w:after="0"/>
              <w:rPr>
                <w:sz w:val="11"/>
                <w:szCs w:val="11"/>
                <w:color w:val="auto"/>
              </w:rPr>
            </w:pPr>
          </w:p>
        </w:tc>
        <w:tc>
          <w:tcPr>
            <w:tcW w:w="1200" w:type="dxa"/>
            <w:vAlign w:val="bottom"/>
          </w:tcPr>
          <w:p>
            <w:pPr>
              <w:jc w:val="right"/>
              <w:ind w:right="136"/>
              <w:spacing w:after="0" w:line="128" w:lineRule="exact"/>
              <w:rPr>
                <w:sz w:val="20"/>
                <w:szCs w:val="20"/>
                <w:color w:val="auto"/>
              </w:rPr>
            </w:pPr>
            <w:r>
              <w:rPr>
                <w:rFonts w:ascii="Arial" w:cs="Arial" w:eastAsia="Arial" w:hAnsi="Arial"/>
                <w:sz w:val="13"/>
                <w:szCs w:val="13"/>
                <w:color w:val="auto"/>
              </w:rPr>
              <w:t>Amount</w:t>
            </w:r>
          </w:p>
        </w:tc>
        <w:tc>
          <w:tcPr>
            <w:tcW w:w="1060" w:type="dxa"/>
            <w:vAlign w:val="bottom"/>
          </w:tcPr>
          <w:p>
            <w:pPr>
              <w:jc w:val="right"/>
              <w:ind w:right="16"/>
              <w:spacing w:after="0" w:line="128" w:lineRule="exact"/>
              <w:rPr>
                <w:sz w:val="20"/>
                <w:szCs w:val="20"/>
                <w:color w:val="auto"/>
              </w:rPr>
            </w:pPr>
            <w:r>
              <w:rPr>
                <w:rFonts w:ascii="Arial" w:cs="Arial" w:eastAsia="Arial" w:hAnsi="Arial"/>
                <w:sz w:val="13"/>
                <w:szCs w:val="13"/>
                <w:color w:val="auto"/>
              </w:rPr>
              <w:t>Value</w:t>
            </w:r>
          </w:p>
        </w:tc>
        <w:tc>
          <w:tcPr>
            <w:tcW w:w="1100" w:type="dxa"/>
            <w:vAlign w:val="bottom"/>
          </w:tcPr>
          <w:p>
            <w:pPr>
              <w:spacing w:after="0"/>
              <w:rPr>
                <w:sz w:val="11"/>
                <w:szCs w:val="11"/>
                <w:color w:val="auto"/>
              </w:rPr>
            </w:pPr>
          </w:p>
        </w:tc>
      </w:tr>
      <w:tr>
        <w:trPr>
          <w:trHeight w:val="170"/>
        </w:trPr>
        <w:tc>
          <w:tcPr>
            <w:tcW w:w="4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Level 1</w:t>
            </w:r>
          </w:p>
        </w:tc>
        <w:tc>
          <w:tcPr>
            <w:tcW w:w="1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Level 1</w:t>
            </w:r>
          </w:p>
        </w:tc>
        <w:tc>
          <w:tcPr>
            <w:tcW w:w="1100" w:type="dxa"/>
            <w:vAlign w:val="bottom"/>
            <w:tcBorders>
              <w:bottom w:val="single" w:sz="8" w:color="auto"/>
            </w:tcBorders>
          </w:tcPr>
          <w:p>
            <w:pPr>
              <w:spacing w:after="0"/>
              <w:rPr>
                <w:sz w:val="14"/>
                <w:szCs w:val="14"/>
                <w:color w:val="auto"/>
              </w:rPr>
            </w:pPr>
          </w:p>
        </w:tc>
      </w:tr>
      <w:tr>
        <w:trPr>
          <w:trHeight w:val="160"/>
        </w:trPr>
        <w:tc>
          <w:tcPr>
            <w:tcW w:w="4160" w:type="dxa"/>
            <w:vAlign w:val="bottom"/>
            <w:shd w:val="clear" w:color="auto" w:fill="CCEEFF"/>
          </w:tcPr>
          <w:p>
            <w:pPr>
              <w:spacing w:after="0"/>
              <w:rPr>
                <w:sz w:val="13"/>
                <w:szCs w:val="13"/>
                <w:color w:val="auto"/>
              </w:rPr>
            </w:pPr>
          </w:p>
        </w:tc>
        <w:tc>
          <w:tcPr>
            <w:tcW w:w="1380" w:type="dxa"/>
            <w:vAlign w:val="bottom"/>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$’000</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$’000</w:t>
            </w:r>
          </w:p>
        </w:tc>
        <w:tc>
          <w:tcPr>
            <w:tcW w:w="1340" w:type="dxa"/>
            <w:vAlign w:val="bottom"/>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$'000</w:t>
            </w:r>
          </w:p>
        </w:tc>
        <w:tc>
          <w:tcPr>
            <w:tcW w:w="12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$’000</w:t>
            </w:r>
          </w:p>
        </w:tc>
        <w:tc>
          <w:tcPr>
            <w:tcW w:w="10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$’000</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4160" w:type="dxa"/>
            <w:vAlign w:val="bottom"/>
          </w:tcPr>
          <w:p>
            <w:pPr>
              <w:ind w:left="20"/>
              <w:spacing w:after="0"/>
              <w:rPr>
                <w:sz w:val="20"/>
                <w:szCs w:val="20"/>
                <w:color w:val="auto"/>
              </w:rPr>
            </w:pPr>
            <w:r>
              <w:rPr>
                <w:rFonts w:ascii="Arial" w:cs="Arial" w:eastAsia="Arial" w:hAnsi="Arial"/>
                <w:sz w:val="13"/>
                <w:szCs w:val="13"/>
                <w:b w:val="1"/>
                <w:bCs w:val="1"/>
                <w:color w:val="auto"/>
              </w:rPr>
              <w:t>Financial assets measured at fair value</w:t>
            </w:r>
          </w:p>
        </w:tc>
        <w:tc>
          <w:tcPr>
            <w:tcW w:w="1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4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Financial assets at fair value through other comprehensive income</w:t>
            </w:r>
          </w:p>
        </w:tc>
        <w:tc>
          <w:tcPr>
            <w:tcW w:w="138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1,712</w:t>
            </w:r>
          </w:p>
        </w:tc>
        <w:tc>
          <w:tcPr>
            <w:tcW w:w="1020" w:type="dxa"/>
            <w:vAlign w:val="bottom"/>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1,712</w:t>
            </w:r>
          </w:p>
        </w:tc>
        <w:tc>
          <w:tcPr>
            <w:tcW w:w="1340" w:type="dxa"/>
            <w:vAlign w:val="bottom"/>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w:t>
            </w:r>
          </w:p>
        </w:tc>
        <w:tc>
          <w:tcPr>
            <w:tcW w:w="120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1,729</w:t>
            </w:r>
          </w:p>
        </w:tc>
        <w:tc>
          <w:tcPr>
            <w:tcW w:w="10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1,729</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Financial assets at fair value through profit and loss</w:t>
            </w:r>
          </w:p>
        </w:tc>
        <w:tc>
          <w:tcPr>
            <w:tcW w:w="138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22,592</w:t>
            </w:r>
          </w:p>
        </w:tc>
        <w:tc>
          <w:tcPr>
            <w:tcW w:w="10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w:t>
            </w:r>
          </w:p>
        </w:tc>
        <w:tc>
          <w:tcPr>
            <w:tcW w:w="13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22,592</w:t>
            </w:r>
          </w:p>
        </w:tc>
        <w:tc>
          <w:tcPr>
            <w:tcW w:w="12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rPr>
              <w:t>15,765</w:t>
            </w:r>
          </w:p>
        </w:tc>
        <w:tc>
          <w:tcPr>
            <w:tcW w:w="10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15,765</w:t>
            </w:r>
          </w:p>
        </w:tc>
      </w:tr>
      <w:tr>
        <w:trPr>
          <w:trHeight w:val="162"/>
        </w:trPr>
        <w:tc>
          <w:tcPr>
            <w:tcW w:w="416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24,304</w:t>
            </w:r>
          </w:p>
        </w:tc>
        <w:tc>
          <w:tcPr>
            <w:tcW w:w="10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1,712</w:t>
            </w:r>
          </w:p>
        </w:tc>
        <w:tc>
          <w:tcPr>
            <w:tcW w:w="1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22,592</w:t>
            </w:r>
          </w:p>
        </w:tc>
        <w:tc>
          <w:tcPr>
            <w:tcW w:w="120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rPr>
              <w:t>17,494</w:t>
            </w:r>
          </w:p>
        </w:tc>
        <w:tc>
          <w:tcPr>
            <w:tcW w:w="10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1,729</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15,765</w:t>
            </w:r>
          </w:p>
        </w:tc>
      </w:tr>
    </w:tbl>
    <w:p>
      <w:pPr>
        <w:spacing w:after="0" w:line="255"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carrying values of accounts receivable (less provision for loss), unbilled revenue (contract assets), other current assets, cash and cash equivalents and other non-current assets are carried at amortised cost and assumed to be approximate to their fair values due to the short-term nature of these balances. As such their fair values have not been disclosed.</w:t>
      </w:r>
    </w:p>
    <w:p>
      <w:pPr>
        <w:spacing w:after="0" w:line="157"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Current asset investments carried at fair value result in gains or losses being recognised in the Consolidated Statement of Comprehensive Income. The fair value of current asset investments is their market price at the financial year end date. They are measured on the basis of Level 1 inputs.</w:t>
      </w:r>
    </w:p>
    <w:p>
      <w:pPr>
        <w:spacing w:after="0" w:line="157"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Long-term financial assets carried at fair value result in gains or losses being recognised in the Consolidated Statement of Comprehensive Income. The fair value of long-term financial assets meet the definition of equity securities without readily determinable fair values.</w:t>
      </w:r>
    </w:p>
    <w:p>
      <w:pPr>
        <w:spacing w:after="0" w:line="14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carrying values of accounts payable, accrued and other liabilities and provisions (excluding contingent consideration) and other non-current liabilities are carried at amortised cost and assumed to be approximate to their fair values.</w:t>
      </w:r>
    </w:p>
    <w:p>
      <w:pPr>
        <w:spacing w:after="0" w:line="1" w:lineRule="exact"/>
        <w:rPr>
          <w:sz w:val="20"/>
          <w:szCs w:val="20"/>
          <w:color w:val="auto"/>
        </w:rPr>
      </w:pPr>
    </w:p>
    <w:p>
      <w:pPr>
        <w:jc w:val="both"/>
        <w:spacing w:after="0" w:line="270" w:lineRule="auto"/>
        <w:rPr>
          <w:sz w:val="20"/>
          <w:szCs w:val="20"/>
          <w:color w:val="auto"/>
        </w:rPr>
      </w:pPr>
      <w:r>
        <w:rPr>
          <w:rFonts w:ascii="Arial" w:cs="Arial" w:eastAsia="Arial" w:hAnsi="Arial"/>
          <w:sz w:val="13"/>
          <w:szCs w:val="13"/>
          <w:color w:val="auto"/>
        </w:rPr>
        <w:t>Each category of asset and liability has remained within the same level of hierarchy as the prior year as there has been no change in the extent to which the inputs used in measuring fair value are or are not observable within the market.</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112</w:t>
      </w:r>
    </w:p>
    <w:p>
      <w:pPr>
        <w:sectPr>
          <w:pgSz w:w="11900" w:h="16838" w:orient="portrait"/>
          <w:cols w:equalWidth="0" w:num="1">
            <w:col w:w="11280"/>
          </w:cols>
          <w:pgMar w:left="300" w:top="698" w:right="31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190" w:lineRule="exact"/>
        <w:rPr>
          <w:sz w:val="20"/>
          <w:szCs w:val="20"/>
          <w:color w:val="auto"/>
        </w:rPr>
      </w:pPr>
    </w:p>
    <w:p>
      <w:pPr>
        <w:ind w:left="320" w:hanging="315"/>
        <w:spacing w:after="0"/>
        <w:tabs>
          <w:tab w:leader="none" w:pos="320" w:val="left"/>
        </w:tabs>
        <w:numPr>
          <w:ilvl w:val="0"/>
          <w:numId w:val="123"/>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Financial instruments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shows reconciliation from the opening balances to the closing balances for Level 3 fair values: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320" w:type="dxa"/>
            <w:vAlign w:val="bottom"/>
            <w:shd w:val="clear" w:color="auto" w:fill="CCEEFF"/>
          </w:tcPr>
          <w:p>
            <w:pPr>
              <w:spacing w:after="0"/>
              <w:rPr>
                <w:sz w:val="10"/>
                <w:szCs w:val="10"/>
                <w:color w:val="auto"/>
              </w:rPr>
            </w:pPr>
          </w:p>
        </w:tc>
        <w:tc>
          <w:tcPr>
            <w:tcW w:w="3100" w:type="dxa"/>
            <w:vAlign w:val="bottom"/>
            <w:shd w:val="clear" w:color="auto" w:fill="CCEEFF"/>
          </w:tcPr>
          <w:p>
            <w:pPr>
              <w:jc w:val="right"/>
              <w:ind w:right="138"/>
              <w:spacing w:after="0"/>
              <w:rPr>
                <w:sz w:val="20"/>
                <w:szCs w:val="20"/>
                <w:color w:val="auto"/>
              </w:rPr>
            </w:pPr>
            <w:r>
              <w:rPr>
                <w:rFonts w:ascii="Arial" w:cs="Arial" w:eastAsia="Arial" w:hAnsi="Arial"/>
                <w:sz w:val="11"/>
                <w:szCs w:val="11"/>
                <w:b w:val="1"/>
                <w:bCs w:val="1"/>
                <w:color w:val="auto"/>
              </w:rPr>
              <w:t>Long-term financial</w:t>
            </w:r>
          </w:p>
        </w:tc>
        <w:tc>
          <w:tcPr>
            <w:tcW w:w="1480" w:type="dxa"/>
            <w:vAlign w:val="bottom"/>
            <w:shd w:val="clear" w:color="auto" w:fill="CCEEFF"/>
          </w:tcPr>
          <w:p>
            <w:pPr>
              <w:jc w:val="right"/>
              <w:ind w:right="278"/>
              <w:spacing w:after="0"/>
              <w:rPr>
                <w:sz w:val="20"/>
                <w:szCs w:val="20"/>
                <w:color w:val="auto"/>
              </w:rPr>
            </w:pPr>
            <w:r>
              <w:rPr>
                <w:rFonts w:ascii="Arial" w:cs="Arial" w:eastAsia="Arial" w:hAnsi="Arial"/>
                <w:sz w:val="11"/>
                <w:szCs w:val="11"/>
                <w:color w:val="auto"/>
              </w:rPr>
              <w:t>Long-term financial</w:t>
            </w:r>
          </w:p>
        </w:tc>
        <w:tc>
          <w:tcPr>
            <w:tcW w:w="1100" w:type="dxa"/>
            <w:vAlign w:val="bottom"/>
            <w:shd w:val="clear" w:color="auto" w:fill="CCEEFF"/>
          </w:tcPr>
          <w:p>
            <w:pPr>
              <w:jc w:val="right"/>
              <w:ind w:right="38"/>
              <w:spacing w:after="0"/>
              <w:rPr>
                <w:sz w:val="20"/>
                <w:szCs w:val="20"/>
                <w:color w:val="auto"/>
              </w:rPr>
            </w:pPr>
            <w:r>
              <w:rPr>
                <w:rFonts w:ascii="Arial" w:cs="Arial" w:eastAsia="Arial" w:hAnsi="Arial"/>
                <w:sz w:val="11"/>
                <w:szCs w:val="11"/>
                <w:color w:val="auto"/>
              </w:rPr>
              <w:t>Contingent</w:t>
            </w: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Gross obligation under</w:t>
            </w:r>
          </w:p>
        </w:tc>
      </w:tr>
      <w:tr>
        <w:trPr>
          <w:trHeight w:val="144"/>
        </w:trPr>
        <w:tc>
          <w:tcPr>
            <w:tcW w:w="4320" w:type="dxa"/>
            <w:vAlign w:val="bottom"/>
            <w:tcBorders>
              <w:bottom w:val="single" w:sz="8" w:color="auto"/>
            </w:tcBorders>
            <w:shd w:val="clear" w:color="auto" w:fill="CCEEFF"/>
          </w:tcPr>
          <w:p>
            <w:pPr>
              <w:spacing w:after="0"/>
              <w:rPr>
                <w:sz w:val="12"/>
                <w:szCs w:val="12"/>
                <w:color w:val="auto"/>
              </w:rPr>
            </w:pPr>
          </w:p>
        </w:tc>
        <w:tc>
          <w:tcPr>
            <w:tcW w:w="310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1"/>
                <w:szCs w:val="11"/>
                <w:b w:val="1"/>
                <w:bCs w:val="1"/>
                <w:color w:val="auto"/>
              </w:rPr>
              <w:t>assets</w:t>
            </w:r>
          </w:p>
        </w:tc>
        <w:tc>
          <w:tcPr>
            <w:tcW w:w="1480" w:type="dxa"/>
            <w:vAlign w:val="bottom"/>
            <w:tcBorders>
              <w:bottom w:val="single" w:sz="8" w:color="auto"/>
            </w:tcBorders>
            <w:shd w:val="clear" w:color="auto" w:fill="CCEEFF"/>
          </w:tcPr>
          <w:p>
            <w:pPr>
              <w:jc w:val="right"/>
              <w:ind w:right="278"/>
              <w:spacing w:after="0"/>
              <w:rPr>
                <w:sz w:val="20"/>
                <w:szCs w:val="20"/>
                <w:color w:val="auto"/>
              </w:rPr>
            </w:pPr>
            <w:r>
              <w:rPr>
                <w:rFonts w:ascii="Arial" w:cs="Arial" w:eastAsia="Arial" w:hAnsi="Arial"/>
                <w:sz w:val="11"/>
                <w:szCs w:val="11"/>
                <w:color w:val="auto"/>
              </w:rPr>
              <w:t>assets</w:t>
            </w:r>
          </w:p>
        </w:tc>
        <w:tc>
          <w:tcPr>
            <w:tcW w:w="11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1"/>
                <w:szCs w:val="11"/>
                <w:color w:val="auto"/>
              </w:rPr>
              <w:t>consideration</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put option</w:t>
            </w:r>
          </w:p>
        </w:tc>
      </w:tr>
      <w:tr>
        <w:trPr>
          <w:trHeight w:val="160"/>
        </w:trPr>
        <w:tc>
          <w:tcPr>
            <w:tcW w:w="4320" w:type="dxa"/>
            <w:vAlign w:val="bottom"/>
            <w:tcBorders>
              <w:bottom w:val="single" w:sz="8" w:color="auto"/>
            </w:tcBorders>
          </w:tcPr>
          <w:p>
            <w:pPr>
              <w:spacing w:after="0"/>
              <w:rPr>
                <w:sz w:val="13"/>
                <w:szCs w:val="13"/>
                <w:color w:val="auto"/>
              </w:rPr>
            </w:pPr>
          </w:p>
        </w:tc>
        <w:tc>
          <w:tcPr>
            <w:tcW w:w="3100" w:type="dxa"/>
            <w:vAlign w:val="bottom"/>
            <w:tcBorders>
              <w:bottom w:val="single" w:sz="8" w:color="auto"/>
            </w:tcBorders>
          </w:tcPr>
          <w:p>
            <w:pPr>
              <w:jc w:val="right"/>
              <w:ind w:right="138"/>
              <w:spacing w:after="0"/>
              <w:rPr>
                <w:sz w:val="20"/>
                <w:szCs w:val="20"/>
                <w:color w:val="auto"/>
              </w:rPr>
            </w:pPr>
            <w:r>
              <w:rPr>
                <w:rFonts w:ascii="Arial" w:cs="Arial" w:eastAsia="Arial" w:hAnsi="Arial"/>
                <w:sz w:val="13"/>
                <w:szCs w:val="13"/>
                <w:b w:val="1"/>
                <w:bCs w:val="1"/>
                <w:color w:val="auto"/>
              </w:rPr>
              <w:t>2021</w:t>
            </w:r>
          </w:p>
        </w:tc>
        <w:tc>
          <w:tcPr>
            <w:tcW w:w="1480" w:type="dxa"/>
            <w:vAlign w:val="bottom"/>
            <w:tcBorders>
              <w:bottom w:val="single" w:sz="8" w:color="auto"/>
            </w:tcBorders>
          </w:tcPr>
          <w:p>
            <w:pPr>
              <w:jc w:val="right"/>
              <w:ind w:right="278"/>
              <w:spacing w:after="0"/>
              <w:rPr>
                <w:sz w:val="20"/>
                <w:szCs w:val="20"/>
                <w:color w:val="auto"/>
              </w:rPr>
            </w:pPr>
            <w:r>
              <w:rPr>
                <w:rFonts w:ascii="Arial" w:cs="Arial" w:eastAsia="Arial" w:hAnsi="Arial"/>
                <w:sz w:val="13"/>
                <w:szCs w:val="13"/>
                <w:color w:val="auto"/>
              </w:rPr>
              <w:t>2020</w:t>
            </w:r>
          </w:p>
        </w:tc>
        <w:tc>
          <w:tcPr>
            <w:tcW w:w="110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2020</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2020</w:t>
            </w:r>
          </w:p>
        </w:tc>
      </w:tr>
      <w:tr>
        <w:trPr>
          <w:trHeight w:val="160"/>
        </w:trPr>
        <w:tc>
          <w:tcPr>
            <w:tcW w:w="4320" w:type="dxa"/>
            <w:vAlign w:val="bottom"/>
            <w:shd w:val="clear" w:color="auto" w:fill="CCEEFF"/>
          </w:tcPr>
          <w:p>
            <w:pPr>
              <w:spacing w:after="0"/>
              <w:rPr>
                <w:sz w:val="13"/>
                <w:szCs w:val="13"/>
                <w:color w:val="auto"/>
              </w:rPr>
            </w:pPr>
          </w:p>
        </w:tc>
        <w:tc>
          <w:tcPr>
            <w:tcW w:w="3100" w:type="dxa"/>
            <w:vAlign w:val="bottom"/>
            <w:shd w:val="clear" w:color="auto" w:fill="CCEEFF"/>
          </w:tcPr>
          <w:p>
            <w:pPr>
              <w:jc w:val="right"/>
              <w:ind w:right="138"/>
              <w:spacing w:after="0"/>
              <w:rPr>
                <w:sz w:val="20"/>
                <w:szCs w:val="20"/>
                <w:color w:val="auto"/>
              </w:rPr>
            </w:pPr>
            <w:r>
              <w:rPr>
                <w:rFonts w:ascii="Arial" w:cs="Arial" w:eastAsia="Arial" w:hAnsi="Arial"/>
                <w:sz w:val="13"/>
                <w:szCs w:val="13"/>
                <w:b w:val="1"/>
                <w:bCs w:val="1"/>
                <w:color w:val="auto"/>
              </w:rPr>
              <w:t>$’000</w:t>
            </w:r>
          </w:p>
        </w:tc>
        <w:tc>
          <w:tcPr>
            <w:tcW w:w="1480" w:type="dxa"/>
            <w:vAlign w:val="bottom"/>
            <w:shd w:val="clear" w:color="auto" w:fill="CCEEFF"/>
          </w:tcPr>
          <w:p>
            <w:pPr>
              <w:jc w:val="right"/>
              <w:ind w:right="278"/>
              <w:spacing w:after="0"/>
              <w:rPr>
                <w:sz w:val="20"/>
                <w:szCs w:val="20"/>
                <w:color w:val="auto"/>
              </w:rPr>
            </w:pPr>
            <w:r>
              <w:rPr>
                <w:rFonts w:ascii="Arial" w:cs="Arial" w:eastAsia="Arial" w:hAnsi="Arial"/>
                <w:sz w:val="13"/>
                <w:szCs w:val="13"/>
                <w:color w:val="auto"/>
              </w:rPr>
              <w:t>$’000</w:t>
            </w:r>
          </w:p>
        </w:tc>
        <w:tc>
          <w:tcPr>
            <w:tcW w:w="11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$’000</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$’000</w:t>
            </w:r>
          </w:p>
        </w:tc>
      </w:tr>
      <w:tr>
        <w:trPr>
          <w:trHeight w:val="159"/>
        </w:trPr>
        <w:tc>
          <w:tcPr>
            <w:tcW w:w="43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70"/>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Opening balance</w:t>
            </w:r>
          </w:p>
        </w:tc>
        <w:tc>
          <w:tcPr>
            <w:tcW w:w="3100" w:type="dxa"/>
            <w:vAlign w:val="bottom"/>
            <w:shd w:val="clear" w:color="auto" w:fill="CCEEFF"/>
          </w:tcPr>
          <w:p>
            <w:pPr>
              <w:jc w:val="right"/>
              <w:ind w:right="178"/>
              <w:spacing w:after="0"/>
              <w:rPr>
                <w:sz w:val="20"/>
                <w:szCs w:val="20"/>
                <w:color w:val="auto"/>
              </w:rPr>
            </w:pPr>
            <w:r>
              <w:rPr>
                <w:rFonts w:ascii="Arial" w:cs="Arial" w:eastAsia="Arial" w:hAnsi="Arial"/>
                <w:sz w:val="13"/>
                <w:szCs w:val="13"/>
                <w:b w:val="1"/>
                <w:bCs w:val="1"/>
                <w:color w:val="auto"/>
              </w:rPr>
              <w:t>15,765</w:t>
            </w:r>
          </w:p>
        </w:tc>
        <w:tc>
          <w:tcPr>
            <w:tcW w:w="1480" w:type="dxa"/>
            <w:vAlign w:val="bottom"/>
            <w:shd w:val="clear" w:color="auto" w:fill="CCEEFF"/>
          </w:tcPr>
          <w:p>
            <w:pPr>
              <w:jc w:val="right"/>
              <w:ind w:right="318"/>
              <w:spacing w:after="0"/>
              <w:rPr>
                <w:sz w:val="20"/>
                <w:szCs w:val="20"/>
                <w:color w:val="auto"/>
              </w:rPr>
            </w:pPr>
            <w:r>
              <w:rPr>
                <w:rFonts w:ascii="Arial" w:cs="Arial" w:eastAsia="Arial" w:hAnsi="Arial"/>
                <w:sz w:val="13"/>
                <w:szCs w:val="13"/>
                <w:color w:val="auto"/>
              </w:rPr>
              <w:t>10,053</w:t>
            </w:r>
          </w:p>
        </w:tc>
        <w:tc>
          <w:tcPr>
            <w:tcW w:w="110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2,500</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47,205</w:t>
            </w:r>
          </w:p>
        </w:tc>
      </w:tr>
      <w:tr>
        <w:trPr>
          <w:trHeight w:val="170"/>
        </w:trPr>
        <w:tc>
          <w:tcPr>
            <w:tcW w:w="4320" w:type="dxa"/>
            <w:vAlign w:val="bottom"/>
          </w:tcPr>
          <w:p>
            <w:pPr>
              <w:ind w:left="20"/>
              <w:spacing w:after="0"/>
              <w:rPr>
                <w:sz w:val="20"/>
                <w:szCs w:val="20"/>
                <w:color w:val="auto"/>
              </w:rPr>
            </w:pPr>
            <w:r>
              <w:rPr>
                <w:rFonts w:ascii="Arial" w:cs="Arial" w:eastAsia="Arial" w:hAnsi="Arial"/>
                <w:sz w:val="13"/>
                <w:szCs w:val="13"/>
                <w:color w:val="auto"/>
              </w:rPr>
              <w:t>Additions/(payments) made during the year</w:t>
            </w:r>
          </w:p>
        </w:tc>
        <w:tc>
          <w:tcPr>
            <w:tcW w:w="3100" w:type="dxa"/>
            <w:vAlign w:val="bottom"/>
          </w:tcPr>
          <w:p>
            <w:pPr>
              <w:jc w:val="right"/>
              <w:ind w:right="178"/>
              <w:spacing w:after="0"/>
              <w:rPr>
                <w:sz w:val="20"/>
                <w:szCs w:val="20"/>
                <w:color w:val="auto"/>
              </w:rPr>
            </w:pPr>
            <w:r>
              <w:rPr>
                <w:rFonts w:ascii="Arial" w:cs="Arial" w:eastAsia="Arial" w:hAnsi="Arial"/>
                <w:sz w:val="13"/>
                <w:szCs w:val="13"/>
                <w:b w:val="1"/>
                <w:bCs w:val="1"/>
                <w:color w:val="auto"/>
              </w:rPr>
              <w:t>3,577</w:t>
            </w:r>
          </w:p>
        </w:tc>
        <w:tc>
          <w:tcPr>
            <w:tcW w:w="1480" w:type="dxa"/>
            <w:vAlign w:val="bottom"/>
          </w:tcPr>
          <w:p>
            <w:pPr>
              <w:jc w:val="right"/>
              <w:ind w:right="318"/>
              <w:spacing w:after="0"/>
              <w:rPr>
                <w:sz w:val="20"/>
                <w:szCs w:val="20"/>
                <w:color w:val="auto"/>
              </w:rPr>
            </w:pPr>
            <w:r>
              <w:rPr>
                <w:rFonts w:ascii="Arial" w:cs="Arial" w:eastAsia="Arial" w:hAnsi="Arial"/>
                <w:sz w:val="13"/>
                <w:szCs w:val="13"/>
                <w:color w:val="auto"/>
              </w:rPr>
              <w:t>3,212</w:t>
            </w:r>
          </w:p>
        </w:tc>
        <w:tc>
          <w:tcPr>
            <w:tcW w:w="1100" w:type="dxa"/>
            <w:vAlign w:val="bottom"/>
          </w:tcPr>
          <w:p>
            <w:pPr>
              <w:jc w:val="right"/>
              <w:ind w:right="38"/>
              <w:spacing w:after="0"/>
              <w:rPr>
                <w:sz w:val="20"/>
                <w:szCs w:val="20"/>
                <w:color w:val="auto"/>
              </w:rPr>
            </w:pPr>
            <w:r>
              <w:rPr>
                <w:rFonts w:ascii="Arial" w:cs="Arial" w:eastAsia="Arial" w:hAnsi="Arial"/>
                <w:sz w:val="13"/>
                <w:szCs w:val="13"/>
                <w:color w:val="auto"/>
              </w:rPr>
              <w:t>(500)</w:t>
            </w:r>
          </w:p>
        </w:tc>
        <w:tc>
          <w:tcPr>
            <w:tcW w:w="1260" w:type="dxa"/>
            <w:vAlign w:val="bottom"/>
          </w:tcPr>
          <w:p>
            <w:pPr>
              <w:jc w:val="right"/>
              <w:spacing w:after="0"/>
              <w:rPr>
                <w:sz w:val="20"/>
                <w:szCs w:val="20"/>
                <w:color w:val="auto"/>
              </w:rPr>
            </w:pPr>
            <w:r>
              <w:rPr>
                <w:rFonts w:ascii="Arial" w:cs="Arial" w:eastAsia="Arial" w:hAnsi="Arial"/>
                <w:sz w:val="13"/>
                <w:szCs w:val="13"/>
                <w:color w:val="auto"/>
              </w:rPr>
              <w:t>(43,923)</w:t>
            </w:r>
          </w:p>
        </w:tc>
      </w:tr>
      <w:tr>
        <w:trPr>
          <w:trHeight w:val="170"/>
        </w:trPr>
        <w:tc>
          <w:tcPr>
            <w:tcW w:w="4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Credit to the Statement of Profit and Loss</w:t>
            </w:r>
          </w:p>
        </w:tc>
        <w:tc>
          <w:tcPr>
            <w:tcW w:w="310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3"/>
                <w:szCs w:val="13"/>
                <w:b w:val="1"/>
                <w:bCs w:val="1"/>
                <w:color w:val="auto"/>
              </w:rPr>
              <w:t>3,250</w:t>
            </w:r>
          </w:p>
        </w:tc>
        <w:tc>
          <w:tcPr>
            <w:tcW w:w="1480" w:type="dxa"/>
            <w:vAlign w:val="bottom"/>
            <w:tcBorders>
              <w:bottom w:val="single" w:sz="8" w:color="auto"/>
            </w:tcBorders>
            <w:shd w:val="clear" w:color="auto" w:fill="CCEEFF"/>
          </w:tcPr>
          <w:p>
            <w:pPr>
              <w:jc w:val="right"/>
              <w:ind w:right="318"/>
              <w:spacing w:after="0"/>
              <w:rPr>
                <w:sz w:val="20"/>
                <w:szCs w:val="20"/>
                <w:color w:val="auto"/>
              </w:rPr>
            </w:pPr>
            <w:r>
              <w:rPr>
                <w:rFonts w:ascii="Arial" w:cs="Arial" w:eastAsia="Arial" w:hAnsi="Arial"/>
                <w:sz w:val="13"/>
                <w:szCs w:val="13"/>
                <w:color w:val="auto"/>
              </w:rPr>
              <w:t>2,500</w:t>
            </w:r>
          </w:p>
        </w:tc>
        <w:tc>
          <w:tcPr>
            <w:tcW w:w="11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color w:val="auto"/>
              </w:rPr>
              <w:t>(2,000)</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(3,282)</w:t>
            </w:r>
          </w:p>
        </w:tc>
      </w:tr>
      <w:tr>
        <w:trPr>
          <w:trHeight w:val="97"/>
        </w:trPr>
        <w:tc>
          <w:tcPr>
            <w:tcW w:w="43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60" w:type="dxa"/>
            <w:vAlign w:val="bottom"/>
          </w:tcPr>
          <w:p>
            <w:pPr>
              <w:spacing w:after="0"/>
              <w:rPr>
                <w:sz w:val="8"/>
                <w:szCs w:val="8"/>
                <w:color w:val="auto"/>
              </w:rPr>
            </w:pPr>
          </w:p>
        </w:tc>
      </w:tr>
      <w:tr>
        <w:trPr>
          <w:trHeight w:val="171"/>
        </w:trPr>
        <w:tc>
          <w:tcPr>
            <w:tcW w:w="4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Closing balance</w:t>
            </w:r>
          </w:p>
        </w:tc>
        <w:tc>
          <w:tcPr>
            <w:tcW w:w="310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3"/>
                <w:szCs w:val="13"/>
                <w:b w:val="1"/>
                <w:bCs w:val="1"/>
                <w:color w:val="auto"/>
              </w:rPr>
              <w:t>22,592</w:t>
            </w:r>
          </w:p>
        </w:tc>
        <w:tc>
          <w:tcPr>
            <w:tcW w:w="1480" w:type="dxa"/>
            <w:vAlign w:val="bottom"/>
            <w:tcBorders>
              <w:bottom w:val="single" w:sz="8" w:color="auto"/>
            </w:tcBorders>
            <w:shd w:val="clear" w:color="auto" w:fill="CCEEFF"/>
          </w:tcPr>
          <w:p>
            <w:pPr>
              <w:jc w:val="right"/>
              <w:ind w:right="318"/>
              <w:spacing w:after="0"/>
              <w:rPr>
                <w:sz w:val="20"/>
                <w:szCs w:val="20"/>
                <w:color w:val="auto"/>
              </w:rPr>
            </w:pPr>
            <w:r>
              <w:rPr>
                <w:rFonts w:ascii="Arial" w:cs="Arial" w:eastAsia="Arial" w:hAnsi="Arial"/>
                <w:sz w:val="13"/>
                <w:szCs w:val="13"/>
                <w:color w:val="auto"/>
              </w:rPr>
              <w:t>15,765</w:t>
            </w:r>
          </w:p>
        </w:tc>
        <w:tc>
          <w:tcPr>
            <w:tcW w:w="110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bl>
    <w:p>
      <w:pPr>
        <w:spacing w:after="0" w:line="255"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Group is also subject to call and put option arrangements relating to the 51% majority share capital in the equity method investment, Oncacare, currently owned by a third-party. The majority investor has the right to sell the 51% majority voting share capital exclusively to the Company in a two and half year period, commencing 1 January 2023 and ICON also has the right to acquire the 51% majority voting share capital from 1 August 2025. These option arrangements are considered level 3 financial instruments due to it being necessary to use unobservable inputs in their valuation. The strike price of the options was written to closely approximate fair value.</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There have been no transfers between level 1/2 financial instruments and level 3 financial instruments during the current or prior financial year.</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shows the valuation techniques used in measuring Level 3 fair values, as well as significant unobservable inputs used:</w:t>
      </w:r>
    </w:p>
    <w:p>
      <w:pPr>
        <w:spacing w:after="0" w:line="212" w:lineRule="exact"/>
        <w:rPr>
          <w:sz w:val="20"/>
          <w:szCs w:val="20"/>
          <w:color w:val="auto"/>
        </w:rPr>
      </w:pPr>
    </w:p>
    <w:tbl>
      <w:tblPr>
        <w:tblLayout w:type="fixed"/>
        <w:tblInd w:w="10" w:type="dxa"/>
        <w:tblCellMar>
          <w:top w:w="0" w:type="dxa"/>
          <w:left w:w="0" w:type="dxa"/>
          <w:bottom w:w="0" w:type="dxa"/>
          <w:right w:w="0" w:type="dxa"/>
        </w:tblCellMar>
      </w:tblPr>
      <w:tr>
        <w:trPr>
          <w:trHeight w:val="138"/>
        </w:trPr>
        <w:tc>
          <w:tcPr>
            <w:tcW w:w="2780" w:type="dxa"/>
            <w:vAlign w:val="bottom"/>
            <w:tcBorders>
              <w:top w:val="single" w:sz="8" w:color="auto"/>
              <w:left w:val="single" w:sz="8" w:color="auto"/>
              <w:right w:val="single" w:sz="8" w:color="auto"/>
            </w:tcBorders>
          </w:tcPr>
          <w:p>
            <w:pPr>
              <w:ind w:left="20"/>
              <w:spacing w:after="0" w:line="138" w:lineRule="exact"/>
              <w:rPr>
                <w:sz w:val="20"/>
                <w:szCs w:val="20"/>
                <w:color w:val="auto"/>
              </w:rPr>
            </w:pPr>
            <w:r>
              <w:rPr>
                <w:rFonts w:ascii="Arial" w:cs="Arial" w:eastAsia="Arial" w:hAnsi="Arial"/>
                <w:sz w:val="13"/>
                <w:szCs w:val="13"/>
                <w:b w:val="1"/>
                <w:bCs w:val="1"/>
                <w:color w:val="auto"/>
              </w:rPr>
              <w:t>Type</w:t>
            </w:r>
          </w:p>
        </w:tc>
        <w:tc>
          <w:tcPr>
            <w:tcW w:w="2460" w:type="dxa"/>
            <w:vAlign w:val="bottom"/>
            <w:tcBorders>
              <w:top w:val="single" w:sz="8" w:color="auto"/>
              <w:right w:val="single" w:sz="8" w:color="auto"/>
            </w:tcBorders>
          </w:tcPr>
          <w:p>
            <w:pPr>
              <w:spacing w:after="0" w:line="138" w:lineRule="exact"/>
              <w:rPr>
                <w:sz w:val="20"/>
                <w:szCs w:val="20"/>
                <w:color w:val="auto"/>
              </w:rPr>
            </w:pPr>
            <w:r>
              <w:rPr>
                <w:rFonts w:ascii="Arial" w:cs="Arial" w:eastAsia="Arial" w:hAnsi="Arial"/>
                <w:sz w:val="13"/>
                <w:szCs w:val="13"/>
                <w:b w:val="1"/>
                <w:bCs w:val="1"/>
                <w:color w:val="auto"/>
              </w:rPr>
              <w:t>Valuation Technique</w:t>
            </w:r>
          </w:p>
        </w:tc>
        <w:tc>
          <w:tcPr>
            <w:tcW w:w="2620" w:type="dxa"/>
            <w:vAlign w:val="bottom"/>
            <w:tcBorders>
              <w:top w:val="single" w:sz="8" w:color="auto"/>
              <w:right w:val="single" w:sz="8" w:color="auto"/>
            </w:tcBorders>
          </w:tcPr>
          <w:p>
            <w:pPr>
              <w:spacing w:after="0" w:line="138" w:lineRule="exact"/>
              <w:rPr>
                <w:sz w:val="20"/>
                <w:szCs w:val="20"/>
                <w:color w:val="auto"/>
              </w:rPr>
            </w:pPr>
            <w:r>
              <w:rPr>
                <w:rFonts w:ascii="Arial" w:cs="Arial" w:eastAsia="Arial" w:hAnsi="Arial"/>
                <w:sz w:val="13"/>
                <w:szCs w:val="13"/>
                <w:b w:val="1"/>
                <w:bCs w:val="1"/>
                <w:color w:val="auto"/>
              </w:rPr>
              <w:t>Significant Unobservable Inputs</w:t>
            </w:r>
          </w:p>
        </w:tc>
        <w:tc>
          <w:tcPr>
            <w:tcW w:w="3420" w:type="dxa"/>
            <w:vAlign w:val="bottom"/>
            <w:tcBorders>
              <w:top w:val="single" w:sz="8" w:color="auto"/>
              <w:right w:val="single" w:sz="8" w:color="auto"/>
            </w:tcBorders>
          </w:tcPr>
          <w:p>
            <w:pPr>
              <w:spacing w:after="0" w:line="138" w:lineRule="exact"/>
              <w:rPr>
                <w:sz w:val="20"/>
                <w:szCs w:val="20"/>
                <w:color w:val="auto"/>
              </w:rPr>
            </w:pPr>
            <w:r>
              <w:rPr>
                <w:rFonts w:ascii="Arial" w:cs="Arial" w:eastAsia="Arial" w:hAnsi="Arial"/>
                <w:sz w:val="13"/>
                <w:szCs w:val="13"/>
                <w:b w:val="1"/>
                <w:bCs w:val="1"/>
                <w:color w:val="auto"/>
              </w:rPr>
              <w:t>Inter-relationship between significant unobservable</w:t>
            </w:r>
          </w:p>
        </w:tc>
      </w:tr>
      <w:tr>
        <w:trPr>
          <w:trHeight w:val="170"/>
        </w:trPr>
        <w:tc>
          <w:tcPr>
            <w:tcW w:w="2780" w:type="dxa"/>
            <w:vAlign w:val="bottom"/>
            <w:tcBorders>
              <w:left w:val="single" w:sz="8" w:color="auto"/>
              <w:bottom w:val="single" w:sz="8" w:color="auto"/>
              <w:right w:val="single" w:sz="8" w:color="auto"/>
            </w:tcBorders>
          </w:tcPr>
          <w:p>
            <w:pPr>
              <w:spacing w:after="0"/>
              <w:rPr>
                <w:sz w:val="14"/>
                <w:szCs w:val="14"/>
                <w:color w:val="auto"/>
              </w:rPr>
            </w:pPr>
          </w:p>
        </w:tc>
        <w:tc>
          <w:tcPr>
            <w:tcW w:w="246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c>
          <w:tcPr>
            <w:tcW w:w="34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inputs and fair value measurement</w:t>
            </w:r>
          </w:p>
        </w:tc>
      </w:tr>
      <w:tr>
        <w:trPr>
          <w:trHeight w:val="118"/>
        </w:trPr>
        <w:tc>
          <w:tcPr>
            <w:tcW w:w="2780" w:type="dxa"/>
            <w:vAlign w:val="bottom"/>
            <w:tcBorders>
              <w:left w:val="single" w:sz="8" w:color="auto"/>
              <w:right w:val="single" w:sz="8" w:color="auto"/>
            </w:tcBorders>
          </w:tcPr>
          <w:p>
            <w:pPr>
              <w:ind w:left="20"/>
              <w:spacing w:after="0" w:line="118" w:lineRule="exact"/>
              <w:rPr>
                <w:sz w:val="20"/>
                <w:szCs w:val="20"/>
                <w:color w:val="auto"/>
              </w:rPr>
            </w:pPr>
            <w:r>
              <w:rPr>
                <w:rFonts w:ascii="Arial" w:cs="Arial" w:eastAsia="Arial" w:hAnsi="Arial"/>
                <w:sz w:val="13"/>
                <w:szCs w:val="13"/>
                <w:color w:val="auto"/>
              </w:rPr>
              <w:t>Long-term financial assets</w:t>
            </w:r>
          </w:p>
        </w:tc>
        <w:tc>
          <w:tcPr>
            <w:tcW w:w="2460" w:type="dxa"/>
            <w:vAlign w:val="bottom"/>
            <w:tcBorders>
              <w:right w:val="single" w:sz="8" w:color="auto"/>
            </w:tcBorders>
          </w:tcPr>
          <w:p>
            <w:pPr>
              <w:spacing w:after="0" w:line="118" w:lineRule="exact"/>
              <w:rPr>
                <w:sz w:val="20"/>
                <w:szCs w:val="20"/>
                <w:color w:val="auto"/>
              </w:rPr>
            </w:pPr>
            <w:r>
              <w:rPr>
                <w:rFonts w:ascii="Arial" w:cs="Arial" w:eastAsia="Arial" w:hAnsi="Arial"/>
                <w:sz w:val="13"/>
                <w:szCs w:val="13"/>
                <w:color w:val="auto"/>
              </w:rPr>
              <w:t>The valuation model is based on the NAV</w:t>
            </w:r>
          </w:p>
        </w:tc>
        <w:tc>
          <w:tcPr>
            <w:tcW w:w="2620" w:type="dxa"/>
            <w:vAlign w:val="bottom"/>
            <w:tcBorders>
              <w:right w:val="single" w:sz="8" w:color="auto"/>
            </w:tcBorders>
          </w:tcPr>
          <w:p>
            <w:pPr>
              <w:spacing w:after="0" w:line="118" w:lineRule="exact"/>
              <w:rPr>
                <w:sz w:val="20"/>
                <w:szCs w:val="20"/>
                <w:color w:val="auto"/>
              </w:rPr>
            </w:pPr>
            <w:r>
              <w:rPr>
                <w:rFonts w:ascii="Arial" w:cs="Arial" w:eastAsia="Arial" w:hAnsi="Arial"/>
                <w:sz w:val="13"/>
                <w:szCs w:val="13"/>
                <w:color w:val="auto"/>
                <w:w w:val="99"/>
              </w:rPr>
              <w:t>The interest on the fund are not traded on an</w:t>
            </w:r>
          </w:p>
        </w:tc>
        <w:tc>
          <w:tcPr>
            <w:tcW w:w="3420" w:type="dxa"/>
            <w:vAlign w:val="bottom"/>
            <w:tcBorders>
              <w:right w:val="single" w:sz="8" w:color="auto"/>
            </w:tcBorders>
          </w:tcPr>
          <w:p>
            <w:pPr>
              <w:spacing w:after="0" w:line="118" w:lineRule="exact"/>
              <w:rPr>
                <w:sz w:val="20"/>
                <w:szCs w:val="20"/>
                <w:color w:val="auto"/>
              </w:rPr>
            </w:pPr>
            <w:r>
              <w:rPr>
                <w:rFonts w:ascii="Arial" w:cs="Arial" w:eastAsia="Arial" w:hAnsi="Arial"/>
                <w:sz w:val="13"/>
                <w:szCs w:val="13"/>
                <w:color w:val="auto"/>
                <w:w w:val="99"/>
              </w:rPr>
              <w:t>The valuation is based on the NAV of the fund as prepared</w:t>
            </w:r>
          </w:p>
        </w:tc>
      </w:tr>
      <w:tr>
        <w:trPr>
          <w:trHeight w:val="127"/>
        </w:trPr>
        <w:tc>
          <w:tcPr>
            <w:tcW w:w="2780" w:type="dxa"/>
            <w:vAlign w:val="bottom"/>
            <w:tcBorders>
              <w:left w:val="single" w:sz="8" w:color="auto"/>
              <w:right w:val="single" w:sz="8" w:color="auto"/>
            </w:tcBorders>
          </w:tcPr>
          <w:p>
            <w:pPr>
              <w:spacing w:after="0"/>
              <w:rPr>
                <w:sz w:val="11"/>
                <w:szCs w:val="11"/>
                <w:color w:val="auto"/>
              </w:rPr>
            </w:pPr>
          </w:p>
        </w:tc>
        <w:tc>
          <w:tcPr>
            <w:tcW w:w="2460" w:type="dxa"/>
            <w:vAlign w:val="bottom"/>
            <w:tcBorders>
              <w:right w:val="single" w:sz="8" w:color="auto"/>
            </w:tcBorders>
          </w:tcPr>
          <w:p>
            <w:pPr>
              <w:spacing w:after="0" w:line="128" w:lineRule="exact"/>
              <w:rPr>
                <w:sz w:val="20"/>
                <w:szCs w:val="20"/>
                <w:color w:val="auto"/>
              </w:rPr>
            </w:pPr>
            <w:r>
              <w:rPr>
                <w:rFonts w:ascii="Arial" w:cs="Arial" w:eastAsia="Arial" w:hAnsi="Arial"/>
                <w:sz w:val="13"/>
                <w:szCs w:val="13"/>
                <w:color w:val="auto"/>
                <w:w w:val="98"/>
              </w:rPr>
              <w:t>of the fund as prepared by an independent</w:t>
            </w:r>
          </w:p>
        </w:tc>
        <w:tc>
          <w:tcPr>
            <w:tcW w:w="2620" w:type="dxa"/>
            <w:vAlign w:val="bottom"/>
            <w:tcBorders>
              <w:right w:val="single" w:sz="8" w:color="auto"/>
            </w:tcBorders>
          </w:tcPr>
          <w:p>
            <w:pPr>
              <w:spacing w:after="0" w:line="128" w:lineRule="exact"/>
              <w:rPr>
                <w:sz w:val="20"/>
                <w:szCs w:val="20"/>
                <w:color w:val="auto"/>
              </w:rPr>
            </w:pPr>
            <w:r>
              <w:rPr>
                <w:rFonts w:ascii="Arial" w:cs="Arial" w:eastAsia="Arial" w:hAnsi="Arial"/>
                <w:sz w:val="13"/>
                <w:szCs w:val="13"/>
                <w:color w:val="auto"/>
                <w:w w:val="99"/>
              </w:rPr>
              <w:t>exchange, or data is not published in respect</w:t>
            </w:r>
          </w:p>
        </w:tc>
        <w:tc>
          <w:tcPr>
            <w:tcW w:w="3420" w:type="dxa"/>
            <w:vAlign w:val="bottom"/>
            <w:tcBorders>
              <w:right w:val="single" w:sz="8" w:color="auto"/>
            </w:tcBorders>
          </w:tcPr>
          <w:p>
            <w:pPr>
              <w:spacing w:after="0" w:line="128" w:lineRule="exact"/>
              <w:rPr>
                <w:sz w:val="20"/>
                <w:szCs w:val="20"/>
                <w:color w:val="auto"/>
              </w:rPr>
            </w:pPr>
            <w:r>
              <w:rPr>
                <w:rFonts w:ascii="Arial" w:cs="Arial" w:eastAsia="Arial" w:hAnsi="Arial"/>
                <w:sz w:val="13"/>
                <w:szCs w:val="13"/>
                <w:color w:val="auto"/>
              </w:rPr>
              <w:t>by an independent appraiser.</w:t>
            </w:r>
          </w:p>
        </w:tc>
      </w:tr>
      <w:tr>
        <w:trPr>
          <w:trHeight w:val="127"/>
        </w:trPr>
        <w:tc>
          <w:tcPr>
            <w:tcW w:w="2780" w:type="dxa"/>
            <w:vAlign w:val="bottom"/>
            <w:tcBorders>
              <w:left w:val="single" w:sz="8" w:color="auto"/>
              <w:right w:val="single" w:sz="8" w:color="auto"/>
            </w:tcBorders>
          </w:tcPr>
          <w:p>
            <w:pPr>
              <w:spacing w:after="0"/>
              <w:rPr>
                <w:sz w:val="11"/>
                <w:szCs w:val="11"/>
                <w:color w:val="auto"/>
              </w:rPr>
            </w:pPr>
          </w:p>
        </w:tc>
        <w:tc>
          <w:tcPr>
            <w:tcW w:w="2460" w:type="dxa"/>
            <w:vAlign w:val="bottom"/>
            <w:tcBorders>
              <w:right w:val="single" w:sz="8" w:color="auto"/>
            </w:tcBorders>
          </w:tcPr>
          <w:p>
            <w:pPr>
              <w:spacing w:after="0" w:line="128" w:lineRule="exact"/>
              <w:rPr>
                <w:sz w:val="20"/>
                <w:szCs w:val="20"/>
                <w:color w:val="auto"/>
              </w:rPr>
            </w:pPr>
            <w:r>
              <w:rPr>
                <w:rFonts w:ascii="Arial" w:cs="Arial" w:eastAsia="Arial" w:hAnsi="Arial"/>
                <w:sz w:val="13"/>
                <w:szCs w:val="13"/>
                <w:color w:val="auto"/>
              </w:rPr>
              <w:t>appraiser to prepare a fair value</w:t>
            </w:r>
          </w:p>
        </w:tc>
        <w:tc>
          <w:tcPr>
            <w:tcW w:w="2620" w:type="dxa"/>
            <w:vAlign w:val="bottom"/>
            <w:tcBorders>
              <w:right w:val="single" w:sz="8" w:color="auto"/>
            </w:tcBorders>
          </w:tcPr>
          <w:p>
            <w:pPr>
              <w:spacing w:after="0" w:line="128" w:lineRule="exact"/>
              <w:rPr>
                <w:sz w:val="20"/>
                <w:szCs w:val="20"/>
                <w:color w:val="auto"/>
              </w:rPr>
            </w:pPr>
            <w:r>
              <w:rPr>
                <w:rFonts w:ascii="Arial" w:cs="Arial" w:eastAsia="Arial" w:hAnsi="Arial"/>
                <w:sz w:val="13"/>
                <w:szCs w:val="13"/>
                <w:color w:val="auto"/>
              </w:rPr>
              <w:t>of the funds.</w:t>
            </w:r>
          </w:p>
        </w:tc>
        <w:tc>
          <w:tcPr>
            <w:tcW w:w="3420" w:type="dxa"/>
            <w:vAlign w:val="bottom"/>
            <w:tcBorders>
              <w:right w:val="single" w:sz="8" w:color="auto"/>
            </w:tcBorders>
          </w:tcPr>
          <w:p>
            <w:pPr>
              <w:spacing w:after="0"/>
              <w:rPr>
                <w:sz w:val="11"/>
                <w:szCs w:val="11"/>
                <w:color w:val="auto"/>
              </w:rPr>
            </w:pPr>
          </w:p>
        </w:tc>
      </w:tr>
      <w:tr>
        <w:trPr>
          <w:trHeight w:val="127"/>
        </w:trPr>
        <w:tc>
          <w:tcPr>
            <w:tcW w:w="2780" w:type="dxa"/>
            <w:vAlign w:val="bottom"/>
            <w:tcBorders>
              <w:left w:val="single" w:sz="8" w:color="auto"/>
              <w:right w:val="single" w:sz="8" w:color="auto"/>
            </w:tcBorders>
          </w:tcPr>
          <w:p>
            <w:pPr>
              <w:spacing w:after="0"/>
              <w:rPr>
                <w:sz w:val="11"/>
                <w:szCs w:val="11"/>
                <w:color w:val="auto"/>
              </w:rPr>
            </w:pPr>
          </w:p>
        </w:tc>
        <w:tc>
          <w:tcPr>
            <w:tcW w:w="2460" w:type="dxa"/>
            <w:vAlign w:val="bottom"/>
            <w:tcBorders>
              <w:right w:val="single" w:sz="8" w:color="auto"/>
            </w:tcBorders>
          </w:tcPr>
          <w:p>
            <w:pPr>
              <w:spacing w:after="0" w:line="128" w:lineRule="exact"/>
              <w:rPr>
                <w:sz w:val="20"/>
                <w:szCs w:val="20"/>
                <w:color w:val="auto"/>
              </w:rPr>
            </w:pPr>
            <w:r>
              <w:rPr>
                <w:rFonts w:ascii="Arial" w:cs="Arial" w:eastAsia="Arial" w:hAnsi="Arial"/>
                <w:sz w:val="13"/>
                <w:szCs w:val="13"/>
                <w:color w:val="auto"/>
              </w:rPr>
              <w:t>assessment of investment assets each</w:t>
            </w:r>
          </w:p>
        </w:tc>
        <w:tc>
          <w:tcPr>
            <w:tcW w:w="2620" w:type="dxa"/>
            <w:vAlign w:val="bottom"/>
            <w:tcBorders>
              <w:right w:val="single" w:sz="8" w:color="auto"/>
            </w:tcBorders>
          </w:tcPr>
          <w:p>
            <w:pPr>
              <w:spacing w:after="0"/>
              <w:rPr>
                <w:sz w:val="11"/>
                <w:szCs w:val="11"/>
                <w:color w:val="auto"/>
              </w:rPr>
            </w:pPr>
          </w:p>
        </w:tc>
        <w:tc>
          <w:tcPr>
            <w:tcW w:w="3420" w:type="dxa"/>
            <w:vAlign w:val="bottom"/>
            <w:tcBorders>
              <w:right w:val="single" w:sz="8" w:color="auto"/>
            </w:tcBorders>
          </w:tcPr>
          <w:p>
            <w:pPr>
              <w:spacing w:after="0"/>
              <w:rPr>
                <w:sz w:val="11"/>
                <w:szCs w:val="11"/>
                <w:color w:val="auto"/>
              </w:rPr>
            </w:pPr>
          </w:p>
        </w:tc>
      </w:tr>
      <w:tr>
        <w:trPr>
          <w:trHeight w:val="168"/>
        </w:trPr>
        <w:tc>
          <w:tcPr>
            <w:tcW w:w="2780" w:type="dxa"/>
            <w:vAlign w:val="bottom"/>
            <w:tcBorders>
              <w:left w:val="single" w:sz="8" w:color="auto"/>
              <w:bottom w:val="single" w:sz="8" w:color="auto"/>
              <w:right w:val="single" w:sz="8" w:color="auto"/>
            </w:tcBorders>
          </w:tcPr>
          <w:p>
            <w:pPr>
              <w:spacing w:after="0"/>
              <w:rPr>
                <w:sz w:val="14"/>
                <w:szCs w:val="14"/>
                <w:color w:val="auto"/>
              </w:rPr>
            </w:pPr>
          </w:p>
        </w:tc>
        <w:tc>
          <w:tcPr>
            <w:tcW w:w="2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year.</w:t>
            </w:r>
          </w:p>
        </w:tc>
        <w:tc>
          <w:tcPr>
            <w:tcW w:w="2620" w:type="dxa"/>
            <w:vAlign w:val="bottom"/>
            <w:tcBorders>
              <w:bottom w:val="single" w:sz="8" w:color="auto"/>
              <w:right w:val="single" w:sz="8" w:color="auto"/>
            </w:tcBorders>
          </w:tcPr>
          <w:p>
            <w:pPr>
              <w:spacing w:after="0"/>
              <w:rPr>
                <w:sz w:val="14"/>
                <w:szCs w:val="14"/>
                <w:color w:val="auto"/>
              </w:rPr>
            </w:pPr>
          </w:p>
        </w:tc>
        <w:tc>
          <w:tcPr>
            <w:tcW w:w="3420" w:type="dxa"/>
            <w:vAlign w:val="bottom"/>
            <w:tcBorders>
              <w:bottom w:val="single" w:sz="8" w:color="auto"/>
              <w:right w:val="single" w:sz="8" w:color="auto"/>
            </w:tcBorders>
          </w:tcPr>
          <w:p>
            <w:pPr>
              <w:spacing w:after="0"/>
              <w:rPr>
                <w:sz w:val="14"/>
                <w:szCs w:val="14"/>
                <w:color w:val="auto"/>
              </w:rPr>
            </w:pPr>
          </w:p>
        </w:tc>
      </w:tr>
      <w:tr>
        <w:trPr>
          <w:trHeight w:val="119"/>
        </w:trPr>
        <w:tc>
          <w:tcPr>
            <w:tcW w:w="2780" w:type="dxa"/>
            <w:vAlign w:val="bottom"/>
            <w:tcBorders>
              <w:left w:val="single" w:sz="8" w:color="auto"/>
              <w:right w:val="single" w:sz="8" w:color="auto"/>
            </w:tcBorders>
          </w:tcPr>
          <w:p>
            <w:pPr>
              <w:ind w:left="20"/>
              <w:spacing w:after="0" w:line="119" w:lineRule="exact"/>
              <w:rPr>
                <w:sz w:val="20"/>
                <w:szCs w:val="20"/>
                <w:color w:val="auto"/>
              </w:rPr>
            </w:pPr>
            <w:r>
              <w:rPr>
                <w:rFonts w:ascii="Arial" w:cs="Arial" w:eastAsia="Arial" w:hAnsi="Arial"/>
                <w:sz w:val="13"/>
                <w:szCs w:val="13"/>
                <w:color w:val="auto"/>
              </w:rPr>
              <w:t>Call and put option arrangements over 51%</w:t>
            </w:r>
          </w:p>
        </w:tc>
        <w:tc>
          <w:tcPr>
            <w:tcW w:w="2460" w:type="dxa"/>
            <w:vAlign w:val="bottom"/>
            <w:tcBorders>
              <w:right w:val="single" w:sz="8" w:color="auto"/>
            </w:tcBorders>
          </w:tcPr>
          <w:p>
            <w:pPr>
              <w:spacing w:after="0" w:line="119" w:lineRule="exact"/>
              <w:rPr>
                <w:sz w:val="20"/>
                <w:szCs w:val="20"/>
                <w:color w:val="auto"/>
              </w:rPr>
            </w:pPr>
            <w:r>
              <w:rPr>
                <w:rFonts w:ascii="Arial" w:cs="Arial" w:eastAsia="Arial" w:hAnsi="Arial"/>
                <w:sz w:val="13"/>
                <w:szCs w:val="13"/>
                <w:color w:val="auto"/>
              </w:rPr>
              <w:t>The valuation model is based on the</w:t>
            </w:r>
          </w:p>
        </w:tc>
        <w:tc>
          <w:tcPr>
            <w:tcW w:w="2620" w:type="dxa"/>
            <w:vAlign w:val="bottom"/>
            <w:tcBorders>
              <w:right w:val="single" w:sz="8" w:color="auto"/>
            </w:tcBorders>
          </w:tcPr>
          <w:p>
            <w:pPr>
              <w:spacing w:after="0" w:line="119" w:lineRule="exact"/>
              <w:rPr>
                <w:sz w:val="20"/>
                <w:szCs w:val="20"/>
                <w:color w:val="auto"/>
              </w:rPr>
            </w:pPr>
            <w:r>
              <w:rPr>
                <w:rFonts w:ascii="Arial" w:cs="Arial" w:eastAsia="Arial" w:hAnsi="Arial"/>
                <w:sz w:val="13"/>
                <w:szCs w:val="13"/>
                <w:color w:val="auto"/>
              </w:rPr>
              <w:t>The strike price of the options are based on</w:t>
            </w:r>
          </w:p>
        </w:tc>
        <w:tc>
          <w:tcPr>
            <w:tcW w:w="3420" w:type="dxa"/>
            <w:vAlign w:val="bottom"/>
            <w:tcBorders>
              <w:right w:val="single" w:sz="8" w:color="auto"/>
            </w:tcBorders>
          </w:tcPr>
          <w:p>
            <w:pPr>
              <w:spacing w:after="0" w:line="119" w:lineRule="exact"/>
              <w:rPr>
                <w:sz w:val="20"/>
                <w:szCs w:val="20"/>
                <w:color w:val="auto"/>
              </w:rPr>
            </w:pPr>
            <w:r>
              <w:rPr>
                <w:rFonts w:ascii="Arial" w:cs="Arial" w:eastAsia="Arial" w:hAnsi="Arial"/>
                <w:sz w:val="13"/>
                <w:szCs w:val="13"/>
                <w:color w:val="auto"/>
              </w:rPr>
              <w:t>If the earnings multiple became less than the market rate</w:t>
            </w:r>
          </w:p>
        </w:tc>
      </w:tr>
      <w:tr>
        <w:trPr>
          <w:trHeight w:val="127"/>
        </w:trPr>
        <w:tc>
          <w:tcPr>
            <w:tcW w:w="2780" w:type="dxa"/>
            <w:vAlign w:val="bottom"/>
            <w:tcBorders>
              <w:left w:val="single" w:sz="8" w:color="auto"/>
              <w:right w:val="single" w:sz="8" w:color="auto"/>
            </w:tcBorders>
          </w:tcPr>
          <w:p>
            <w:pPr>
              <w:ind w:left="20"/>
              <w:spacing w:after="0" w:line="128" w:lineRule="exact"/>
              <w:rPr>
                <w:sz w:val="20"/>
                <w:szCs w:val="20"/>
                <w:color w:val="auto"/>
              </w:rPr>
            </w:pPr>
            <w:r>
              <w:rPr>
                <w:rFonts w:ascii="Arial" w:cs="Arial" w:eastAsia="Arial" w:hAnsi="Arial"/>
                <w:sz w:val="13"/>
                <w:szCs w:val="13"/>
                <w:color w:val="auto"/>
              </w:rPr>
              <w:t>majority share ownership in Oncacare is a</w:t>
            </w:r>
          </w:p>
        </w:tc>
        <w:tc>
          <w:tcPr>
            <w:tcW w:w="2460" w:type="dxa"/>
            <w:vAlign w:val="bottom"/>
            <w:tcBorders>
              <w:right w:val="single" w:sz="8" w:color="auto"/>
            </w:tcBorders>
          </w:tcPr>
          <w:p>
            <w:pPr>
              <w:spacing w:after="0" w:line="128" w:lineRule="exact"/>
              <w:rPr>
                <w:sz w:val="20"/>
                <w:szCs w:val="20"/>
                <w:color w:val="auto"/>
              </w:rPr>
            </w:pPr>
            <w:r>
              <w:rPr>
                <w:rFonts w:ascii="Arial" w:cs="Arial" w:eastAsia="Arial" w:hAnsi="Arial"/>
                <w:sz w:val="13"/>
                <w:szCs w:val="13"/>
                <w:color w:val="auto"/>
              </w:rPr>
              <w:t>financial benefit/obligation of the Group</w:t>
            </w:r>
          </w:p>
        </w:tc>
        <w:tc>
          <w:tcPr>
            <w:tcW w:w="2620" w:type="dxa"/>
            <w:vAlign w:val="bottom"/>
            <w:tcBorders>
              <w:right w:val="single" w:sz="8" w:color="auto"/>
            </w:tcBorders>
          </w:tcPr>
          <w:p>
            <w:pPr>
              <w:spacing w:after="0" w:line="128" w:lineRule="exact"/>
              <w:rPr>
                <w:sz w:val="20"/>
                <w:szCs w:val="20"/>
                <w:color w:val="auto"/>
              </w:rPr>
            </w:pPr>
            <w:r>
              <w:rPr>
                <w:rFonts w:ascii="Arial" w:cs="Arial" w:eastAsia="Arial" w:hAnsi="Arial"/>
                <w:sz w:val="13"/>
                <w:szCs w:val="13"/>
                <w:color w:val="auto"/>
              </w:rPr>
              <w:t>an earnings multiple which is a significant</w:t>
            </w:r>
          </w:p>
        </w:tc>
        <w:tc>
          <w:tcPr>
            <w:tcW w:w="3420" w:type="dxa"/>
            <w:vAlign w:val="bottom"/>
            <w:tcBorders>
              <w:right w:val="single" w:sz="8" w:color="auto"/>
            </w:tcBorders>
          </w:tcPr>
          <w:p>
            <w:pPr>
              <w:spacing w:after="0" w:line="128" w:lineRule="exact"/>
              <w:rPr>
                <w:sz w:val="20"/>
                <w:szCs w:val="20"/>
                <w:color w:val="auto"/>
              </w:rPr>
            </w:pPr>
            <w:r>
              <w:rPr>
                <w:rFonts w:ascii="Arial" w:cs="Arial" w:eastAsia="Arial" w:hAnsi="Arial"/>
                <w:sz w:val="13"/>
                <w:szCs w:val="13"/>
                <w:color w:val="auto"/>
              </w:rPr>
              <w:t>then the fair value of the call option asset would increase</w:t>
            </w:r>
          </w:p>
        </w:tc>
      </w:tr>
      <w:tr>
        <w:trPr>
          <w:trHeight w:val="127"/>
        </w:trPr>
        <w:tc>
          <w:tcPr>
            <w:tcW w:w="2780" w:type="dxa"/>
            <w:vAlign w:val="bottom"/>
            <w:tcBorders>
              <w:left w:val="single" w:sz="8" w:color="auto"/>
              <w:right w:val="single" w:sz="8" w:color="auto"/>
            </w:tcBorders>
          </w:tcPr>
          <w:p>
            <w:pPr>
              <w:ind w:left="20"/>
              <w:spacing w:after="0" w:line="128" w:lineRule="exact"/>
              <w:rPr>
                <w:sz w:val="20"/>
                <w:szCs w:val="20"/>
                <w:color w:val="auto"/>
              </w:rPr>
            </w:pPr>
            <w:r>
              <w:rPr>
                <w:rFonts w:ascii="Arial" w:cs="Arial" w:eastAsia="Arial" w:hAnsi="Arial"/>
                <w:sz w:val="13"/>
                <w:szCs w:val="13"/>
                <w:color w:val="auto"/>
              </w:rPr>
              <w:t>derivative financial instrument</w:t>
            </w:r>
          </w:p>
        </w:tc>
        <w:tc>
          <w:tcPr>
            <w:tcW w:w="2460" w:type="dxa"/>
            <w:vAlign w:val="bottom"/>
            <w:tcBorders>
              <w:right w:val="single" w:sz="8" w:color="auto"/>
            </w:tcBorders>
          </w:tcPr>
          <w:p>
            <w:pPr>
              <w:spacing w:after="0" w:line="128" w:lineRule="exact"/>
              <w:rPr>
                <w:sz w:val="20"/>
                <w:szCs w:val="20"/>
                <w:color w:val="auto"/>
              </w:rPr>
            </w:pPr>
            <w:r>
              <w:rPr>
                <w:rFonts w:ascii="Arial" w:cs="Arial" w:eastAsia="Arial" w:hAnsi="Arial"/>
                <w:sz w:val="13"/>
                <w:szCs w:val="13"/>
                <w:color w:val="auto"/>
              </w:rPr>
              <w:t>possessing the option to acquire, or being</w:t>
            </w:r>
          </w:p>
        </w:tc>
        <w:tc>
          <w:tcPr>
            <w:tcW w:w="2620" w:type="dxa"/>
            <w:vAlign w:val="bottom"/>
            <w:tcBorders>
              <w:right w:val="single" w:sz="8" w:color="auto"/>
            </w:tcBorders>
          </w:tcPr>
          <w:p>
            <w:pPr>
              <w:spacing w:after="0" w:line="128" w:lineRule="exact"/>
              <w:rPr>
                <w:sz w:val="20"/>
                <w:szCs w:val="20"/>
                <w:color w:val="auto"/>
              </w:rPr>
            </w:pPr>
            <w:r>
              <w:rPr>
                <w:rFonts w:ascii="Arial" w:cs="Arial" w:eastAsia="Arial" w:hAnsi="Arial"/>
                <w:sz w:val="13"/>
                <w:szCs w:val="13"/>
                <w:color w:val="auto"/>
              </w:rPr>
              <w:t>unobservable input to the fair value</w:t>
            </w:r>
          </w:p>
        </w:tc>
        <w:tc>
          <w:tcPr>
            <w:tcW w:w="3420" w:type="dxa"/>
            <w:vAlign w:val="bottom"/>
            <w:tcBorders>
              <w:right w:val="single" w:sz="8" w:color="auto"/>
            </w:tcBorders>
          </w:tcPr>
          <w:p>
            <w:pPr>
              <w:spacing w:after="0" w:line="128" w:lineRule="exact"/>
              <w:rPr>
                <w:sz w:val="20"/>
                <w:szCs w:val="20"/>
                <w:color w:val="auto"/>
              </w:rPr>
            </w:pPr>
            <w:r>
              <w:rPr>
                <w:rFonts w:ascii="Arial" w:cs="Arial" w:eastAsia="Arial" w:hAnsi="Arial"/>
                <w:sz w:val="13"/>
                <w:szCs w:val="13"/>
                <w:color w:val="auto"/>
              </w:rPr>
              <w:t>and the fair value of put option liability would decrease.</w:t>
            </w:r>
          </w:p>
        </w:tc>
      </w:tr>
      <w:tr>
        <w:trPr>
          <w:trHeight w:val="127"/>
        </w:trPr>
        <w:tc>
          <w:tcPr>
            <w:tcW w:w="2780" w:type="dxa"/>
            <w:vAlign w:val="bottom"/>
            <w:tcBorders>
              <w:left w:val="single" w:sz="8" w:color="auto"/>
              <w:right w:val="single" w:sz="8" w:color="auto"/>
            </w:tcBorders>
          </w:tcPr>
          <w:p>
            <w:pPr>
              <w:spacing w:after="0"/>
              <w:rPr>
                <w:sz w:val="11"/>
                <w:szCs w:val="11"/>
                <w:color w:val="auto"/>
              </w:rPr>
            </w:pPr>
          </w:p>
        </w:tc>
        <w:tc>
          <w:tcPr>
            <w:tcW w:w="2460" w:type="dxa"/>
            <w:vAlign w:val="bottom"/>
            <w:tcBorders>
              <w:right w:val="single" w:sz="8" w:color="auto"/>
            </w:tcBorders>
          </w:tcPr>
          <w:p>
            <w:pPr>
              <w:spacing w:after="0" w:line="128" w:lineRule="exact"/>
              <w:rPr>
                <w:sz w:val="20"/>
                <w:szCs w:val="20"/>
                <w:color w:val="auto"/>
              </w:rPr>
            </w:pPr>
            <w:r>
              <w:rPr>
                <w:rFonts w:ascii="Arial" w:cs="Arial" w:eastAsia="Arial" w:hAnsi="Arial"/>
                <w:sz w:val="13"/>
                <w:szCs w:val="13"/>
                <w:color w:val="auto"/>
              </w:rPr>
              <w:t>faced with the option to purchase, the</w:t>
            </w:r>
          </w:p>
        </w:tc>
        <w:tc>
          <w:tcPr>
            <w:tcW w:w="2620" w:type="dxa"/>
            <w:vAlign w:val="bottom"/>
            <w:tcBorders>
              <w:right w:val="single" w:sz="8" w:color="auto"/>
            </w:tcBorders>
          </w:tcPr>
          <w:p>
            <w:pPr>
              <w:spacing w:after="0" w:line="128" w:lineRule="exact"/>
              <w:rPr>
                <w:sz w:val="20"/>
                <w:szCs w:val="20"/>
                <w:color w:val="auto"/>
              </w:rPr>
            </w:pPr>
            <w:r>
              <w:rPr>
                <w:rFonts w:ascii="Arial" w:cs="Arial" w:eastAsia="Arial" w:hAnsi="Arial"/>
                <w:sz w:val="13"/>
                <w:szCs w:val="13"/>
                <w:color w:val="auto"/>
              </w:rPr>
              <w:t>calculation.</w:t>
            </w:r>
          </w:p>
        </w:tc>
        <w:tc>
          <w:tcPr>
            <w:tcW w:w="3420" w:type="dxa"/>
            <w:vAlign w:val="bottom"/>
            <w:tcBorders>
              <w:right w:val="single" w:sz="8" w:color="auto"/>
            </w:tcBorders>
          </w:tcPr>
          <w:p>
            <w:pPr>
              <w:spacing w:after="0"/>
              <w:rPr>
                <w:sz w:val="11"/>
                <w:szCs w:val="11"/>
                <w:color w:val="auto"/>
              </w:rPr>
            </w:pPr>
          </w:p>
        </w:tc>
      </w:tr>
      <w:tr>
        <w:trPr>
          <w:trHeight w:val="127"/>
        </w:trPr>
        <w:tc>
          <w:tcPr>
            <w:tcW w:w="2780" w:type="dxa"/>
            <w:vAlign w:val="bottom"/>
            <w:tcBorders>
              <w:left w:val="single" w:sz="8" w:color="auto"/>
              <w:right w:val="single" w:sz="8" w:color="auto"/>
            </w:tcBorders>
          </w:tcPr>
          <w:p>
            <w:pPr>
              <w:spacing w:after="0"/>
              <w:rPr>
                <w:sz w:val="11"/>
                <w:szCs w:val="11"/>
                <w:color w:val="auto"/>
              </w:rPr>
            </w:pPr>
          </w:p>
        </w:tc>
        <w:tc>
          <w:tcPr>
            <w:tcW w:w="2460" w:type="dxa"/>
            <w:vAlign w:val="bottom"/>
            <w:tcBorders>
              <w:right w:val="single" w:sz="8" w:color="auto"/>
            </w:tcBorders>
          </w:tcPr>
          <w:p>
            <w:pPr>
              <w:spacing w:after="0" w:line="128" w:lineRule="exact"/>
              <w:rPr>
                <w:sz w:val="20"/>
                <w:szCs w:val="20"/>
                <w:color w:val="auto"/>
              </w:rPr>
            </w:pPr>
            <w:r>
              <w:rPr>
                <w:rFonts w:ascii="Arial" w:cs="Arial" w:eastAsia="Arial" w:hAnsi="Arial"/>
                <w:sz w:val="13"/>
                <w:szCs w:val="13"/>
                <w:color w:val="auto"/>
              </w:rPr>
              <w:t>shares compared to acquiring the shares</w:t>
            </w:r>
          </w:p>
        </w:tc>
        <w:tc>
          <w:tcPr>
            <w:tcW w:w="2620" w:type="dxa"/>
            <w:vAlign w:val="bottom"/>
            <w:tcBorders>
              <w:right w:val="single" w:sz="8" w:color="auto"/>
            </w:tcBorders>
          </w:tcPr>
          <w:p>
            <w:pPr>
              <w:spacing w:after="0"/>
              <w:rPr>
                <w:sz w:val="11"/>
                <w:szCs w:val="11"/>
                <w:color w:val="auto"/>
              </w:rPr>
            </w:pPr>
          </w:p>
        </w:tc>
        <w:tc>
          <w:tcPr>
            <w:tcW w:w="3420" w:type="dxa"/>
            <w:vAlign w:val="bottom"/>
            <w:tcBorders>
              <w:right w:val="single" w:sz="8" w:color="auto"/>
            </w:tcBorders>
          </w:tcPr>
          <w:p>
            <w:pPr>
              <w:spacing w:after="0"/>
              <w:rPr>
                <w:sz w:val="11"/>
                <w:szCs w:val="11"/>
                <w:color w:val="auto"/>
              </w:rPr>
            </w:pPr>
          </w:p>
        </w:tc>
      </w:tr>
      <w:tr>
        <w:trPr>
          <w:trHeight w:val="168"/>
        </w:trPr>
        <w:tc>
          <w:tcPr>
            <w:tcW w:w="2780" w:type="dxa"/>
            <w:vAlign w:val="bottom"/>
            <w:tcBorders>
              <w:left w:val="single" w:sz="8" w:color="auto"/>
              <w:bottom w:val="single" w:sz="8" w:color="auto"/>
              <w:right w:val="single" w:sz="8" w:color="auto"/>
            </w:tcBorders>
          </w:tcPr>
          <w:p>
            <w:pPr>
              <w:spacing w:after="0"/>
              <w:rPr>
                <w:sz w:val="14"/>
                <w:szCs w:val="14"/>
                <w:color w:val="auto"/>
              </w:rPr>
            </w:pPr>
          </w:p>
        </w:tc>
        <w:tc>
          <w:tcPr>
            <w:tcW w:w="2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at the market rate.</w:t>
            </w:r>
          </w:p>
        </w:tc>
        <w:tc>
          <w:tcPr>
            <w:tcW w:w="2620" w:type="dxa"/>
            <w:vAlign w:val="bottom"/>
            <w:tcBorders>
              <w:bottom w:val="single" w:sz="8" w:color="auto"/>
              <w:right w:val="single" w:sz="8" w:color="auto"/>
            </w:tcBorders>
          </w:tcPr>
          <w:p>
            <w:pPr>
              <w:spacing w:after="0"/>
              <w:rPr>
                <w:sz w:val="14"/>
                <w:szCs w:val="14"/>
                <w:color w:val="auto"/>
              </w:rPr>
            </w:pPr>
          </w:p>
        </w:tc>
        <w:tc>
          <w:tcPr>
            <w:tcW w:w="3420" w:type="dxa"/>
            <w:vAlign w:val="bottom"/>
            <w:tcBorders>
              <w:bottom w:val="single" w:sz="8" w:color="auto"/>
              <w:right w:val="single" w:sz="8" w:color="auto"/>
            </w:tcBorders>
          </w:tcPr>
          <w:p>
            <w:pPr>
              <w:spacing w:after="0"/>
              <w:rPr>
                <w:sz w:val="14"/>
                <w:szCs w:val="14"/>
                <w:color w:val="auto"/>
              </w:rPr>
            </w:pPr>
          </w:p>
        </w:tc>
      </w:tr>
    </w:tbl>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113</w:t>
      </w:r>
    </w:p>
    <w:p>
      <w:pPr>
        <w:sectPr>
          <w:pgSz w:w="11900" w:h="16838" w:orient="portrait"/>
          <w:cols w:equalWidth="0" w:num="1">
            <w:col w:w="11280"/>
          </w:cols>
          <w:pgMar w:left="300" w:top="698" w:right="31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190" w:lineRule="exact"/>
        <w:rPr>
          <w:sz w:val="20"/>
          <w:szCs w:val="20"/>
          <w:color w:val="auto"/>
        </w:rPr>
      </w:pPr>
    </w:p>
    <w:p>
      <w:pPr>
        <w:spacing w:after="0"/>
        <w:tabs>
          <w:tab w:leader="none" w:pos="300" w:val="left"/>
        </w:tabs>
        <w:rPr>
          <w:sz w:val="20"/>
          <w:szCs w:val="20"/>
          <w:color w:val="auto"/>
        </w:rPr>
      </w:pPr>
      <w:r>
        <w:rPr>
          <w:rFonts w:ascii="Arial" w:cs="Arial" w:eastAsia="Arial" w:hAnsi="Arial"/>
          <w:sz w:val="13"/>
          <w:szCs w:val="13"/>
          <w:b w:val="1"/>
          <w:bCs w:val="1"/>
          <w:color w:val="auto"/>
        </w:rPr>
        <w:t>27.</w:t>
      </w:r>
      <w:r>
        <w:rPr>
          <w:sz w:val="20"/>
          <w:szCs w:val="20"/>
          <w:color w:val="auto"/>
        </w:rPr>
        <w:tab/>
      </w:r>
      <w:r>
        <w:rPr>
          <w:rFonts w:ascii="Arial" w:cs="Arial" w:eastAsia="Arial" w:hAnsi="Arial"/>
          <w:sz w:val="12"/>
          <w:szCs w:val="12"/>
          <w:b w:val="1"/>
          <w:bCs w:val="1"/>
          <w:color w:val="auto"/>
        </w:rPr>
        <w:t>Leases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Right-of-use assets</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color w:val="auto"/>
        </w:rPr>
        <w:t>The Group has recorded the following for right-of-use assets:</w:t>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3980" w:type="dxa"/>
            <w:vAlign w:val="bottom"/>
            <w:tcBorders>
              <w:bottom w:val="single" w:sz="8" w:color="auto"/>
            </w:tcBorders>
            <w:shd w:val="clear" w:color="auto" w:fill="CCEEFF"/>
          </w:tcPr>
          <w:p>
            <w:pPr>
              <w:spacing w:after="0"/>
              <w:rPr>
                <w:sz w:val="14"/>
                <w:szCs w:val="14"/>
                <w:color w:val="auto"/>
              </w:rPr>
            </w:pPr>
          </w:p>
        </w:tc>
        <w:tc>
          <w:tcPr>
            <w:tcW w:w="270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Premises</w:t>
            </w:r>
          </w:p>
        </w:tc>
        <w:tc>
          <w:tcPr>
            <w:tcW w:w="156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Equipment</w:t>
            </w:r>
          </w:p>
        </w:tc>
        <w:tc>
          <w:tcPr>
            <w:tcW w:w="1880" w:type="dxa"/>
            <w:vAlign w:val="bottom"/>
            <w:tcBorders>
              <w:bottom w:val="single" w:sz="8" w:color="auto"/>
            </w:tcBorders>
            <w:shd w:val="clear" w:color="auto" w:fill="CCEEFF"/>
          </w:tcPr>
          <w:p>
            <w:pPr>
              <w:jc w:val="right"/>
              <w:ind w:right="516"/>
              <w:spacing w:after="0"/>
              <w:rPr>
                <w:sz w:val="20"/>
                <w:szCs w:val="20"/>
                <w:color w:val="auto"/>
              </w:rPr>
            </w:pPr>
            <w:r>
              <w:rPr>
                <w:rFonts w:ascii="Arial" w:cs="Arial" w:eastAsia="Arial" w:hAnsi="Arial"/>
                <w:sz w:val="13"/>
                <w:szCs w:val="13"/>
                <w:b w:val="1"/>
                <w:bCs w:val="1"/>
                <w:color w:val="auto"/>
              </w:rPr>
              <w:t>Motor vehicles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Total</w:t>
            </w:r>
          </w:p>
        </w:tc>
      </w:tr>
      <w:tr>
        <w:trPr>
          <w:trHeight w:val="160"/>
        </w:trPr>
        <w:tc>
          <w:tcPr>
            <w:tcW w:w="3980" w:type="dxa"/>
            <w:vAlign w:val="bottom"/>
          </w:tcPr>
          <w:p>
            <w:pPr>
              <w:spacing w:after="0"/>
              <w:rPr>
                <w:sz w:val="13"/>
                <w:szCs w:val="13"/>
                <w:color w:val="auto"/>
              </w:rPr>
            </w:pPr>
          </w:p>
        </w:tc>
        <w:tc>
          <w:tcPr>
            <w:tcW w:w="2700" w:type="dxa"/>
            <w:vAlign w:val="bottom"/>
          </w:tcPr>
          <w:p>
            <w:pPr>
              <w:jc w:val="right"/>
              <w:ind w:right="456"/>
              <w:spacing w:after="0"/>
              <w:rPr>
                <w:sz w:val="20"/>
                <w:szCs w:val="20"/>
                <w:color w:val="auto"/>
              </w:rPr>
            </w:pPr>
            <w:r>
              <w:rPr>
                <w:rFonts w:ascii="Arial" w:cs="Arial" w:eastAsia="Arial" w:hAnsi="Arial"/>
                <w:sz w:val="13"/>
                <w:szCs w:val="13"/>
                <w:b w:val="1"/>
                <w:bCs w:val="1"/>
                <w:color w:val="auto"/>
              </w:rPr>
              <w:t>$'000</w:t>
            </w:r>
          </w:p>
        </w:tc>
        <w:tc>
          <w:tcPr>
            <w:tcW w:w="1560" w:type="dxa"/>
            <w:vAlign w:val="bottom"/>
          </w:tcPr>
          <w:p>
            <w:pPr>
              <w:jc w:val="right"/>
              <w:ind w:right="336"/>
              <w:spacing w:after="0"/>
              <w:rPr>
                <w:sz w:val="20"/>
                <w:szCs w:val="20"/>
                <w:color w:val="auto"/>
              </w:rPr>
            </w:pPr>
            <w:r>
              <w:rPr>
                <w:rFonts w:ascii="Arial" w:cs="Arial" w:eastAsia="Arial" w:hAnsi="Arial"/>
                <w:sz w:val="13"/>
                <w:szCs w:val="13"/>
                <w:b w:val="1"/>
                <w:bCs w:val="1"/>
                <w:color w:val="auto"/>
              </w:rPr>
              <w:t>$'000</w:t>
            </w:r>
          </w:p>
        </w:tc>
        <w:tc>
          <w:tcPr>
            <w:tcW w:w="1880" w:type="dxa"/>
            <w:vAlign w:val="bottom"/>
          </w:tcPr>
          <w:p>
            <w:pPr>
              <w:jc w:val="right"/>
              <w:ind w:right="51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$'000</w:t>
            </w:r>
          </w:p>
        </w:tc>
      </w:tr>
      <w:tr>
        <w:trPr>
          <w:trHeight w:val="170"/>
        </w:trPr>
        <w:tc>
          <w:tcPr>
            <w:tcW w:w="3980" w:type="dxa"/>
            <w:vAlign w:val="bottom"/>
            <w:shd w:val="clear" w:color="auto" w:fill="CCEEFF"/>
          </w:tcPr>
          <w:p>
            <w:pPr>
              <w:spacing w:after="0"/>
              <w:rPr>
                <w:sz w:val="20"/>
                <w:szCs w:val="20"/>
                <w:color w:val="auto"/>
              </w:rPr>
            </w:pPr>
            <w:r>
              <w:rPr>
                <w:rFonts w:ascii="Arial" w:cs="Arial" w:eastAsia="Arial" w:hAnsi="Arial"/>
                <w:sz w:val="13"/>
                <w:szCs w:val="13"/>
                <w:color w:val="auto"/>
              </w:rPr>
              <w:t>Depreciation charge for 2021</w:t>
            </w:r>
          </w:p>
        </w:tc>
        <w:tc>
          <w:tcPr>
            <w:tcW w:w="2700" w:type="dxa"/>
            <w:vAlign w:val="bottom"/>
            <w:shd w:val="clear" w:color="auto" w:fill="CCEEFF"/>
          </w:tcPr>
          <w:p>
            <w:pPr>
              <w:jc w:val="right"/>
              <w:ind w:right="496"/>
              <w:spacing w:after="0"/>
              <w:rPr>
                <w:sz w:val="20"/>
                <w:szCs w:val="20"/>
                <w:color w:val="auto"/>
              </w:rPr>
            </w:pPr>
            <w:r>
              <w:rPr>
                <w:rFonts w:ascii="Arial" w:cs="Arial" w:eastAsia="Arial" w:hAnsi="Arial"/>
                <w:sz w:val="13"/>
                <w:szCs w:val="13"/>
                <w:color w:val="auto"/>
              </w:rPr>
              <w:t>41,367</w:t>
            </w:r>
          </w:p>
        </w:tc>
        <w:tc>
          <w:tcPr>
            <w:tcW w:w="156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rPr>
              <w:t>1,099</w:t>
            </w:r>
          </w:p>
        </w:tc>
        <w:tc>
          <w:tcPr>
            <w:tcW w:w="1880" w:type="dxa"/>
            <w:vAlign w:val="bottom"/>
            <w:shd w:val="clear" w:color="auto" w:fill="CCEEFF"/>
          </w:tcPr>
          <w:p>
            <w:pPr>
              <w:jc w:val="right"/>
              <w:ind w:right="576"/>
              <w:spacing w:after="0"/>
              <w:rPr>
                <w:sz w:val="20"/>
                <w:szCs w:val="20"/>
                <w:color w:val="auto"/>
              </w:rPr>
            </w:pPr>
            <w:r>
              <w:rPr>
                <w:rFonts w:ascii="Arial" w:cs="Arial" w:eastAsia="Arial" w:hAnsi="Arial"/>
                <w:sz w:val="13"/>
                <w:szCs w:val="13"/>
                <w:color w:val="auto"/>
              </w:rPr>
              <w:t>2,781</w:t>
            </w: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45,247</w:t>
            </w:r>
          </w:p>
        </w:tc>
      </w:tr>
      <w:tr>
        <w:trPr>
          <w:trHeight w:val="169"/>
        </w:trPr>
        <w:tc>
          <w:tcPr>
            <w:tcW w:w="3980" w:type="dxa"/>
            <w:vAlign w:val="bottom"/>
          </w:tcPr>
          <w:p>
            <w:pPr>
              <w:spacing w:after="0"/>
              <w:rPr>
                <w:sz w:val="20"/>
                <w:szCs w:val="20"/>
                <w:color w:val="auto"/>
              </w:rPr>
            </w:pPr>
            <w:r>
              <w:rPr>
                <w:rFonts w:ascii="Arial" w:cs="Arial" w:eastAsia="Arial" w:hAnsi="Arial"/>
                <w:sz w:val="13"/>
                <w:szCs w:val="13"/>
                <w:color w:val="auto"/>
              </w:rPr>
              <w:t>Right-of-use assets at 31 December 2021</w:t>
            </w:r>
          </w:p>
        </w:tc>
        <w:tc>
          <w:tcPr>
            <w:tcW w:w="2700" w:type="dxa"/>
            <w:vAlign w:val="bottom"/>
          </w:tcPr>
          <w:p>
            <w:pPr>
              <w:jc w:val="right"/>
              <w:ind w:right="496"/>
              <w:spacing w:after="0"/>
              <w:rPr>
                <w:sz w:val="20"/>
                <w:szCs w:val="20"/>
                <w:color w:val="auto"/>
              </w:rPr>
            </w:pPr>
            <w:r>
              <w:rPr>
                <w:rFonts w:ascii="Arial" w:cs="Arial" w:eastAsia="Arial" w:hAnsi="Arial"/>
                <w:sz w:val="13"/>
                <w:szCs w:val="13"/>
                <w:color w:val="auto"/>
              </w:rPr>
              <w:t>184,427</w:t>
            </w:r>
          </w:p>
        </w:tc>
        <w:tc>
          <w:tcPr>
            <w:tcW w:w="1560" w:type="dxa"/>
            <w:vAlign w:val="bottom"/>
          </w:tcPr>
          <w:p>
            <w:pPr>
              <w:jc w:val="right"/>
              <w:ind w:right="376"/>
              <w:spacing w:after="0"/>
              <w:rPr>
                <w:sz w:val="20"/>
                <w:szCs w:val="20"/>
                <w:color w:val="auto"/>
              </w:rPr>
            </w:pPr>
            <w:r>
              <w:rPr>
                <w:rFonts w:ascii="Arial" w:cs="Arial" w:eastAsia="Arial" w:hAnsi="Arial"/>
                <w:sz w:val="13"/>
                <w:szCs w:val="13"/>
                <w:color w:val="auto"/>
              </w:rPr>
              <w:t>1,665</w:t>
            </w:r>
          </w:p>
        </w:tc>
        <w:tc>
          <w:tcPr>
            <w:tcW w:w="1880" w:type="dxa"/>
            <w:vAlign w:val="bottom"/>
          </w:tcPr>
          <w:p>
            <w:pPr>
              <w:jc w:val="right"/>
              <w:ind w:right="576"/>
              <w:spacing w:after="0"/>
              <w:rPr>
                <w:sz w:val="20"/>
                <w:szCs w:val="20"/>
                <w:color w:val="auto"/>
              </w:rPr>
            </w:pPr>
            <w:r>
              <w:rPr>
                <w:rFonts w:ascii="Arial" w:cs="Arial" w:eastAsia="Arial" w:hAnsi="Arial"/>
                <w:sz w:val="13"/>
                <w:szCs w:val="13"/>
                <w:color w:val="auto"/>
              </w:rPr>
              <w:t>11,624</w:t>
            </w:r>
          </w:p>
        </w:tc>
        <w:tc>
          <w:tcPr>
            <w:tcW w:w="1140" w:type="dxa"/>
            <w:vAlign w:val="bottom"/>
          </w:tcPr>
          <w:p>
            <w:pPr>
              <w:jc w:val="right"/>
              <w:ind w:right="16"/>
              <w:spacing w:after="0"/>
              <w:rPr>
                <w:sz w:val="20"/>
                <w:szCs w:val="20"/>
                <w:color w:val="auto"/>
              </w:rPr>
            </w:pPr>
            <w:r>
              <w:rPr>
                <w:rFonts w:ascii="Arial" w:cs="Arial" w:eastAsia="Arial" w:hAnsi="Arial"/>
                <w:sz w:val="13"/>
                <w:szCs w:val="13"/>
                <w:color w:val="auto"/>
              </w:rPr>
              <w:t>197,716</w:t>
            </w:r>
          </w:p>
        </w:tc>
      </w:tr>
      <w:tr>
        <w:trPr>
          <w:trHeight w:val="171"/>
        </w:trPr>
        <w:tc>
          <w:tcPr>
            <w:tcW w:w="3980" w:type="dxa"/>
            <w:vAlign w:val="bottom"/>
            <w:shd w:val="clear" w:color="auto" w:fill="CCEEFF"/>
          </w:tcPr>
          <w:p>
            <w:pPr>
              <w:spacing w:after="0"/>
              <w:rPr>
                <w:sz w:val="20"/>
                <w:szCs w:val="20"/>
                <w:color w:val="auto"/>
              </w:rPr>
            </w:pPr>
            <w:r>
              <w:rPr>
                <w:rFonts w:ascii="Arial" w:cs="Arial" w:eastAsia="Arial" w:hAnsi="Arial"/>
                <w:sz w:val="13"/>
                <w:szCs w:val="13"/>
                <w:color w:val="auto"/>
              </w:rPr>
              <w:t>Depreciation charge for 2020</w:t>
            </w:r>
          </w:p>
        </w:tc>
        <w:tc>
          <w:tcPr>
            <w:tcW w:w="2700" w:type="dxa"/>
            <w:vAlign w:val="bottom"/>
            <w:shd w:val="clear" w:color="auto" w:fill="CCEEFF"/>
          </w:tcPr>
          <w:p>
            <w:pPr>
              <w:jc w:val="right"/>
              <w:ind w:right="496"/>
              <w:spacing w:after="0"/>
              <w:rPr>
                <w:sz w:val="20"/>
                <w:szCs w:val="20"/>
                <w:color w:val="auto"/>
              </w:rPr>
            </w:pPr>
            <w:r>
              <w:rPr>
                <w:rFonts w:ascii="Arial" w:cs="Arial" w:eastAsia="Arial" w:hAnsi="Arial"/>
                <w:sz w:val="13"/>
                <w:szCs w:val="13"/>
                <w:color w:val="auto"/>
              </w:rPr>
              <w:t>25,454</w:t>
            </w:r>
          </w:p>
        </w:tc>
        <w:tc>
          <w:tcPr>
            <w:tcW w:w="156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rPr>
              <w:t>1,374</w:t>
            </w:r>
          </w:p>
        </w:tc>
        <w:tc>
          <w:tcPr>
            <w:tcW w:w="1880" w:type="dxa"/>
            <w:vAlign w:val="bottom"/>
            <w:shd w:val="clear" w:color="auto" w:fill="CCEEFF"/>
          </w:tcPr>
          <w:p>
            <w:pPr>
              <w:jc w:val="right"/>
              <w:ind w:right="576"/>
              <w:spacing w:after="0"/>
              <w:rPr>
                <w:sz w:val="20"/>
                <w:szCs w:val="20"/>
                <w:color w:val="auto"/>
              </w:rPr>
            </w:pPr>
            <w:r>
              <w:rPr>
                <w:rFonts w:ascii="Arial" w:cs="Arial" w:eastAsia="Arial" w:hAnsi="Arial"/>
                <w:sz w:val="13"/>
                <w:szCs w:val="13"/>
                <w:color w:val="auto"/>
              </w:rPr>
              <w:t>2,119</w:t>
            </w: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28,947</w:t>
            </w:r>
          </w:p>
        </w:tc>
      </w:tr>
      <w:tr>
        <w:trPr>
          <w:trHeight w:val="169"/>
        </w:trPr>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Right-of-use assets at 31 December 2020</w:t>
            </w:r>
          </w:p>
        </w:tc>
        <w:tc>
          <w:tcPr>
            <w:tcW w:w="270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color w:val="auto"/>
              </w:rPr>
              <w:t>76,666</w:t>
            </w:r>
          </w:p>
        </w:tc>
        <w:tc>
          <w:tcPr>
            <w:tcW w:w="156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color w:val="auto"/>
              </w:rPr>
              <w:t>2,688</w:t>
            </w:r>
          </w:p>
        </w:tc>
        <w:tc>
          <w:tcPr>
            <w:tcW w:w="1880" w:type="dxa"/>
            <w:vAlign w:val="bottom"/>
            <w:tcBorders>
              <w:bottom w:val="single" w:sz="8" w:color="auto"/>
            </w:tcBorders>
          </w:tcPr>
          <w:p>
            <w:pPr>
              <w:jc w:val="right"/>
              <w:ind w:right="576"/>
              <w:spacing w:after="0"/>
              <w:rPr>
                <w:sz w:val="20"/>
                <w:szCs w:val="20"/>
                <w:color w:val="auto"/>
              </w:rPr>
            </w:pPr>
            <w:r>
              <w:rPr>
                <w:rFonts w:ascii="Arial" w:cs="Arial" w:eastAsia="Arial" w:hAnsi="Arial"/>
                <w:sz w:val="13"/>
                <w:szCs w:val="13"/>
                <w:color w:val="auto"/>
              </w:rPr>
              <w:t>3,725</w:t>
            </w: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83,079</w:t>
            </w:r>
          </w:p>
        </w:tc>
      </w:tr>
    </w:tbl>
    <w:p>
      <w:pPr>
        <w:spacing w:after="0" w:line="117" w:lineRule="exact"/>
        <w:rPr>
          <w:sz w:val="20"/>
          <w:szCs w:val="20"/>
          <w:color w:val="auto"/>
        </w:rPr>
      </w:pPr>
    </w:p>
    <w:p>
      <w:pPr>
        <w:spacing w:after="0"/>
        <w:rPr>
          <w:sz w:val="20"/>
          <w:szCs w:val="20"/>
          <w:color w:val="auto"/>
        </w:rPr>
      </w:pPr>
      <w:r>
        <w:rPr>
          <w:rFonts w:ascii="Arial" w:cs="Arial" w:eastAsia="Arial" w:hAnsi="Arial"/>
          <w:sz w:val="13"/>
          <w:szCs w:val="13"/>
          <w:color w:val="auto"/>
        </w:rPr>
        <w:t>Additions to right-of-use assets during 2021, net of early termination options now reasonably certain to be exercised, were $10.2 million (2020: $12.1 million).</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The weighted average remaining lease term at 31 December 2021 was 6.91 years (2020: 4.45 years).</w:t>
      </w:r>
    </w:p>
    <w:p>
      <w:pPr>
        <w:spacing w:after="0" w:line="12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During the year ended 31 December 2021, as a result of office consolidations, certain ROU assets have been impaired to the extent they are considered onerous and an impairment loss of $15.6 million was recorded (</w:t>
      </w:r>
      <w:r>
        <w:rPr>
          <w:rFonts w:ascii="Arial" w:cs="Arial" w:eastAsia="Arial" w:hAnsi="Arial"/>
          <w:sz w:val="13"/>
          <w:szCs w:val="13"/>
          <w:i w:val="1"/>
          <w:iCs w:val="1"/>
          <w:color w:val="auto"/>
        </w:rPr>
        <w:t>see note 8 Exceptional items</w:t>
      </w:r>
      <w:r>
        <w:rPr>
          <w:rFonts w:ascii="Arial" w:cs="Arial" w:eastAsia="Arial" w:hAnsi="Arial"/>
          <w:sz w:val="13"/>
          <w:szCs w:val="13"/>
          <w:color w:val="auto"/>
        </w:rPr>
        <w:t>) (2020: $5.4 million).</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Lease liabilities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Total lease payments for the year ended 31 December 2021 were $54.9 million (2020: $30.5 million).</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color w:val="auto"/>
        </w:rPr>
        <w:t>Future minimum lease payments under non-cancelable leases as of 31 December 2021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7740" w:type="dxa"/>
            <w:vAlign w:val="bottom"/>
            <w:shd w:val="clear" w:color="auto" w:fill="CCEEFF"/>
          </w:tcPr>
          <w:p>
            <w:pPr>
              <w:spacing w:after="0"/>
              <w:rPr>
                <w:sz w:val="14"/>
                <w:szCs w:val="14"/>
                <w:color w:val="auto"/>
              </w:rPr>
            </w:pPr>
          </w:p>
        </w:tc>
        <w:tc>
          <w:tcPr>
            <w:tcW w:w="198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ind w:left="720"/>
              <w:spacing w:after="0"/>
              <w:rPr>
                <w:sz w:val="20"/>
                <w:szCs w:val="20"/>
                <w:color w:val="auto"/>
              </w:rPr>
            </w:pPr>
            <w:r>
              <w:rPr>
                <w:rFonts w:ascii="Arial" w:cs="Arial" w:eastAsia="Arial" w:hAnsi="Arial"/>
                <w:sz w:val="13"/>
                <w:szCs w:val="13"/>
                <w:b w:val="1"/>
                <w:bCs w:val="1"/>
                <w:color w:val="auto"/>
                <w:w w:val="98"/>
              </w:rPr>
              <w:t>31 December</w:t>
            </w:r>
          </w:p>
        </w:tc>
      </w:tr>
      <w:tr>
        <w:trPr>
          <w:trHeight w:val="170"/>
        </w:trPr>
        <w:tc>
          <w:tcPr>
            <w:tcW w:w="20" w:type="dxa"/>
            <w:vAlign w:val="bottom"/>
          </w:tcPr>
          <w:p>
            <w:pPr>
              <w:spacing w:after="0"/>
              <w:rPr>
                <w:sz w:val="14"/>
                <w:szCs w:val="14"/>
                <w:color w:val="auto"/>
              </w:rPr>
            </w:pPr>
          </w:p>
        </w:tc>
        <w:tc>
          <w:tcPr>
            <w:tcW w:w="77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20" w:type="dxa"/>
            <w:vAlign w:val="bottom"/>
            <w:tcBorders>
              <w:bottom w:val="single" w:sz="8" w:color="auto"/>
            </w:tcBorders>
          </w:tcPr>
          <w:p>
            <w:pPr>
              <w:spacing w:after="0"/>
              <w:rPr>
                <w:sz w:val="14"/>
                <w:szCs w:val="14"/>
                <w:color w:val="auto"/>
              </w:rPr>
            </w:pPr>
          </w:p>
        </w:tc>
      </w:tr>
      <w:tr>
        <w:trPr>
          <w:trHeight w:val="160"/>
        </w:trPr>
        <w:tc>
          <w:tcPr>
            <w:tcW w:w="20" w:type="dxa"/>
            <w:vAlign w:val="bottom"/>
          </w:tcPr>
          <w:p>
            <w:pPr>
              <w:spacing w:after="0"/>
              <w:rPr>
                <w:sz w:val="13"/>
                <w:szCs w:val="13"/>
                <w:color w:val="auto"/>
              </w:rPr>
            </w:pPr>
          </w:p>
        </w:tc>
        <w:tc>
          <w:tcPr>
            <w:tcW w:w="7740" w:type="dxa"/>
            <w:vAlign w:val="bottom"/>
            <w:shd w:val="clear" w:color="auto" w:fill="CCEEFF"/>
          </w:tcPr>
          <w:p>
            <w:pPr>
              <w:spacing w:after="0"/>
              <w:rPr>
                <w:sz w:val="13"/>
                <w:szCs w:val="13"/>
                <w:color w:val="auto"/>
              </w:rPr>
            </w:pPr>
          </w:p>
        </w:tc>
        <w:tc>
          <w:tcPr>
            <w:tcW w:w="198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$'000</w:t>
            </w:r>
          </w:p>
        </w:tc>
        <w:tc>
          <w:tcPr>
            <w:tcW w:w="20" w:type="dxa"/>
            <w:vAlign w:val="bottom"/>
            <w:shd w:val="clear" w:color="auto" w:fill="CCEEFF"/>
          </w:tcPr>
          <w:p>
            <w:pPr>
              <w:spacing w:after="0"/>
              <w:rPr>
                <w:sz w:val="13"/>
                <w:szCs w:val="13"/>
                <w:color w:val="auto"/>
              </w:rPr>
            </w:pPr>
          </w:p>
        </w:tc>
      </w:tr>
      <w:tr>
        <w:trPr>
          <w:trHeight w:val="212"/>
        </w:trPr>
        <w:tc>
          <w:tcPr>
            <w:tcW w:w="7760" w:type="dxa"/>
            <w:vAlign w:val="bottom"/>
            <w:gridSpan w:val="2"/>
          </w:tcPr>
          <w:p>
            <w:pPr>
              <w:spacing w:after="0"/>
              <w:rPr>
                <w:sz w:val="18"/>
                <w:szCs w:val="18"/>
                <w:color w:val="auto"/>
              </w:rPr>
            </w:pPr>
          </w:p>
        </w:tc>
        <w:tc>
          <w:tcPr>
            <w:tcW w:w="19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0"/>
        </w:trPr>
        <w:tc>
          <w:tcPr>
            <w:tcW w:w="20" w:type="dxa"/>
            <w:vAlign w:val="bottom"/>
          </w:tcPr>
          <w:p>
            <w:pPr>
              <w:spacing w:after="0"/>
              <w:rPr>
                <w:sz w:val="14"/>
                <w:szCs w:val="14"/>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3"/>
                <w:szCs w:val="13"/>
                <w:color w:val="auto"/>
              </w:rPr>
              <w:t>2022</w:t>
            </w:r>
          </w:p>
        </w:tc>
        <w:tc>
          <w:tcPr>
            <w:tcW w:w="198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53,390</w:t>
            </w:r>
          </w:p>
        </w:tc>
        <w:tc>
          <w:tcPr>
            <w:tcW w:w="20" w:type="dxa"/>
            <w:vAlign w:val="bottom"/>
            <w:shd w:val="clear" w:color="auto" w:fill="CCEEFF"/>
          </w:tcPr>
          <w:p>
            <w:pPr>
              <w:spacing w:after="0"/>
              <w:rPr>
                <w:sz w:val="14"/>
                <w:szCs w:val="14"/>
                <w:color w:val="auto"/>
              </w:rPr>
            </w:pPr>
          </w:p>
        </w:tc>
      </w:tr>
      <w:tr>
        <w:trPr>
          <w:trHeight w:val="170"/>
        </w:trPr>
        <w:tc>
          <w:tcPr>
            <w:tcW w:w="7760" w:type="dxa"/>
            <w:vAlign w:val="bottom"/>
            <w:gridSpan w:val="2"/>
          </w:tcPr>
          <w:p>
            <w:pPr>
              <w:ind w:left="20"/>
              <w:spacing w:after="0"/>
              <w:rPr>
                <w:sz w:val="20"/>
                <w:szCs w:val="20"/>
                <w:color w:val="auto"/>
              </w:rPr>
            </w:pPr>
            <w:r>
              <w:rPr>
                <w:rFonts w:ascii="Arial" w:cs="Arial" w:eastAsia="Arial" w:hAnsi="Arial"/>
                <w:sz w:val="13"/>
                <w:szCs w:val="13"/>
                <w:color w:val="auto"/>
              </w:rPr>
              <w:t>2023</w:t>
            </w:r>
          </w:p>
        </w:tc>
        <w:tc>
          <w:tcPr>
            <w:tcW w:w="198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b w:val="1"/>
                <w:bCs w:val="1"/>
                <w:color w:val="auto"/>
              </w:rPr>
              <w:t>44,591</w:t>
            </w:r>
          </w:p>
        </w:tc>
        <w:tc>
          <w:tcPr>
            <w:tcW w:w="20" w:type="dxa"/>
            <w:vAlign w:val="bottom"/>
          </w:tcPr>
          <w:p>
            <w:pPr>
              <w:spacing w:after="0"/>
              <w:rPr>
                <w:sz w:val="14"/>
                <w:szCs w:val="14"/>
                <w:color w:val="auto"/>
              </w:rPr>
            </w:pPr>
          </w:p>
        </w:tc>
      </w:tr>
      <w:tr>
        <w:trPr>
          <w:trHeight w:val="170"/>
        </w:trPr>
        <w:tc>
          <w:tcPr>
            <w:tcW w:w="20" w:type="dxa"/>
            <w:vAlign w:val="bottom"/>
          </w:tcPr>
          <w:p>
            <w:pPr>
              <w:spacing w:after="0"/>
              <w:rPr>
                <w:sz w:val="14"/>
                <w:szCs w:val="14"/>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3"/>
                <w:szCs w:val="13"/>
                <w:color w:val="auto"/>
              </w:rPr>
              <w:t>2024</w:t>
            </w:r>
          </w:p>
        </w:tc>
        <w:tc>
          <w:tcPr>
            <w:tcW w:w="198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29,351</w:t>
            </w:r>
          </w:p>
        </w:tc>
        <w:tc>
          <w:tcPr>
            <w:tcW w:w="20" w:type="dxa"/>
            <w:vAlign w:val="bottom"/>
            <w:shd w:val="clear" w:color="auto" w:fill="CCEEFF"/>
          </w:tcPr>
          <w:p>
            <w:pPr>
              <w:spacing w:after="0"/>
              <w:rPr>
                <w:sz w:val="14"/>
                <w:szCs w:val="14"/>
                <w:color w:val="auto"/>
              </w:rPr>
            </w:pPr>
          </w:p>
        </w:tc>
      </w:tr>
      <w:tr>
        <w:trPr>
          <w:trHeight w:val="170"/>
        </w:trPr>
        <w:tc>
          <w:tcPr>
            <w:tcW w:w="7760" w:type="dxa"/>
            <w:vAlign w:val="bottom"/>
            <w:gridSpan w:val="2"/>
          </w:tcPr>
          <w:p>
            <w:pPr>
              <w:ind w:left="20"/>
              <w:spacing w:after="0"/>
              <w:rPr>
                <w:sz w:val="20"/>
                <w:szCs w:val="20"/>
                <w:color w:val="auto"/>
              </w:rPr>
            </w:pPr>
            <w:r>
              <w:rPr>
                <w:rFonts w:ascii="Arial" w:cs="Arial" w:eastAsia="Arial" w:hAnsi="Arial"/>
                <w:sz w:val="13"/>
                <w:szCs w:val="13"/>
                <w:color w:val="auto"/>
              </w:rPr>
              <w:t>2025</w:t>
            </w:r>
          </w:p>
        </w:tc>
        <w:tc>
          <w:tcPr>
            <w:tcW w:w="198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b w:val="1"/>
                <w:bCs w:val="1"/>
                <w:color w:val="auto"/>
              </w:rPr>
              <w:t>20,566</w:t>
            </w:r>
          </w:p>
        </w:tc>
        <w:tc>
          <w:tcPr>
            <w:tcW w:w="20" w:type="dxa"/>
            <w:vAlign w:val="bottom"/>
          </w:tcPr>
          <w:p>
            <w:pPr>
              <w:spacing w:after="0"/>
              <w:rPr>
                <w:sz w:val="14"/>
                <w:szCs w:val="14"/>
                <w:color w:val="auto"/>
              </w:rPr>
            </w:pPr>
          </w:p>
        </w:tc>
      </w:tr>
      <w:tr>
        <w:trPr>
          <w:trHeight w:val="170"/>
        </w:trPr>
        <w:tc>
          <w:tcPr>
            <w:tcW w:w="20" w:type="dxa"/>
            <w:vAlign w:val="bottom"/>
          </w:tcPr>
          <w:p>
            <w:pPr>
              <w:spacing w:after="0"/>
              <w:rPr>
                <w:sz w:val="14"/>
                <w:szCs w:val="14"/>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3"/>
                <w:szCs w:val="13"/>
                <w:color w:val="auto"/>
              </w:rPr>
              <w:t>2026</w:t>
            </w:r>
          </w:p>
        </w:tc>
        <w:tc>
          <w:tcPr>
            <w:tcW w:w="198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17,516</w:t>
            </w:r>
          </w:p>
        </w:tc>
        <w:tc>
          <w:tcPr>
            <w:tcW w:w="20" w:type="dxa"/>
            <w:vAlign w:val="bottom"/>
            <w:shd w:val="clear" w:color="auto" w:fill="CCEEFF"/>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77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Thereafter</w:t>
            </w:r>
          </w:p>
        </w:tc>
        <w:tc>
          <w:tcPr>
            <w:tcW w:w="19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63,675</w:t>
            </w:r>
          </w:p>
        </w:tc>
        <w:tc>
          <w:tcPr>
            <w:tcW w:w="20" w:type="dxa"/>
            <w:vAlign w:val="bottom"/>
            <w:tcBorders>
              <w:bottom w:val="single" w:sz="8" w:color="auto"/>
            </w:tcBorders>
          </w:tcPr>
          <w:p>
            <w:pPr>
              <w:spacing w:after="0"/>
              <w:rPr>
                <w:sz w:val="14"/>
                <w:szCs w:val="14"/>
                <w:color w:val="auto"/>
              </w:rPr>
            </w:pPr>
          </w:p>
        </w:tc>
      </w:tr>
      <w:tr>
        <w:trPr>
          <w:trHeight w:val="170"/>
        </w:trPr>
        <w:tc>
          <w:tcPr>
            <w:tcW w:w="20" w:type="dxa"/>
            <w:vAlign w:val="bottom"/>
          </w:tcPr>
          <w:p>
            <w:pPr>
              <w:spacing w:after="0"/>
              <w:rPr>
                <w:sz w:val="14"/>
                <w:szCs w:val="14"/>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3"/>
                <w:szCs w:val="13"/>
                <w:color w:val="auto"/>
              </w:rPr>
              <w:t>Total future minimum lease payments</w:t>
            </w:r>
          </w:p>
        </w:tc>
        <w:tc>
          <w:tcPr>
            <w:tcW w:w="198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229,089</w:t>
            </w:r>
          </w:p>
        </w:tc>
        <w:tc>
          <w:tcPr>
            <w:tcW w:w="20" w:type="dxa"/>
            <w:vAlign w:val="bottom"/>
            <w:shd w:val="clear" w:color="auto" w:fill="CCEEFF"/>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77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Lease imputed interest</w:t>
            </w:r>
          </w:p>
        </w:tc>
        <w:tc>
          <w:tcPr>
            <w:tcW w:w="19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(18,236)</w:t>
            </w:r>
          </w:p>
        </w:tc>
        <w:tc>
          <w:tcPr>
            <w:tcW w:w="20" w:type="dxa"/>
            <w:vAlign w:val="bottom"/>
            <w:tcBorders>
              <w:bottom w:val="single" w:sz="8" w:color="auto"/>
            </w:tcBorders>
          </w:tcPr>
          <w:p>
            <w:pPr>
              <w:spacing w:after="0"/>
              <w:rPr>
                <w:sz w:val="14"/>
                <w:szCs w:val="14"/>
                <w:color w:val="auto"/>
              </w:rPr>
            </w:pPr>
          </w:p>
        </w:tc>
      </w:tr>
      <w:tr>
        <w:trPr>
          <w:trHeight w:val="195"/>
        </w:trPr>
        <w:tc>
          <w:tcPr>
            <w:tcW w:w="20" w:type="dxa"/>
            <w:vAlign w:val="bottom"/>
          </w:tcPr>
          <w:p>
            <w:pPr>
              <w:spacing w:after="0"/>
              <w:rPr>
                <w:sz w:val="16"/>
                <w:szCs w:val="16"/>
                <w:color w:val="auto"/>
              </w:rPr>
            </w:pPr>
          </w:p>
        </w:tc>
        <w:tc>
          <w:tcPr>
            <w:tcW w:w="7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Total</w:t>
            </w:r>
          </w:p>
        </w:tc>
        <w:tc>
          <w:tcPr>
            <w:tcW w:w="198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210,853</w:t>
            </w:r>
          </w:p>
        </w:tc>
        <w:tc>
          <w:tcPr>
            <w:tcW w:w="20" w:type="dxa"/>
            <w:vAlign w:val="bottom"/>
            <w:tcBorders>
              <w:bottom w:val="single" w:sz="8" w:color="auto"/>
            </w:tcBorders>
            <w:shd w:val="clear" w:color="auto" w:fill="CCEEFF"/>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427"/>
        </w:trPr>
        <w:tc>
          <w:tcPr>
            <w:tcW w:w="7760" w:type="dxa"/>
            <w:vAlign w:val="bottom"/>
            <w:gridSpan w:val="2"/>
          </w:tcPr>
          <w:p>
            <w:pPr>
              <w:spacing w:after="0"/>
              <w:rPr>
                <w:sz w:val="20"/>
                <w:szCs w:val="20"/>
                <w:color w:val="auto"/>
              </w:rPr>
            </w:pPr>
            <w:r>
              <w:rPr>
                <w:rFonts w:ascii="Arial" w:cs="Arial" w:eastAsia="Arial" w:hAnsi="Arial"/>
                <w:sz w:val="13"/>
                <w:szCs w:val="13"/>
                <w:color w:val="auto"/>
              </w:rPr>
              <w:t>Lease liabilities of $49.8 million have been included in accrued and other liabilities as at 31 December 2021 (2020: $24.3 million).</w:t>
            </w:r>
          </w:p>
        </w:tc>
        <w:tc>
          <w:tcPr>
            <w:tcW w:w="19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2"/>
        </w:trPr>
        <w:tc>
          <w:tcPr>
            <w:tcW w:w="776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Amounts recognised in profit or loss</w:t>
            </w:r>
          </w:p>
        </w:tc>
        <w:tc>
          <w:tcPr>
            <w:tcW w:w="19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7760" w:type="dxa"/>
            <w:vAlign w:val="bottom"/>
            <w:gridSpan w:val="2"/>
          </w:tcPr>
          <w:p>
            <w:pPr>
              <w:spacing w:after="0"/>
              <w:rPr>
                <w:sz w:val="20"/>
                <w:szCs w:val="20"/>
                <w:color w:val="auto"/>
              </w:rPr>
            </w:pPr>
            <w:r>
              <w:rPr>
                <w:rFonts w:ascii="Arial" w:cs="Arial" w:eastAsia="Arial" w:hAnsi="Arial"/>
                <w:sz w:val="13"/>
                <w:szCs w:val="13"/>
                <w:color w:val="auto"/>
              </w:rPr>
              <w:t>The following amounts were recognised in profit and loss:</w:t>
            </w:r>
          </w:p>
        </w:tc>
        <w:tc>
          <w:tcPr>
            <w:tcW w:w="19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15"/>
        </w:trPr>
        <w:tc>
          <w:tcPr>
            <w:tcW w:w="2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540" w:type="dxa"/>
            <w:vAlign w:val="bottom"/>
            <w:gridSpan w:val="2"/>
          </w:tcPr>
          <w:p>
            <w:pPr>
              <w:spacing w:after="0"/>
              <w:rPr>
                <w:sz w:val="18"/>
                <w:szCs w:val="18"/>
                <w:color w:val="auto"/>
              </w:rPr>
            </w:pPr>
          </w:p>
        </w:tc>
      </w:tr>
      <w:tr>
        <w:trPr>
          <w:trHeight w:val="170"/>
        </w:trPr>
        <w:tc>
          <w:tcPr>
            <w:tcW w:w="20" w:type="dxa"/>
            <w:vAlign w:val="bottom"/>
            <w:shd w:val="clear" w:color="auto" w:fill="CCEEFF"/>
          </w:tcPr>
          <w:p>
            <w:pPr>
              <w:spacing w:after="0"/>
              <w:rPr>
                <w:sz w:val="14"/>
                <w:szCs w:val="14"/>
                <w:color w:val="auto"/>
              </w:rPr>
            </w:pPr>
          </w:p>
        </w:tc>
        <w:tc>
          <w:tcPr>
            <w:tcW w:w="7740" w:type="dxa"/>
            <w:vAlign w:val="bottom"/>
            <w:shd w:val="clear" w:color="auto" w:fill="CCEEFF"/>
          </w:tcPr>
          <w:p>
            <w:pPr>
              <w:spacing w:after="0"/>
              <w:rPr>
                <w:sz w:val="14"/>
                <w:szCs w:val="14"/>
                <w:color w:val="auto"/>
              </w:rPr>
            </w:pPr>
          </w:p>
        </w:tc>
        <w:tc>
          <w:tcPr>
            <w:tcW w:w="1980" w:type="dxa"/>
            <w:vAlign w:val="bottom"/>
            <w:shd w:val="clear" w:color="auto" w:fill="CCEEFF"/>
          </w:tcPr>
          <w:p>
            <w:pPr>
              <w:jc w:val="right"/>
              <w:ind w:right="636"/>
              <w:spacing w:after="0"/>
              <w:rPr>
                <w:sz w:val="20"/>
                <w:szCs w:val="20"/>
                <w:color w:val="auto"/>
              </w:rPr>
            </w:pPr>
            <w:r>
              <w:rPr>
                <w:rFonts w:ascii="Arial" w:cs="Arial" w:eastAsia="Arial" w:hAnsi="Arial"/>
                <w:sz w:val="13"/>
                <w:szCs w:val="13"/>
                <w:b w:val="1"/>
                <w:bCs w:val="1"/>
                <w:color w:val="auto"/>
              </w:rPr>
              <w:t>31 December</w:t>
            </w: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31 December</w:t>
            </w:r>
          </w:p>
        </w:tc>
        <w:tc>
          <w:tcPr>
            <w:tcW w:w="20" w:type="dxa"/>
            <w:vAlign w:val="bottom"/>
          </w:tcPr>
          <w:p>
            <w:pPr>
              <w:spacing w:after="0"/>
              <w:rPr>
                <w:sz w:val="14"/>
                <w:szCs w:val="14"/>
                <w:color w:val="auto"/>
              </w:rPr>
            </w:pPr>
          </w:p>
        </w:tc>
      </w:tr>
      <w:tr>
        <w:trPr>
          <w:trHeight w:val="170"/>
        </w:trPr>
        <w:tc>
          <w:tcPr>
            <w:tcW w:w="20" w:type="dxa"/>
            <w:vAlign w:val="bottom"/>
            <w:tcBorders>
              <w:bottom w:val="single" w:sz="8" w:color="auto"/>
            </w:tcBorders>
          </w:tcPr>
          <w:p>
            <w:pPr>
              <w:spacing w:after="0"/>
              <w:rPr>
                <w:sz w:val="14"/>
                <w:szCs w:val="14"/>
                <w:color w:val="auto"/>
              </w:rPr>
            </w:pPr>
          </w:p>
        </w:tc>
        <w:tc>
          <w:tcPr>
            <w:tcW w:w="77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tcPr>
          <w:p>
            <w:pPr>
              <w:jc w:val="right"/>
              <w:ind w:right="636"/>
              <w:spacing w:after="0"/>
              <w:rPr>
                <w:sz w:val="20"/>
                <w:szCs w:val="20"/>
                <w:color w:val="auto"/>
              </w:rPr>
            </w:pPr>
            <w:r>
              <w:rPr>
                <w:rFonts w:ascii="Arial" w:cs="Arial" w:eastAsia="Arial" w:hAnsi="Arial"/>
                <w:sz w:val="13"/>
                <w:szCs w:val="13"/>
                <w:b w:val="1"/>
                <w:bCs w:val="1"/>
                <w:color w:val="auto"/>
              </w:rPr>
              <w:t>2021</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20" w:type="dxa"/>
            <w:vAlign w:val="bottom"/>
          </w:tcPr>
          <w:p>
            <w:pPr>
              <w:spacing w:after="0"/>
              <w:rPr>
                <w:sz w:val="14"/>
                <w:szCs w:val="14"/>
                <w:color w:val="auto"/>
              </w:rPr>
            </w:pPr>
          </w:p>
        </w:tc>
      </w:tr>
      <w:tr>
        <w:trPr>
          <w:trHeight w:val="160"/>
        </w:trPr>
        <w:tc>
          <w:tcPr>
            <w:tcW w:w="20" w:type="dxa"/>
            <w:vAlign w:val="bottom"/>
            <w:shd w:val="clear" w:color="auto" w:fill="CCEEFF"/>
          </w:tcPr>
          <w:p>
            <w:pPr>
              <w:spacing w:after="0"/>
              <w:rPr>
                <w:sz w:val="13"/>
                <w:szCs w:val="13"/>
                <w:color w:val="auto"/>
              </w:rPr>
            </w:pPr>
          </w:p>
        </w:tc>
        <w:tc>
          <w:tcPr>
            <w:tcW w:w="7740" w:type="dxa"/>
            <w:vAlign w:val="bottom"/>
            <w:shd w:val="clear" w:color="auto" w:fill="CCEEFF"/>
          </w:tcPr>
          <w:p>
            <w:pPr>
              <w:spacing w:after="0"/>
              <w:rPr>
                <w:sz w:val="13"/>
                <w:szCs w:val="13"/>
                <w:color w:val="auto"/>
              </w:rPr>
            </w:pPr>
          </w:p>
        </w:tc>
        <w:tc>
          <w:tcPr>
            <w:tcW w:w="1980" w:type="dxa"/>
            <w:vAlign w:val="bottom"/>
            <w:shd w:val="clear" w:color="auto" w:fill="CCEEFF"/>
          </w:tcPr>
          <w:p>
            <w:pPr>
              <w:jc w:val="right"/>
              <w:ind w:right="636"/>
              <w:spacing w:after="0"/>
              <w:rPr>
                <w:sz w:val="20"/>
                <w:szCs w:val="20"/>
                <w:color w:val="auto"/>
              </w:rPr>
            </w:pPr>
            <w:r>
              <w:rPr>
                <w:rFonts w:ascii="Arial" w:cs="Arial" w:eastAsia="Arial" w:hAnsi="Arial"/>
                <w:sz w:val="13"/>
                <w:szCs w:val="13"/>
                <w:b w:val="1"/>
                <w:bCs w:val="1"/>
                <w:color w:val="auto"/>
              </w:rPr>
              <w:t>$'000</w:t>
            </w: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$'000</w:t>
            </w:r>
          </w:p>
        </w:tc>
        <w:tc>
          <w:tcPr>
            <w:tcW w:w="20" w:type="dxa"/>
            <w:vAlign w:val="bottom"/>
          </w:tcPr>
          <w:p>
            <w:pPr>
              <w:spacing w:after="0"/>
              <w:rPr>
                <w:sz w:val="13"/>
                <w:szCs w:val="13"/>
                <w:color w:val="auto"/>
              </w:rPr>
            </w:pPr>
          </w:p>
        </w:tc>
      </w:tr>
      <w:tr>
        <w:trPr>
          <w:trHeight w:val="170"/>
        </w:trPr>
        <w:tc>
          <w:tcPr>
            <w:tcW w:w="20" w:type="dxa"/>
            <w:vAlign w:val="bottom"/>
          </w:tcPr>
          <w:p>
            <w:pPr>
              <w:spacing w:after="0"/>
              <w:rPr>
                <w:sz w:val="14"/>
                <w:szCs w:val="14"/>
                <w:color w:val="auto"/>
              </w:rPr>
            </w:pPr>
          </w:p>
        </w:tc>
        <w:tc>
          <w:tcPr>
            <w:tcW w:w="7740" w:type="dxa"/>
            <w:vAlign w:val="bottom"/>
          </w:tcPr>
          <w:p>
            <w:pPr>
              <w:spacing w:after="0"/>
              <w:rPr>
                <w:sz w:val="20"/>
                <w:szCs w:val="20"/>
                <w:color w:val="auto"/>
              </w:rPr>
            </w:pPr>
            <w:r>
              <w:rPr>
                <w:rFonts w:ascii="Arial" w:cs="Arial" w:eastAsia="Arial" w:hAnsi="Arial"/>
                <w:sz w:val="13"/>
                <w:szCs w:val="13"/>
                <w:color w:val="auto"/>
              </w:rPr>
              <w:t>Depreciation of right-of-use assets</w:t>
            </w:r>
          </w:p>
        </w:tc>
        <w:tc>
          <w:tcPr>
            <w:tcW w:w="1980" w:type="dxa"/>
            <w:vAlign w:val="bottom"/>
          </w:tcPr>
          <w:p>
            <w:pPr>
              <w:jc w:val="right"/>
              <w:ind w:right="676"/>
              <w:spacing w:after="0"/>
              <w:rPr>
                <w:sz w:val="20"/>
                <w:szCs w:val="20"/>
                <w:color w:val="auto"/>
              </w:rPr>
            </w:pPr>
            <w:r>
              <w:rPr>
                <w:rFonts w:ascii="Arial" w:cs="Arial" w:eastAsia="Arial" w:hAnsi="Arial"/>
                <w:sz w:val="13"/>
                <w:szCs w:val="13"/>
                <w:b w:val="1"/>
                <w:bCs w:val="1"/>
                <w:color w:val="auto"/>
              </w:rPr>
              <w:t>45,247</w:t>
            </w:r>
          </w:p>
        </w:tc>
        <w:tc>
          <w:tcPr>
            <w:tcW w:w="1520" w:type="dxa"/>
            <w:vAlign w:val="bottom"/>
          </w:tcPr>
          <w:p>
            <w:pPr>
              <w:jc w:val="right"/>
              <w:spacing w:after="0"/>
              <w:rPr>
                <w:sz w:val="20"/>
                <w:szCs w:val="20"/>
                <w:color w:val="auto"/>
              </w:rPr>
            </w:pPr>
            <w:r>
              <w:rPr>
                <w:rFonts w:ascii="Arial" w:cs="Arial" w:eastAsia="Arial" w:hAnsi="Arial"/>
                <w:sz w:val="13"/>
                <w:szCs w:val="13"/>
                <w:b w:val="1"/>
                <w:bCs w:val="1"/>
                <w:color w:val="auto"/>
              </w:rPr>
              <w:t>28,947</w:t>
            </w:r>
          </w:p>
        </w:tc>
        <w:tc>
          <w:tcPr>
            <w:tcW w:w="20" w:type="dxa"/>
            <w:vAlign w:val="bottom"/>
          </w:tcPr>
          <w:p>
            <w:pPr>
              <w:spacing w:after="0"/>
              <w:rPr>
                <w:sz w:val="14"/>
                <w:szCs w:val="14"/>
                <w:color w:val="auto"/>
              </w:rPr>
            </w:pPr>
          </w:p>
        </w:tc>
      </w:tr>
      <w:tr>
        <w:trPr>
          <w:trHeight w:val="171"/>
        </w:trPr>
        <w:tc>
          <w:tcPr>
            <w:tcW w:w="20" w:type="dxa"/>
            <w:vAlign w:val="bottom"/>
            <w:tcBorders>
              <w:bottom w:val="single" w:sz="8" w:color="auto"/>
            </w:tcBorders>
            <w:shd w:val="clear" w:color="auto" w:fill="CCEEFF"/>
          </w:tcPr>
          <w:p>
            <w:pPr>
              <w:spacing w:after="0"/>
              <w:rPr>
                <w:sz w:val="14"/>
                <w:szCs w:val="14"/>
                <w:color w:val="auto"/>
              </w:rPr>
            </w:pPr>
          </w:p>
        </w:tc>
        <w:tc>
          <w:tcPr>
            <w:tcW w:w="7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Interest on lease liabilities</w:t>
            </w:r>
          </w:p>
        </w:tc>
        <w:tc>
          <w:tcPr>
            <w:tcW w:w="198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3"/>
                <w:szCs w:val="13"/>
                <w:b w:val="1"/>
                <w:bCs w:val="1"/>
                <w:color w:val="auto"/>
              </w:rPr>
              <w:t>4,113</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1,668</w:t>
            </w:r>
          </w:p>
        </w:tc>
        <w:tc>
          <w:tcPr>
            <w:tcW w:w="20" w:type="dxa"/>
            <w:vAlign w:val="bottom"/>
          </w:tcPr>
          <w:p>
            <w:pPr>
              <w:spacing w:after="0"/>
              <w:rPr>
                <w:sz w:val="14"/>
                <w:szCs w:val="14"/>
                <w:color w:val="auto"/>
              </w:rPr>
            </w:pPr>
          </w:p>
        </w:tc>
      </w:tr>
    </w:tbl>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114</w:t>
      </w:r>
    </w:p>
    <w:p>
      <w:pPr>
        <w:sectPr>
          <w:pgSz w:w="11900" w:h="16838" w:orient="portrait"/>
          <w:cols w:equalWidth="0" w:num="1">
            <w:col w:w="11280"/>
          </w:cols>
          <w:pgMar w:left="300" w:top="698" w:right="31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190" w:lineRule="exact"/>
        <w:rPr>
          <w:sz w:val="20"/>
          <w:szCs w:val="20"/>
          <w:color w:val="auto"/>
        </w:rPr>
      </w:pPr>
    </w:p>
    <w:p>
      <w:pPr>
        <w:ind w:left="320" w:hanging="315"/>
        <w:spacing w:after="0"/>
        <w:tabs>
          <w:tab w:leader="none" w:pos="320" w:val="left"/>
        </w:tabs>
        <w:numPr>
          <w:ilvl w:val="0"/>
          <w:numId w:val="124"/>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Leases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Of the total cost of $49.4 million incurred in the year ended 31 December 2021, $43.3 million is recorded within other operating expenses, $2.0 million is recorded within direct costs and $4.1 million is recorded within financing expense. During 2021, the Group had income from sub-leases of $1.3 million.</w:t>
      </w:r>
    </w:p>
    <w:p>
      <w:pPr>
        <w:spacing w:after="0" w:line="135"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Of the total cost of $30.6 million incurred in the year ended 31 December 2020, $26.6 million is recorded within other operating expenses, $2.4 million is recorded within direct costs and $1.7 million is recorded within financing expense. During 2020, the Group had income from sub-leases of $0.9 million.</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During the year ended 31 December 2021 and the year ended 31 December 2020, the Group did not incur any costs related to variable lease payments or short-term leases.</w:t>
      </w:r>
    </w:p>
    <w:p>
      <w:pPr>
        <w:spacing w:after="0" w:line="328" w:lineRule="exact"/>
        <w:rPr>
          <w:sz w:val="20"/>
          <w:szCs w:val="20"/>
          <w:color w:val="auto"/>
        </w:rPr>
      </w:pPr>
    </w:p>
    <w:p>
      <w:pPr>
        <w:ind w:left="460" w:hanging="455"/>
        <w:spacing w:after="0"/>
        <w:tabs>
          <w:tab w:leader="none" w:pos="460" w:val="left"/>
        </w:tabs>
        <w:numPr>
          <w:ilvl w:val="0"/>
          <w:numId w:val="125"/>
        </w:numPr>
        <w:rPr>
          <w:rFonts w:ascii="Arial" w:cs="Arial" w:eastAsia="Arial" w:hAnsi="Arial"/>
          <w:sz w:val="13"/>
          <w:szCs w:val="13"/>
          <w:b w:val="1"/>
          <w:bCs w:val="1"/>
          <w:color w:val="auto"/>
        </w:rPr>
      </w:pPr>
      <w:r>
        <w:rPr>
          <w:rFonts w:ascii="Arial" w:cs="Arial" w:eastAsia="Arial" w:hAnsi="Arial"/>
          <w:sz w:val="13"/>
          <w:szCs w:val="13"/>
          <w:b w:val="1"/>
          <w:bCs w:val="1"/>
          <w:color w:val="auto"/>
        </w:rPr>
        <w:t>Commitments and contingencies</w:t>
      </w:r>
    </w:p>
    <w:p>
      <w:pPr>
        <w:spacing w:after="0" w:line="192" w:lineRule="exact"/>
        <w:rPr>
          <w:sz w:val="20"/>
          <w:szCs w:val="20"/>
          <w:color w:val="auto"/>
        </w:rPr>
      </w:pPr>
    </w:p>
    <w:p>
      <w:pPr>
        <w:ind w:left="260" w:hanging="255"/>
        <w:spacing w:after="0"/>
        <w:tabs>
          <w:tab w:leader="none" w:pos="260" w:val="left"/>
        </w:tabs>
        <w:numPr>
          <w:ilvl w:val="0"/>
          <w:numId w:val="126"/>
        </w:numPr>
        <w:rPr>
          <w:rFonts w:ascii="Arial" w:cs="Arial" w:eastAsia="Arial" w:hAnsi="Arial"/>
          <w:sz w:val="13"/>
          <w:szCs w:val="13"/>
          <w:i w:val="1"/>
          <w:iCs w:val="1"/>
          <w:color w:val="auto"/>
        </w:rPr>
      </w:pPr>
      <w:r>
        <w:rPr>
          <w:rFonts w:ascii="Arial" w:cs="Arial" w:eastAsia="Arial" w:hAnsi="Arial"/>
          <w:sz w:val="13"/>
          <w:szCs w:val="13"/>
          <w:i w:val="1"/>
          <w:iCs w:val="1"/>
          <w:color w:val="auto"/>
        </w:rPr>
        <w:t>Capital commitments</w:t>
      </w:r>
    </w:p>
    <w:p>
      <w:pPr>
        <w:spacing w:after="0" w:line="199" w:lineRule="exact"/>
        <w:rPr>
          <w:sz w:val="20"/>
          <w:szCs w:val="20"/>
          <w:color w:val="auto"/>
        </w:rPr>
      </w:pPr>
    </w:p>
    <w:p>
      <w:pPr>
        <w:spacing w:after="0"/>
        <w:rPr>
          <w:sz w:val="20"/>
          <w:szCs w:val="20"/>
          <w:color w:val="auto"/>
        </w:rPr>
      </w:pPr>
      <w:r>
        <w:rPr>
          <w:rFonts w:ascii="Arial" w:cs="Arial" w:eastAsia="Arial" w:hAnsi="Arial"/>
          <w:sz w:val="13"/>
          <w:szCs w:val="13"/>
          <w:color w:val="auto"/>
        </w:rPr>
        <w:t>The following capital commitments for the purchase of property, plant, equipment and computer software were authorised by the Group at 31 December 2021 and 31 December 2020:</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40" w:type="dxa"/>
            <w:vAlign w:val="bottom"/>
            <w:shd w:val="clear" w:color="auto" w:fill="CCEEFF"/>
          </w:tcPr>
          <w:p>
            <w:pPr>
              <w:spacing w:after="0"/>
              <w:rPr>
                <w:sz w:val="13"/>
                <w:szCs w:val="13"/>
                <w:color w:val="auto"/>
              </w:rPr>
            </w:pPr>
          </w:p>
        </w:tc>
        <w:tc>
          <w:tcPr>
            <w:tcW w:w="5240" w:type="dxa"/>
            <w:vAlign w:val="bottom"/>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31 December</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0"/>
        </w:trPr>
        <w:tc>
          <w:tcPr>
            <w:tcW w:w="4840" w:type="dxa"/>
            <w:vAlign w:val="bottom"/>
            <w:tcBorders>
              <w:bottom w:val="single" w:sz="8" w:color="auto"/>
            </w:tcBorders>
            <w:shd w:val="clear" w:color="auto" w:fill="CCEEFF"/>
          </w:tcPr>
          <w:p>
            <w:pPr>
              <w:spacing w:after="0"/>
              <w:rPr>
                <w:sz w:val="14"/>
                <w:szCs w:val="14"/>
                <w:color w:val="auto"/>
              </w:rPr>
            </w:pPr>
          </w:p>
        </w:tc>
        <w:tc>
          <w:tcPr>
            <w:tcW w:w="524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2021</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2020</w:t>
            </w:r>
          </w:p>
        </w:tc>
      </w:tr>
      <w:tr>
        <w:trPr>
          <w:trHeight w:val="160"/>
        </w:trPr>
        <w:tc>
          <w:tcPr>
            <w:tcW w:w="4840" w:type="dxa"/>
            <w:vAlign w:val="bottom"/>
          </w:tcPr>
          <w:p>
            <w:pPr>
              <w:spacing w:after="0"/>
              <w:rPr>
                <w:sz w:val="13"/>
                <w:szCs w:val="13"/>
                <w:color w:val="auto"/>
              </w:rPr>
            </w:pPr>
          </w:p>
        </w:tc>
        <w:tc>
          <w:tcPr>
            <w:tcW w:w="5240" w:type="dxa"/>
            <w:vAlign w:val="bottom"/>
          </w:tcPr>
          <w:p>
            <w:pPr>
              <w:jc w:val="right"/>
              <w:ind w:right="356"/>
              <w:spacing w:after="0"/>
              <w:rPr>
                <w:sz w:val="20"/>
                <w:szCs w:val="20"/>
                <w:color w:val="auto"/>
              </w:rPr>
            </w:pPr>
            <w:r>
              <w:rPr>
                <w:rFonts w:ascii="Arial" w:cs="Arial" w:eastAsia="Arial" w:hAnsi="Arial"/>
                <w:sz w:val="13"/>
                <w:szCs w:val="13"/>
                <w:b w:val="1"/>
                <w:bCs w:val="1"/>
                <w:color w:val="auto"/>
              </w:rPr>
              <w:t>$’000</w:t>
            </w:r>
          </w:p>
        </w:tc>
        <w:tc>
          <w:tcPr>
            <w:tcW w:w="118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202"/>
        </w:trPr>
        <w:tc>
          <w:tcPr>
            <w:tcW w:w="4840" w:type="dxa"/>
            <w:vAlign w:val="bottom"/>
            <w:shd w:val="clear" w:color="auto" w:fill="CCEEFF"/>
          </w:tcPr>
          <w:p>
            <w:pPr>
              <w:spacing w:after="0"/>
              <w:rPr>
                <w:sz w:val="17"/>
                <w:szCs w:val="17"/>
                <w:color w:val="auto"/>
              </w:rPr>
            </w:pPr>
          </w:p>
        </w:tc>
        <w:tc>
          <w:tcPr>
            <w:tcW w:w="5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170"/>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Contracted for</w:t>
            </w:r>
          </w:p>
        </w:tc>
        <w:tc>
          <w:tcPr>
            <w:tcW w:w="524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70,510</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17,281</w:t>
            </w:r>
          </w:p>
        </w:tc>
      </w:tr>
      <w:tr>
        <w:trPr>
          <w:trHeight w:val="182"/>
        </w:trPr>
        <w:tc>
          <w:tcPr>
            <w:tcW w:w="4840" w:type="dxa"/>
            <w:vAlign w:val="bottom"/>
            <w:shd w:val="clear" w:color="auto" w:fill="CCEEFF"/>
          </w:tcPr>
          <w:p>
            <w:pPr>
              <w:spacing w:after="0"/>
              <w:rPr>
                <w:sz w:val="15"/>
                <w:szCs w:val="15"/>
                <w:color w:val="auto"/>
              </w:rPr>
            </w:pPr>
          </w:p>
        </w:tc>
        <w:tc>
          <w:tcPr>
            <w:tcW w:w="5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71"/>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w:t>
            </w:r>
          </w:p>
        </w:tc>
        <w:tc>
          <w:tcPr>
            <w:tcW w:w="524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70,510</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17,281</w:t>
            </w:r>
          </w:p>
        </w:tc>
      </w:tr>
    </w:tbl>
    <w:p>
      <w:pPr>
        <w:spacing w:after="0" w:line="257" w:lineRule="exact"/>
        <w:rPr>
          <w:sz w:val="20"/>
          <w:szCs w:val="20"/>
          <w:color w:val="auto"/>
        </w:rPr>
      </w:pPr>
    </w:p>
    <w:p>
      <w:pPr>
        <w:ind w:left="300" w:hanging="295"/>
        <w:spacing w:after="0"/>
        <w:tabs>
          <w:tab w:leader="none" w:pos="300" w:val="left"/>
        </w:tabs>
        <w:numPr>
          <w:ilvl w:val="0"/>
          <w:numId w:val="127"/>
        </w:numPr>
        <w:rPr>
          <w:rFonts w:ascii="Arial" w:cs="Arial" w:eastAsia="Arial" w:hAnsi="Arial"/>
          <w:sz w:val="13"/>
          <w:szCs w:val="13"/>
          <w:i w:val="1"/>
          <w:iCs w:val="1"/>
          <w:color w:val="auto"/>
        </w:rPr>
      </w:pPr>
      <w:r>
        <w:rPr>
          <w:rFonts w:ascii="Arial" w:cs="Arial" w:eastAsia="Arial" w:hAnsi="Arial"/>
          <w:sz w:val="13"/>
          <w:szCs w:val="13"/>
          <w:i w:val="1"/>
          <w:iCs w:val="1"/>
          <w:color w:val="auto"/>
        </w:rPr>
        <w:t>Guarantees</w:t>
      </w:r>
    </w:p>
    <w:p>
      <w:pPr>
        <w:spacing w:after="0" w:line="199"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 xml:space="preserve">Where the Group enters into financial guarantee contracts to guarantee the indebtedness of other companies within the Group, the Group considers these to be insurance arrangements and accounts for them as such. The Group treats the guarantee contract as a contingent liability until such time as it becomes probable that the Group will be required to make a payment under that guarantee. As set out in </w:t>
      </w:r>
      <w:r>
        <w:rPr>
          <w:rFonts w:ascii="Arial" w:cs="Arial" w:eastAsia="Arial" w:hAnsi="Arial"/>
          <w:sz w:val="13"/>
          <w:szCs w:val="13"/>
          <w:i w:val="1"/>
          <w:iCs w:val="1"/>
          <w:color w:val="auto"/>
        </w:rPr>
        <w:t>note 23 Bank credit lines and loan facilities</w:t>
      </w:r>
      <w:r>
        <w:rPr>
          <w:rFonts w:ascii="Arial" w:cs="Arial" w:eastAsia="Arial" w:hAnsi="Arial"/>
          <w:sz w:val="13"/>
          <w:szCs w:val="13"/>
          <w:color w:val="auto"/>
        </w:rPr>
        <w:t>, the Senior Secured Credit Facilities are guaranteed by ICON plc.</w:t>
      </w:r>
    </w:p>
    <w:p>
      <w:pPr>
        <w:spacing w:after="0" w:line="170"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Company has guaranteed all of the commitments and liabilities referred to in Section 357(1) (b) of the Companies Act in respect of the whole of the financial year ending 31 December 2021 for the subsidiary companies listed below. These subsidiaries are availing of the exemption under Section 357 of the Companies Act not to file statutory financial statements.</w:t>
      </w:r>
    </w:p>
    <w:p>
      <w:pPr>
        <w:spacing w:after="0" w:line="146" w:lineRule="exact"/>
        <w:rPr>
          <w:sz w:val="20"/>
          <w:szCs w:val="20"/>
          <w:color w:val="auto"/>
        </w:rPr>
      </w:pPr>
    </w:p>
    <w:p>
      <w:pPr>
        <w:ind w:left="520" w:hanging="307"/>
        <w:spacing w:after="0"/>
        <w:tabs>
          <w:tab w:leader="none" w:pos="520" w:val="left"/>
        </w:tabs>
        <w:numPr>
          <w:ilvl w:val="0"/>
          <w:numId w:val="128"/>
        </w:numPr>
        <w:rPr>
          <w:rFonts w:ascii="Arial" w:cs="Arial" w:eastAsia="Arial" w:hAnsi="Arial"/>
          <w:sz w:val="13"/>
          <w:szCs w:val="13"/>
          <w:color w:val="auto"/>
        </w:rPr>
      </w:pPr>
      <w:r>
        <w:rPr>
          <w:rFonts w:ascii="Arial" w:cs="Arial" w:eastAsia="Arial" w:hAnsi="Arial"/>
          <w:sz w:val="13"/>
          <w:szCs w:val="13"/>
          <w:color w:val="auto"/>
        </w:rPr>
        <w:t>ICON Clinical Research Limited</w:t>
      </w:r>
    </w:p>
    <w:p>
      <w:pPr>
        <w:spacing w:after="0" w:line="11" w:lineRule="exact"/>
        <w:rPr>
          <w:rFonts w:ascii="Arial" w:cs="Arial" w:eastAsia="Arial" w:hAnsi="Arial"/>
          <w:sz w:val="13"/>
          <w:szCs w:val="13"/>
          <w:color w:val="auto"/>
        </w:rPr>
      </w:pPr>
    </w:p>
    <w:p>
      <w:pPr>
        <w:ind w:left="500" w:hanging="295"/>
        <w:spacing w:after="0"/>
        <w:tabs>
          <w:tab w:leader="none" w:pos="500" w:val="left"/>
        </w:tabs>
        <w:numPr>
          <w:ilvl w:val="0"/>
          <w:numId w:val="128"/>
        </w:numPr>
        <w:rPr>
          <w:rFonts w:ascii="Arial" w:cs="Arial" w:eastAsia="Arial" w:hAnsi="Arial"/>
          <w:sz w:val="13"/>
          <w:szCs w:val="13"/>
          <w:color w:val="auto"/>
        </w:rPr>
      </w:pPr>
      <w:r>
        <w:rPr>
          <w:rFonts w:ascii="Arial" w:cs="Arial" w:eastAsia="Arial" w:hAnsi="Arial"/>
          <w:sz w:val="13"/>
          <w:szCs w:val="13"/>
          <w:color w:val="auto"/>
        </w:rPr>
        <w:t>DOCS Resourcing Limited</w:t>
      </w:r>
    </w:p>
    <w:p>
      <w:pPr>
        <w:ind w:left="500" w:hanging="295"/>
        <w:spacing w:after="0" w:line="221" w:lineRule="auto"/>
        <w:tabs>
          <w:tab w:leader="none" w:pos="500" w:val="left"/>
        </w:tabs>
        <w:numPr>
          <w:ilvl w:val="0"/>
          <w:numId w:val="128"/>
        </w:numPr>
        <w:rPr>
          <w:rFonts w:ascii="Arial" w:cs="Arial" w:eastAsia="Arial" w:hAnsi="Arial"/>
          <w:sz w:val="13"/>
          <w:szCs w:val="13"/>
          <w:color w:val="auto"/>
        </w:rPr>
      </w:pPr>
      <w:r>
        <w:rPr>
          <w:rFonts w:ascii="Arial" w:cs="Arial" w:eastAsia="Arial" w:hAnsi="Arial"/>
          <w:sz w:val="13"/>
          <w:szCs w:val="13"/>
          <w:color w:val="auto"/>
        </w:rPr>
        <w:t>ICON Holdings Unlimited Company</w:t>
      </w:r>
    </w:p>
    <w:p>
      <w:pPr>
        <w:ind w:left="500" w:hanging="295"/>
        <w:spacing w:after="0"/>
        <w:tabs>
          <w:tab w:leader="none" w:pos="500" w:val="left"/>
        </w:tabs>
        <w:numPr>
          <w:ilvl w:val="0"/>
          <w:numId w:val="128"/>
        </w:numPr>
        <w:rPr>
          <w:rFonts w:ascii="Arial" w:cs="Arial" w:eastAsia="Arial" w:hAnsi="Arial"/>
          <w:sz w:val="13"/>
          <w:szCs w:val="13"/>
          <w:color w:val="auto"/>
        </w:rPr>
      </w:pPr>
      <w:r>
        <w:rPr>
          <w:rFonts w:ascii="Arial" w:cs="Arial" w:eastAsia="Arial" w:hAnsi="Arial"/>
          <w:sz w:val="13"/>
          <w:szCs w:val="13"/>
          <w:color w:val="auto"/>
        </w:rPr>
        <w:t>ICON Clinical Research Property Holdings (Ireland) Limited</w:t>
      </w:r>
    </w:p>
    <w:p>
      <w:pPr>
        <w:ind w:left="500" w:hanging="295"/>
        <w:spacing w:after="0"/>
        <w:tabs>
          <w:tab w:leader="none" w:pos="500" w:val="left"/>
        </w:tabs>
        <w:numPr>
          <w:ilvl w:val="0"/>
          <w:numId w:val="128"/>
        </w:numPr>
        <w:rPr>
          <w:rFonts w:ascii="Arial" w:cs="Arial" w:eastAsia="Arial" w:hAnsi="Arial"/>
          <w:sz w:val="13"/>
          <w:szCs w:val="13"/>
          <w:color w:val="auto"/>
        </w:rPr>
      </w:pPr>
      <w:r>
        <w:rPr>
          <w:rFonts w:ascii="Arial" w:cs="Arial" w:eastAsia="Arial" w:hAnsi="Arial"/>
          <w:sz w:val="13"/>
          <w:szCs w:val="13"/>
          <w:color w:val="auto"/>
        </w:rPr>
        <w:t>ICON Clinical Research Property Development (Ireland) Limited</w:t>
      </w:r>
    </w:p>
    <w:p>
      <w:pPr>
        <w:ind w:left="500" w:hanging="295"/>
        <w:spacing w:after="0"/>
        <w:tabs>
          <w:tab w:leader="none" w:pos="500" w:val="left"/>
        </w:tabs>
        <w:numPr>
          <w:ilvl w:val="0"/>
          <w:numId w:val="128"/>
        </w:numPr>
        <w:rPr>
          <w:rFonts w:ascii="Arial" w:cs="Arial" w:eastAsia="Arial" w:hAnsi="Arial"/>
          <w:sz w:val="13"/>
          <w:szCs w:val="13"/>
          <w:color w:val="auto"/>
        </w:rPr>
      </w:pPr>
      <w:r>
        <w:rPr>
          <w:rFonts w:ascii="Arial" w:cs="Arial" w:eastAsia="Arial" w:hAnsi="Arial"/>
          <w:sz w:val="13"/>
          <w:szCs w:val="13"/>
          <w:color w:val="auto"/>
        </w:rPr>
        <w:t>ICON Holdings Clinical Research International Limited</w:t>
      </w:r>
    </w:p>
    <w:p>
      <w:pPr>
        <w:ind w:left="500" w:hanging="295"/>
        <w:spacing w:after="0"/>
        <w:tabs>
          <w:tab w:leader="none" w:pos="500" w:val="left"/>
        </w:tabs>
        <w:numPr>
          <w:ilvl w:val="0"/>
          <w:numId w:val="128"/>
        </w:numPr>
        <w:rPr>
          <w:rFonts w:ascii="Arial" w:cs="Arial" w:eastAsia="Arial" w:hAnsi="Arial"/>
          <w:sz w:val="13"/>
          <w:szCs w:val="13"/>
          <w:color w:val="auto"/>
        </w:rPr>
      </w:pPr>
      <w:r>
        <w:rPr>
          <w:rFonts w:ascii="Arial" w:cs="Arial" w:eastAsia="Arial" w:hAnsi="Arial"/>
          <w:sz w:val="13"/>
          <w:szCs w:val="13"/>
          <w:color w:val="auto"/>
        </w:rPr>
        <w:t>ICON Clinical International Unlimited Company</w:t>
      </w:r>
    </w:p>
    <w:p>
      <w:pPr>
        <w:ind w:left="500" w:hanging="295"/>
        <w:spacing w:after="0" w:line="221" w:lineRule="auto"/>
        <w:tabs>
          <w:tab w:leader="none" w:pos="500" w:val="left"/>
        </w:tabs>
        <w:numPr>
          <w:ilvl w:val="0"/>
          <w:numId w:val="128"/>
        </w:numPr>
        <w:rPr>
          <w:rFonts w:ascii="Arial" w:cs="Arial" w:eastAsia="Arial" w:hAnsi="Arial"/>
          <w:sz w:val="13"/>
          <w:szCs w:val="13"/>
          <w:color w:val="auto"/>
        </w:rPr>
      </w:pPr>
      <w:r>
        <w:rPr>
          <w:rFonts w:ascii="Arial" w:cs="Arial" w:eastAsia="Arial" w:hAnsi="Arial"/>
          <w:sz w:val="13"/>
          <w:szCs w:val="13"/>
          <w:color w:val="auto"/>
        </w:rPr>
        <w:t>ICON Investments Four Unlimited Company</w:t>
      </w:r>
    </w:p>
    <w:p>
      <w:pPr>
        <w:ind w:left="500" w:hanging="295"/>
        <w:spacing w:after="0"/>
        <w:tabs>
          <w:tab w:leader="none" w:pos="500" w:val="left"/>
        </w:tabs>
        <w:numPr>
          <w:ilvl w:val="0"/>
          <w:numId w:val="128"/>
        </w:numPr>
        <w:rPr>
          <w:rFonts w:ascii="Arial" w:cs="Arial" w:eastAsia="Arial" w:hAnsi="Arial"/>
          <w:sz w:val="13"/>
          <w:szCs w:val="13"/>
          <w:color w:val="auto"/>
        </w:rPr>
      </w:pPr>
      <w:r>
        <w:rPr>
          <w:rFonts w:ascii="Arial" w:cs="Arial" w:eastAsia="Arial" w:hAnsi="Arial"/>
          <w:sz w:val="13"/>
          <w:szCs w:val="13"/>
          <w:color w:val="auto"/>
        </w:rPr>
        <w:t>ICON Investments Five Unlimited Company</w:t>
      </w:r>
    </w:p>
    <w:p>
      <w:pPr>
        <w:ind w:left="500" w:hanging="295"/>
        <w:spacing w:after="0"/>
        <w:tabs>
          <w:tab w:leader="none" w:pos="500" w:val="left"/>
        </w:tabs>
        <w:numPr>
          <w:ilvl w:val="0"/>
          <w:numId w:val="128"/>
        </w:numPr>
        <w:rPr>
          <w:rFonts w:ascii="Arial" w:cs="Arial" w:eastAsia="Arial" w:hAnsi="Arial"/>
          <w:sz w:val="13"/>
          <w:szCs w:val="13"/>
          <w:color w:val="auto"/>
        </w:rPr>
      </w:pPr>
      <w:r>
        <w:rPr>
          <w:rFonts w:ascii="Arial" w:cs="Arial" w:eastAsia="Arial" w:hAnsi="Arial"/>
          <w:sz w:val="13"/>
          <w:szCs w:val="13"/>
          <w:color w:val="auto"/>
        </w:rPr>
        <w:t>Accellacare Limited</w:t>
      </w:r>
    </w:p>
    <w:p>
      <w:pPr>
        <w:ind w:left="500" w:hanging="295"/>
        <w:spacing w:after="0"/>
        <w:tabs>
          <w:tab w:leader="none" w:pos="500" w:val="left"/>
        </w:tabs>
        <w:numPr>
          <w:ilvl w:val="0"/>
          <w:numId w:val="128"/>
        </w:numPr>
        <w:rPr>
          <w:rFonts w:ascii="Arial" w:cs="Arial" w:eastAsia="Arial" w:hAnsi="Arial"/>
          <w:sz w:val="13"/>
          <w:szCs w:val="13"/>
          <w:color w:val="auto"/>
        </w:rPr>
      </w:pPr>
      <w:r>
        <w:rPr>
          <w:rFonts w:ascii="Arial" w:cs="Arial" w:eastAsia="Arial" w:hAnsi="Arial"/>
          <w:sz w:val="13"/>
          <w:szCs w:val="13"/>
          <w:color w:val="auto"/>
        </w:rPr>
        <w:t>ICON Global Treasury Unlimited Company</w:t>
      </w:r>
    </w:p>
    <w:p>
      <w:pPr>
        <w:ind w:left="500" w:hanging="295"/>
        <w:spacing w:after="0" w:line="221" w:lineRule="auto"/>
        <w:tabs>
          <w:tab w:leader="none" w:pos="500" w:val="left"/>
        </w:tabs>
        <w:numPr>
          <w:ilvl w:val="0"/>
          <w:numId w:val="128"/>
        </w:numPr>
        <w:rPr>
          <w:rFonts w:ascii="Arial" w:cs="Arial" w:eastAsia="Arial" w:hAnsi="Arial"/>
          <w:sz w:val="13"/>
          <w:szCs w:val="13"/>
          <w:color w:val="auto"/>
        </w:rPr>
      </w:pPr>
      <w:r>
        <w:rPr>
          <w:rFonts w:ascii="Arial" w:cs="Arial" w:eastAsia="Arial" w:hAnsi="Arial"/>
          <w:sz w:val="13"/>
          <w:szCs w:val="13"/>
          <w:color w:val="auto"/>
        </w:rPr>
        <w:t>ICON Clinical Global Holdings Unlimited Company</w:t>
      </w:r>
    </w:p>
    <w:p>
      <w:pPr>
        <w:ind w:left="500" w:hanging="295"/>
        <w:spacing w:after="0"/>
        <w:tabs>
          <w:tab w:leader="none" w:pos="500" w:val="left"/>
        </w:tabs>
        <w:numPr>
          <w:ilvl w:val="0"/>
          <w:numId w:val="128"/>
        </w:numPr>
        <w:rPr>
          <w:rFonts w:ascii="Arial" w:cs="Arial" w:eastAsia="Arial" w:hAnsi="Arial"/>
          <w:sz w:val="13"/>
          <w:szCs w:val="13"/>
          <w:color w:val="auto"/>
        </w:rPr>
      </w:pPr>
      <w:r>
        <w:rPr>
          <w:rFonts w:ascii="Arial" w:cs="Arial" w:eastAsia="Arial" w:hAnsi="Arial"/>
          <w:sz w:val="13"/>
          <w:szCs w:val="13"/>
          <w:color w:val="auto"/>
        </w:rPr>
        <w:t>ICON Operational Financing Unlimited Company</w:t>
      </w:r>
    </w:p>
    <w:p>
      <w:pPr>
        <w:ind w:left="500" w:hanging="295"/>
        <w:spacing w:after="0" w:line="221" w:lineRule="auto"/>
        <w:tabs>
          <w:tab w:leader="none" w:pos="500" w:val="left"/>
        </w:tabs>
        <w:numPr>
          <w:ilvl w:val="0"/>
          <w:numId w:val="128"/>
        </w:numPr>
        <w:rPr>
          <w:rFonts w:ascii="Arial" w:cs="Arial" w:eastAsia="Arial" w:hAnsi="Arial"/>
          <w:sz w:val="13"/>
          <w:szCs w:val="13"/>
          <w:color w:val="auto"/>
        </w:rPr>
      </w:pPr>
      <w:r>
        <w:rPr>
          <w:rFonts w:ascii="Arial" w:cs="Arial" w:eastAsia="Arial" w:hAnsi="Arial"/>
          <w:sz w:val="13"/>
          <w:szCs w:val="13"/>
          <w:color w:val="auto"/>
        </w:rPr>
        <w:t>ICON Operational Holdings Unlimited Company</w:t>
      </w:r>
    </w:p>
    <w:p>
      <w:pPr>
        <w:ind w:left="500" w:hanging="295"/>
        <w:spacing w:after="0"/>
        <w:tabs>
          <w:tab w:leader="none" w:pos="500" w:val="left"/>
        </w:tabs>
        <w:numPr>
          <w:ilvl w:val="0"/>
          <w:numId w:val="128"/>
        </w:numPr>
        <w:rPr>
          <w:rFonts w:ascii="Arial" w:cs="Arial" w:eastAsia="Arial" w:hAnsi="Arial"/>
          <w:sz w:val="13"/>
          <w:szCs w:val="13"/>
          <w:color w:val="auto"/>
        </w:rPr>
      </w:pPr>
      <w:r>
        <w:rPr>
          <w:rFonts w:ascii="Arial" w:cs="Arial" w:eastAsia="Arial" w:hAnsi="Arial"/>
          <w:sz w:val="13"/>
          <w:szCs w:val="13"/>
          <w:color w:val="auto"/>
        </w:rPr>
        <w:t>PRA Clinical Limited</w:t>
      </w:r>
    </w:p>
    <w:p>
      <w:pPr>
        <w:ind w:left="500" w:hanging="295"/>
        <w:spacing w:after="0"/>
        <w:tabs>
          <w:tab w:leader="none" w:pos="500" w:val="left"/>
        </w:tabs>
        <w:numPr>
          <w:ilvl w:val="0"/>
          <w:numId w:val="128"/>
        </w:numPr>
        <w:rPr>
          <w:rFonts w:ascii="Arial" w:cs="Arial" w:eastAsia="Arial" w:hAnsi="Arial"/>
          <w:sz w:val="13"/>
          <w:szCs w:val="13"/>
          <w:color w:val="auto"/>
        </w:rPr>
      </w:pPr>
      <w:r>
        <w:rPr>
          <w:rFonts w:ascii="Arial" w:cs="Arial" w:eastAsia="Arial" w:hAnsi="Arial"/>
          <w:sz w:val="13"/>
          <w:szCs w:val="13"/>
          <w:color w:val="auto"/>
        </w:rPr>
        <w:t>Research Pharmaceutical Services (Outsourcing Ireland) Limited</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115</w:t>
      </w:r>
    </w:p>
    <w:p>
      <w:pPr>
        <w:sectPr>
          <w:pgSz w:w="11900" w:h="16838" w:orient="portrait"/>
          <w:cols w:equalWidth="0" w:num="1">
            <w:col w:w="11280"/>
          </w:cols>
          <w:pgMar w:left="300" w:top="698" w:right="31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190" w:lineRule="exact"/>
        <w:rPr>
          <w:sz w:val="20"/>
          <w:szCs w:val="20"/>
          <w:color w:val="auto"/>
        </w:rPr>
      </w:pPr>
    </w:p>
    <w:p>
      <w:pPr>
        <w:ind w:left="320" w:hanging="315"/>
        <w:spacing w:after="0"/>
        <w:tabs>
          <w:tab w:leader="none" w:pos="320" w:val="left"/>
        </w:tabs>
        <w:numPr>
          <w:ilvl w:val="0"/>
          <w:numId w:val="129"/>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Commitments and contingencies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4" w:lineRule="exact"/>
        <w:rPr>
          <w:sz w:val="20"/>
          <w:szCs w:val="20"/>
          <w:color w:val="auto"/>
        </w:rPr>
      </w:pPr>
    </w:p>
    <w:p>
      <w:pPr>
        <w:ind w:left="300" w:hanging="295"/>
        <w:spacing w:after="0"/>
        <w:tabs>
          <w:tab w:leader="none" w:pos="300" w:val="left"/>
        </w:tabs>
        <w:numPr>
          <w:ilvl w:val="0"/>
          <w:numId w:val="130"/>
        </w:numPr>
        <w:rPr>
          <w:rFonts w:ascii="Arial" w:cs="Arial" w:eastAsia="Arial" w:hAnsi="Arial"/>
          <w:sz w:val="13"/>
          <w:szCs w:val="13"/>
          <w:i w:val="1"/>
          <w:iCs w:val="1"/>
          <w:color w:val="auto"/>
        </w:rPr>
      </w:pPr>
      <w:r>
        <w:rPr>
          <w:rFonts w:ascii="Arial" w:cs="Arial" w:eastAsia="Arial" w:hAnsi="Arial"/>
          <w:sz w:val="13"/>
          <w:szCs w:val="13"/>
          <w:i w:val="1"/>
          <w:iCs w:val="1"/>
          <w:color w:val="auto"/>
        </w:rPr>
        <w:t>Contractual obligations</w:t>
      </w:r>
    </w:p>
    <w:p>
      <w:pPr>
        <w:spacing w:after="0" w:line="199" w:lineRule="exact"/>
        <w:rPr>
          <w:sz w:val="20"/>
          <w:szCs w:val="20"/>
          <w:color w:val="auto"/>
        </w:rPr>
      </w:pPr>
    </w:p>
    <w:p>
      <w:pPr>
        <w:spacing w:after="0"/>
        <w:rPr>
          <w:sz w:val="20"/>
          <w:szCs w:val="20"/>
          <w:color w:val="auto"/>
        </w:rPr>
      </w:pPr>
      <w:r>
        <w:rPr>
          <w:rFonts w:ascii="Arial" w:cs="Arial" w:eastAsia="Arial" w:hAnsi="Arial"/>
          <w:sz w:val="13"/>
          <w:szCs w:val="13"/>
          <w:color w:val="auto"/>
        </w:rPr>
        <w:t>The following represents Group contractual obligations and commercial commitments as at 31 December 2021:</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40" w:type="dxa"/>
            <w:vAlign w:val="bottom"/>
            <w:tcBorders>
              <w:bottom w:val="single" w:sz="8" w:color="auto"/>
            </w:tcBorders>
            <w:shd w:val="clear" w:color="auto" w:fill="CCEEFF"/>
          </w:tcPr>
          <w:p>
            <w:pPr>
              <w:spacing w:after="0"/>
              <w:rPr>
                <w:sz w:val="14"/>
                <w:szCs w:val="14"/>
                <w:color w:val="auto"/>
              </w:rPr>
            </w:pPr>
          </w:p>
        </w:tc>
        <w:tc>
          <w:tcPr>
            <w:tcW w:w="2800" w:type="dxa"/>
            <w:vAlign w:val="bottom"/>
            <w:tcBorders>
              <w:bottom w:val="single" w:sz="8" w:color="auto"/>
            </w:tcBorders>
            <w:shd w:val="clear" w:color="auto" w:fill="CCEEFF"/>
          </w:tcPr>
          <w:p>
            <w:pPr>
              <w:spacing w:after="0"/>
              <w:rPr>
                <w:sz w:val="14"/>
                <w:szCs w:val="14"/>
                <w:color w:val="auto"/>
              </w:rPr>
            </w:pPr>
          </w:p>
        </w:tc>
        <w:tc>
          <w:tcPr>
            <w:tcW w:w="234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Payments due by period</w:t>
            </w:r>
          </w:p>
        </w:tc>
        <w:tc>
          <w:tcPr>
            <w:tcW w:w="136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spacing w:after="0"/>
              <w:rPr>
                <w:sz w:val="14"/>
                <w:szCs w:val="14"/>
                <w:color w:val="auto"/>
              </w:rPr>
            </w:pPr>
          </w:p>
        </w:tc>
      </w:tr>
      <w:tr>
        <w:trPr>
          <w:trHeight w:val="118"/>
        </w:trPr>
        <w:tc>
          <w:tcPr>
            <w:tcW w:w="3540" w:type="dxa"/>
            <w:vAlign w:val="bottom"/>
          </w:tcPr>
          <w:p>
            <w:pPr>
              <w:spacing w:after="0"/>
              <w:rPr>
                <w:sz w:val="10"/>
                <w:szCs w:val="10"/>
                <w:color w:val="auto"/>
              </w:rPr>
            </w:pPr>
          </w:p>
        </w:tc>
        <w:tc>
          <w:tcPr>
            <w:tcW w:w="2800" w:type="dxa"/>
            <w:vAlign w:val="bottom"/>
          </w:tcPr>
          <w:p>
            <w:pPr>
              <w:jc w:val="right"/>
              <w:ind w:right="496"/>
              <w:spacing w:after="0" w:line="118" w:lineRule="exact"/>
              <w:rPr>
                <w:sz w:val="20"/>
                <w:szCs w:val="20"/>
                <w:color w:val="auto"/>
              </w:rPr>
            </w:pPr>
            <w:r>
              <w:rPr>
                <w:rFonts w:ascii="Arial" w:cs="Arial" w:eastAsia="Arial" w:hAnsi="Arial"/>
                <w:sz w:val="13"/>
                <w:szCs w:val="13"/>
                <w:b w:val="1"/>
                <w:bCs w:val="1"/>
                <w:color w:val="auto"/>
              </w:rPr>
              <w:t>Total</w:t>
            </w:r>
          </w:p>
        </w:tc>
        <w:tc>
          <w:tcPr>
            <w:tcW w:w="2340" w:type="dxa"/>
            <w:vAlign w:val="bottom"/>
          </w:tcPr>
          <w:p>
            <w:pPr>
              <w:jc w:val="right"/>
              <w:ind w:right="1016"/>
              <w:spacing w:after="0" w:line="118" w:lineRule="exact"/>
              <w:rPr>
                <w:sz w:val="20"/>
                <w:szCs w:val="20"/>
                <w:color w:val="auto"/>
              </w:rPr>
            </w:pPr>
            <w:r>
              <w:rPr>
                <w:rFonts w:ascii="Arial" w:cs="Arial" w:eastAsia="Arial" w:hAnsi="Arial"/>
                <w:sz w:val="13"/>
                <w:szCs w:val="13"/>
                <w:b w:val="1"/>
                <w:bCs w:val="1"/>
                <w:color w:val="auto"/>
              </w:rPr>
              <w:t>Less than</w:t>
            </w:r>
          </w:p>
        </w:tc>
        <w:tc>
          <w:tcPr>
            <w:tcW w:w="1360" w:type="dxa"/>
            <w:vAlign w:val="bottom"/>
          </w:tcPr>
          <w:p>
            <w:pPr>
              <w:jc w:val="right"/>
              <w:ind w:right="556"/>
              <w:spacing w:after="0" w:line="118" w:lineRule="exact"/>
              <w:rPr>
                <w:sz w:val="20"/>
                <w:szCs w:val="20"/>
                <w:color w:val="auto"/>
              </w:rPr>
            </w:pPr>
            <w:r>
              <w:rPr>
                <w:rFonts w:ascii="Arial" w:cs="Arial" w:eastAsia="Arial" w:hAnsi="Arial"/>
                <w:sz w:val="13"/>
                <w:szCs w:val="13"/>
                <w:b w:val="1"/>
                <w:bCs w:val="1"/>
                <w:color w:val="auto"/>
              </w:rPr>
              <w:t>1 to 5</w:t>
            </w:r>
          </w:p>
        </w:tc>
        <w:tc>
          <w:tcPr>
            <w:tcW w:w="1240" w:type="dxa"/>
            <w:vAlign w:val="bottom"/>
          </w:tcPr>
          <w:p>
            <w:pPr>
              <w:jc w:val="right"/>
              <w:spacing w:after="0" w:line="118" w:lineRule="exact"/>
              <w:rPr>
                <w:sz w:val="20"/>
                <w:szCs w:val="20"/>
                <w:color w:val="auto"/>
              </w:rPr>
            </w:pPr>
            <w:r>
              <w:rPr>
                <w:rFonts w:ascii="Arial" w:cs="Arial" w:eastAsia="Arial" w:hAnsi="Arial"/>
                <w:sz w:val="13"/>
                <w:szCs w:val="13"/>
                <w:b w:val="1"/>
                <w:bCs w:val="1"/>
                <w:color w:val="auto"/>
              </w:rPr>
              <w:t>More than</w:t>
            </w:r>
          </w:p>
        </w:tc>
      </w:tr>
      <w:tr>
        <w:trPr>
          <w:trHeight w:val="170"/>
        </w:trPr>
        <w:tc>
          <w:tcPr>
            <w:tcW w:w="354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tcPr>
          <w:p>
            <w:pPr>
              <w:jc w:val="right"/>
              <w:ind w:right="1016"/>
              <w:spacing w:after="0"/>
              <w:rPr>
                <w:sz w:val="20"/>
                <w:szCs w:val="20"/>
                <w:color w:val="auto"/>
              </w:rPr>
            </w:pPr>
            <w:r>
              <w:rPr>
                <w:rFonts w:ascii="Arial" w:cs="Arial" w:eastAsia="Arial" w:hAnsi="Arial"/>
                <w:sz w:val="13"/>
                <w:szCs w:val="13"/>
                <w:b w:val="1"/>
                <w:bCs w:val="1"/>
                <w:color w:val="auto"/>
              </w:rPr>
              <w:t>1 year</w:t>
            </w:r>
          </w:p>
        </w:tc>
        <w:tc>
          <w:tcPr>
            <w:tcW w:w="136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b w:val="1"/>
                <w:bCs w:val="1"/>
                <w:color w:val="auto"/>
              </w:rPr>
              <w:t>years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 years</w:t>
            </w:r>
          </w:p>
        </w:tc>
      </w:tr>
      <w:tr>
        <w:trPr>
          <w:trHeight w:val="160"/>
        </w:trPr>
        <w:tc>
          <w:tcPr>
            <w:tcW w:w="3540" w:type="dxa"/>
            <w:vAlign w:val="bottom"/>
            <w:shd w:val="clear" w:color="auto" w:fill="CCEEFF"/>
          </w:tcPr>
          <w:p>
            <w:pPr>
              <w:spacing w:after="0"/>
              <w:rPr>
                <w:sz w:val="13"/>
                <w:szCs w:val="13"/>
                <w:color w:val="auto"/>
              </w:rPr>
            </w:pPr>
          </w:p>
        </w:tc>
        <w:tc>
          <w:tcPr>
            <w:tcW w:w="2800" w:type="dxa"/>
            <w:vAlign w:val="bottom"/>
            <w:shd w:val="clear" w:color="auto" w:fill="CCEEFF"/>
          </w:tcPr>
          <w:p>
            <w:pPr>
              <w:jc w:val="right"/>
              <w:ind w:right="496"/>
              <w:spacing w:after="0"/>
              <w:rPr>
                <w:sz w:val="20"/>
                <w:szCs w:val="20"/>
                <w:color w:val="auto"/>
              </w:rPr>
            </w:pPr>
            <w:r>
              <w:rPr>
                <w:rFonts w:ascii="Arial" w:cs="Arial" w:eastAsia="Arial" w:hAnsi="Arial"/>
                <w:sz w:val="13"/>
                <w:szCs w:val="13"/>
                <w:b w:val="1"/>
                <w:bCs w:val="1"/>
                <w:color w:val="auto"/>
              </w:rPr>
              <w:t>$’000</w:t>
            </w:r>
          </w:p>
        </w:tc>
        <w:tc>
          <w:tcPr>
            <w:tcW w:w="2340" w:type="dxa"/>
            <w:vAlign w:val="bottom"/>
            <w:shd w:val="clear" w:color="auto" w:fill="CCEEFF"/>
          </w:tcPr>
          <w:p>
            <w:pPr>
              <w:jc w:val="right"/>
              <w:ind w:right="1016"/>
              <w:spacing w:after="0"/>
              <w:rPr>
                <w:sz w:val="20"/>
                <w:szCs w:val="20"/>
                <w:color w:val="auto"/>
              </w:rPr>
            </w:pPr>
            <w:r>
              <w:rPr>
                <w:rFonts w:ascii="Arial" w:cs="Arial" w:eastAsia="Arial" w:hAnsi="Arial"/>
                <w:sz w:val="13"/>
                <w:szCs w:val="13"/>
                <w:b w:val="1"/>
                <w:bCs w:val="1"/>
                <w:color w:val="auto"/>
              </w:rPr>
              <w:t>$’000</w:t>
            </w:r>
          </w:p>
        </w:tc>
        <w:tc>
          <w:tcPr>
            <w:tcW w:w="1360" w:type="dxa"/>
            <w:vAlign w:val="bottom"/>
            <w:shd w:val="clear" w:color="auto" w:fill="CCEEFF"/>
          </w:tcPr>
          <w:p>
            <w:pPr>
              <w:jc w:val="right"/>
              <w:ind w:right="556"/>
              <w:spacing w:after="0"/>
              <w:rPr>
                <w:sz w:val="20"/>
                <w:szCs w:val="20"/>
                <w:color w:val="auto"/>
              </w:rPr>
            </w:pPr>
            <w:r>
              <w:rPr>
                <w:rFonts w:ascii="Arial" w:cs="Arial" w:eastAsia="Arial" w:hAnsi="Arial"/>
                <w:sz w:val="13"/>
                <w:szCs w:val="13"/>
                <w:b w:val="1"/>
                <w:bCs w:val="1"/>
                <w:color w:val="auto"/>
              </w:rPr>
              <w:t>$’000</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$’000</w:t>
            </w:r>
          </w:p>
        </w:tc>
      </w:tr>
      <w:tr>
        <w:trPr>
          <w:trHeight w:val="170"/>
        </w:trPr>
        <w:tc>
          <w:tcPr>
            <w:tcW w:w="35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9"/>
        </w:trPr>
        <w:tc>
          <w:tcPr>
            <w:tcW w:w="3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Capital commitments</w:t>
            </w:r>
          </w:p>
        </w:tc>
        <w:tc>
          <w:tcPr>
            <w:tcW w:w="280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3"/>
                <w:szCs w:val="13"/>
                <w:color w:val="auto"/>
              </w:rPr>
              <w:t>70,510</w:t>
            </w:r>
          </w:p>
        </w:tc>
        <w:tc>
          <w:tcPr>
            <w:tcW w:w="2340" w:type="dxa"/>
            <w:vAlign w:val="bottom"/>
            <w:tcBorders>
              <w:bottom w:val="single" w:sz="8" w:color="auto"/>
            </w:tcBorders>
            <w:shd w:val="clear" w:color="auto" w:fill="CCEEFF"/>
          </w:tcPr>
          <w:p>
            <w:pPr>
              <w:jc w:val="right"/>
              <w:ind w:right="1056"/>
              <w:spacing w:after="0"/>
              <w:rPr>
                <w:sz w:val="20"/>
                <w:szCs w:val="20"/>
                <w:color w:val="auto"/>
              </w:rPr>
            </w:pPr>
            <w:r>
              <w:rPr>
                <w:rFonts w:ascii="Arial" w:cs="Arial" w:eastAsia="Arial" w:hAnsi="Arial"/>
                <w:sz w:val="13"/>
                <w:szCs w:val="13"/>
                <w:color w:val="auto"/>
              </w:rPr>
              <w:t>41,232</w:t>
            </w:r>
          </w:p>
        </w:tc>
        <w:tc>
          <w:tcPr>
            <w:tcW w:w="1360" w:type="dxa"/>
            <w:vAlign w:val="bottom"/>
            <w:tcBorders>
              <w:bottom w:val="single" w:sz="8" w:color="auto"/>
            </w:tcBorders>
            <w:shd w:val="clear" w:color="auto" w:fill="CCEEFF"/>
          </w:tcPr>
          <w:p>
            <w:pPr>
              <w:jc w:val="right"/>
              <w:ind w:right="596"/>
              <w:spacing w:after="0"/>
              <w:rPr>
                <w:sz w:val="20"/>
                <w:szCs w:val="20"/>
                <w:color w:val="auto"/>
              </w:rPr>
            </w:pPr>
            <w:r>
              <w:rPr>
                <w:rFonts w:ascii="Arial" w:cs="Arial" w:eastAsia="Arial" w:hAnsi="Arial"/>
                <w:sz w:val="13"/>
                <w:szCs w:val="13"/>
                <w:color w:val="auto"/>
              </w:rPr>
              <w:t>29,278</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2"/>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contractual obligations</w:t>
            </w:r>
          </w:p>
        </w:tc>
        <w:tc>
          <w:tcPr>
            <w:tcW w:w="280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70,510</w:t>
            </w:r>
          </w:p>
        </w:tc>
        <w:tc>
          <w:tcPr>
            <w:tcW w:w="2340" w:type="dxa"/>
            <w:vAlign w:val="bottom"/>
            <w:tcBorders>
              <w:bottom w:val="single" w:sz="8" w:color="auto"/>
            </w:tcBorders>
          </w:tcPr>
          <w:p>
            <w:pPr>
              <w:jc w:val="right"/>
              <w:ind w:right="1056"/>
              <w:spacing w:after="0"/>
              <w:rPr>
                <w:sz w:val="20"/>
                <w:szCs w:val="20"/>
                <w:color w:val="auto"/>
              </w:rPr>
            </w:pPr>
            <w:r>
              <w:rPr>
                <w:rFonts w:ascii="Arial" w:cs="Arial" w:eastAsia="Arial" w:hAnsi="Arial"/>
                <w:sz w:val="13"/>
                <w:szCs w:val="13"/>
                <w:b w:val="1"/>
                <w:bCs w:val="1"/>
                <w:color w:val="auto"/>
              </w:rPr>
              <w:t>41,232</w:t>
            </w:r>
          </w:p>
        </w:tc>
        <w:tc>
          <w:tcPr>
            <w:tcW w:w="1360" w:type="dxa"/>
            <w:vAlign w:val="bottom"/>
            <w:tcBorders>
              <w:bottom w:val="single" w:sz="8" w:color="auto"/>
            </w:tcBorders>
          </w:tcPr>
          <w:p>
            <w:pPr>
              <w:jc w:val="right"/>
              <w:ind w:right="596"/>
              <w:spacing w:after="0"/>
              <w:rPr>
                <w:sz w:val="20"/>
                <w:szCs w:val="20"/>
                <w:color w:val="auto"/>
              </w:rPr>
            </w:pPr>
            <w:r>
              <w:rPr>
                <w:rFonts w:ascii="Arial" w:cs="Arial" w:eastAsia="Arial" w:hAnsi="Arial"/>
                <w:sz w:val="13"/>
                <w:szCs w:val="13"/>
                <w:b w:val="1"/>
                <w:bCs w:val="1"/>
                <w:color w:val="auto"/>
              </w:rPr>
              <w:t>29,278</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r>
      <w:tr>
        <w:trPr>
          <w:trHeight w:val="20"/>
        </w:trPr>
        <w:tc>
          <w:tcPr>
            <w:tcW w:w="354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The Group expects to spend approximately $150 million in the next 12 months on further investments in information technology. The Group believes that it will be able to fund additional foreseeable cash needs for the next twelve months from cash flow from operations and existing cash balances. In the future, the Group may consider acquiring businesses to enhance service offerings and global presence. Any such acquisitions may require additional external financing and the Group may, from time to time, seek to obtain funds from public or private issues of equity or debt securities. There can be no assurance that such financing will be available on terms acceptable to the Group.</w:t>
      </w:r>
    </w:p>
    <w:p>
      <w:pPr>
        <w:spacing w:after="0" w:line="17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 xml:space="preserve">The Company entered into subscription agreements with a number of funds (see </w:t>
      </w:r>
      <w:r>
        <w:rPr>
          <w:rFonts w:ascii="Arial" w:cs="Arial" w:eastAsia="Arial" w:hAnsi="Arial"/>
          <w:sz w:val="13"/>
          <w:szCs w:val="13"/>
          <w:i w:val="1"/>
          <w:iCs w:val="1"/>
          <w:color w:val="auto"/>
        </w:rPr>
        <w:t>note 18 Financial asset investments</w:t>
      </w:r>
      <w:r>
        <w:rPr>
          <w:rFonts w:ascii="Arial" w:cs="Arial" w:eastAsia="Arial" w:hAnsi="Arial"/>
          <w:sz w:val="13"/>
          <w:szCs w:val="13"/>
          <w:color w:val="auto"/>
        </w:rPr>
        <w:t>). Capital totalling $16.9 million had been advanced under the terms of the subscription agreements at 31 December 2021 (2020: $13.3 million). The Company had committed to future investments of $17.4 million in respect of these funds. The timing of the commitment is not specified in the subscription agreements.</w:t>
      </w:r>
    </w:p>
    <w:p>
      <w:pPr>
        <w:spacing w:after="0" w:line="213" w:lineRule="exact"/>
        <w:rPr>
          <w:sz w:val="20"/>
          <w:szCs w:val="20"/>
          <w:color w:val="auto"/>
        </w:rPr>
      </w:pPr>
    </w:p>
    <w:p>
      <w:pPr>
        <w:ind w:left="320" w:hanging="315"/>
        <w:spacing w:after="0"/>
        <w:tabs>
          <w:tab w:leader="none" w:pos="320" w:val="left"/>
        </w:tabs>
        <w:numPr>
          <w:ilvl w:val="0"/>
          <w:numId w:val="131"/>
        </w:numPr>
        <w:rPr>
          <w:rFonts w:ascii="Arial" w:cs="Arial" w:eastAsia="Arial" w:hAnsi="Arial"/>
          <w:sz w:val="13"/>
          <w:szCs w:val="13"/>
          <w:b w:val="1"/>
          <w:bCs w:val="1"/>
          <w:color w:val="auto"/>
        </w:rPr>
      </w:pPr>
      <w:r>
        <w:rPr>
          <w:rFonts w:ascii="Arial" w:cs="Arial" w:eastAsia="Arial" w:hAnsi="Arial"/>
          <w:sz w:val="13"/>
          <w:szCs w:val="13"/>
          <w:b w:val="1"/>
          <w:bCs w:val="1"/>
          <w:color w:val="auto"/>
        </w:rPr>
        <w:t>Litigation</w:t>
      </w:r>
    </w:p>
    <w:p>
      <w:pPr>
        <w:spacing w:after="0" w:line="201"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The Group is not party to any litigation or legal proceedings that the Group believes could reasonably be expected to have a material adverse effect on the Group’s business, results of operations and financial position. However, from time to time, we may become involved in various lawsuits and legal proceedings which arise in the ordinary course of business. Litigation is subject to inherent uncertainties, and an adverse result in these or other matters may arise from time to time that may harm our business.</w:t>
      </w:r>
    </w:p>
    <w:p>
      <w:pPr>
        <w:spacing w:after="0" w:line="208" w:lineRule="exact"/>
        <w:rPr>
          <w:sz w:val="20"/>
          <w:szCs w:val="20"/>
          <w:color w:val="auto"/>
        </w:rPr>
      </w:pPr>
    </w:p>
    <w:p>
      <w:pPr>
        <w:ind w:left="320" w:hanging="315"/>
        <w:spacing w:after="0"/>
        <w:tabs>
          <w:tab w:leader="none" w:pos="320" w:val="left"/>
        </w:tabs>
        <w:numPr>
          <w:ilvl w:val="0"/>
          <w:numId w:val="132"/>
        </w:numPr>
        <w:rPr>
          <w:rFonts w:ascii="Arial" w:cs="Arial" w:eastAsia="Arial" w:hAnsi="Arial"/>
          <w:sz w:val="13"/>
          <w:szCs w:val="13"/>
          <w:b w:val="1"/>
          <w:bCs w:val="1"/>
          <w:color w:val="auto"/>
        </w:rPr>
      </w:pPr>
      <w:r>
        <w:rPr>
          <w:rFonts w:ascii="Arial" w:cs="Arial" w:eastAsia="Arial" w:hAnsi="Arial"/>
          <w:sz w:val="13"/>
          <w:szCs w:val="13"/>
          <w:b w:val="1"/>
          <w:bCs w:val="1"/>
          <w:color w:val="auto"/>
        </w:rPr>
        <w:t>Related parties</w:t>
      </w:r>
    </w:p>
    <w:p>
      <w:pPr>
        <w:spacing w:after="0" w:line="245" w:lineRule="exact"/>
        <w:rPr>
          <w:sz w:val="20"/>
          <w:szCs w:val="20"/>
          <w:color w:val="auto"/>
        </w:rPr>
      </w:pPr>
    </w:p>
    <w:p>
      <w:pPr>
        <w:ind w:left="260" w:hanging="255"/>
        <w:spacing w:after="0"/>
        <w:tabs>
          <w:tab w:leader="none" w:pos="260" w:val="left"/>
        </w:tabs>
        <w:numPr>
          <w:ilvl w:val="0"/>
          <w:numId w:val="133"/>
        </w:numPr>
        <w:rPr>
          <w:rFonts w:ascii="Arial" w:cs="Arial" w:eastAsia="Arial" w:hAnsi="Arial"/>
          <w:sz w:val="13"/>
          <w:szCs w:val="13"/>
          <w:color w:val="auto"/>
        </w:rPr>
      </w:pPr>
      <w:r>
        <w:rPr>
          <w:rFonts w:ascii="Arial" w:cs="Arial" w:eastAsia="Arial" w:hAnsi="Arial"/>
          <w:sz w:val="13"/>
          <w:szCs w:val="13"/>
          <w:i w:val="1"/>
          <w:iCs w:val="1"/>
          <w:color w:val="auto"/>
        </w:rPr>
        <w:t>Transactions with Directors and Executive Officers</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The total compensation of the Directors and Executive Officers (key management remuneration) for the years ended 31 December 2021 and 2020 was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shd w:val="clear" w:color="auto" w:fill="CCEEFF"/>
          </w:tcPr>
          <w:p>
            <w:pPr>
              <w:spacing w:after="0"/>
              <w:rPr>
                <w:sz w:val="12"/>
                <w:szCs w:val="12"/>
                <w:color w:val="auto"/>
              </w:rPr>
            </w:pPr>
          </w:p>
        </w:tc>
        <w:tc>
          <w:tcPr>
            <w:tcW w:w="4760" w:type="dxa"/>
            <w:vAlign w:val="bottom"/>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Year ended 31 December</w:t>
            </w:r>
          </w:p>
        </w:tc>
        <w:tc>
          <w:tcPr>
            <w:tcW w:w="1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Year ended 31 December</w:t>
            </w:r>
          </w:p>
        </w:tc>
      </w:tr>
      <w:tr>
        <w:trPr>
          <w:trHeight w:val="170"/>
        </w:trPr>
        <w:tc>
          <w:tcPr>
            <w:tcW w:w="4880" w:type="dxa"/>
            <w:vAlign w:val="bottom"/>
            <w:tcBorders>
              <w:bottom w:val="single" w:sz="8" w:color="auto"/>
            </w:tcBorders>
            <w:shd w:val="clear" w:color="auto" w:fill="CCEEFF"/>
          </w:tcPr>
          <w:p>
            <w:pPr>
              <w:spacing w:after="0"/>
              <w:rPr>
                <w:sz w:val="14"/>
                <w:szCs w:val="14"/>
                <w:color w:val="auto"/>
              </w:rPr>
            </w:pPr>
          </w:p>
        </w:tc>
        <w:tc>
          <w:tcPr>
            <w:tcW w:w="47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2021</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2020</w:t>
            </w:r>
          </w:p>
        </w:tc>
      </w:tr>
      <w:tr>
        <w:trPr>
          <w:trHeight w:val="160"/>
        </w:trPr>
        <w:tc>
          <w:tcPr>
            <w:tcW w:w="4880" w:type="dxa"/>
            <w:vAlign w:val="bottom"/>
          </w:tcPr>
          <w:p>
            <w:pPr>
              <w:spacing w:after="0"/>
              <w:rPr>
                <w:sz w:val="13"/>
                <w:szCs w:val="13"/>
                <w:color w:val="auto"/>
              </w:rPr>
            </w:pPr>
          </w:p>
        </w:tc>
        <w:tc>
          <w:tcPr>
            <w:tcW w:w="4760" w:type="dxa"/>
            <w:vAlign w:val="bottom"/>
          </w:tcPr>
          <w:p>
            <w:pPr>
              <w:jc w:val="right"/>
              <w:ind w:right="76"/>
              <w:spacing w:after="0"/>
              <w:rPr>
                <w:sz w:val="20"/>
                <w:szCs w:val="20"/>
                <w:color w:val="auto"/>
              </w:rPr>
            </w:pPr>
            <w:r>
              <w:rPr>
                <w:rFonts w:ascii="Arial" w:cs="Arial" w:eastAsia="Arial" w:hAnsi="Arial"/>
                <w:sz w:val="13"/>
                <w:szCs w:val="13"/>
                <w:b w:val="1"/>
                <w:bCs w:val="1"/>
                <w:color w:val="auto"/>
              </w:rPr>
              <w:t>$’000</w:t>
            </w:r>
          </w:p>
        </w:tc>
        <w:tc>
          <w:tcPr>
            <w:tcW w:w="162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202"/>
        </w:trPr>
        <w:tc>
          <w:tcPr>
            <w:tcW w:w="4880" w:type="dxa"/>
            <w:vAlign w:val="bottom"/>
            <w:shd w:val="clear" w:color="auto" w:fill="CCEEFF"/>
          </w:tcPr>
          <w:p>
            <w:pPr>
              <w:spacing w:after="0"/>
              <w:rPr>
                <w:sz w:val="17"/>
                <w:szCs w:val="17"/>
                <w:color w:val="auto"/>
              </w:rPr>
            </w:pPr>
          </w:p>
        </w:tc>
        <w:tc>
          <w:tcPr>
            <w:tcW w:w="47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170"/>
        </w:trPr>
        <w:tc>
          <w:tcPr>
            <w:tcW w:w="4880" w:type="dxa"/>
            <w:vAlign w:val="bottom"/>
          </w:tcPr>
          <w:p>
            <w:pPr>
              <w:ind w:left="20"/>
              <w:spacing w:after="0"/>
              <w:rPr>
                <w:sz w:val="20"/>
                <w:szCs w:val="20"/>
                <w:color w:val="auto"/>
              </w:rPr>
            </w:pPr>
            <w:r>
              <w:rPr>
                <w:rFonts w:ascii="Arial" w:cs="Arial" w:eastAsia="Arial" w:hAnsi="Arial"/>
                <w:sz w:val="13"/>
                <w:szCs w:val="13"/>
                <w:color w:val="auto"/>
              </w:rPr>
              <w:t>Salary and fees</w:t>
            </w:r>
          </w:p>
        </w:tc>
        <w:tc>
          <w:tcPr>
            <w:tcW w:w="4760" w:type="dxa"/>
            <w:vAlign w:val="bottom"/>
          </w:tcPr>
          <w:p>
            <w:pPr>
              <w:jc w:val="right"/>
              <w:ind w:right="116"/>
              <w:spacing w:after="0"/>
              <w:rPr>
                <w:sz w:val="20"/>
                <w:szCs w:val="20"/>
                <w:color w:val="auto"/>
              </w:rPr>
            </w:pPr>
            <w:r>
              <w:rPr>
                <w:rFonts w:ascii="Arial" w:cs="Arial" w:eastAsia="Arial" w:hAnsi="Arial"/>
                <w:sz w:val="13"/>
                <w:szCs w:val="13"/>
                <w:b w:val="1"/>
                <w:bCs w:val="1"/>
                <w:color w:val="auto"/>
              </w:rPr>
              <w:t>3,079</w:t>
            </w:r>
          </w:p>
        </w:tc>
        <w:tc>
          <w:tcPr>
            <w:tcW w:w="1620" w:type="dxa"/>
            <w:vAlign w:val="bottom"/>
          </w:tcPr>
          <w:p>
            <w:pPr>
              <w:jc w:val="right"/>
              <w:spacing w:after="0"/>
              <w:rPr>
                <w:sz w:val="20"/>
                <w:szCs w:val="20"/>
                <w:color w:val="auto"/>
              </w:rPr>
            </w:pPr>
            <w:r>
              <w:rPr>
                <w:rFonts w:ascii="Arial" w:cs="Arial" w:eastAsia="Arial" w:hAnsi="Arial"/>
                <w:sz w:val="13"/>
                <w:szCs w:val="13"/>
                <w:color w:val="auto"/>
              </w:rPr>
              <w:t>2,796</w:t>
            </w:r>
          </w:p>
        </w:tc>
      </w:tr>
      <w:tr>
        <w:trPr>
          <w:trHeight w:val="170"/>
        </w:trPr>
        <w:tc>
          <w:tcPr>
            <w:tcW w:w="4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Bonus</w:t>
            </w:r>
          </w:p>
        </w:tc>
        <w:tc>
          <w:tcPr>
            <w:tcW w:w="4760" w:type="dxa"/>
            <w:vAlign w:val="bottom"/>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3,214</w:t>
            </w:r>
          </w:p>
        </w:tc>
        <w:tc>
          <w:tcPr>
            <w:tcW w:w="1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1,046</w:t>
            </w:r>
          </w:p>
        </w:tc>
      </w:tr>
      <w:tr>
        <w:trPr>
          <w:trHeight w:val="170"/>
        </w:trPr>
        <w:tc>
          <w:tcPr>
            <w:tcW w:w="4880" w:type="dxa"/>
            <w:vAlign w:val="bottom"/>
          </w:tcPr>
          <w:p>
            <w:pPr>
              <w:ind w:left="20"/>
              <w:spacing w:after="0"/>
              <w:rPr>
                <w:sz w:val="20"/>
                <w:szCs w:val="20"/>
                <w:color w:val="auto"/>
              </w:rPr>
            </w:pPr>
            <w:r>
              <w:rPr>
                <w:rFonts w:ascii="Arial" w:cs="Arial" w:eastAsia="Arial" w:hAnsi="Arial"/>
                <w:sz w:val="13"/>
                <w:szCs w:val="13"/>
                <w:color w:val="auto"/>
              </w:rPr>
              <w:t>Other benefits</w:t>
            </w:r>
          </w:p>
        </w:tc>
        <w:tc>
          <w:tcPr>
            <w:tcW w:w="4760" w:type="dxa"/>
            <w:vAlign w:val="bottom"/>
          </w:tcPr>
          <w:p>
            <w:pPr>
              <w:jc w:val="right"/>
              <w:ind w:right="116"/>
              <w:spacing w:after="0"/>
              <w:rPr>
                <w:sz w:val="20"/>
                <w:szCs w:val="20"/>
                <w:color w:val="auto"/>
              </w:rPr>
            </w:pPr>
            <w:r>
              <w:rPr>
                <w:rFonts w:ascii="Arial" w:cs="Arial" w:eastAsia="Arial" w:hAnsi="Arial"/>
                <w:sz w:val="13"/>
                <w:szCs w:val="13"/>
                <w:b w:val="1"/>
                <w:bCs w:val="1"/>
                <w:color w:val="auto"/>
              </w:rPr>
              <w:t>66</w:t>
            </w:r>
          </w:p>
        </w:tc>
        <w:tc>
          <w:tcPr>
            <w:tcW w:w="1620" w:type="dxa"/>
            <w:vAlign w:val="bottom"/>
          </w:tcPr>
          <w:p>
            <w:pPr>
              <w:jc w:val="right"/>
              <w:spacing w:after="0"/>
              <w:rPr>
                <w:sz w:val="20"/>
                <w:szCs w:val="20"/>
                <w:color w:val="auto"/>
              </w:rPr>
            </w:pPr>
            <w:r>
              <w:rPr>
                <w:rFonts w:ascii="Arial" w:cs="Arial" w:eastAsia="Arial" w:hAnsi="Arial"/>
                <w:sz w:val="13"/>
                <w:szCs w:val="13"/>
                <w:color w:val="auto"/>
              </w:rPr>
              <w:t>60</w:t>
            </w:r>
          </w:p>
        </w:tc>
      </w:tr>
      <w:tr>
        <w:trPr>
          <w:trHeight w:val="170"/>
        </w:trPr>
        <w:tc>
          <w:tcPr>
            <w:tcW w:w="4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Pension contributions</w:t>
            </w:r>
          </w:p>
        </w:tc>
        <w:tc>
          <w:tcPr>
            <w:tcW w:w="4760" w:type="dxa"/>
            <w:vAlign w:val="bottom"/>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197</w:t>
            </w:r>
          </w:p>
        </w:tc>
        <w:tc>
          <w:tcPr>
            <w:tcW w:w="1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w:t>
            </w:r>
          </w:p>
        </w:tc>
      </w:tr>
      <w:tr>
        <w:trPr>
          <w:trHeight w:val="170"/>
        </w:trPr>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Share-based payment expense</w:t>
            </w:r>
          </w:p>
        </w:tc>
        <w:tc>
          <w:tcPr>
            <w:tcW w:w="47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9,137</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10,663</w:t>
            </w:r>
          </w:p>
        </w:tc>
      </w:tr>
      <w:tr>
        <w:trPr>
          <w:trHeight w:val="182"/>
        </w:trPr>
        <w:tc>
          <w:tcPr>
            <w:tcW w:w="4880" w:type="dxa"/>
            <w:vAlign w:val="bottom"/>
            <w:shd w:val="clear" w:color="auto" w:fill="CCEEFF"/>
          </w:tcPr>
          <w:p>
            <w:pPr>
              <w:spacing w:after="0"/>
              <w:rPr>
                <w:sz w:val="15"/>
                <w:szCs w:val="15"/>
                <w:color w:val="auto"/>
              </w:rPr>
            </w:pPr>
          </w:p>
        </w:tc>
        <w:tc>
          <w:tcPr>
            <w:tcW w:w="476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r>
      <w:tr>
        <w:trPr>
          <w:trHeight w:val="171"/>
        </w:trPr>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w:t>
            </w:r>
          </w:p>
        </w:tc>
        <w:tc>
          <w:tcPr>
            <w:tcW w:w="47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15,693</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14,806</w:t>
            </w:r>
          </w:p>
        </w:tc>
      </w:tr>
    </w:tbl>
    <w:p>
      <w:pPr>
        <w:spacing w:after="0" w:line="255"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 xml:space="preserve">Details of ordinary shares, share options, RSUs and PSUs held by the Directors and Executive Officers and details of transactions entered into by Directors and Key Executive Officers in shares and share options of the Company during the year ended 31 December 2021 are set out in </w:t>
      </w:r>
      <w:r>
        <w:rPr>
          <w:rFonts w:ascii="Arial" w:cs="Arial" w:eastAsia="Arial" w:hAnsi="Arial"/>
          <w:sz w:val="13"/>
          <w:szCs w:val="13"/>
          <w:i w:val="1"/>
          <w:iCs w:val="1"/>
          <w:color w:val="auto"/>
        </w:rPr>
        <w:t>note 9 Payroll and related benefits</w:t>
      </w:r>
      <w:r>
        <w:rPr>
          <w:rFonts w:ascii="Arial" w:cs="Arial" w:eastAsia="Arial" w:hAnsi="Arial"/>
          <w:sz w:val="13"/>
          <w:szCs w:val="13"/>
          <w:color w:val="auto"/>
        </w:rPr>
        <w:t>.</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116</w:t>
      </w:r>
    </w:p>
    <w:p>
      <w:pPr>
        <w:sectPr>
          <w:pgSz w:w="11900" w:h="16838" w:orient="portrait"/>
          <w:cols w:equalWidth="0" w:num="1">
            <w:col w:w="11280"/>
          </w:cols>
          <w:pgMar w:left="300" w:top="698" w:right="31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275" w:lineRule="exact"/>
        <w:rPr>
          <w:sz w:val="20"/>
          <w:szCs w:val="20"/>
          <w:color w:val="auto"/>
        </w:rPr>
      </w:pPr>
    </w:p>
    <w:p>
      <w:pPr>
        <w:ind w:left="320" w:hanging="315"/>
        <w:spacing w:after="0"/>
        <w:tabs>
          <w:tab w:leader="none" w:pos="320" w:val="left"/>
        </w:tabs>
        <w:numPr>
          <w:ilvl w:val="0"/>
          <w:numId w:val="134"/>
        </w:numPr>
        <w:rPr>
          <w:rFonts w:ascii="Arial" w:cs="Arial" w:eastAsia="Arial" w:hAnsi="Arial"/>
          <w:sz w:val="13"/>
          <w:szCs w:val="13"/>
          <w:b w:val="1"/>
          <w:bCs w:val="1"/>
          <w:color w:val="auto"/>
        </w:rPr>
      </w:pPr>
      <w:r>
        <w:rPr>
          <w:rFonts w:ascii="Arial" w:cs="Arial" w:eastAsia="Arial" w:hAnsi="Arial"/>
          <w:sz w:val="13"/>
          <w:szCs w:val="13"/>
          <w:b w:val="1"/>
          <w:bCs w:val="1"/>
          <w:color w:val="auto"/>
        </w:rPr>
        <w:t>Related parties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19" w:lineRule="exact"/>
        <w:rPr>
          <w:sz w:val="20"/>
          <w:szCs w:val="20"/>
          <w:color w:val="auto"/>
        </w:rPr>
      </w:pPr>
    </w:p>
    <w:p>
      <w:pPr>
        <w:ind w:left="280" w:hanging="275"/>
        <w:spacing w:after="0"/>
        <w:tabs>
          <w:tab w:leader="none" w:pos="280" w:val="left"/>
        </w:tabs>
        <w:numPr>
          <w:ilvl w:val="0"/>
          <w:numId w:val="135"/>
        </w:numPr>
        <w:rPr>
          <w:rFonts w:ascii="Arial" w:cs="Arial" w:eastAsia="Arial" w:hAnsi="Arial"/>
          <w:sz w:val="13"/>
          <w:szCs w:val="13"/>
          <w:color w:val="auto"/>
        </w:rPr>
      </w:pPr>
      <w:r>
        <w:rPr>
          <w:rFonts w:ascii="Arial" w:cs="Arial" w:eastAsia="Arial" w:hAnsi="Arial"/>
          <w:sz w:val="13"/>
          <w:szCs w:val="13"/>
          <w:i w:val="1"/>
          <w:iCs w:val="1"/>
          <w:color w:val="auto"/>
        </w:rPr>
        <w:t>Other related party transactions</w:t>
      </w:r>
    </w:p>
    <w:p>
      <w:pPr>
        <w:spacing w:after="0" w:line="199"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auto"/>
        </w:rPr>
        <w:t>On 24 July 2020, a subsidiary of the Company, ICON Clinical Research Limited, entered into an agreement to jointly establish a new company, Oncacare, with a third-party. The Company has invested $4.9 million to obtain a 49% interest in the voting share capital of Oncacare. The Company provided corporate support services to Oncacare to the value of $465,000 during the year ended 31 December 2021. $264,000 was recorded as due from Oncacare at 31 December 2021. During the year ended 31 December 2021, the Company provided a loan of $10 million to Oncacare in order to fund the continued start up of the business' operations. The loan accrues annual interest at 1.6% and the loan is repayable on 30 June 2025. The full amount of this loan remains outstanding at 31 December 2021 along with accrued interest of $23,000.</w:t>
      </w:r>
    </w:p>
    <w:p>
      <w:pPr>
        <w:spacing w:after="0" w:line="173"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majority investor in Oncacare has the right to sell the 51% majority voting share capital exclusively to the Company in a two and half year period, commencing 1 January 2023 and ICON also has the right to acquire the 51% majority voting share capital from 1 August 2025.</w:t>
      </w:r>
    </w:p>
    <w:p>
      <w:pPr>
        <w:spacing w:after="0" w:line="252" w:lineRule="exact"/>
        <w:rPr>
          <w:sz w:val="20"/>
          <w:szCs w:val="20"/>
          <w:color w:val="auto"/>
        </w:rPr>
      </w:pPr>
    </w:p>
    <w:p>
      <w:pPr>
        <w:ind w:left="320" w:hanging="315"/>
        <w:spacing w:after="0"/>
        <w:tabs>
          <w:tab w:leader="none" w:pos="320" w:val="left"/>
        </w:tabs>
        <w:numPr>
          <w:ilvl w:val="0"/>
          <w:numId w:val="136"/>
        </w:numPr>
        <w:rPr>
          <w:rFonts w:ascii="Arial" w:cs="Arial" w:eastAsia="Arial" w:hAnsi="Arial"/>
          <w:sz w:val="13"/>
          <w:szCs w:val="13"/>
          <w:b w:val="1"/>
          <w:bCs w:val="1"/>
          <w:color w:val="auto"/>
        </w:rPr>
      </w:pPr>
      <w:r>
        <w:rPr>
          <w:rFonts w:ascii="Arial" w:cs="Arial" w:eastAsia="Arial" w:hAnsi="Arial"/>
          <w:sz w:val="13"/>
          <w:szCs w:val="13"/>
          <w:b w:val="1"/>
          <w:bCs w:val="1"/>
          <w:color w:val="auto"/>
        </w:rPr>
        <w:t>Subsequent events</w:t>
      </w:r>
    </w:p>
    <w:p>
      <w:pPr>
        <w:spacing w:after="0" w:line="243" w:lineRule="exact"/>
        <w:rPr>
          <w:sz w:val="20"/>
          <w:szCs w:val="20"/>
          <w:color w:val="auto"/>
        </w:rPr>
      </w:pPr>
    </w:p>
    <w:p>
      <w:pPr>
        <w:ind w:right="60"/>
        <w:spacing w:after="0" w:line="283" w:lineRule="auto"/>
        <w:rPr>
          <w:sz w:val="20"/>
          <w:szCs w:val="20"/>
          <w:color w:val="auto"/>
        </w:rPr>
      </w:pPr>
      <w:r>
        <w:rPr>
          <w:rFonts w:ascii="Arial" w:cs="Arial" w:eastAsia="Arial" w:hAnsi="Arial"/>
          <w:sz w:val="13"/>
          <w:szCs w:val="13"/>
          <w:color w:val="auto"/>
        </w:rPr>
        <w:t>The Group has evaluated subsequent events from the balance sheet date through 17 June 2022, the date at which the consolidated financial statements were approved. The following items were identified:</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Share repurchase programme</w:t>
      </w:r>
    </w:p>
    <w:p>
      <w:pPr>
        <w:spacing w:after="0" w:line="188" w:lineRule="exact"/>
        <w:rPr>
          <w:sz w:val="20"/>
          <w:szCs w:val="20"/>
          <w:color w:val="auto"/>
        </w:rPr>
      </w:pPr>
    </w:p>
    <w:p>
      <w:pPr>
        <w:jc w:val="both"/>
        <w:spacing w:after="0" w:line="237" w:lineRule="auto"/>
        <w:rPr>
          <w:sz w:val="20"/>
          <w:szCs w:val="20"/>
          <w:color w:val="auto"/>
        </w:rPr>
      </w:pPr>
      <w:r>
        <w:rPr>
          <w:rFonts w:ascii="Arial" w:cs="Arial" w:eastAsia="Arial" w:hAnsi="Arial"/>
          <w:sz w:val="13"/>
          <w:szCs w:val="13"/>
          <w:color w:val="auto"/>
        </w:rPr>
        <w:t>On 18 February 2022, the Company's Board of Directors authorised a new buyback programme of up to $100 million of the outstanding ordinary shares of the Company. All ordinary shares that are redeemed under the buyback programme will be cancelled in accordance with the constitutional documents of the Company and the nominal value of these shares transferred to an undenominated capital fund as required under Irish Company law. Repurchases under the share buyback programme may be effected from time to time in open market or privately negotiated transactions in accordance with agreed terms and limitations. The timing and amount of the repurchase transactions under this programme will depend on a variety of factors, including market conditions and corporate and regulatory considerations. Depending upon results of operations, market conditions and the development of the economy, as well as other factors, generally we will consider share repurchases on an opportunistic basis from time to time. At 17 June 2022, the Company had fully completed this buyback programme of the repurchase of $100 million of ordinary shares of the Company.</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Senior Secured Credit Facilities</w:t>
      </w:r>
    </w:p>
    <w:p>
      <w:pPr>
        <w:spacing w:after="0" w:line="188"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On 31 March 2022, the Company repaid $300.0 million of the senior secured term loan facility and made a quarterly interest payment of $35.1 million. These repayments resulted in an additional charge associated with previously capitalised fees of $3.2 million.</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Ukraine Crisis</w:t>
      </w:r>
    </w:p>
    <w:p>
      <w:pPr>
        <w:spacing w:after="0" w:line="17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On 24 February 2022 Russia invaded Ukraine creating significant instability and unrest in the region. The Company's operations in these affected regions have been significantly curtailed as a result of these events. The Company's operations in the affected regions are approximately 1%-2% of the Company's turnover and the financial impact of the unrest is not material to the Company.</w:t>
      </w:r>
    </w:p>
    <w:p>
      <w:pPr>
        <w:spacing w:after="0" w:line="220" w:lineRule="exact"/>
        <w:rPr>
          <w:sz w:val="20"/>
          <w:szCs w:val="20"/>
          <w:color w:val="auto"/>
        </w:rPr>
      </w:pPr>
    </w:p>
    <w:p>
      <w:pPr>
        <w:spacing w:after="0"/>
        <w:rPr>
          <w:sz w:val="20"/>
          <w:szCs w:val="20"/>
          <w:color w:val="auto"/>
        </w:rPr>
      </w:pPr>
      <w:r>
        <w:rPr>
          <w:rFonts w:ascii="Arial" w:cs="Arial" w:eastAsia="Arial" w:hAnsi="Arial"/>
          <w:sz w:val="13"/>
          <w:szCs w:val="13"/>
          <w:color w:val="auto"/>
        </w:rPr>
        <w:t>The Company has determined that there are no other items to disclose.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117</w:t>
      </w:r>
    </w:p>
    <w:p>
      <w:pPr>
        <w:sectPr>
          <w:pgSz w:w="11900" w:h="16838" w:orient="portrait"/>
          <w:cols w:equalWidth="0" w:num="1">
            <w:col w:w="11280"/>
          </w:cols>
          <w:pgMar w:left="300" w:top="698" w:right="31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275" w:lineRule="exact"/>
        <w:rPr>
          <w:sz w:val="20"/>
          <w:szCs w:val="20"/>
          <w:color w:val="auto"/>
        </w:rPr>
      </w:pPr>
    </w:p>
    <w:p>
      <w:pPr>
        <w:ind w:left="320" w:hanging="315"/>
        <w:spacing w:after="0"/>
        <w:tabs>
          <w:tab w:leader="none" w:pos="320" w:val="left"/>
        </w:tabs>
        <w:numPr>
          <w:ilvl w:val="0"/>
          <w:numId w:val="137"/>
        </w:numPr>
        <w:rPr>
          <w:rFonts w:ascii="Arial" w:cs="Arial" w:eastAsia="Arial" w:hAnsi="Arial"/>
          <w:sz w:val="13"/>
          <w:szCs w:val="13"/>
          <w:b w:val="1"/>
          <w:bCs w:val="1"/>
          <w:color w:val="auto"/>
        </w:rPr>
      </w:pPr>
      <w:r>
        <w:rPr>
          <w:rFonts w:ascii="Arial" w:cs="Arial" w:eastAsia="Arial" w:hAnsi="Arial"/>
          <w:sz w:val="13"/>
          <w:szCs w:val="13"/>
          <w:b w:val="1"/>
          <w:bCs w:val="1"/>
          <w:color w:val="auto"/>
        </w:rPr>
        <w:t>Subsidiary undertakings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As at 31 December 2021 the Group had the following principal subsidiary undertakings: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3540" w:type="dxa"/>
            <w:vAlign w:val="bottom"/>
            <w:shd w:val="clear" w:color="auto" w:fill="CCEEFF"/>
          </w:tcPr>
          <w:p>
            <w:pPr>
              <w:ind w:left="600"/>
              <w:spacing w:after="0"/>
              <w:rPr>
                <w:sz w:val="20"/>
                <w:szCs w:val="20"/>
                <w:color w:val="auto"/>
              </w:rPr>
            </w:pPr>
            <w:r>
              <w:rPr>
                <w:rFonts w:ascii="Arial" w:cs="Arial" w:eastAsia="Arial" w:hAnsi="Arial"/>
                <w:sz w:val="13"/>
                <w:szCs w:val="13"/>
                <w:b w:val="1"/>
                <w:bCs w:val="1"/>
                <w:color w:val="auto"/>
              </w:rPr>
              <w:t>Registered Office</w:t>
            </w:r>
          </w:p>
        </w:tc>
        <w:tc>
          <w:tcPr>
            <w:tcW w:w="1800" w:type="dxa"/>
            <w:vAlign w:val="bottom"/>
            <w:shd w:val="clear" w:color="auto" w:fill="CCEEFF"/>
          </w:tcPr>
          <w:p>
            <w:pPr>
              <w:ind w:left="160"/>
              <w:spacing w:after="0"/>
              <w:rPr>
                <w:sz w:val="20"/>
                <w:szCs w:val="20"/>
                <w:color w:val="auto"/>
              </w:rPr>
            </w:pPr>
            <w:r>
              <w:rPr>
                <w:rFonts w:ascii="Arial" w:cs="Arial" w:eastAsia="Arial" w:hAnsi="Arial"/>
                <w:sz w:val="13"/>
                <w:szCs w:val="13"/>
                <w:b w:val="1"/>
                <w:bCs w:val="1"/>
                <w:color w:val="auto"/>
              </w:rPr>
              <w:t>Nature of business</w:t>
            </w:r>
          </w:p>
        </w:tc>
        <w:tc>
          <w:tcPr>
            <w:tcW w:w="244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Proportion held by</w:t>
            </w:r>
          </w:p>
        </w:tc>
      </w:tr>
      <w:tr>
        <w:trPr>
          <w:trHeight w:val="170"/>
        </w:trPr>
        <w:tc>
          <w:tcPr>
            <w:tcW w:w="3480" w:type="dxa"/>
            <w:vAlign w:val="bottom"/>
            <w:tcBorders>
              <w:bottom w:val="single" w:sz="8" w:color="auto"/>
            </w:tcBorders>
            <w:shd w:val="clear" w:color="auto" w:fill="CCEEFF"/>
          </w:tcPr>
          <w:p>
            <w:pPr>
              <w:spacing w:after="0"/>
              <w:rPr>
                <w:sz w:val="14"/>
                <w:szCs w:val="14"/>
                <w:color w:val="auto"/>
              </w:rPr>
            </w:pPr>
          </w:p>
        </w:tc>
        <w:tc>
          <w:tcPr>
            <w:tcW w:w="3540" w:type="dxa"/>
            <w:vAlign w:val="bottom"/>
            <w:tcBorders>
              <w:bottom w:val="single" w:sz="8" w:color="auto"/>
            </w:tcBorders>
            <w:shd w:val="clear" w:color="auto" w:fill="CCEEFF"/>
          </w:tcPr>
          <w:p>
            <w:pPr>
              <w:spacing w:after="0"/>
              <w:rPr>
                <w:sz w:val="14"/>
                <w:szCs w:val="14"/>
                <w:color w:val="auto"/>
              </w:rPr>
            </w:pPr>
          </w:p>
        </w:tc>
        <w:tc>
          <w:tcPr>
            <w:tcW w:w="1800" w:type="dxa"/>
            <w:vAlign w:val="bottom"/>
            <w:tcBorders>
              <w:bottom w:val="single" w:sz="8" w:color="auto"/>
            </w:tcBorders>
            <w:shd w:val="clear" w:color="auto" w:fill="CCEEFF"/>
          </w:tcPr>
          <w:p>
            <w:pPr>
              <w:spacing w:after="0"/>
              <w:rPr>
                <w:sz w:val="14"/>
                <w:szCs w:val="14"/>
                <w:color w:val="auto"/>
              </w:rPr>
            </w:pPr>
          </w:p>
        </w:tc>
        <w:tc>
          <w:tcPr>
            <w:tcW w:w="24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3"/>
                <w:szCs w:val="13"/>
                <w:b w:val="1"/>
                <w:bCs w:val="1"/>
                <w:color w:val="auto"/>
              </w:rPr>
              <w:t>Group</w:t>
            </w:r>
          </w:p>
        </w:tc>
      </w:tr>
      <w:tr>
        <w:trPr>
          <w:trHeight w:val="118"/>
        </w:trPr>
        <w:tc>
          <w:tcPr>
            <w:tcW w:w="3480" w:type="dxa"/>
            <w:vAlign w:val="bottom"/>
          </w:tcPr>
          <w:p>
            <w:pPr>
              <w:ind w:left="20"/>
              <w:spacing w:after="0" w:line="118" w:lineRule="exact"/>
              <w:rPr>
                <w:sz w:val="20"/>
                <w:szCs w:val="20"/>
                <w:color w:val="auto"/>
              </w:rPr>
            </w:pPr>
            <w:r>
              <w:rPr>
                <w:rFonts w:ascii="Arial" w:cs="Arial" w:eastAsia="Arial" w:hAnsi="Arial"/>
                <w:sz w:val="13"/>
                <w:szCs w:val="13"/>
                <w:color w:val="auto"/>
              </w:rPr>
              <w:t>ICON Clinical Research S.A.</w:t>
            </w:r>
          </w:p>
        </w:tc>
        <w:tc>
          <w:tcPr>
            <w:tcW w:w="3540" w:type="dxa"/>
            <w:vAlign w:val="bottom"/>
          </w:tcPr>
          <w:p>
            <w:pPr>
              <w:ind w:left="600"/>
              <w:spacing w:after="0" w:line="118" w:lineRule="exact"/>
              <w:rPr>
                <w:sz w:val="20"/>
                <w:szCs w:val="20"/>
                <w:color w:val="auto"/>
              </w:rPr>
            </w:pPr>
            <w:r>
              <w:rPr>
                <w:rFonts w:ascii="Arial" w:cs="Arial" w:eastAsia="Arial" w:hAnsi="Arial"/>
                <w:sz w:val="13"/>
                <w:szCs w:val="13"/>
                <w:color w:val="auto"/>
              </w:rPr>
              <w:t>Cecilia Grierson 255, Floor 6 City of Buenos Aires</w:t>
            </w:r>
          </w:p>
        </w:tc>
        <w:tc>
          <w:tcPr>
            <w:tcW w:w="1800" w:type="dxa"/>
            <w:vAlign w:val="bottom"/>
          </w:tcPr>
          <w:p>
            <w:pPr>
              <w:ind w:left="160"/>
              <w:spacing w:after="0" w:line="11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18" w:lineRule="exact"/>
              <w:rPr>
                <w:sz w:val="20"/>
                <w:szCs w:val="20"/>
                <w:color w:val="auto"/>
              </w:rPr>
            </w:pPr>
            <w:r>
              <w:rPr>
                <w:rFonts w:ascii="Arial" w:cs="Arial" w:eastAsia="Arial" w:hAnsi="Arial"/>
                <w:sz w:val="13"/>
                <w:szCs w:val="13"/>
                <w:color w:val="auto"/>
              </w:rPr>
              <w:t>100%</w:t>
            </w:r>
          </w:p>
        </w:tc>
      </w:tr>
      <w:tr>
        <w:trPr>
          <w:trHeight w:val="127"/>
        </w:trPr>
        <w:tc>
          <w:tcPr>
            <w:tcW w:w="3480" w:type="dxa"/>
            <w:vAlign w:val="bottom"/>
          </w:tcPr>
          <w:p>
            <w:pPr>
              <w:spacing w:after="0"/>
              <w:rPr>
                <w:sz w:val="11"/>
                <w:szCs w:val="11"/>
                <w:color w:val="auto"/>
              </w:rPr>
            </w:pPr>
          </w:p>
        </w:tc>
        <w:tc>
          <w:tcPr>
            <w:tcW w:w="3540" w:type="dxa"/>
            <w:vAlign w:val="bottom"/>
          </w:tcPr>
          <w:p>
            <w:pPr>
              <w:ind w:left="600"/>
              <w:spacing w:after="0" w:line="128" w:lineRule="exact"/>
              <w:rPr>
                <w:sz w:val="20"/>
                <w:szCs w:val="20"/>
                <w:color w:val="auto"/>
              </w:rPr>
            </w:pPr>
            <w:r>
              <w:rPr>
                <w:rFonts w:ascii="Arial" w:cs="Arial" w:eastAsia="Arial" w:hAnsi="Arial"/>
                <w:sz w:val="13"/>
                <w:szCs w:val="13"/>
                <w:color w:val="auto"/>
              </w:rPr>
              <w:t>C1107CPE</w:t>
            </w:r>
          </w:p>
        </w:tc>
        <w:tc>
          <w:tcPr>
            <w:tcW w:w="180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3480" w:type="dxa"/>
            <w:vAlign w:val="bottom"/>
          </w:tcPr>
          <w:p>
            <w:pPr>
              <w:spacing w:after="0"/>
              <w:rPr>
                <w:sz w:val="14"/>
                <w:szCs w:val="14"/>
                <w:color w:val="auto"/>
              </w:rPr>
            </w:pPr>
          </w:p>
        </w:tc>
        <w:tc>
          <w:tcPr>
            <w:tcW w:w="3540" w:type="dxa"/>
            <w:vAlign w:val="bottom"/>
          </w:tcPr>
          <w:p>
            <w:pPr>
              <w:ind w:left="600"/>
              <w:spacing w:after="0"/>
              <w:rPr>
                <w:sz w:val="20"/>
                <w:szCs w:val="20"/>
                <w:color w:val="auto"/>
              </w:rPr>
            </w:pPr>
            <w:r>
              <w:rPr>
                <w:rFonts w:ascii="Arial" w:cs="Arial" w:eastAsia="Arial" w:hAnsi="Arial"/>
                <w:sz w:val="13"/>
                <w:szCs w:val="13"/>
                <w:color w:val="auto"/>
              </w:rPr>
              <w:t>Argentina</w:t>
            </w:r>
          </w:p>
        </w:tc>
        <w:tc>
          <w:tcPr>
            <w:tcW w:w="180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4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RPS Research S.A.</w:t>
            </w:r>
          </w:p>
        </w:tc>
        <w:tc>
          <w:tcPr>
            <w:tcW w:w="3540" w:type="dxa"/>
            <w:vAlign w:val="bottom"/>
            <w:shd w:val="clear" w:color="auto" w:fill="CCEEFF"/>
          </w:tcPr>
          <w:p>
            <w:pPr>
              <w:ind w:left="600"/>
              <w:spacing w:after="0" w:line="129" w:lineRule="exact"/>
              <w:rPr>
                <w:sz w:val="20"/>
                <w:szCs w:val="20"/>
                <w:color w:val="auto"/>
              </w:rPr>
            </w:pPr>
            <w:r>
              <w:rPr>
                <w:rFonts w:ascii="Arial" w:cs="Arial" w:eastAsia="Arial" w:hAnsi="Arial"/>
                <w:sz w:val="13"/>
                <w:szCs w:val="13"/>
                <w:color w:val="auto"/>
              </w:rPr>
              <w:t>Juana Manso 205, Piso 5</w:t>
            </w:r>
          </w:p>
        </w:tc>
        <w:tc>
          <w:tcPr>
            <w:tcW w:w="1800" w:type="dxa"/>
            <w:vAlign w:val="bottom"/>
            <w:shd w:val="clear" w:color="auto" w:fill="CCEEFF"/>
          </w:tcPr>
          <w:p>
            <w:pPr>
              <w:ind w:left="16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480" w:type="dxa"/>
            <w:vAlign w:val="bottom"/>
            <w:shd w:val="clear" w:color="auto" w:fill="CCEEFF"/>
          </w:tcPr>
          <w:p>
            <w:pPr>
              <w:spacing w:after="0"/>
              <w:rPr>
                <w:sz w:val="11"/>
                <w:szCs w:val="11"/>
                <w:color w:val="auto"/>
              </w:rPr>
            </w:pPr>
          </w:p>
        </w:tc>
        <w:tc>
          <w:tcPr>
            <w:tcW w:w="3540" w:type="dxa"/>
            <w:vAlign w:val="bottom"/>
            <w:shd w:val="clear" w:color="auto" w:fill="CCEEFF"/>
          </w:tcPr>
          <w:p>
            <w:pPr>
              <w:ind w:left="600"/>
              <w:spacing w:after="0" w:line="128" w:lineRule="exact"/>
              <w:rPr>
                <w:sz w:val="20"/>
                <w:szCs w:val="20"/>
                <w:color w:val="auto"/>
              </w:rPr>
            </w:pPr>
            <w:r>
              <w:rPr>
                <w:rFonts w:ascii="Arial" w:cs="Arial" w:eastAsia="Arial" w:hAnsi="Arial"/>
                <w:sz w:val="13"/>
                <w:szCs w:val="13"/>
                <w:color w:val="auto"/>
              </w:rPr>
              <w:t>C1107CBE</w:t>
            </w:r>
          </w:p>
        </w:tc>
        <w:tc>
          <w:tcPr>
            <w:tcW w:w="18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480" w:type="dxa"/>
            <w:vAlign w:val="bottom"/>
            <w:shd w:val="clear" w:color="auto" w:fill="CCEEFF"/>
          </w:tcPr>
          <w:p>
            <w:pPr>
              <w:spacing w:after="0"/>
              <w:rPr>
                <w:sz w:val="11"/>
                <w:szCs w:val="11"/>
                <w:color w:val="auto"/>
              </w:rPr>
            </w:pPr>
          </w:p>
        </w:tc>
        <w:tc>
          <w:tcPr>
            <w:tcW w:w="3540" w:type="dxa"/>
            <w:vAlign w:val="bottom"/>
            <w:shd w:val="clear" w:color="auto" w:fill="CCEEFF"/>
          </w:tcPr>
          <w:p>
            <w:pPr>
              <w:ind w:left="600"/>
              <w:spacing w:after="0" w:line="128" w:lineRule="exact"/>
              <w:rPr>
                <w:sz w:val="20"/>
                <w:szCs w:val="20"/>
                <w:color w:val="auto"/>
              </w:rPr>
            </w:pPr>
            <w:r>
              <w:rPr>
                <w:rFonts w:ascii="Arial" w:cs="Arial" w:eastAsia="Arial" w:hAnsi="Arial"/>
                <w:sz w:val="13"/>
                <w:szCs w:val="13"/>
                <w:color w:val="auto"/>
              </w:rPr>
              <w:t>Buenos Aires</w:t>
            </w:r>
          </w:p>
        </w:tc>
        <w:tc>
          <w:tcPr>
            <w:tcW w:w="18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3480" w:type="dxa"/>
            <w:vAlign w:val="bottom"/>
            <w:shd w:val="clear" w:color="auto" w:fill="CCEEFF"/>
          </w:tcPr>
          <w:p>
            <w:pPr>
              <w:spacing w:after="0"/>
              <w:rPr>
                <w:sz w:val="14"/>
                <w:szCs w:val="14"/>
                <w:color w:val="auto"/>
              </w:rPr>
            </w:pPr>
          </w:p>
        </w:tc>
        <w:tc>
          <w:tcPr>
            <w:tcW w:w="3540" w:type="dxa"/>
            <w:vAlign w:val="bottom"/>
            <w:shd w:val="clear" w:color="auto" w:fill="CCEEFF"/>
          </w:tcPr>
          <w:p>
            <w:pPr>
              <w:ind w:left="600"/>
              <w:spacing w:after="0"/>
              <w:rPr>
                <w:sz w:val="20"/>
                <w:szCs w:val="20"/>
                <w:color w:val="auto"/>
              </w:rPr>
            </w:pPr>
            <w:r>
              <w:rPr>
                <w:rFonts w:ascii="Arial" w:cs="Arial" w:eastAsia="Arial" w:hAnsi="Arial"/>
                <w:sz w:val="13"/>
                <w:szCs w:val="13"/>
                <w:color w:val="auto"/>
              </w:rPr>
              <w:t>Argentina</w:t>
            </w:r>
          </w:p>
        </w:tc>
        <w:tc>
          <w:tcPr>
            <w:tcW w:w="180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59"/>
        </w:trPr>
        <w:tc>
          <w:tcPr>
            <w:tcW w:w="3480" w:type="dxa"/>
            <w:vAlign w:val="bottom"/>
          </w:tcPr>
          <w:p>
            <w:pPr>
              <w:ind w:left="20"/>
              <w:spacing w:after="0"/>
              <w:rPr>
                <w:sz w:val="20"/>
                <w:szCs w:val="20"/>
                <w:color w:val="auto"/>
              </w:rPr>
            </w:pPr>
            <w:r>
              <w:rPr>
                <w:rFonts w:ascii="Arial" w:cs="Arial" w:eastAsia="Arial" w:hAnsi="Arial"/>
                <w:sz w:val="13"/>
                <w:szCs w:val="13"/>
                <w:color w:val="auto"/>
              </w:rPr>
              <w:t>ICON Clinical Research PTY Limited</w:t>
            </w:r>
          </w:p>
        </w:tc>
        <w:tc>
          <w:tcPr>
            <w:tcW w:w="3540" w:type="dxa"/>
            <w:vAlign w:val="bottom"/>
          </w:tcPr>
          <w:p>
            <w:pPr>
              <w:ind w:left="600"/>
              <w:spacing w:after="0"/>
              <w:rPr>
                <w:sz w:val="20"/>
                <w:szCs w:val="20"/>
                <w:color w:val="auto"/>
              </w:rPr>
            </w:pPr>
            <w:r>
              <w:rPr>
                <w:rFonts w:ascii="Arial" w:cs="Arial" w:eastAsia="Arial" w:hAnsi="Arial"/>
                <w:sz w:val="13"/>
                <w:szCs w:val="13"/>
                <w:color w:val="auto"/>
              </w:rPr>
              <w:t>Suite 201</w:t>
            </w:r>
          </w:p>
        </w:tc>
        <w:tc>
          <w:tcPr>
            <w:tcW w:w="1800" w:type="dxa"/>
            <w:vAlign w:val="bottom"/>
          </w:tcPr>
          <w:p>
            <w:pPr>
              <w:ind w:left="160"/>
              <w:spacing w:after="0"/>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rPr>
                <w:sz w:val="20"/>
                <w:szCs w:val="20"/>
                <w:color w:val="auto"/>
              </w:rPr>
            </w:pPr>
            <w:r>
              <w:rPr>
                <w:rFonts w:ascii="Arial" w:cs="Arial" w:eastAsia="Arial" w:hAnsi="Arial"/>
                <w:sz w:val="13"/>
                <w:szCs w:val="13"/>
                <w:color w:val="auto"/>
              </w:rPr>
              <w:t>100%*</w:t>
            </w:r>
          </w:p>
        </w:tc>
      </w:tr>
      <w:tr>
        <w:trPr>
          <w:trHeight w:val="159"/>
        </w:trPr>
        <w:tc>
          <w:tcPr>
            <w:tcW w:w="3480" w:type="dxa"/>
            <w:vAlign w:val="bottom"/>
          </w:tcPr>
          <w:p>
            <w:pPr>
              <w:spacing w:after="0"/>
              <w:rPr>
                <w:sz w:val="13"/>
                <w:szCs w:val="13"/>
                <w:color w:val="auto"/>
              </w:rPr>
            </w:pPr>
          </w:p>
        </w:tc>
        <w:tc>
          <w:tcPr>
            <w:tcW w:w="3540" w:type="dxa"/>
            <w:vAlign w:val="bottom"/>
          </w:tcPr>
          <w:p>
            <w:pPr>
              <w:ind w:left="600"/>
              <w:spacing w:after="0"/>
              <w:rPr>
                <w:sz w:val="20"/>
                <w:szCs w:val="20"/>
                <w:color w:val="auto"/>
              </w:rPr>
            </w:pPr>
            <w:r>
              <w:rPr>
                <w:rFonts w:ascii="Arial" w:cs="Arial" w:eastAsia="Arial" w:hAnsi="Arial"/>
                <w:sz w:val="13"/>
                <w:szCs w:val="13"/>
                <w:color w:val="auto"/>
              </w:rPr>
              <w:t>Level 2, 2-4 Lyon Park Road</w:t>
            </w:r>
          </w:p>
        </w:tc>
        <w:tc>
          <w:tcPr>
            <w:tcW w:w="1800" w:type="dxa"/>
            <w:vAlign w:val="bottom"/>
          </w:tcPr>
          <w:p>
            <w:pPr>
              <w:spacing w:after="0"/>
              <w:rPr>
                <w:sz w:val="13"/>
                <w:szCs w:val="13"/>
                <w:color w:val="auto"/>
              </w:rPr>
            </w:pPr>
          </w:p>
        </w:tc>
        <w:tc>
          <w:tcPr>
            <w:tcW w:w="2440" w:type="dxa"/>
            <w:vAlign w:val="bottom"/>
          </w:tcPr>
          <w:p>
            <w:pPr>
              <w:spacing w:after="0"/>
              <w:rPr>
                <w:sz w:val="13"/>
                <w:szCs w:val="13"/>
                <w:color w:val="auto"/>
              </w:rPr>
            </w:pPr>
          </w:p>
        </w:tc>
      </w:tr>
      <w:tr>
        <w:trPr>
          <w:trHeight w:val="159"/>
        </w:trPr>
        <w:tc>
          <w:tcPr>
            <w:tcW w:w="3480" w:type="dxa"/>
            <w:vAlign w:val="bottom"/>
          </w:tcPr>
          <w:p>
            <w:pPr>
              <w:spacing w:after="0"/>
              <w:rPr>
                <w:sz w:val="13"/>
                <w:szCs w:val="13"/>
                <w:color w:val="auto"/>
              </w:rPr>
            </w:pPr>
          </w:p>
        </w:tc>
        <w:tc>
          <w:tcPr>
            <w:tcW w:w="3540" w:type="dxa"/>
            <w:vAlign w:val="bottom"/>
          </w:tcPr>
          <w:p>
            <w:pPr>
              <w:ind w:left="600"/>
              <w:spacing w:after="0"/>
              <w:rPr>
                <w:sz w:val="20"/>
                <w:szCs w:val="20"/>
                <w:color w:val="auto"/>
              </w:rPr>
            </w:pPr>
            <w:r>
              <w:rPr>
                <w:rFonts w:ascii="Arial" w:cs="Arial" w:eastAsia="Arial" w:hAnsi="Arial"/>
                <w:sz w:val="13"/>
                <w:szCs w:val="13"/>
                <w:color w:val="auto"/>
              </w:rPr>
              <w:t>North Ryde</w:t>
            </w:r>
          </w:p>
        </w:tc>
        <w:tc>
          <w:tcPr>
            <w:tcW w:w="1800" w:type="dxa"/>
            <w:vAlign w:val="bottom"/>
          </w:tcPr>
          <w:p>
            <w:pPr>
              <w:spacing w:after="0"/>
              <w:rPr>
                <w:sz w:val="13"/>
                <w:szCs w:val="13"/>
                <w:color w:val="auto"/>
              </w:rPr>
            </w:pPr>
          </w:p>
        </w:tc>
        <w:tc>
          <w:tcPr>
            <w:tcW w:w="2440" w:type="dxa"/>
            <w:vAlign w:val="bottom"/>
          </w:tcPr>
          <w:p>
            <w:pPr>
              <w:spacing w:after="0"/>
              <w:rPr>
                <w:sz w:val="13"/>
                <w:szCs w:val="13"/>
                <w:color w:val="auto"/>
              </w:rPr>
            </w:pPr>
          </w:p>
        </w:tc>
      </w:tr>
      <w:tr>
        <w:trPr>
          <w:trHeight w:val="159"/>
        </w:trPr>
        <w:tc>
          <w:tcPr>
            <w:tcW w:w="3480" w:type="dxa"/>
            <w:vAlign w:val="bottom"/>
          </w:tcPr>
          <w:p>
            <w:pPr>
              <w:spacing w:after="0"/>
              <w:rPr>
                <w:sz w:val="13"/>
                <w:szCs w:val="13"/>
                <w:color w:val="auto"/>
              </w:rPr>
            </w:pPr>
          </w:p>
        </w:tc>
        <w:tc>
          <w:tcPr>
            <w:tcW w:w="3540" w:type="dxa"/>
            <w:vAlign w:val="bottom"/>
          </w:tcPr>
          <w:p>
            <w:pPr>
              <w:ind w:left="600"/>
              <w:spacing w:after="0"/>
              <w:rPr>
                <w:sz w:val="20"/>
                <w:szCs w:val="20"/>
                <w:color w:val="auto"/>
              </w:rPr>
            </w:pPr>
            <w:r>
              <w:rPr>
                <w:rFonts w:ascii="Arial" w:cs="Arial" w:eastAsia="Arial" w:hAnsi="Arial"/>
                <w:sz w:val="13"/>
                <w:szCs w:val="13"/>
                <w:color w:val="auto"/>
              </w:rPr>
              <w:t>NSW 2113</w:t>
            </w:r>
          </w:p>
        </w:tc>
        <w:tc>
          <w:tcPr>
            <w:tcW w:w="1800" w:type="dxa"/>
            <w:vAlign w:val="bottom"/>
          </w:tcPr>
          <w:p>
            <w:pPr>
              <w:spacing w:after="0"/>
              <w:rPr>
                <w:sz w:val="13"/>
                <w:szCs w:val="13"/>
                <w:color w:val="auto"/>
              </w:rPr>
            </w:pPr>
          </w:p>
        </w:tc>
        <w:tc>
          <w:tcPr>
            <w:tcW w:w="2440" w:type="dxa"/>
            <w:vAlign w:val="bottom"/>
          </w:tcPr>
          <w:p>
            <w:pPr>
              <w:spacing w:after="0"/>
              <w:rPr>
                <w:sz w:val="13"/>
                <w:szCs w:val="13"/>
                <w:color w:val="auto"/>
              </w:rPr>
            </w:pPr>
          </w:p>
        </w:tc>
      </w:tr>
      <w:tr>
        <w:trPr>
          <w:trHeight w:val="167"/>
        </w:trPr>
        <w:tc>
          <w:tcPr>
            <w:tcW w:w="3480" w:type="dxa"/>
            <w:vAlign w:val="bottom"/>
          </w:tcPr>
          <w:p>
            <w:pPr>
              <w:spacing w:after="0"/>
              <w:rPr>
                <w:sz w:val="14"/>
                <w:szCs w:val="14"/>
                <w:color w:val="auto"/>
              </w:rPr>
            </w:pPr>
          </w:p>
        </w:tc>
        <w:tc>
          <w:tcPr>
            <w:tcW w:w="3540" w:type="dxa"/>
            <w:vAlign w:val="bottom"/>
          </w:tcPr>
          <w:p>
            <w:pPr>
              <w:ind w:left="600"/>
              <w:spacing w:after="0"/>
              <w:rPr>
                <w:sz w:val="20"/>
                <w:szCs w:val="20"/>
                <w:color w:val="auto"/>
              </w:rPr>
            </w:pPr>
            <w:r>
              <w:rPr>
                <w:rFonts w:ascii="Arial" w:cs="Arial" w:eastAsia="Arial" w:hAnsi="Arial"/>
                <w:sz w:val="13"/>
                <w:szCs w:val="13"/>
                <w:color w:val="auto"/>
              </w:rPr>
              <w:t>Australia</w:t>
            </w:r>
          </w:p>
        </w:tc>
        <w:tc>
          <w:tcPr>
            <w:tcW w:w="180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24"/>
        </w:trPr>
        <w:tc>
          <w:tcPr>
            <w:tcW w:w="34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127"/>
        </w:trPr>
        <w:tc>
          <w:tcPr>
            <w:tcW w:w="348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MedPass International Pty Ltd</w:t>
            </w:r>
          </w:p>
        </w:tc>
        <w:tc>
          <w:tcPr>
            <w:tcW w:w="3540" w:type="dxa"/>
            <w:vAlign w:val="bottom"/>
            <w:shd w:val="clear" w:color="auto" w:fill="CCEEFF"/>
          </w:tcPr>
          <w:p>
            <w:pPr>
              <w:ind w:left="600"/>
              <w:spacing w:after="0" w:line="128" w:lineRule="exact"/>
              <w:rPr>
                <w:sz w:val="20"/>
                <w:szCs w:val="20"/>
                <w:color w:val="auto"/>
              </w:rPr>
            </w:pPr>
            <w:r>
              <w:rPr>
                <w:rFonts w:ascii="Arial" w:cs="Arial" w:eastAsia="Arial" w:hAnsi="Arial"/>
                <w:sz w:val="13"/>
                <w:szCs w:val="13"/>
                <w:color w:val="auto"/>
              </w:rPr>
              <w:t>Level 2, Pier 8, Shop 9</w:t>
            </w:r>
          </w:p>
        </w:tc>
        <w:tc>
          <w:tcPr>
            <w:tcW w:w="1800" w:type="dxa"/>
            <w:vAlign w:val="bottom"/>
            <w:shd w:val="clear" w:color="auto" w:fill="CCEEFF"/>
          </w:tcPr>
          <w:p>
            <w:pPr>
              <w:ind w:left="16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480" w:type="dxa"/>
            <w:vAlign w:val="bottom"/>
            <w:shd w:val="clear" w:color="auto" w:fill="CCEEFF"/>
          </w:tcPr>
          <w:p>
            <w:pPr>
              <w:spacing w:after="0"/>
              <w:rPr>
                <w:sz w:val="11"/>
                <w:szCs w:val="11"/>
                <w:color w:val="auto"/>
              </w:rPr>
            </w:pPr>
          </w:p>
        </w:tc>
        <w:tc>
          <w:tcPr>
            <w:tcW w:w="3540" w:type="dxa"/>
            <w:vAlign w:val="bottom"/>
            <w:shd w:val="clear" w:color="auto" w:fill="CCEEFF"/>
          </w:tcPr>
          <w:p>
            <w:pPr>
              <w:ind w:left="600"/>
              <w:spacing w:after="0" w:line="128" w:lineRule="exact"/>
              <w:rPr>
                <w:sz w:val="20"/>
                <w:szCs w:val="20"/>
                <w:color w:val="auto"/>
              </w:rPr>
            </w:pPr>
            <w:r>
              <w:rPr>
                <w:rFonts w:ascii="Arial" w:cs="Arial" w:eastAsia="Arial" w:hAnsi="Arial"/>
                <w:sz w:val="13"/>
                <w:szCs w:val="13"/>
                <w:color w:val="auto"/>
              </w:rPr>
              <w:t>23 Hickson Road</w:t>
            </w:r>
          </w:p>
        </w:tc>
        <w:tc>
          <w:tcPr>
            <w:tcW w:w="18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480" w:type="dxa"/>
            <w:vAlign w:val="bottom"/>
            <w:shd w:val="clear" w:color="auto" w:fill="CCEEFF"/>
          </w:tcPr>
          <w:p>
            <w:pPr>
              <w:spacing w:after="0"/>
              <w:rPr>
                <w:sz w:val="11"/>
                <w:szCs w:val="11"/>
                <w:color w:val="auto"/>
              </w:rPr>
            </w:pPr>
          </w:p>
        </w:tc>
        <w:tc>
          <w:tcPr>
            <w:tcW w:w="3540" w:type="dxa"/>
            <w:vAlign w:val="bottom"/>
            <w:shd w:val="clear" w:color="auto" w:fill="CCEEFF"/>
          </w:tcPr>
          <w:p>
            <w:pPr>
              <w:ind w:left="600"/>
              <w:spacing w:after="0" w:line="128" w:lineRule="exact"/>
              <w:rPr>
                <w:sz w:val="20"/>
                <w:szCs w:val="20"/>
                <w:color w:val="auto"/>
              </w:rPr>
            </w:pPr>
            <w:r>
              <w:rPr>
                <w:rFonts w:ascii="Arial" w:cs="Arial" w:eastAsia="Arial" w:hAnsi="Arial"/>
                <w:sz w:val="13"/>
                <w:szCs w:val="13"/>
                <w:color w:val="auto"/>
              </w:rPr>
              <w:t>Millers Point</w:t>
            </w:r>
          </w:p>
        </w:tc>
        <w:tc>
          <w:tcPr>
            <w:tcW w:w="18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480" w:type="dxa"/>
            <w:vAlign w:val="bottom"/>
            <w:shd w:val="clear" w:color="auto" w:fill="CCEEFF"/>
          </w:tcPr>
          <w:p>
            <w:pPr>
              <w:spacing w:after="0"/>
              <w:rPr>
                <w:sz w:val="11"/>
                <w:szCs w:val="11"/>
                <w:color w:val="auto"/>
              </w:rPr>
            </w:pPr>
          </w:p>
        </w:tc>
        <w:tc>
          <w:tcPr>
            <w:tcW w:w="3540" w:type="dxa"/>
            <w:vAlign w:val="bottom"/>
            <w:shd w:val="clear" w:color="auto" w:fill="CCEEFF"/>
          </w:tcPr>
          <w:p>
            <w:pPr>
              <w:ind w:left="600"/>
              <w:spacing w:after="0" w:line="128" w:lineRule="exact"/>
              <w:rPr>
                <w:sz w:val="20"/>
                <w:szCs w:val="20"/>
                <w:color w:val="auto"/>
              </w:rPr>
            </w:pPr>
            <w:r>
              <w:rPr>
                <w:rFonts w:ascii="Arial" w:cs="Arial" w:eastAsia="Arial" w:hAnsi="Arial"/>
                <w:sz w:val="13"/>
                <w:szCs w:val="13"/>
                <w:color w:val="auto"/>
              </w:rPr>
              <w:t>NSW 2000</w:t>
            </w:r>
          </w:p>
        </w:tc>
        <w:tc>
          <w:tcPr>
            <w:tcW w:w="18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3480" w:type="dxa"/>
            <w:vAlign w:val="bottom"/>
            <w:shd w:val="clear" w:color="auto" w:fill="CCEEFF"/>
          </w:tcPr>
          <w:p>
            <w:pPr>
              <w:spacing w:after="0"/>
              <w:rPr>
                <w:sz w:val="14"/>
                <w:szCs w:val="14"/>
                <w:color w:val="auto"/>
              </w:rPr>
            </w:pPr>
          </w:p>
        </w:tc>
        <w:tc>
          <w:tcPr>
            <w:tcW w:w="3540" w:type="dxa"/>
            <w:vAlign w:val="bottom"/>
            <w:shd w:val="clear" w:color="auto" w:fill="CCEEFF"/>
          </w:tcPr>
          <w:p>
            <w:pPr>
              <w:ind w:left="600"/>
              <w:spacing w:after="0"/>
              <w:rPr>
                <w:sz w:val="20"/>
                <w:szCs w:val="20"/>
                <w:color w:val="auto"/>
              </w:rPr>
            </w:pPr>
            <w:r>
              <w:rPr>
                <w:rFonts w:ascii="Arial" w:cs="Arial" w:eastAsia="Arial" w:hAnsi="Arial"/>
                <w:sz w:val="13"/>
                <w:szCs w:val="13"/>
                <w:color w:val="auto"/>
              </w:rPr>
              <w:t>Australia</w:t>
            </w:r>
          </w:p>
        </w:tc>
        <w:tc>
          <w:tcPr>
            <w:tcW w:w="180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3480" w:type="dxa"/>
            <w:vAlign w:val="bottom"/>
          </w:tcPr>
          <w:p>
            <w:pPr>
              <w:ind w:left="20"/>
              <w:spacing w:after="0" w:line="128" w:lineRule="exact"/>
              <w:rPr>
                <w:sz w:val="20"/>
                <w:szCs w:val="20"/>
                <w:color w:val="auto"/>
              </w:rPr>
            </w:pPr>
            <w:r>
              <w:rPr>
                <w:rFonts w:ascii="Arial" w:cs="Arial" w:eastAsia="Arial" w:hAnsi="Arial"/>
                <w:sz w:val="13"/>
                <w:szCs w:val="13"/>
                <w:color w:val="auto"/>
              </w:rPr>
              <w:t>Pharmaceutical Research Associates Pty Limited</w:t>
            </w:r>
          </w:p>
        </w:tc>
        <w:tc>
          <w:tcPr>
            <w:tcW w:w="3540" w:type="dxa"/>
            <w:vAlign w:val="bottom"/>
          </w:tcPr>
          <w:p>
            <w:pPr>
              <w:ind w:left="600"/>
              <w:spacing w:after="0" w:line="128" w:lineRule="exact"/>
              <w:rPr>
                <w:sz w:val="20"/>
                <w:szCs w:val="20"/>
                <w:color w:val="auto"/>
              </w:rPr>
            </w:pPr>
            <w:r>
              <w:rPr>
                <w:rFonts w:ascii="Arial" w:cs="Arial" w:eastAsia="Arial" w:hAnsi="Arial"/>
                <w:sz w:val="13"/>
                <w:szCs w:val="13"/>
                <w:color w:val="auto"/>
              </w:rPr>
              <w:t>Suite 201,</w:t>
            </w:r>
          </w:p>
        </w:tc>
        <w:tc>
          <w:tcPr>
            <w:tcW w:w="1800" w:type="dxa"/>
            <w:vAlign w:val="bottom"/>
          </w:tcPr>
          <w:p>
            <w:pPr>
              <w:ind w:left="16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480" w:type="dxa"/>
            <w:vAlign w:val="bottom"/>
          </w:tcPr>
          <w:p>
            <w:pPr>
              <w:spacing w:after="0"/>
              <w:rPr>
                <w:sz w:val="11"/>
                <w:szCs w:val="11"/>
                <w:color w:val="auto"/>
              </w:rPr>
            </w:pPr>
          </w:p>
        </w:tc>
        <w:tc>
          <w:tcPr>
            <w:tcW w:w="3540" w:type="dxa"/>
            <w:vAlign w:val="bottom"/>
          </w:tcPr>
          <w:p>
            <w:pPr>
              <w:ind w:left="600"/>
              <w:spacing w:after="0" w:line="128" w:lineRule="exact"/>
              <w:rPr>
                <w:sz w:val="20"/>
                <w:szCs w:val="20"/>
                <w:color w:val="auto"/>
              </w:rPr>
            </w:pPr>
            <w:r>
              <w:rPr>
                <w:rFonts w:ascii="Arial" w:cs="Arial" w:eastAsia="Arial" w:hAnsi="Arial"/>
                <w:sz w:val="13"/>
                <w:szCs w:val="13"/>
                <w:color w:val="auto"/>
              </w:rPr>
              <w:t>Level 2, 2-4 Lyon Park Road</w:t>
            </w:r>
          </w:p>
        </w:tc>
        <w:tc>
          <w:tcPr>
            <w:tcW w:w="180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480" w:type="dxa"/>
            <w:vAlign w:val="bottom"/>
          </w:tcPr>
          <w:p>
            <w:pPr>
              <w:spacing w:after="0"/>
              <w:rPr>
                <w:sz w:val="11"/>
                <w:szCs w:val="11"/>
                <w:color w:val="auto"/>
              </w:rPr>
            </w:pPr>
          </w:p>
        </w:tc>
        <w:tc>
          <w:tcPr>
            <w:tcW w:w="3540" w:type="dxa"/>
            <w:vAlign w:val="bottom"/>
          </w:tcPr>
          <w:p>
            <w:pPr>
              <w:ind w:left="600"/>
              <w:spacing w:after="0" w:line="128" w:lineRule="exact"/>
              <w:rPr>
                <w:sz w:val="20"/>
                <w:szCs w:val="20"/>
                <w:color w:val="auto"/>
              </w:rPr>
            </w:pPr>
            <w:r>
              <w:rPr>
                <w:rFonts w:ascii="Arial" w:cs="Arial" w:eastAsia="Arial" w:hAnsi="Arial"/>
                <w:sz w:val="13"/>
                <w:szCs w:val="13"/>
                <w:color w:val="auto"/>
              </w:rPr>
              <w:t>North Ryde</w:t>
            </w:r>
          </w:p>
        </w:tc>
        <w:tc>
          <w:tcPr>
            <w:tcW w:w="180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480" w:type="dxa"/>
            <w:vAlign w:val="bottom"/>
          </w:tcPr>
          <w:p>
            <w:pPr>
              <w:spacing w:after="0"/>
              <w:rPr>
                <w:sz w:val="11"/>
                <w:szCs w:val="11"/>
                <w:color w:val="auto"/>
              </w:rPr>
            </w:pPr>
          </w:p>
        </w:tc>
        <w:tc>
          <w:tcPr>
            <w:tcW w:w="3540" w:type="dxa"/>
            <w:vAlign w:val="bottom"/>
          </w:tcPr>
          <w:p>
            <w:pPr>
              <w:ind w:left="600"/>
              <w:spacing w:after="0" w:line="128" w:lineRule="exact"/>
              <w:rPr>
                <w:sz w:val="20"/>
                <w:szCs w:val="20"/>
                <w:color w:val="auto"/>
              </w:rPr>
            </w:pPr>
            <w:r>
              <w:rPr>
                <w:rFonts w:ascii="Arial" w:cs="Arial" w:eastAsia="Arial" w:hAnsi="Arial"/>
                <w:sz w:val="13"/>
                <w:szCs w:val="13"/>
                <w:color w:val="auto"/>
              </w:rPr>
              <w:t>NSW 2113</w:t>
            </w:r>
          </w:p>
        </w:tc>
        <w:tc>
          <w:tcPr>
            <w:tcW w:w="180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3480" w:type="dxa"/>
            <w:vAlign w:val="bottom"/>
          </w:tcPr>
          <w:p>
            <w:pPr>
              <w:spacing w:after="0"/>
              <w:rPr>
                <w:sz w:val="14"/>
                <w:szCs w:val="14"/>
                <w:color w:val="auto"/>
              </w:rPr>
            </w:pPr>
          </w:p>
        </w:tc>
        <w:tc>
          <w:tcPr>
            <w:tcW w:w="3540" w:type="dxa"/>
            <w:vAlign w:val="bottom"/>
          </w:tcPr>
          <w:p>
            <w:pPr>
              <w:ind w:left="600"/>
              <w:spacing w:after="0"/>
              <w:rPr>
                <w:sz w:val="20"/>
                <w:szCs w:val="20"/>
                <w:color w:val="auto"/>
              </w:rPr>
            </w:pPr>
            <w:r>
              <w:rPr>
                <w:rFonts w:ascii="Arial" w:cs="Arial" w:eastAsia="Arial" w:hAnsi="Arial"/>
                <w:sz w:val="13"/>
                <w:szCs w:val="13"/>
                <w:color w:val="auto"/>
              </w:rPr>
              <w:t>Australia</w:t>
            </w:r>
          </w:p>
        </w:tc>
        <w:tc>
          <w:tcPr>
            <w:tcW w:w="180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50"/>
        </w:trPr>
        <w:tc>
          <w:tcPr>
            <w:tcW w:w="3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ICON Clinical Research Austria GmbH</w:t>
            </w:r>
          </w:p>
        </w:tc>
        <w:tc>
          <w:tcPr>
            <w:tcW w:w="3540" w:type="dxa"/>
            <w:vAlign w:val="bottom"/>
            <w:shd w:val="clear" w:color="auto" w:fill="CCEEFF"/>
          </w:tcPr>
          <w:p>
            <w:pPr>
              <w:ind w:left="600"/>
              <w:spacing w:after="0"/>
              <w:rPr>
                <w:sz w:val="20"/>
                <w:szCs w:val="20"/>
                <w:color w:val="auto"/>
              </w:rPr>
            </w:pPr>
            <w:r>
              <w:rPr>
                <w:rFonts w:ascii="Arial" w:cs="Arial" w:eastAsia="Arial" w:hAnsi="Arial"/>
                <w:sz w:val="13"/>
                <w:szCs w:val="13"/>
                <w:color w:val="auto"/>
              </w:rPr>
              <w:t>Pyrkergasse 10/6,</w:t>
            </w:r>
          </w:p>
        </w:tc>
        <w:tc>
          <w:tcPr>
            <w:tcW w:w="18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100%</w:t>
            </w:r>
          </w:p>
        </w:tc>
      </w:tr>
      <w:tr>
        <w:trPr>
          <w:trHeight w:val="127"/>
        </w:trPr>
        <w:tc>
          <w:tcPr>
            <w:tcW w:w="3480" w:type="dxa"/>
            <w:vAlign w:val="bottom"/>
            <w:shd w:val="clear" w:color="auto" w:fill="CCEEFF"/>
          </w:tcPr>
          <w:p>
            <w:pPr>
              <w:spacing w:after="0"/>
              <w:rPr>
                <w:sz w:val="11"/>
                <w:szCs w:val="11"/>
                <w:color w:val="auto"/>
              </w:rPr>
            </w:pPr>
          </w:p>
        </w:tc>
        <w:tc>
          <w:tcPr>
            <w:tcW w:w="3540" w:type="dxa"/>
            <w:vAlign w:val="bottom"/>
            <w:shd w:val="clear" w:color="auto" w:fill="CCEEFF"/>
          </w:tcPr>
          <w:p>
            <w:pPr>
              <w:ind w:left="600"/>
              <w:spacing w:after="0" w:line="128" w:lineRule="exact"/>
              <w:rPr>
                <w:sz w:val="20"/>
                <w:szCs w:val="20"/>
                <w:color w:val="auto"/>
              </w:rPr>
            </w:pPr>
            <w:r>
              <w:rPr>
                <w:rFonts w:ascii="Arial" w:cs="Arial" w:eastAsia="Arial" w:hAnsi="Arial"/>
                <w:sz w:val="13"/>
                <w:szCs w:val="13"/>
                <w:color w:val="auto"/>
              </w:rPr>
              <w:t>1190 Vienna,</w:t>
            </w:r>
          </w:p>
        </w:tc>
        <w:tc>
          <w:tcPr>
            <w:tcW w:w="18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80"/>
        </w:trPr>
        <w:tc>
          <w:tcPr>
            <w:tcW w:w="3480" w:type="dxa"/>
            <w:vAlign w:val="bottom"/>
            <w:shd w:val="clear" w:color="auto" w:fill="CCEEFF"/>
          </w:tcPr>
          <w:p>
            <w:pPr>
              <w:spacing w:after="0"/>
              <w:rPr>
                <w:sz w:val="15"/>
                <w:szCs w:val="15"/>
                <w:color w:val="auto"/>
              </w:rPr>
            </w:pPr>
          </w:p>
        </w:tc>
        <w:tc>
          <w:tcPr>
            <w:tcW w:w="3540" w:type="dxa"/>
            <w:vAlign w:val="bottom"/>
            <w:shd w:val="clear" w:color="auto" w:fill="CCEEFF"/>
          </w:tcPr>
          <w:p>
            <w:pPr>
              <w:ind w:left="600"/>
              <w:spacing w:after="0"/>
              <w:rPr>
                <w:sz w:val="20"/>
                <w:szCs w:val="20"/>
                <w:color w:val="auto"/>
              </w:rPr>
            </w:pPr>
            <w:r>
              <w:rPr>
                <w:rFonts w:ascii="Arial" w:cs="Arial" w:eastAsia="Arial" w:hAnsi="Arial"/>
                <w:sz w:val="13"/>
                <w:szCs w:val="13"/>
                <w:color w:val="auto"/>
              </w:rPr>
              <w:t>Austria</w:t>
            </w:r>
          </w:p>
        </w:tc>
        <w:tc>
          <w:tcPr>
            <w:tcW w:w="1800" w:type="dxa"/>
            <w:vAlign w:val="bottom"/>
            <w:shd w:val="clear" w:color="auto" w:fill="CCEEFF"/>
          </w:tcPr>
          <w:p>
            <w:pPr>
              <w:spacing w:after="0"/>
              <w:rPr>
                <w:sz w:val="15"/>
                <w:szCs w:val="15"/>
                <w:color w:val="auto"/>
              </w:rPr>
            </w:pPr>
          </w:p>
        </w:tc>
        <w:tc>
          <w:tcPr>
            <w:tcW w:w="2440" w:type="dxa"/>
            <w:vAlign w:val="bottom"/>
            <w:shd w:val="clear" w:color="auto" w:fill="CCEEFF"/>
          </w:tcPr>
          <w:p>
            <w:pPr>
              <w:spacing w:after="0"/>
              <w:rPr>
                <w:sz w:val="15"/>
                <w:szCs w:val="15"/>
                <w:color w:val="auto"/>
              </w:rPr>
            </w:pPr>
          </w:p>
        </w:tc>
      </w:tr>
      <w:tr>
        <w:trPr>
          <w:trHeight w:val="127"/>
        </w:trPr>
        <w:tc>
          <w:tcPr>
            <w:tcW w:w="3480" w:type="dxa"/>
            <w:vAlign w:val="bottom"/>
          </w:tcPr>
          <w:p>
            <w:pPr>
              <w:ind w:left="20"/>
              <w:spacing w:after="0" w:line="128" w:lineRule="exact"/>
              <w:rPr>
                <w:sz w:val="20"/>
                <w:szCs w:val="20"/>
                <w:color w:val="auto"/>
              </w:rPr>
            </w:pPr>
            <w:r>
              <w:rPr>
                <w:rFonts w:ascii="Arial" w:cs="Arial" w:eastAsia="Arial" w:hAnsi="Arial"/>
                <w:sz w:val="13"/>
                <w:szCs w:val="13"/>
                <w:color w:val="auto"/>
              </w:rPr>
              <w:t>RPS Research Austria GmbH</w:t>
            </w:r>
          </w:p>
        </w:tc>
        <w:tc>
          <w:tcPr>
            <w:tcW w:w="3540" w:type="dxa"/>
            <w:vAlign w:val="bottom"/>
          </w:tcPr>
          <w:p>
            <w:pPr>
              <w:ind w:left="600"/>
              <w:spacing w:after="0" w:line="128" w:lineRule="exact"/>
              <w:rPr>
                <w:sz w:val="20"/>
                <w:szCs w:val="20"/>
                <w:color w:val="auto"/>
              </w:rPr>
            </w:pPr>
            <w:r>
              <w:rPr>
                <w:rFonts w:ascii="Arial" w:cs="Arial" w:eastAsia="Arial" w:hAnsi="Arial"/>
                <w:sz w:val="13"/>
                <w:szCs w:val="13"/>
                <w:color w:val="auto"/>
              </w:rPr>
              <w:t>Tegetthoffstraße 7</w:t>
            </w:r>
          </w:p>
        </w:tc>
        <w:tc>
          <w:tcPr>
            <w:tcW w:w="1800" w:type="dxa"/>
            <w:vAlign w:val="bottom"/>
          </w:tcPr>
          <w:p>
            <w:pPr>
              <w:ind w:left="16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480" w:type="dxa"/>
            <w:vAlign w:val="bottom"/>
          </w:tcPr>
          <w:p>
            <w:pPr>
              <w:spacing w:after="0"/>
              <w:rPr>
                <w:sz w:val="11"/>
                <w:szCs w:val="11"/>
                <w:color w:val="auto"/>
              </w:rPr>
            </w:pPr>
          </w:p>
        </w:tc>
        <w:tc>
          <w:tcPr>
            <w:tcW w:w="3540" w:type="dxa"/>
            <w:vAlign w:val="bottom"/>
          </w:tcPr>
          <w:p>
            <w:pPr>
              <w:ind w:left="600"/>
              <w:spacing w:after="0" w:line="128" w:lineRule="exact"/>
              <w:rPr>
                <w:sz w:val="20"/>
                <w:szCs w:val="20"/>
                <w:color w:val="auto"/>
              </w:rPr>
            </w:pPr>
            <w:r>
              <w:rPr>
                <w:rFonts w:ascii="Arial" w:cs="Arial" w:eastAsia="Arial" w:hAnsi="Arial"/>
                <w:sz w:val="13"/>
                <w:szCs w:val="13"/>
                <w:color w:val="auto"/>
              </w:rPr>
              <w:t>1010 Vienna</w:t>
            </w:r>
          </w:p>
        </w:tc>
        <w:tc>
          <w:tcPr>
            <w:tcW w:w="180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3480" w:type="dxa"/>
            <w:vAlign w:val="bottom"/>
          </w:tcPr>
          <w:p>
            <w:pPr>
              <w:spacing w:after="0"/>
              <w:rPr>
                <w:sz w:val="14"/>
                <w:szCs w:val="14"/>
                <w:color w:val="auto"/>
              </w:rPr>
            </w:pPr>
          </w:p>
        </w:tc>
        <w:tc>
          <w:tcPr>
            <w:tcW w:w="3540" w:type="dxa"/>
            <w:vAlign w:val="bottom"/>
          </w:tcPr>
          <w:p>
            <w:pPr>
              <w:ind w:left="600"/>
              <w:spacing w:after="0"/>
              <w:rPr>
                <w:sz w:val="20"/>
                <w:szCs w:val="20"/>
                <w:color w:val="auto"/>
              </w:rPr>
            </w:pPr>
            <w:r>
              <w:rPr>
                <w:rFonts w:ascii="Arial" w:cs="Arial" w:eastAsia="Arial" w:hAnsi="Arial"/>
                <w:sz w:val="13"/>
                <w:szCs w:val="13"/>
                <w:color w:val="auto"/>
              </w:rPr>
              <w:t>Austria</w:t>
            </w:r>
          </w:p>
        </w:tc>
        <w:tc>
          <w:tcPr>
            <w:tcW w:w="180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4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IMP-Logistics Bel, FLLC</w:t>
            </w:r>
          </w:p>
        </w:tc>
        <w:tc>
          <w:tcPr>
            <w:tcW w:w="3540" w:type="dxa"/>
            <w:vAlign w:val="bottom"/>
            <w:shd w:val="clear" w:color="auto" w:fill="CCEEFF"/>
          </w:tcPr>
          <w:p>
            <w:pPr>
              <w:ind w:left="600"/>
              <w:spacing w:after="0" w:line="129" w:lineRule="exact"/>
              <w:rPr>
                <w:sz w:val="20"/>
                <w:szCs w:val="20"/>
                <w:color w:val="auto"/>
              </w:rPr>
            </w:pPr>
            <w:r>
              <w:rPr>
                <w:rFonts w:ascii="Arial" w:cs="Arial" w:eastAsia="Arial" w:hAnsi="Arial"/>
                <w:sz w:val="13"/>
                <w:szCs w:val="13"/>
                <w:color w:val="auto"/>
              </w:rPr>
              <w:t>28, Malinina st. bld.4</w:t>
            </w:r>
          </w:p>
        </w:tc>
        <w:tc>
          <w:tcPr>
            <w:tcW w:w="1800" w:type="dxa"/>
            <w:vAlign w:val="bottom"/>
            <w:shd w:val="clear" w:color="auto" w:fill="CCEEFF"/>
          </w:tcPr>
          <w:p>
            <w:pPr>
              <w:ind w:left="16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480" w:type="dxa"/>
            <w:vAlign w:val="bottom"/>
            <w:shd w:val="clear" w:color="auto" w:fill="CCEEFF"/>
          </w:tcPr>
          <w:p>
            <w:pPr>
              <w:spacing w:after="0"/>
              <w:rPr>
                <w:sz w:val="11"/>
                <w:szCs w:val="11"/>
                <w:color w:val="auto"/>
              </w:rPr>
            </w:pPr>
          </w:p>
        </w:tc>
        <w:tc>
          <w:tcPr>
            <w:tcW w:w="3540" w:type="dxa"/>
            <w:vAlign w:val="bottom"/>
            <w:shd w:val="clear" w:color="auto" w:fill="CCEEFF"/>
          </w:tcPr>
          <w:p>
            <w:pPr>
              <w:ind w:left="600"/>
              <w:spacing w:after="0" w:line="128" w:lineRule="exact"/>
              <w:rPr>
                <w:sz w:val="20"/>
                <w:szCs w:val="20"/>
                <w:color w:val="auto"/>
              </w:rPr>
            </w:pPr>
            <w:r>
              <w:rPr>
                <w:rFonts w:ascii="Arial" w:cs="Arial" w:eastAsia="Arial" w:hAnsi="Arial"/>
                <w:sz w:val="13"/>
                <w:szCs w:val="13"/>
                <w:color w:val="auto"/>
              </w:rPr>
              <w:t>Liter A 1-2/k, Office #3</w:t>
            </w:r>
          </w:p>
        </w:tc>
        <w:tc>
          <w:tcPr>
            <w:tcW w:w="18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480" w:type="dxa"/>
            <w:vAlign w:val="bottom"/>
            <w:shd w:val="clear" w:color="auto" w:fill="CCEEFF"/>
          </w:tcPr>
          <w:p>
            <w:pPr>
              <w:spacing w:after="0"/>
              <w:rPr>
                <w:sz w:val="11"/>
                <w:szCs w:val="11"/>
                <w:color w:val="auto"/>
              </w:rPr>
            </w:pPr>
          </w:p>
        </w:tc>
        <w:tc>
          <w:tcPr>
            <w:tcW w:w="3540" w:type="dxa"/>
            <w:vAlign w:val="bottom"/>
            <w:shd w:val="clear" w:color="auto" w:fill="CCEEFF"/>
          </w:tcPr>
          <w:p>
            <w:pPr>
              <w:ind w:left="600"/>
              <w:spacing w:after="0" w:line="128" w:lineRule="exact"/>
              <w:rPr>
                <w:sz w:val="20"/>
                <w:szCs w:val="20"/>
                <w:color w:val="auto"/>
              </w:rPr>
            </w:pPr>
            <w:r>
              <w:rPr>
                <w:rFonts w:ascii="Arial" w:cs="Arial" w:eastAsia="Arial" w:hAnsi="Arial"/>
                <w:sz w:val="13"/>
                <w:szCs w:val="13"/>
                <w:color w:val="auto"/>
              </w:rPr>
              <w:t>Minsk</w:t>
            </w:r>
          </w:p>
        </w:tc>
        <w:tc>
          <w:tcPr>
            <w:tcW w:w="18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480" w:type="dxa"/>
            <w:vAlign w:val="bottom"/>
            <w:shd w:val="clear" w:color="auto" w:fill="CCEEFF"/>
          </w:tcPr>
          <w:p>
            <w:pPr>
              <w:spacing w:after="0"/>
              <w:rPr>
                <w:sz w:val="11"/>
                <w:szCs w:val="11"/>
                <w:color w:val="auto"/>
              </w:rPr>
            </w:pPr>
          </w:p>
        </w:tc>
        <w:tc>
          <w:tcPr>
            <w:tcW w:w="3540" w:type="dxa"/>
            <w:vAlign w:val="bottom"/>
            <w:shd w:val="clear" w:color="auto" w:fill="CCEEFF"/>
          </w:tcPr>
          <w:p>
            <w:pPr>
              <w:ind w:left="600"/>
              <w:spacing w:after="0" w:line="128" w:lineRule="exact"/>
              <w:rPr>
                <w:sz w:val="20"/>
                <w:szCs w:val="20"/>
                <w:color w:val="auto"/>
              </w:rPr>
            </w:pPr>
            <w:r>
              <w:rPr>
                <w:rFonts w:ascii="Arial" w:cs="Arial" w:eastAsia="Arial" w:hAnsi="Arial"/>
                <w:sz w:val="13"/>
                <w:szCs w:val="13"/>
                <w:color w:val="auto"/>
              </w:rPr>
              <w:t>Republic of Belarus</w:t>
            </w:r>
          </w:p>
        </w:tc>
        <w:tc>
          <w:tcPr>
            <w:tcW w:w="18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3480" w:type="dxa"/>
            <w:vAlign w:val="bottom"/>
            <w:shd w:val="clear" w:color="auto" w:fill="CCEEFF"/>
          </w:tcPr>
          <w:p>
            <w:pPr>
              <w:spacing w:after="0"/>
              <w:rPr>
                <w:sz w:val="14"/>
                <w:szCs w:val="14"/>
                <w:color w:val="auto"/>
              </w:rPr>
            </w:pPr>
          </w:p>
        </w:tc>
        <w:tc>
          <w:tcPr>
            <w:tcW w:w="3540" w:type="dxa"/>
            <w:vAlign w:val="bottom"/>
            <w:shd w:val="clear" w:color="auto" w:fill="CCEEFF"/>
          </w:tcPr>
          <w:p>
            <w:pPr>
              <w:ind w:left="600"/>
              <w:spacing w:after="0"/>
              <w:rPr>
                <w:sz w:val="20"/>
                <w:szCs w:val="20"/>
                <w:color w:val="auto"/>
              </w:rPr>
            </w:pPr>
            <w:r>
              <w:rPr>
                <w:rFonts w:ascii="Arial" w:cs="Arial" w:eastAsia="Arial" w:hAnsi="Arial"/>
                <w:sz w:val="13"/>
                <w:szCs w:val="13"/>
                <w:color w:val="auto"/>
              </w:rPr>
              <w:t>220101</w:t>
            </w:r>
          </w:p>
        </w:tc>
        <w:tc>
          <w:tcPr>
            <w:tcW w:w="180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3480" w:type="dxa"/>
            <w:vAlign w:val="bottom"/>
          </w:tcPr>
          <w:p>
            <w:pPr>
              <w:ind w:left="20"/>
              <w:spacing w:after="0" w:line="128" w:lineRule="exact"/>
              <w:rPr>
                <w:sz w:val="20"/>
                <w:szCs w:val="20"/>
                <w:color w:val="auto"/>
              </w:rPr>
            </w:pPr>
            <w:r>
              <w:rPr>
                <w:rFonts w:ascii="Arial" w:cs="Arial" w:eastAsia="Arial" w:hAnsi="Arial"/>
                <w:sz w:val="13"/>
                <w:szCs w:val="13"/>
                <w:color w:val="auto"/>
              </w:rPr>
              <w:t>DOCS International Belgium N.V.</w:t>
            </w:r>
          </w:p>
        </w:tc>
        <w:tc>
          <w:tcPr>
            <w:tcW w:w="3540" w:type="dxa"/>
            <w:vAlign w:val="bottom"/>
          </w:tcPr>
          <w:p>
            <w:pPr>
              <w:ind w:left="600"/>
              <w:spacing w:after="0" w:line="128" w:lineRule="exact"/>
              <w:rPr>
                <w:sz w:val="20"/>
                <w:szCs w:val="20"/>
                <w:color w:val="auto"/>
              </w:rPr>
            </w:pPr>
            <w:r>
              <w:rPr>
                <w:rFonts w:ascii="Arial" w:cs="Arial" w:eastAsia="Arial" w:hAnsi="Arial"/>
                <w:sz w:val="13"/>
                <w:szCs w:val="13"/>
                <w:color w:val="auto"/>
              </w:rPr>
              <w:t>E19 Business Park</w:t>
            </w:r>
          </w:p>
        </w:tc>
        <w:tc>
          <w:tcPr>
            <w:tcW w:w="1800" w:type="dxa"/>
            <w:vAlign w:val="bottom"/>
          </w:tcPr>
          <w:p>
            <w:pPr>
              <w:ind w:left="16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480" w:type="dxa"/>
            <w:vAlign w:val="bottom"/>
          </w:tcPr>
          <w:p>
            <w:pPr>
              <w:spacing w:after="0"/>
              <w:rPr>
                <w:sz w:val="11"/>
                <w:szCs w:val="11"/>
                <w:color w:val="auto"/>
              </w:rPr>
            </w:pPr>
          </w:p>
        </w:tc>
        <w:tc>
          <w:tcPr>
            <w:tcW w:w="3540" w:type="dxa"/>
            <w:vAlign w:val="bottom"/>
          </w:tcPr>
          <w:p>
            <w:pPr>
              <w:ind w:left="600"/>
              <w:spacing w:after="0" w:line="128" w:lineRule="exact"/>
              <w:rPr>
                <w:sz w:val="20"/>
                <w:szCs w:val="20"/>
                <w:color w:val="auto"/>
              </w:rPr>
            </w:pPr>
            <w:r>
              <w:rPr>
                <w:rFonts w:ascii="Arial" w:cs="Arial" w:eastAsia="Arial" w:hAnsi="Arial"/>
                <w:sz w:val="13"/>
                <w:szCs w:val="13"/>
                <w:color w:val="auto"/>
              </w:rPr>
              <w:t>Battelsesteenweg 455D</w:t>
            </w:r>
          </w:p>
        </w:tc>
        <w:tc>
          <w:tcPr>
            <w:tcW w:w="180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480" w:type="dxa"/>
            <w:vAlign w:val="bottom"/>
          </w:tcPr>
          <w:p>
            <w:pPr>
              <w:spacing w:after="0"/>
              <w:rPr>
                <w:sz w:val="11"/>
                <w:szCs w:val="11"/>
                <w:color w:val="auto"/>
              </w:rPr>
            </w:pPr>
          </w:p>
        </w:tc>
        <w:tc>
          <w:tcPr>
            <w:tcW w:w="3540" w:type="dxa"/>
            <w:vAlign w:val="bottom"/>
          </w:tcPr>
          <w:p>
            <w:pPr>
              <w:ind w:left="600"/>
              <w:spacing w:after="0" w:line="128" w:lineRule="exact"/>
              <w:rPr>
                <w:sz w:val="20"/>
                <w:szCs w:val="20"/>
                <w:color w:val="auto"/>
              </w:rPr>
            </w:pPr>
            <w:r>
              <w:rPr>
                <w:rFonts w:ascii="Arial" w:cs="Arial" w:eastAsia="Arial" w:hAnsi="Arial"/>
                <w:sz w:val="13"/>
                <w:szCs w:val="13"/>
                <w:color w:val="auto"/>
              </w:rPr>
              <w:t>2800 Mechelen</w:t>
            </w:r>
          </w:p>
        </w:tc>
        <w:tc>
          <w:tcPr>
            <w:tcW w:w="180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3480" w:type="dxa"/>
            <w:vAlign w:val="bottom"/>
          </w:tcPr>
          <w:p>
            <w:pPr>
              <w:spacing w:after="0"/>
              <w:rPr>
                <w:sz w:val="14"/>
                <w:szCs w:val="14"/>
                <w:color w:val="auto"/>
              </w:rPr>
            </w:pPr>
          </w:p>
        </w:tc>
        <w:tc>
          <w:tcPr>
            <w:tcW w:w="3540" w:type="dxa"/>
            <w:vAlign w:val="bottom"/>
          </w:tcPr>
          <w:p>
            <w:pPr>
              <w:ind w:left="600"/>
              <w:spacing w:after="0"/>
              <w:rPr>
                <w:sz w:val="20"/>
                <w:szCs w:val="20"/>
                <w:color w:val="auto"/>
              </w:rPr>
            </w:pPr>
            <w:r>
              <w:rPr>
                <w:rFonts w:ascii="Arial" w:cs="Arial" w:eastAsia="Arial" w:hAnsi="Arial"/>
                <w:sz w:val="13"/>
                <w:szCs w:val="13"/>
                <w:color w:val="auto"/>
              </w:rPr>
              <w:t>Belgium</w:t>
            </w:r>
          </w:p>
        </w:tc>
        <w:tc>
          <w:tcPr>
            <w:tcW w:w="180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4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Pharmaceutical Research Associates Belgium B.V.</w:t>
            </w:r>
          </w:p>
        </w:tc>
        <w:tc>
          <w:tcPr>
            <w:tcW w:w="3540" w:type="dxa"/>
            <w:vAlign w:val="bottom"/>
            <w:shd w:val="clear" w:color="auto" w:fill="CCEEFF"/>
          </w:tcPr>
          <w:p>
            <w:pPr>
              <w:ind w:left="600"/>
              <w:spacing w:after="0" w:line="129" w:lineRule="exact"/>
              <w:rPr>
                <w:sz w:val="20"/>
                <w:szCs w:val="20"/>
                <w:color w:val="auto"/>
              </w:rPr>
            </w:pPr>
            <w:r>
              <w:rPr>
                <w:rFonts w:ascii="Arial" w:cs="Arial" w:eastAsia="Arial" w:hAnsi="Arial"/>
                <w:sz w:val="13"/>
                <w:szCs w:val="13"/>
                <w:color w:val="auto"/>
              </w:rPr>
              <w:t>E19 Business Park</w:t>
            </w:r>
          </w:p>
        </w:tc>
        <w:tc>
          <w:tcPr>
            <w:tcW w:w="1800" w:type="dxa"/>
            <w:vAlign w:val="bottom"/>
            <w:shd w:val="clear" w:color="auto" w:fill="CCEEFF"/>
          </w:tcPr>
          <w:p>
            <w:pPr>
              <w:ind w:left="16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480" w:type="dxa"/>
            <w:vAlign w:val="bottom"/>
            <w:shd w:val="clear" w:color="auto" w:fill="CCEEFF"/>
          </w:tcPr>
          <w:p>
            <w:pPr>
              <w:spacing w:after="0"/>
              <w:rPr>
                <w:sz w:val="11"/>
                <w:szCs w:val="11"/>
                <w:color w:val="auto"/>
              </w:rPr>
            </w:pPr>
          </w:p>
        </w:tc>
        <w:tc>
          <w:tcPr>
            <w:tcW w:w="3540" w:type="dxa"/>
            <w:vAlign w:val="bottom"/>
            <w:shd w:val="clear" w:color="auto" w:fill="CCEEFF"/>
          </w:tcPr>
          <w:p>
            <w:pPr>
              <w:ind w:left="600"/>
              <w:spacing w:after="0" w:line="128" w:lineRule="exact"/>
              <w:rPr>
                <w:sz w:val="20"/>
                <w:szCs w:val="20"/>
                <w:color w:val="auto"/>
              </w:rPr>
            </w:pPr>
            <w:r>
              <w:rPr>
                <w:rFonts w:ascii="Arial" w:cs="Arial" w:eastAsia="Arial" w:hAnsi="Arial"/>
                <w:sz w:val="13"/>
                <w:szCs w:val="13"/>
                <w:color w:val="auto"/>
              </w:rPr>
              <w:t>Battelsesteenweg 455D</w:t>
            </w:r>
          </w:p>
        </w:tc>
        <w:tc>
          <w:tcPr>
            <w:tcW w:w="18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480" w:type="dxa"/>
            <w:vAlign w:val="bottom"/>
            <w:shd w:val="clear" w:color="auto" w:fill="CCEEFF"/>
          </w:tcPr>
          <w:p>
            <w:pPr>
              <w:spacing w:after="0"/>
              <w:rPr>
                <w:sz w:val="11"/>
                <w:szCs w:val="11"/>
                <w:color w:val="auto"/>
              </w:rPr>
            </w:pPr>
          </w:p>
        </w:tc>
        <w:tc>
          <w:tcPr>
            <w:tcW w:w="3540" w:type="dxa"/>
            <w:vAlign w:val="bottom"/>
            <w:shd w:val="clear" w:color="auto" w:fill="CCEEFF"/>
          </w:tcPr>
          <w:p>
            <w:pPr>
              <w:ind w:left="600"/>
              <w:spacing w:after="0" w:line="128" w:lineRule="exact"/>
              <w:rPr>
                <w:sz w:val="20"/>
                <w:szCs w:val="20"/>
                <w:color w:val="auto"/>
              </w:rPr>
            </w:pPr>
            <w:r>
              <w:rPr>
                <w:rFonts w:ascii="Arial" w:cs="Arial" w:eastAsia="Arial" w:hAnsi="Arial"/>
                <w:sz w:val="13"/>
                <w:szCs w:val="13"/>
                <w:color w:val="auto"/>
              </w:rPr>
              <w:t>2800 Mechelen</w:t>
            </w:r>
          </w:p>
        </w:tc>
        <w:tc>
          <w:tcPr>
            <w:tcW w:w="18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3480" w:type="dxa"/>
            <w:vAlign w:val="bottom"/>
            <w:shd w:val="clear" w:color="auto" w:fill="CCEEFF"/>
          </w:tcPr>
          <w:p>
            <w:pPr>
              <w:spacing w:after="0"/>
              <w:rPr>
                <w:sz w:val="14"/>
                <w:szCs w:val="14"/>
                <w:color w:val="auto"/>
              </w:rPr>
            </w:pPr>
          </w:p>
        </w:tc>
        <w:tc>
          <w:tcPr>
            <w:tcW w:w="3540" w:type="dxa"/>
            <w:vAlign w:val="bottom"/>
            <w:shd w:val="clear" w:color="auto" w:fill="CCEEFF"/>
          </w:tcPr>
          <w:p>
            <w:pPr>
              <w:ind w:left="600"/>
              <w:spacing w:after="0"/>
              <w:rPr>
                <w:sz w:val="20"/>
                <w:szCs w:val="20"/>
                <w:color w:val="auto"/>
              </w:rPr>
            </w:pPr>
            <w:r>
              <w:rPr>
                <w:rFonts w:ascii="Arial" w:cs="Arial" w:eastAsia="Arial" w:hAnsi="Arial"/>
                <w:sz w:val="13"/>
                <w:szCs w:val="13"/>
                <w:color w:val="auto"/>
              </w:rPr>
              <w:t>Belgium</w:t>
            </w:r>
          </w:p>
        </w:tc>
        <w:tc>
          <w:tcPr>
            <w:tcW w:w="180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3480" w:type="dxa"/>
            <w:vAlign w:val="bottom"/>
          </w:tcPr>
          <w:p>
            <w:pPr>
              <w:ind w:left="20"/>
              <w:spacing w:after="0" w:line="128" w:lineRule="exact"/>
              <w:rPr>
                <w:sz w:val="20"/>
                <w:szCs w:val="20"/>
                <w:color w:val="auto"/>
              </w:rPr>
            </w:pPr>
            <w:r>
              <w:rPr>
                <w:rFonts w:ascii="Arial" w:cs="Arial" w:eastAsia="Arial" w:hAnsi="Arial"/>
                <w:sz w:val="13"/>
                <w:szCs w:val="13"/>
                <w:color w:val="auto"/>
              </w:rPr>
              <w:t>RPS Bermuda, Ltd.</w:t>
            </w:r>
          </w:p>
        </w:tc>
        <w:tc>
          <w:tcPr>
            <w:tcW w:w="3540" w:type="dxa"/>
            <w:vAlign w:val="bottom"/>
          </w:tcPr>
          <w:p>
            <w:pPr>
              <w:ind w:left="600"/>
              <w:spacing w:after="0" w:line="128" w:lineRule="exact"/>
              <w:rPr>
                <w:sz w:val="20"/>
                <w:szCs w:val="20"/>
                <w:color w:val="auto"/>
              </w:rPr>
            </w:pPr>
            <w:r>
              <w:rPr>
                <w:rFonts w:ascii="Arial" w:cs="Arial" w:eastAsia="Arial" w:hAnsi="Arial"/>
                <w:sz w:val="13"/>
                <w:szCs w:val="13"/>
                <w:color w:val="auto"/>
              </w:rPr>
              <w:t>Victoria Place, 5th Floor</w:t>
            </w:r>
          </w:p>
        </w:tc>
        <w:tc>
          <w:tcPr>
            <w:tcW w:w="1800" w:type="dxa"/>
            <w:vAlign w:val="bottom"/>
          </w:tcPr>
          <w:p>
            <w:pPr>
              <w:ind w:left="16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480" w:type="dxa"/>
            <w:vAlign w:val="bottom"/>
          </w:tcPr>
          <w:p>
            <w:pPr>
              <w:spacing w:after="0"/>
              <w:rPr>
                <w:sz w:val="11"/>
                <w:szCs w:val="11"/>
                <w:color w:val="auto"/>
              </w:rPr>
            </w:pPr>
          </w:p>
        </w:tc>
        <w:tc>
          <w:tcPr>
            <w:tcW w:w="3540" w:type="dxa"/>
            <w:vAlign w:val="bottom"/>
          </w:tcPr>
          <w:p>
            <w:pPr>
              <w:ind w:left="600"/>
              <w:spacing w:after="0" w:line="128" w:lineRule="exact"/>
              <w:rPr>
                <w:sz w:val="20"/>
                <w:szCs w:val="20"/>
                <w:color w:val="auto"/>
              </w:rPr>
            </w:pPr>
            <w:r>
              <w:rPr>
                <w:rFonts w:ascii="Arial" w:cs="Arial" w:eastAsia="Arial" w:hAnsi="Arial"/>
                <w:sz w:val="13"/>
                <w:szCs w:val="13"/>
                <w:color w:val="auto"/>
              </w:rPr>
              <w:t>31 Victoria Street</w:t>
            </w:r>
          </w:p>
        </w:tc>
        <w:tc>
          <w:tcPr>
            <w:tcW w:w="180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480" w:type="dxa"/>
            <w:vAlign w:val="bottom"/>
          </w:tcPr>
          <w:p>
            <w:pPr>
              <w:spacing w:after="0"/>
              <w:rPr>
                <w:sz w:val="11"/>
                <w:szCs w:val="11"/>
                <w:color w:val="auto"/>
              </w:rPr>
            </w:pPr>
          </w:p>
        </w:tc>
        <w:tc>
          <w:tcPr>
            <w:tcW w:w="3540" w:type="dxa"/>
            <w:vAlign w:val="bottom"/>
          </w:tcPr>
          <w:p>
            <w:pPr>
              <w:ind w:left="600"/>
              <w:spacing w:after="0" w:line="128" w:lineRule="exact"/>
              <w:rPr>
                <w:sz w:val="20"/>
                <w:szCs w:val="20"/>
                <w:color w:val="auto"/>
              </w:rPr>
            </w:pPr>
            <w:r>
              <w:rPr>
                <w:rFonts w:ascii="Arial" w:cs="Arial" w:eastAsia="Arial" w:hAnsi="Arial"/>
                <w:sz w:val="13"/>
                <w:szCs w:val="13"/>
                <w:color w:val="auto"/>
              </w:rPr>
              <w:t>Hamilton HM 10</w:t>
            </w:r>
          </w:p>
        </w:tc>
        <w:tc>
          <w:tcPr>
            <w:tcW w:w="180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3480" w:type="dxa"/>
            <w:vAlign w:val="bottom"/>
          </w:tcPr>
          <w:p>
            <w:pPr>
              <w:spacing w:after="0"/>
              <w:rPr>
                <w:sz w:val="14"/>
                <w:szCs w:val="14"/>
                <w:color w:val="auto"/>
              </w:rPr>
            </w:pPr>
          </w:p>
        </w:tc>
        <w:tc>
          <w:tcPr>
            <w:tcW w:w="3540" w:type="dxa"/>
            <w:vAlign w:val="bottom"/>
          </w:tcPr>
          <w:p>
            <w:pPr>
              <w:ind w:left="600"/>
              <w:spacing w:after="0"/>
              <w:rPr>
                <w:sz w:val="20"/>
                <w:szCs w:val="20"/>
                <w:color w:val="auto"/>
              </w:rPr>
            </w:pPr>
            <w:r>
              <w:rPr>
                <w:rFonts w:ascii="Arial" w:cs="Arial" w:eastAsia="Arial" w:hAnsi="Arial"/>
                <w:sz w:val="13"/>
                <w:szCs w:val="13"/>
                <w:color w:val="auto"/>
              </w:rPr>
              <w:t>Bermuda</w:t>
            </w:r>
          </w:p>
        </w:tc>
        <w:tc>
          <w:tcPr>
            <w:tcW w:w="180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60"/>
        </w:trPr>
        <w:tc>
          <w:tcPr>
            <w:tcW w:w="3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ICON Pesquisas Clínicas LTDA.</w:t>
            </w:r>
          </w:p>
        </w:tc>
        <w:tc>
          <w:tcPr>
            <w:tcW w:w="3540" w:type="dxa"/>
            <w:vAlign w:val="bottom"/>
            <w:shd w:val="clear" w:color="auto" w:fill="CCEEFF"/>
          </w:tcPr>
          <w:p>
            <w:pPr>
              <w:ind w:left="600"/>
              <w:spacing w:after="0"/>
              <w:rPr>
                <w:sz w:val="20"/>
                <w:szCs w:val="20"/>
                <w:color w:val="auto"/>
              </w:rPr>
            </w:pPr>
            <w:r>
              <w:rPr>
                <w:rFonts w:ascii="Arial" w:cs="Arial" w:eastAsia="Arial" w:hAnsi="Arial"/>
                <w:sz w:val="13"/>
                <w:szCs w:val="13"/>
                <w:color w:val="auto"/>
              </w:rPr>
              <w:t>Av. Ibirapuera 2332</w:t>
            </w:r>
          </w:p>
        </w:tc>
        <w:tc>
          <w:tcPr>
            <w:tcW w:w="18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100%*</w:t>
            </w:r>
          </w:p>
        </w:tc>
      </w:tr>
      <w:tr>
        <w:trPr>
          <w:trHeight w:val="159"/>
        </w:trPr>
        <w:tc>
          <w:tcPr>
            <w:tcW w:w="3480" w:type="dxa"/>
            <w:vAlign w:val="bottom"/>
            <w:shd w:val="clear" w:color="auto" w:fill="CCEEFF"/>
          </w:tcPr>
          <w:p>
            <w:pPr>
              <w:spacing w:after="0"/>
              <w:rPr>
                <w:sz w:val="13"/>
                <w:szCs w:val="13"/>
                <w:color w:val="auto"/>
              </w:rPr>
            </w:pPr>
          </w:p>
        </w:tc>
        <w:tc>
          <w:tcPr>
            <w:tcW w:w="3540" w:type="dxa"/>
            <w:vAlign w:val="bottom"/>
            <w:shd w:val="clear" w:color="auto" w:fill="CCEEFF"/>
          </w:tcPr>
          <w:p>
            <w:pPr>
              <w:ind w:left="600"/>
              <w:spacing w:after="0"/>
              <w:rPr>
                <w:sz w:val="20"/>
                <w:szCs w:val="20"/>
                <w:color w:val="auto"/>
              </w:rPr>
            </w:pPr>
            <w:r>
              <w:rPr>
                <w:rFonts w:ascii="Arial" w:cs="Arial" w:eastAsia="Arial" w:hAnsi="Arial"/>
                <w:sz w:val="13"/>
                <w:szCs w:val="13"/>
                <w:color w:val="auto"/>
              </w:rPr>
              <w:t>Torre II 4º Andar</w:t>
            </w:r>
          </w:p>
        </w:tc>
        <w:tc>
          <w:tcPr>
            <w:tcW w:w="1800" w:type="dxa"/>
            <w:vAlign w:val="bottom"/>
            <w:shd w:val="clear" w:color="auto" w:fill="CCEEFF"/>
          </w:tcPr>
          <w:p>
            <w:pPr>
              <w:spacing w:after="0"/>
              <w:rPr>
                <w:sz w:val="13"/>
                <w:szCs w:val="13"/>
                <w:color w:val="auto"/>
              </w:rPr>
            </w:pPr>
          </w:p>
        </w:tc>
        <w:tc>
          <w:tcPr>
            <w:tcW w:w="2440" w:type="dxa"/>
            <w:vAlign w:val="bottom"/>
            <w:shd w:val="clear" w:color="auto" w:fill="CCEEFF"/>
          </w:tcPr>
          <w:p>
            <w:pPr>
              <w:spacing w:after="0"/>
              <w:rPr>
                <w:sz w:val="13"/>
                <w:szCs w:val="13"/>
                <w:color w:val="auto"/>
              </w:rPr>
            </w:pPr>
          </w:p>
        </w:tc>
      </w:tr>
      <w:tr>
        <w:trPr>
          <w:trHeight w:val="159"/>
        </w:trPr>
        <w:tc>
          <w:tcPr>
            <w:tcW w:w="3480" w:type="dxa"/>
            <w:vAlign w:val="bottom"/>
            <w:shd w:val="clear" w:color="auto" w:fill="CCEEFF"/>
          </w:tcPr>
          <w:p>
            <w:pPr>
              <w:spacing w:after="0"/>
              <w:rPr>
                <w:sz w:val="13"/>
                <w:szCs w:val="13"/>
                <w:color w:val="auto"/>
              </w:rPr>
            </w:pPr>
          </w:p>
        </w:tc>
        <w:tc>
          <w:tcPr>
            <w:tcW w:w="3540" w:type="dxa"/>
            <w:vAlign w:val="bottom"/>
            <w:shd w:val="clear" w:color="auto" w:fill="CCEEFF"/>
          </w:tcPr>
          <w:p>
            <w:pPr>
              <w:ind w:left="600"/>
              <w:spacing w:after="0"/>
              <w:rPr>
                <w:sz w:val="20"/>
                <w:szCs w:val="20"/>
                <w:color w:val="auto"/>
              </w:rPr>
            </w:pPr>
            <w:r>
              <w:rPr>
                <w:rFonts w:ascii="Arial" w:cs="Arial" w:eastAsia="Arial" w:hAnsi="Arial"/>
                <w:sz w:val="13"/>
                <w:szCs w:val="13"/>
                <w:color w:val="auto"/>
              </w:rPr>
              <w:t>São Paulo, SP</w:t>
            </w:r>
          </w:p>
        </w:tc>
        <w:tc>
          <w:tcPr>
            <w:tcW w:w="1800" w:type="dxa"/>
            <w:vAlign w:val="bottom"/>
            <w:shd w:val="clear" w:color="auto" w:fill="CCEEFF"/>
          </w:tcPr>
          <w:p>
            <w:pPr>
              <w:spacing w:after="0"/>
              <w:rPr>
                <w:sz w:val="13"/>
                <w:szCs w:val="13"/>
                <w:color w:val="auto"/>
              </w:rPr>
            </w:pPr>
          </w:p>
        </w:tc>
        <w:tc>
          <w:tcPr>
            <w:tcW w:w="2440" w:type="dxa"/>
            <w:vAlign w:val="bottom"/>
            <w:shd w:val="clear" w:color="auto" w:fill="CCEEFF"/>
          </w:tcPr>
          <w:p>
            <w:pPr>
              <w:spacing w:after="0"/>
              <w:rPr>
                <w:sz w:val="13"/>
                <w:szCs w:val="13"/>
                <w:color w:val="auto"/>
              </w:rPr>
            </w:pPr>
          </w:p>
        </w:tc>
      </w:tr>
      <w:tr>
        <w:trPr>
          <w:trHeight w:val="159"/>
        </w:trPr>
        <w:tc>
          <w:tcPr>
            <w:tcW w:w="3480" w:type="dxa"/>
            <w:vAlign w:val="bottom"/>
            <w:shd w:val="clear" w:color="auto" w:fill="CCEEFF"/>
          </w:tcPr>
          <w:p>
            <w:pPr>
              <w:spacing w:after="0"/>
              <w:rPr>
                <w:sz w:val="13"/>
                <w:szCs w:val="13"/>
                <w:color w:val="auto"/>
              </w:rPr>
            </w:pPr>
          </w:p>
        </w:tc>
        <w:tc>
          <w:tcPr>
            <w:tcW w:w="3540" w:type="dxa"/>
            <w:vAlign w:val="bottom"/>
            <w:shd w:val="clear" w:color="auto" w:fill="CCEEFF"/>
          </w:tcPr>
          <w:p>
            <w:pPr>
              <w:ind w:left="600"/>
              <w:spacing w:after="0"/>
              <w:rPr>
                <w:sz w:val="20"/>
                <w:szCs w:val="20"/>
                <w:color w:val="auto"/>
              </w:rPr>
            </w:pPr>
            <w:r>
              <w:rPr>
                <w:rFonts w:ascii="Arial" w:cs="Arial" w:eastAsia="Arial" w:hAnsi="Arial"/>
                <w:sz w:val="13"/>
                <w:szCs w:val="13"/>
                <w:color w:val="auto"/>
              </w:rPr>
              <w:t>Brazil</w:t>
            </w:r>
          </w:p>
        </w:tc>
        <w:tc>
          <w:tcPr>
            <w:tcW w:w="1800" w:type="dxa"/>
            <w:vAlign w:val="bottom"/>
            <w:shd w:val="clear" w:color="auto" w:fill="CCEEFF"/>
          </w:tcPr>
          <w:p>
            <w:pPr>
              <w:spacing w:after="0"/>
              <w:rPr>
                <w:sz w:val="13"/>
                <w:szCs w:val="13"/>
                <w:color w:val="auto"/>
              </w:rPr>
            </w:pPr>
          </w:p>
        </w:tc>
        <w:tc>
          <w:tcPr>
            <w:tcW w:w="2440" w:type="dxa"/>
            <w:vAlign w:val="bottom"/>
            <w:shd w:val="clear" w:color="auto" w:fill="CCEEFF"/>
          </w:tcPr>
          <w:p>
            <w:pPr>
              <w:spacing w:after="0"/>
              <w:rPr>
                <w:sz w:val="13"/>
                <w:szCs w:val="13"/>
                <w:color w:val="auto"/>
              </w:rPr>
            </w:pPr>
          </w:p>
        </w:tc>
      </w:tr>
      <w:tr>
        <w:trPr>
          <w:trHeight w:val="171"/>
        </w:trPr>
        <w:tc>
          <w:tcPr>
            <w:tcW w:w="3480" w:type="dxa"/>
            <w:vAlign w:val="bottom"/>
            <w:tcBorders>
              <w:bottom w:val="single" w:sz="8" w:color="CCEEFF"/>
            </w:tcBorders>
            <w:shd w:val="clear" w:color="auto" w:fill="CCEEFF"/>
          </w:tcPr>
          <w:p>
            <w:pPr>
              <w:spacing w:after="0"/>
              <w:rPr>
                <w:sz w:val="14"/>
                <w:szCs w:val="14"/>
                <w:color w:val="auto"/>
              </w:rPr>
            </w:pPr>
          </w:p>
        </w:tc>
        <w:tc>
          <w:tcPr>
            <w:tcW w:w="35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3"/>
                <w:szCs w:val="13"/>
                <w:color w:val="auto"/>
              </w:rPr>
              <w:t>CEP 04028-003</w:t>
            </w:r>
          </w:p>
        </w:tc>
        <w:tc>
          <w:tcPr>
            <w:tcW w:w="1800" w:type="dxa"/>
            <w:vAlign w:val="bottom"/>
            <w:tcBorders>
              <w:bottom w:val="single" w:sz="8" w:color="CCEEFF"/>
            </w:tcBorders>
            <w:shd w:val="clear" w:color="auto" w:fill="CCEEFF"/>
          </w:tcPr>
          <w:p>
            <w:pPr>
              <w:spacing w:after="0"/>
              <w:rPr>
                <w:sz w:val="14"/>
                <w:szCs w:val="14"/>
                <w:color w:val="auto"/>
              </w:rPr>
            </w:pPr>
          </w:p>
        </w:tc>
        <w:tc>
          <w:tcPr>
            <w:tcW w:w="2440" w:type="dxa"/>
            <w:vAlign w:val="bottom"/>
            <w:tcBorders>
              <w:bottom w:val="single" w:sz="8" w:color="CCEEFF"/>
            </w:tcBorders>
            <w:shd w:val="clear" w:color="auto" w:fill="CCEEFF"/>
          </w:tcPr>
          <w:p>
            <w:pPr>
              <w:spacing w:after="0"/>
              <w:rPr>
                <w:sz w:val="14"/>
                <w:szCs w:val="14"/>
                <w:color w:val="auto"/>
              </w:rPr>
            </w:pPr>
          </w:p>
        </w:tc>
      </w:tr>
      <w:tr>
        <w:trPr>
          <w:trHeight w:val="127"/>
        </w:trPr>
        <w:tc>
          <w:tcPr>
            <w:tcW w:w="3480" w:type="dxa"/>
            <w:vAlign w:val="bottom"/>
          </w:tcPr>
          <w:p>
            <w:pPr>
              <w:ind w:left="20"/>
              <w:spacing w:after="0" w:line="128" w:lineRule="exact"/>
              <w:rPr>
                <w:sz w:val="20"/>
                <w:szCs w:val="20"/>
                <w:color w:val="auto"/>
              </w:rPr>
            </w:pPr>
            <w:r>
              <w:rPr>
                <w:rFonts w:ascii="Arial" w:cs="Arial" w:eastAsia="Arial" w:hAnsi="Arial"/>
                <w:sz w:val="13"/>
                <w:szCs w:val="13"/>
                <w:color w:val="auto"/>
              </w:rPr>
              <w:t>Pharmaceutical Research Associates Ltda.********</w:t>
            </w:r>
          </w:p>
        </w:tc>
        <w:tc>
          <w:tcPr>
            <w:tcW w:w="3540" w:type="dxa"/>
            <w:vAlign w:val="bottom"/>
          </w:tcPr>
          <w:p>
            <w:pPr>
              <w:ind w:left="600"/>
              <w:spacing w:after="0" w:line="128" w:lineRule="exact"/>
              <w:rPr>
                <w:sz w:val="20"/>
                <w:szCs w:val="20"/>
                <w:color w:val="auto"/>
              </w:rPr>
            </w:pPr>
            <w:r>
              <w:rPr>
                <w:rFonts w:ascii="Arial" w:cs="Arial" w:eastAsia="Arial" w:hAnsi="Arial"/>
                <w:sz w:val="13"/>
                <w:szCs w:val="13"/>
                <w:color w:val="auto"/>
              </w:rPr>
              <w:t>Alameda Santos, 700</w:t>
            </w:r>
          </w:p>
        </w:tc>
        <w:tc>
          <w:tcPr>
            <w:tcW w:w="1800" w:type="dxa"/>
            <w:vAlign w:val="bottom"/>
          </w:tcPr>
          <w:p>
            <w:pPr>
              <w:ind w:left="16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39"/>
        </w:trPr>
        <w:tc>
          <w:tcPr>
            <w:tcW w:w="3480" w:type="dxa"/>
            <w:vAlign w:val="bottom"/>
          </w:tcPr>
          <w:p>
            <w:pPr>
              <w:spacing w:after="0"/>
              <w:rPr>
                <w:sz w:val="12"/>
                <w:szCs w:val="12"/>
                <w:color w:val="auto"/>
              </w:rPr>
            </w:pPr>
          </w:p>
        </w:tc>
        <w:tc>
          <w:tcPr>
            <w:tcW w:w="3540" w:type="dxa"/>
            <w:vAlign w:val="bottom"/>
          </w:tcPr>
          <w:p>
            <w:pPr>
              <w:ind w:left="600"/>
              <w:spacing w:after="0" w:line="139" w:lineRule="exact"/>
              <w:rPr>
                <w:sz w:val="20"/>
                <w:szCs w:val="20"/>
                <w:color w:val="auto"/>
              </w:rPr>
            </w:pPr>
            <w:r>
              <w:rPr>
                <w:rFonts w:ascii="Arial" w:cs="Arial" w:eastAsia="Arial" w:hAnsi="Arial"/>
                <w:sz w:val="13"/>
                <w:szCs w:val="13"/>
                <w:color w:val="auto"/>
              </w:rPr>
              <w:t>2nd &amp; 3rd Floors</w:t>
            </w:r>
          </w:p>
        </w:tc>
        <w:tc>
          <w:tcPr>
            <w:tcW w:w="1800" w:type="dxa"/>
            <w:vAlign w:val="bottom"/>
          </w:tcPr>
          <w:p>
            <w:pPr>
              <w:spacing w:after="0"/>
              <w:rPr>
                <w:sz w:val="12"/>
                <w:szCs w:val="12"/>
                <w:color w:val="auto"/>
              </w:rPr>
            </w:pPr>
          </w:p>
        </w:tc>
        <w:tc>
          <w:tcPr>
            <w:tcW w:w="2440" w:type="dxa"/>
            <w:vAlign w:val="bottom"/>
          </w:tcPr>
          <w:p>
            <w:pPr>
              <w:spacing w:after="0"/>
              <w:rPr>
                <w:sz w:val="12"/>
                <w:szCs w:val="12"/>
                <w:color w:val="auto"/>
              </w:rPr>
            </w:pPr>
          </w:p>
        </w:tc>
      </w:tr>
    </w:tbl>
    <w:p>
      <w:pPr>
        <w:ind w:left="4080"/>
        <w:spacing w:after="0" w:line="204" w:lineRule="auto"/>
        <w:rPr>
          <w:sz w:val="20"/>
          <w:szCs w:val="20"/>
          <w:color w:val="auto"/>
        </w:rPr>
      </w:pPr>
      <w:r>
        <w:rPr>
          <w:rFonts w:ascii="Arial" w:cs="Arial" w:eastAsia="Arial" w:hAnsi="Arial"/>
          <w:sz w:val="13"/>
          <w:szCs w:val="13"/>
          <w:color w:val="auto"/>
        </w:rPr>
        <w:t>Sao Paulo, SP</w:t>
      </w:r>
    </w:p>
    <w:p>
      <w:pPr>
        <w:ind w:left="4080"/>
        <w:spacing w:after="0" w:line="204" w:lineRule="auto"/>
        <w:rPr>
          <w:sz w:val="20"/>
          <w:szCs w:val="20"/>
          <w:color w:val="auto"/>
        </w:rPr>
      </w:pPr>
      <w:r>
        <w:rPr>
          <w:rFonts w:ascii="Arial" w:cs="Arial" w:eastAsia="Arial" w:hAnsi="Arial"/>
          <w:sz w:val="13"/>
          <w:szCs w:val="13"/>
          <w:color w:val="auto"/>
        </w:rPr>
        <w:t>Brazil</w:t>
      </w:r>
    </w:p>
    <w:p>
      <w:pPr>
        <w:ind w:left="4080"/>
        <w:spacing w:after="0"/>
        <w:rPr>
          <w:sz w:val="20"/>
          <w:szCs w:val="20"/>
          <w:color w:val="auto"/>
        </w:rPr>
      </w:pPr>
      <w:r>
        <w:rPr>
          <w:rFonts w:ascii="Arial" w:cs="Arial" w:eastAsia="Arial" w:hAnsi="Arial"/>
          <w:sz w:val="13"/>
          <w:szCs w:val="13"/>
          <w:color w:val="auto"/>
        </w:rPr>
        <w:t>01418-100</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118</w:t>
      </w:r>
    </w:p>
    <w:p>
      <w:pPr>
        <w:sectPr>
          <w:pgSz w:w="11900" w:h="16838" w:orient="portrait"/>
          <w:cols w:equalWidth="0" w:num="1">
            <w:col w:w="11260"/>
          </w:cols>
          <w:pgMar w:left="300" w:top="698" w:right="3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32.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24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Registered Office</w:t>
            </w:r>
          </w:p>
        </w:tc>
        <w:tc>
          <w:tcPr>
            <w:tcW w:w="2340" w:type="dxa"/>
            <w:vAlign w:val="bottom"/>
            <w:shd w:val="clear" w:color="auto" w:fill="CCEEFF"/>
          </w:tcPr>
          <w:p>
            <w:pPr>
              <w:ind w:left="700"/>
              <w:spacing w:after="0"/>
              <w:rPr>
                <w:sz w:val="20"/>
                <w:szCs w:val="20"/>
                <w:color w:val="auto"/>
              </w:rPr>
            </w:pPr>
            <w:r>
              <w:rPr>
                <w:rFonts w:ascii="Arial" w:cs="Arial" w:eastAsia="Arial" w:hAnsi="Arial"/>
                <w:sz w:val="13"/>
                <w:szCs w:val="13"/>
                <w:b w:val="1"/>
                <w:bCs w:val="1"/>
                <w:color w:val="auto"/>
              </w:rPr>
              <w:t>Nature of business</w:t>
            </w:r>
          </w:p>
        </w:tc>
        <w:tc>
          <w:tcPr>
            <w:tcW w:w="244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Proportion held by</w:t>
            </w:r>
          </w:p>
        </w:tc>
      </w:tr>
      <w:tr>
        <w:trPr>
          <w:trHeight w:val="170"/>
        </w:trPr>
        <w:tc>
          <w:tcPr>
            <w:tcW w:w="4060" w:type="dxa"/>
            <w:vAlign w:val="bottom"/>
            <w:tcBorders>
              <w:bottom w:val="single" w:sz="8" w:color="auto"/>
            </w:tcBorders>
            <w:shd w:val="clear" w:color="auto" w:fill="CCEEFF"/>
          </w:tcPr>
          <w:p>
            <w:pPr>
              <w:spacing w:after="0"/>
              <w:rPr>
                <w:sz w:val="14"/>
                <w:szCs w:val="14"/>
                <w:color w:val="auto"/>
              </w:rPr>
            </w:pPr>
          </w:p>
        </w:tc>
        <w:tc>
          <w:tcPr>
            <w:tcW w:w="2420" w:type="dxa"/>
            <w:vAlign w:val="bottom"/>
            <w:tcBorders>
              <w:bottom w:val="single" w:sz="8" w:color="auto"/>
            </w:tcBorders>
            <w:shd w:val="clear" w:color="auto" w:fill="CCEEFF"/>
          </w:tcPr>
          <w:p>
            <w:pPr>
              <w:spacing w:after="0"/>
              <w:rPr>
                <w:sz w:val="14"/>
                <w:szCs w:val="14"/>
                <w:color w:val="auto"/>
              </w:rPr>
            </w:pPr>
          </w:p>
        </w:tc>
        <w:tc>
          <w:tcPr>
            <w:tcW w:w="2340" w:type="dxa"/>
            <w:vAlign w:val="bottom"/>
            <w:tcBorders>
              <w:bottom w:val="single" w:sz="8" w:color="auto"/>
            </w:tcBorders>
            <w:shd w:val="clear" w:color="auto" w:fill="CCEEFF"/>
          </w:tcPr>
          <w:p>
            <w:pPr>
              <w:spacing w:after="0"/>
              <w:rPr>
                <w:sz w:val="14"/>
                <w:szCs w:val="14"/>
                <w:color w:val="auto"/>
              </w:rPr>
            </w:pPr>
          </w:p>
        </w:tc>
        <w:tc>
          <w:tcPr>
            <w:tcW w:w="24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3"/>
                <w:szCs w:val="13"/>
                <w:b w:val="1"/>
                <w:bCs w:val="1"/>
                <w:color w:val="auto"/>
              </w:rPr>
              <w:t>Group</w:t>
            </w:r>
          </w:p>
        </w:tc>
      </w:tr>
      <w:tr>
        <w:trPr>
          <w:trHeight w:val="118"/>
        </w:trPr>
        <w:tc>
          <w:tcPr>
            <w:tcW w:w="4060" w:type="dxa"/>
            <w:vAlign w:val="bottom"/>
            <w:shd w:val="clear" w:color="auto" w:fill="CCEEFF"/>
          </w:tcPr>
          <w:p>
            <w:pPr>
              <w:ind w:left="20"/>
              <w:spacing w:after="0" w:line="118" w:lineRule="exact"/>
              <w:rPr>
                <w:sz w:val="20"/>
                <w:szCs w:val="20"/>
                <w:color w:val="auto"/>
              </w:rPr>
            </w:pPr>
            <w:r>
              <w:rPr>
                <w:rFonts w:ascii="Arial" w:cs="Arial" w:eastAsia="Arial" w:hAnsi="Arial"/>
                <w:sz w:val="13"/>
                <w:szCs w:val="13"/>
                <w:color w:val="auto"/>
              </w:rPr>
              <w:t>RPS do Brasil Serviços de Pesquisas LTDA.*********</w:t>
            </w:r>
          </w:p>
        </w:tc>
        <w:tc>
          <w:tcPr>
            <w:tcW w:w="4760" w:type="dxa"/>
            <w:vAlign w:val="bottom"/>
            <w:gridSpan w:val="2"/>
            <w:shd w:val="clear" w:color="auto" w:fill="CCEEFF"/>
          </w:tcPr>
          <w:p>
            <w:pPr>
              <w:ind w:left="20"/>
              <w:spacing w:after="0" w:line="118" w:lineRule="exact"/>
              <w:rPr>
                <w:sz w:val="20"/>
                <w:szCs w:val="20"/>
                <w:color w:val="auto"/>
              </w:rPr>
            </w:pPr>
            <w:r>
              <w:rPr>
                <w:rFonts w:ascii="Arial" w:cs="Arial" w:eastAsia="Arial" w:hAnsi="Arial"/>
                <w:sz w:val="13"/>
                <w:szCs w:val="13"/>
                <w:color w:val="auto"/>
              </w:rPr>
              <w:t>Av. Dr Cardoso de Melo, 1308 – 2º, 3º and 4º andares Clinical research services</w:t>
            </w:r>
          </w:p>
        </w:tc>
        <w:tc>
          <w:tcPr>
            <w:tcW w:w="2440" w:type="dxa"/>
            <w:vAlign w:val="bottom"/>
            <w:shd w:val="clear" w:color="auto" w:fill="CCEEFF"/>
          </w:tcPr>
          <w:p>
            <w:pPr>
              <w:ind w:left="200"/>
              <w:spacing w:after="0" w:line="118"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242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Vila Olimpia</w:t>
            </w:r>
          </w:p>
        </w:tc>
        <w:tc>
          <w:tcPr>
            <w:tcW w:w="23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242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São Paulo SP</w:t>
            </w:r>
          </w:p>
        </w:tc>
        <w:tc>
          <w:tcPr>
            <w:tcW w:w="23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242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Brazil</w:t>
            </w:r>
          </w:p>
        </w:tc>
        <w:tc>
          <w:tcPr>
            <w:tcW w:w="23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4060" w:type="dxa"/>
            <w:vAlign w:val="bottom"/>
            <w:shd w:val="clear" w:color="auto" w:fill="CCEEFF"/>
          </w:tcPr>
          <w:p>
            <w:pPr>
              <w:spacing w:after="0"/>
              <w:rPr>
                <w:sz w:val="14"/>
                <w:szCs w:val="14"/>
                <w:color w:val="auto"/>
              </w:rPr>
            </w:pPr>
          </w:p>
        </w:tc>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CEP 04548-004</w:t>
            </w:r>
          </w:p>
        </w:tc>
        <w:tc>
          <w:tcPr>
            <w:tcW w:w="234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4060" w:type="dxa"/>
            <w:vAlign w:val="bottom"/>
          </w:tcPr>
          <w:p>
            <w:pPr>
              <w:ind w:left="20"/>
              <w:spacing w:after="0" w:line="128" w:lineRule="exact"/>
              <w:rPr>
                <w:sz w:val="20"/>
                <w:szCs w:val="20"/>
                <w:color w:val="auto"/>
              </w:rPr>
            </w:pPr>
            <w:r>
              <w:rPr>
                <w:rFonts w:ascii="Arial" w:cs="Arial" w:eastAsia="Arial" w:hAnsi="Arial"/>
                <w:sz w:val="13"/>
                <w:szCs w:val="13"/>
                <w:color w:val="auto"/>
              </w:rPr>
              <w:t>RPS China Inc.</w:t>
            </w:r>
          </w:p>
        </w:tc>
        <w:tc>
          <w:tcPr>
            <w:tcW w:w="2420" w:type="dxa"/>
            <w:vAlign w:val="bottom"/>
          </w:tcPr>
          <w:p>
            <w:pPr>
              <w:ind w:left="20"/>
              <w:spacing w:after="0" w:line="128" w:lineRule="exact"/>
              <w:rPr>
                <w:sz w:val="20"/>
                <w:szCs w:val="20"/>
                <w:color w:val="auto"/>
              </w:rPr>
            </w:pPr>
            <w:r>
              <w:rPr>
                <w:rFonts w:ascii="Arial" w:cs="Arial" w:eastAsia="Arial" w:hAnsi="Arial"/>
                <w:sz w:val="13"/>
                <w:szCs w:val="13"/>
                <w:color w:val="auto"/>
              </w:rPr>
              <w:t>c/o Tricor Services BVI Limited</w:t>
            </w:r>
          </w:p>
        </w:tc>
        <w:tc>
          <w:tcPr>
            <w:tcW w:w="2340" w:type="dxa"/>
            <w:vAlign w:val="bottom"/>
          </w:tcPr>
          <w:p>
            <w:pPr>
              <w:ind w:left="70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2420" w:type="dxa"/>
            <w:vAlign w:val="bottom"/>
          </w:tcPr>
          <w:p>
            <w:pPr>
              <w:ind w:left="20"/>
              <w:spacing w:after="0" w:line="128" w:lineRule="exact"/>
              <w:rPr>
                <w:sz w:val="20"/>
                <w:szCs w:val="20"/>
                <w:color w:val="auto"/>
              </w:rPr>
            </w:pPr>
            <w:r>
              <w:rPr>
                <w:rFonts w:ascii="Arial" w:cs="Arial" w:eastAsia="Arial" w:hAnsi="Arial"/>
                <w:sz w:val="13"/>
                <w:szCs w:val="13"/>
                <w:color w:val="auto"/>
              </w:rPr>
              <w:t>P.O. Box 3340</w:t>
            </w:r>
          </w:p>
        </w:tc>
        <w:tc>
          <w:tcPr>
            <w:tcW w:w="234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2420" w:type="dxa"/>
            <w:vAlign w:val="bottom"/>
          </w:tcPr>
          <w:p>
            <w:pPr>
              <w:ind w:left="20"/>
              <w:spacing w:after="0" w:line="128" w:lineRule="exact"/>
              <w:rPr>
                <w:sz w:val="20"/>
                <w:szCs w:val="20"/>
                <w:color w:val="auto"/>
              </w:rPr>
            </w:pPr>
            <w:r>
              <w:rPr>
                <w:rFonts w:ascii="Arial" w:cs="Arial" w:eastAsia="Arial" w:hAnsi="Arial"/>
                <w:sz w:val="13"/>
                <w:szCs w:val="13"/>
                <w:color w:val="auto"/>
              </w:rPr>
              <w:t>Road Town</w:t>
            </w:r>
          </w:p>
        </w:tc>
        <w:tc>
          <w:tcPr>
            <w:tcW w:w="234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2420" w:type="dxa"/>
            <w:vAlign w:val="bottom"/>
          </w:tcPr>
          <w:p>
            <w:pPr>
              <w:ind w:left="20"/>
              <w:spacing w:after="0" w:line="128" w:lineRule="exact"/>
              <w:rPr>
                <w:sz w:val="20"/>
                <w:szCs w:val="20"/>
                <w:color w:val="auto"/>
              </w:rPr>
            </w:pPr>
            <w:r>
              <w:rPr>
                <w:rFonts w:ascii="Arial" w:cs="Arial" w:eastAsia="Arial" w:hAnsi="Arial"/>
                <w:sz w:val="13"/>
                <w:szCs w:val="13"/>
                <w:color w:val="auto"/>
              </w:rPr>
              <w:t>Tortola</w:t>
            </w:r>
          </w:p>
        </w:tc>
        <w:tc>
          <w:tcPr>
            <w:tcW w:w="234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4060" w:type="dxa"/>
            <w:vAlign w:val="bottom"/>
          </w:tcPr>
          <w:p>
            <w:pPr>
              <w:spacing w:after="0"/>
              <w:rPr>
                <w:sz w:val="14"/>
                <w:szCs w:val="14"/>
                <w:color w:val="auto"/>
              </w:rPr>
            </w:pPr>
          </w:p>
        </w:tc>
        <w:tc>
          <w:tcPr>
            <w:tcW w:w="2420" w:type="dxa"/>
            <w:vAlign w:val="bottom"/>
          </w:tcPr>
          <w:p>
            <w:pPr>
              <w:ind w:left="20"/>
              <w:spacing w:after="0"/>
              <w:rPr>
                <w:sz w:val="20"/>
                <w:szCs w:val="20"/>
                <w:color w:val="auto"/>
              </w:rPr>
            </w:pPr>
            <w:r>
              <w:rPr>
                <w:rFonts w:ascii="Arial" w:cs="Arial" w:eastAsia="Arial" w:hAnsi="Arial"/>
                <w:sz w:val="13"/>
                <w:szCs w:val="13"/>
                <w:color w:val="auto"/>
              </w:rPr>
              <w:t>British Virgin Islands</w:t>
            </w:r>
          </w:p>
        </w:tc>
        <w:tc>
          <w:tcPr>
            <w:tcW w:w="234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71"/>
        </w:trPr>
        <w:tc>
          <w:tcPr>
            <w:tcW w:w="4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ICON Clinical Research EOOD</w:t>
            </w:r>
          </w:p>
        </w:tc>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2A, Saborna Str.</w:t>
            </w:r>
          </w:p>
        </w:tc>
        <w:tc>
          <w:tcPr>
            <w:tcW w:w="2340" w:type="dxa"/>
            <w:vAlign w:val="bottom"/>
            <w:shd w:val="clear" w:color="auto" w:fill="CCEEFF"/>
          </w:tcPr>
          <w:p>
            <w:pPr>
              <w:ind w:left="700"/>
              <w:spacing w:after="0"/>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100%</w:t>
            </w:r>
          </w:p>
        </w:tc>
      </w:tr>
      <w:tr>
        <w:trPr>
          <w:trHeight w:val="149"/>
        </w:trPr>
        <w:tc>
          <w:tcPr>
            <w:tcW w:w="4060" w:type="dxa"/>
            <w:vAlign w:val="bottom"/>
            <w:shd w:val="clear" w:color="auto" w:fill="CCEEFF"/>
          </w:tcPr>
          <w:p>
            <w:pPr>
              <w:spacing w:after="0"/>
              <w:rPr>
                <w:sz w:val="12"/>
                <w:szCs w:val="12"/>
                <w:color w:val="auto"/>
              </w:rPr>
            </w:pPr>
          </w:p>
        </w:tc>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4th floor</w:t>
            </w:r>
          </w:p>
        </w:tc>
        <w:tc>
          <w:tcPr>
            <w:tcW w:w="2340" w:type="dxa"/>
            <w:vAlign w:val="bottom"/>
            <w:shd w:val="clear" w:color="auto" w:fill="CCEEFF"/>
          </w:tcPr>
          <w:p>
            <w:pPr>
              <w:spacing w:after="0"/>
              <w:rPr>
                <w:sz w:val="12"/>
                <w:szCs w:val="12"/>
                <w:color w:val="auto"/>
              </w:rPr>
            </w:pPr>
          </w:p>
        </w:tc>
        <w:tc>
          <w:tcPr>
            <w:tcW w:w="2440" w:type="dxa"/>
            <w:vAlign w:val="bottom"/>
            <w:shd w:val="clear" w:color="auto" w:fill="CCEEFF"/>
          </w:tcPr>
          <w:p>
            <w:pPr>
              <w:spacing w:after="0"/>
              <w:rPr>
                <w:sz w:val="12"/>
                <w:szCs w:val="12"/>
                <w:color w:val="auto"/>
              </w:rPr>
            </w:pPr>
          </w:p>
        </w:tc>
      </w:tr>
      <w:tr>
        <w:trPr>
          <w:trHeight w:val="159"/>
        </w:trPr>
        <w:tc>
          <w:tcPr>
            <w:tcW w:w="4060" w:type="dxa"/>
            <w:vAlign w:val="bottom"/>
            <w:shd w:val="clear" w:color="auto" w:fill="CCEEFF"/>
          </w:tcPr>
          <w:p>
            <w:pPr>
              <w:spacing w:after="0"/>
              <w:rPr>
                <w:sz w:val="13"/>
                <w:szCs w:val="13"/>
                <w:color w:val="auto"/>
              </w:rPr>
            </w:pPr>
          </w:p>
        </w:tc>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Sofia – 1000</w:t>
            </w:r>
          </w:p>
        </w:tc>
        <w:tc>
          <w:tcPr>
            <w:tcW w:w="2340" w:type="dxa"/>
            <w:vAlign w:val="bottom"/>
            <w:shd w:val="clear" w:color="auto" w:fill="CCEEFF"/>
          </w:tcPr>
          <w:p>
            <w:pPr>
              <w:spacing w:after="0"/>
              <w:rPr>
                <w:sz w:val="13"/>
                <w:szCs w:val="13"/>
                <w:color w:val="auto"/>
              </w:rPr>
            </w:pPr>
          </w:p>
        </w:tc>
        <w:tc>
          <w:tcPr>
            <w:tcW w:w="2440" w:type="dxa"/>
            <w:vAlign w:val="bottom"/>
            <w:shd w:val="clear" w:color="auto" w:fill="CCEEFF"/>
          </w:tcPr>
          <w:p>
            <w:pPr>
              <w:spacing w:after="0"/>
              <w:rPr>
                <w:sz w:val="13"/>
                <w:szCs w:val="13"/>
                <w:color w:val="auto"/>
              </w:rPr>
            </w:pPr>
          </w:p>
        </w:tc>
      </w:tr>
      <w:tr>
        <w:trPr>
          <w:trHeight w:val="181"/>
        </w:trPr>
        <w:tc>
          <w:tcPr>
            <w:tcW w:w="4060" w:type="dxa"/>
            <w:vAlign w:val="bottom"/>
            <w:tcBorders>
              <w:bottom w:val="single" w:sz="8" w:color="CCEEFF"/>
            </w:tcBorders>
            <w:shd w:val="clear" w:color="auto" w:fill="CCEEFF"/>
          </w:tcPr>
          <w:p>
            <w:pPr>
              <w:spacing w:after="0"/>
              <w:rPr>
                <w:sz w:val="15"/>
                <w:szCs w:val="15"/>
                <w:color w:val="auto"/>
              </w:rPr>
            </w:pPr>
          </w:p>
        </w:tc>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Republic of Bulgaria</w:t>
            </w:r>
          </w:p>
        </w:tc>
        <w:tc>
          <w:tcPr>
            <w:tcW w:w="2340" w:type="dxa"/>
            <w:vAlign w:val="bottom"/>
            <w:tcBorders>
              <w:bottom w:val="single" w:sz="8" w:color="CCEEFF"/>
            </w:tcBorders>
            <w:shd w:val="clear" w:color="auto" w:fill="CCEEFF"/>
          </w:tcPr>
          <w:p>
            <w:pPr>
              <w:spacing w:after="0"/>
              <w:rPr>
                <w:sz w:val="15"/>
                <w:szCs w:val="15"/>
                <w:color w:val="auto"/>
              </w:rPr>
            </w:pPr>
          </w:p>
        </w:tc>
        <w:tc>
          <w:tcPr>
            <w:tcW w:w="2440" w:type="dxa"/>
            <w:vAlign w:val="bottom"/>
            <w:tcBorders>
              <w:bottom w:val="single" w:sz="8" w:color="CCEEFF"/>
            </w:tcBorders>
            <w:shd w:val="clear" w:color="auto" w:fill="CCEEFF"/>
          </w:tcPr>
          <w:p>
            <w:pPr>
              <w:spacing w:after="0"/>
              <w:rPr>
                <w:sz w:val="15"/>
                <w:szCs w:val="15"/>
                <w:color w:val="auto"/>
              </w:rPr>
            </w:pPr>
          </w:p>
        </w:tc>
      </w:tr>
      <w:tr>
        <w:trPr>
          <w:trHeight w:val="127"/>
        </w:trPr>
        <w:tc>
          <w:tcPr>
            <w:tcW w:w="4060" w:type="dxa"/>
            <w:vAlign w:val="bottom"/>
          </w:tcPr>
          <w:p>
            <w:pPr>
              <w:ind w:left="20"/>
              <w:spacing w:after="0" w:line="128" w:lineRule="exact"/>
              <w:rPr>
                <w:sz w:val="20"/>
                <w:szCs w:val="20"/>
                <w:color w:val="auto"/>
              </w:rPr>
            </w:pPr>
            <w:r>
              <w:rPr>
                <w:rFonts w:ascii="Arial" w:cs="Arial" w:eastAsia="Arial" w:hAnsi="Arial"/>
                <w:sz w:val="13"/>
                <w:szCs w:val="13"/>
                <w:color w:val="auto"/>
              </w:rPr>
              <w:t>Pharmaceutical Research Associates Bulgaria EOOD</w:t>
            </w:r>
          </w:p>
        </w:tc>
        <w:tc>
          <w:tcPr>
            <w:tcW w:w="2420" w:type="dxa"/>
            <w:vAlign w:val="bottom"/>
          </w:tcPr>
          <w:p>
            <w:pPr>
              <w:ind w:left="20"/>
              <w:spacing w:after="0" w:line="128" w:lineRule="exact"/>
              <w:rPr>
                <w:sz w:val="20"/>
                <w:szCs w:val="20"/>
                <w:color w:val="auto"/>
              </w:rPr>
            </w:pPr>
            <w:r>
              <w:rPr>
                <w:rFonts w:ascii="Arial" w:cs="Arial" w:eastAsia="Arial" w:hAnsi="Arial"/>
                <w:sz w:val="13"/>
                <w:szCs w:val="13"/>
                <w:color w:val="auto"/>
              </w:rPr>
              <w:t>51b Bulgaria Blvd.</w:t>
            </w:r>
          </w:p>
        </w:tc>
        <w:tc>
          <w:tcPr>
            <w:tcW w:w="2340" w:type="dxa"/>
            <w:vAlign w:val="bottom"/>
          </w:tcPr>
          <w:p>
            <w:pPr>
              <w:ind w:left="70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2420" w:type="dxa"/>
            <w:vAlign w:val="bottom"/>
          </w:tcPr>
          <w:p>
            <w:pPr>
              <w:ind w:left="20"/>
              <w:spacing w:after="0" w:line="128" w:lineRule="exact"/>
              <w:rPr>
                <w:sz w:val="20"/>
                <w:szCs w:val="20"/>
                <w:color w:val="auto"/>
              </w:rPr>
            </w:pPr>
            <w:r>
              <w:rPr>
                <w:rFonts w:ascii="Arial" w:cs="Arial" w:eastAsia="Arial" w:hAnsi="Arial"/>
                <w:sz w:val="13"/>
                <w:szCs w:val="13"/>
                <w:color w:val="auto"/>
              </w:rPr>
              <w:t>Floor 4</w:t>
            </w:r>
          </w:p>
        </w:tc>
        <w:tc>
          <w:tcPr>
            <w:tcW w:w="234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2420" w:type="dxa"/>
            <w:vAlign w:val="bottom"/>
          </w:tcPr>
          <w:p>
            <w:pPr>
              <w:ind w:left="20"/>
              <w:spacing w:after="0" w:line="128" w:lineRule="exact"/>
              <w:rPr>
                <w:sz w:val="20"/>
                <w:szCs w:val="20"/>
                <w:color w:val="auto"/>
              </w:rPr>
            </w:pPr>
            <w:r>
              <w:rPr>
                <w:rFonts w:ascii="Arial" w:cs="Arial" w:eastAsia="Arial" w:hAnsi="Arial"/>
                <w:sz w:val="13"/>
                <w:szCs w:val="13"/>
                <w:color w:val="auto"/>
              </w:rPr>
              <w:t>Sofia</w:t>
            </w:r>
          </w:p>
        </w:tc>
        <w:tc>
          <w:tcPr>
            <w:tcW w:w="234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4060" w:type="dxa"/>
            <w:vAlign w:val="bottom"/>
          </w:tcPr>
          <w:p>
            <w:pPr>
              <w:spacing w:after="0"/>
              <w:rPr>
                <w:sz w:val="14"/>
                <w:szCs w:val="14"/>
                <w:color w:val="auto"/>
              </w:rPr>
            </w:pPr>
          </w:p>
        </w:tc>
        <w:tc>
          <w:tcPr>
            <w:tcW w:w="2420" w:type="dxa"/>
            <w:vAlign w:val="bottom"/>
          </w:tcPr>
          <w:p>
            <w:pPr>
              <w:ind w:left="20"/>
              <w:spacing w:after="0"/>
              <w:rPr>
                <w:sz w:val="20"/>
                <w:szCs w:val="20"/>
                <w:color w:val="auto"/>
              </w:rPr>
            </w:pPr>
            <w:r>
              <w:rPr>
                <w:rFonts w:ascii="Arial" w:cs="Arial" w:eastAsia="Arial" w:hAnsi="Arial"/>
                <w:sz w:val="13"/>
                <w:szCs w:val="13"/>
                <w:color w:val="auto"/>
              </w:rPr>
              <w:t>Bulgaria 1404</w:t>
            </w:r>
          </w:p>
        </w:tc>
        <w:tc>
          <w:tcPr>
            <w:tcW w:w="234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71"/>
        </w:trPr>
        <w:tc>
          <w:tcPr>
            <w:tcW w:w="4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ICON Clinical Research (Canada) Inc.</w:t>
            </w:r>
          </w:p>
        </w:tc>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7405 Trans-Canada Highway</w:t>
            </w:r>
          </w:p>
        </w:tc>
        <w:tc>
          <w:tcPr>
            <w:tcW w:w="2340" w:type="dxa"/>
            <w:vAlign w:val="bottom"/>
            <w:shd w:val="clear" w:color="auto" w:fill="CCEEFF"/>
          </w:tcPr>
          <w:p>
            <w:pPr>
              <w:ind w:left="700"/>
              <w:spacing w:after="0"/>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100%</w:t>
            </w:r>
          </w:p>
        </w:tc>
      </w:tr>
      <w:tr>
        <w:trPr>
          <w:trHeight w:val="149"/>
        </w:trPr>
        <w:tc>
          <w:tcPr>
            <w:tcW w:w="4060" w:type="dxa"/>
            <w:vAlign w:val="bottom"/>
            <w:shd w:val="clear" w:color="auto" w:fill="CCEEFF"/>
          </w:tcPr>
          <w:p>
            <w:pPr>
              <w:spacing w:after="0"/>
              <w:rPr>
                <w:sz w:val="12"/>
                <w:szCs w:val="12"/>
                <w:color w:val="auto"/>
              </w:rPr>
            </w:pPr>
          </w:p>
        </w:tc>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Suite 300 Saint-Laurent</w:t>
            </w:r>
          </w:p>
        </w:tc>
        <w:tc>
          <w:tcPr>
            <w:tcW w:w="2340" w:type="dxa"/>
            <w:vAlign w:val="bottom"/>
            <w:shd w:val="clear" w:color="auto" w:fill="CCEEFF"/>
          </w:tcPr>
          <w:p>
            <w:pPr>
              <w:spacing w:after="0"/>
              <w:rPr>
                <w:sz w:val="12"/>
                <w:szCs w:val="12"/>
                <w:color w:val="auto"/>
              </w:rPr>
            </w:pPr>
          </w:p>
        </w:tc>
        <w:tc>
          <w:tcPr>
            <w:tcW w:w="2440" w:type="dxa"/>
            <w:vAlign w:val="bottom"/>
            <w:shd w:val="clear" w:color="auto" w:fill="CCEEFF"/>
          </w:tcPr>
          <w:p>
            <w:pPr>
              <w:spacing w:after="0"/>
              <w:rPr>
                <w:sz w:val="12"/>
                <w:szCs w:val="12"/>
                <w:color w:val="auto"/>
              </w:rPr>
            </w:pPr>
          </w:p>
        </w:tc>
      </w:tr>
      <w:tr>
        <w:trPr>
          <w:trHeight w:val="159"/>
        </w:trPr>
        <w:tc>
          <w:tcPr>
            <w:tcW w:w="4060" w:type="dxa"/>
            <w:vAlign w:val="bottom"/>
            <w:shd w:val="clear" w:color="auto" w:fill="CCEEFF"/>
          </w:tcPr>
          <w:p>
            <w:pPr>
              <w:spacing w:after="0"/>
              <w:rPr>
                <w:sz w:val="13"/>
                <w:szCs w:val="13"/>
                <w:color w:val="auto"/>
              </w:rPr>
            </w:pPr>
          </w:p>
        </w:tc>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Quebec H4T 1Z2</w:t>
            </w:r>
          </w:p>
        </w:tc>
        <w:tc>
          <w:tcPr>
            <w:tcW w:w="2340" w:type="dxa"/>
            <w:vAlign w:val="bottom"/>
            <w:shd w:val="clear" w:color="auto" w:fill="CCEEFF"/>
          </w:tcPr>
          <w:p>
            <w:pPr>
              <w:spacing w:after="0"/>
              <w:rPr>
                <w:sz w:val="13"/>
                <w:szCs w:val="13"/>
                <w:color w:val="auto"/>
              </w:rPr>
            </w:pPr>
          </w:p>
        </w:tc>
        <w:tc>
          <w:tcPr>
            <w:tcW w:w="2440" w:type="dxa"/>
            <w:vAlign w:val="bottom"/>
            <w:shd w:val="clear" w:color="auto" w:fill="CCEEFF"/>
          </w:tcPr>
          <w:p>
            <w:pPr>
              <w:spacing w:after="0"/>
              <w:rPr>
                <w:sz w:val="13"/>
                <w:szCs w:val="13"/>
                <w:color w:val="auto"/>
              </w:rPr>
            </w:pPr>
          </w:p>
        </w:tc>
      </w:tr>
      <w:tr>
        <w:trPr>
          <w:trHeight w:val="181"/>
        </w:trPr>
        <w:tc>
          <w:tcPr>
            <w:tcW w:w="4060" w:type="dxa"/>
            <w:vAlign w:val="bottom"/>
            <w:tcBorders>
              <w:bottom w:val="single" w:sz="8" w:color="CCEEFF"/>
            </w:tcBorders>
            <w:shd w:val="clear" w:color="auto" w:fill="CCEEFF"/>
          </w:tcPr>
          <w:p>
            <w:pPr>
              <w:spacing w:after="0"/>
              <w:rPr>
                <w:sz w:val="15"/>
                <w:szCs w:val="15"/>
                <w:color w:val="auto"/>
              </w:rPr>
            </w:pPr>
          </w:p>
        </w:tc>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Canada</w:t>
            </w:r>
          </w:p>
        </w:tc>
        <w:tc>
          <w:tcPr>
            <w:tcW w:w="2340" w:type="dxa"/>
            <w:vAlign w:val="bottom"/>
            <w:tcBorders>
              <w:bottom w:val="single" w:sz="8" w:color="CCEEFF"/>
            </w:tcBorders>
            <w:shd w:val="clear" w:color="auto" w:fill="CCEEFF"/>
          </w:tcPr>
          <w:p>
            <w:pPr>
              <w:spacing w:after="0"/>
              <w:rPr>
                <w:sz w:val="15"/>
                <w:szCs w:val="15"/>
                <w:color w:val="auto"/>
              </w:rPr>
            </w:pPr>
          </w:p>
        </w:tc>
        <w:tc>
          <w:tcPr>
            <w:tcW w:w="2440" w:type="dxa"/>
            <w:vAlign w:val="bottom"/>
            <w:tcBorders>
              <w:bottom w:val="single" w:sz="8" w:color="CCEEFF"/>
            </w:tcBorders>
            <w:shd w:val="clear" w:color="auto" w:fill="CCEEFF"/>
          </w:tcPr>
          <w:p>
            <w:pPr>
              <w:spacing w:after="0"/>
              <w:rPr>
                <w:sz w:val="15"/>
                <w:szCs w:val="15"/>
                <w:color w:val="auto"/>
              </w:rPr>
            </w:pPr>
          </w:p>
        </w:tc>
      </w:tr>
      <w:tr>
        <w:trPr>
          <w:trHeight w:val="127"/>
        </w:trPr>
        <w:tc>
          <w:tcPr>
            <w:tcW w:w="4060" w:type="dxa"/>
            <w:vAlign w:val="bottom"/>
          </w:tcPr>
          <w:p>
            <w:pPr>
              <w:ind w:left="20"/>
              <w:spacing w:after="0" w:line="128" w:lineRule="exact"/>
              <w:rPr>
                <w:sz w:val="20"/>
                <w:szCs w:val="20"/>
                <w:color w:val="auto"/>
              </w:rPr>
            </w:pPr>
            <w:r>
              <w:rPr>
                <w:rFonts w:ascii="Arial" w:cs="Arial" w:eastAsia="Arial" w:hAnsi="Arial"/>
                <w:sz w:val="13"/>
                <w:szCs w:val="13"/>
                <w:color w:val="auto"/>
              </w:rPr>
              <w:t>3065613 Nova Scotia Company</w:t>
            </w:r>
          </w:p>
        </w:tc>
        <w:tc>
          <w:tcPr>
            <w:tcW w:w="2420" w:type="dxa"/>
            <w:vAlign w:val="bottom"/>
          </w:tcPr>
          <w:p>
            <w:pPr>
              <w:ind w:left="20"/>
              <w:spacing w:after="0" w:line="128" w:lineRule="exact"/>
              <w:rPr>
                <w:sz w:val="20"/>
                <w:szCs w:val="20"/>
                <w:color w:val="auto"/>
              </w:rPr>
            </w:pPr>
            <w:r>
              <w:rPr>
                <w:rFonts w:ascii="Arial" w:cs="Arial" w:eastAsia="Arial" w:hAnsi="Arial"/>
                <w:sz w:val="13"/>
                <w:szCs w:val="13"/>
                <w:color w:val="auto"/>
              </w:rPr>
              <w:t>1741 Lower Water Street</w:t>
            </w:r>
          </w:p>
        </w:tc>
        <w:tc>
          <w:tcPr>
            <w:tcW w:w="2340" w:type="dxa"/>
            <w:vAlign w:val="bottom"/>
          </w:tcPr>
          <w:p>
            <w:pPr>
              <w:ind w:left="70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2420" w:type="dxa"/>
            <w:vAlign w:val="bottom"/>
          </w:tcPr>
          <w:p>
            <w:pPr>
              <w:ind w:left="20"/>
              <w:spacing w:after="0" w:line="128" w:lineRule="exact"/>
              <w:rPr>
                <w:sz w:val="20"/>
                <w:szCs w:val="20"/>
                <w:color w:val="auto"/>
              </w:rPr>
            </w:pPr>
            <w:r>
              <w:rPr>
                <w:rFonts w:ascii="Arial" w:cs="Arial" w:eastAsia="Arial" w:hAnsi="Arial"/>
                <w:sz w:val="13"/>
                <w:szCs w:val="13"/>
                <w:color w:val="auto"/>
              </w:rPr>
              <w:t>Suite 600</w:t>
            </w:r>
          </w:p>
        </w:tc>
        <w:tc>
          <w:tcPr>
            <w:tcW w:w="234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2420" w:type="dxa"/>
            <w:vAlign w:val="bottom"/>
          </w:tcPr>
          <w:p>
            <w:pPr>
              <w:ind w:left="20"/>
              <w:spacing w:after="0" w:line="128" w:lineRule="exact"/>
              <w:rPr>
                <w:sz w:val="20"/>
                <w:szCs w:val="20"/>
                <w:color w:val="auto"/>
              </w:rPr>
            </w:pPr>
            <w:r>
              <w:rPr>
                <w:rFonts w:ascii="Arial" w:cs="Arial" w:eastAsia="Arial" w:hAnsi="Arial"/>
                <w:sz w:val="13"/>
                <w:szCs w:val="13"/>
                <w:color w:val="auto"/>
              </w:rPr>
              <w:t>Halifax</w:t>
            </w:r>
          </w:p>
        </w:tc>
        <w:tc>
          <w:tcPr>
            <w:tcW w:w="234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4060" w:type="dxa"/>
            <w:vAlign w:val="bottom"/>
          </w:tcPr>
          <w:p>
            <w:pPr>
              <w:spacing w:after="0"/>
              <w:rPr>
                <w:sz w:val="14"/>
                <w:szCs w:val="14"/>
                <w:color w:val="auto"/>
              </w:rPr>
            </w:pPr>
          </w:p>
        </w:tc>
        <w:tc>
          <w:tcPr>
            <w:tcW w:w="2420" w:type="dxa"/>
            <w:vAlign w:val="bottom"/>
          </w:tcPr>
          <w:p>
            <w:pPr>
              <w:ind w:left="20"/>
              <w:spacing w:after="0"/>
              <w:rPr>
                <w:sz w:val="20"/>
                <w:szCs w:val="20"/>
                <w:color w:val="auto"/>
              </w:rPr>
            </w:pPr>
            <w:r>
              <w:rPr>
                <w:rFonts w:ascii="Arial" w:cs="Arial" w:eastAsia="Arial" w:hAnsi="Arial"/>
                <w:sz w:val="13"/>
                <w:szCs w:val="13"/>
                <w:color w:val="auto"/>
              </w:rPr>
              <w:t>Nova Scotia B3J 0J2</w:t>
            </w:r>
          </w:p>
        </w:tc>
        <w:tc>
          <w:tcPr>
            <w:tcW w:w="234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40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Pharmaceutical Research Associates ULC</w:t>
            </w:r>
          </w:p>
        </w:tc>
        <w:tc>
          <w:tcPr>
            <w:tcW w:w="24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1741 Lower Water Street</w:t>
            </w:r>
          </w:p>
        </w:tc>
        <w:tc>
          <w:tcPr>
            <w:tcW w:w="2340" w:type="dxa"/>
            <w:vAlign w:val="bottom"/>
            <w:shd w:val="clear" w:color="auto" w:fill="CCEEFF"/>
          </w:tcPr>
          <w:p>
            <w:pPr>
              <w:ind w:left="70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242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Suite 600</w:t>
            </w:r>
          </w:p>
        </w:tc>
        <w:tc>
          <w:tcPr>
            <w:tcW w:w="23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242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Halifax</w:t>
            </w:r>
          </w:p>
        </w:tc>
        <w:tc>
          <w:tcPr>
            <w:tcW w:w="23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4060" w:type="dxa"/>
            <w:vAlign w:val="bottom"/>
            <w:shd w:val="clear" w:color="auto" w:fill="CCEEFF"/>
          </w:tcPr>
          <w:p>
            <w:pPr>
              <w:spacing w:after="0"/>
              <w:rPr>
                <w:sz w:val="14"/>
                <w:szCs w:val="14"/>
                <w:color w:val="auto"/>
              </w:rPr>
            </w:pPr>
          </w:p>
        </w:tc>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Nova Scotia B3J 0J2</w:t>
            </w:r>
          </w:p>
        </w:tc>
        <w:tc>
          <w:tcPr>
            <w:tcW w:w="234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4060" w:type="dxa"/>
            <w:vAlign w:val="bottom"/>
          </w:tcPr>
          <w:p>
            <w:pPr>
              <w:ind w:left="20"/>
              <w:spacing w:after="0" w:line="128" w:lineRule="exact"/>
              <w:rPr>
                <w:sz w:val="20"/>
                <w:szCs w:val="20"/>
                <w:color w:val="auto"/>
              </w:rPr>
            </w:pPr>
            <w:r>
              <w:rPr>
                <w:rFonts w:ascii="Arial" w:cs="Arial" w:eastAsia="Arial" w:hAnsi="Arial"/>
                <w:sz w:val="13"/>
                <w:szCs w:val="13"/>
                <w:color w:val="auto"/>
              </w:rPr>
              <w:t>Services de Recherche Pharmaceutique Srl</w:t>
            </w:r>
          </w:p>
        </w:tc>
        <w:tc>
          <w:tcPr>
            <w:tcW w:w="2420" w:type="dxa"/>
            <w:vAlign w:val="bottom"/>
          </w:tcPr>
          <w:p>
            <w:pPr>
              <w:ind w:left="20"/>
              <w:spacing w:after="0" w:line="128" w:lineRule="exact"/>
              <w:rPr>
                <w:sz w:val="20"/>
                <w:szCs w:val="20"/>
                <w:color w:val="auto"/>
              </w:rPr>
            </w:pPr>
            <w:r>
              <w:rPr>
                <w:rFonts w:ascii="Arial" w:cs="Arial" w:eastAsia="Arial" w:hAnsi="Arial"/>
                <w:sz w:val="13"/>
                <w:szCs w:val="13"/>
                <w:color w:val="auto"/>
              </w:rPr>
              <w:t>1741 Lower Water Street</w:t>
            </w:r>
          </w:p>
        </w:tc>
        <w:tc>
          <w:tcPr>
            <w:tcW w:w="2340" w:type="dxa"/>
            <w:vAlign w:val="bottom"/>
          </w:tcPr>
          <w:p>
            <w:pPr>
              <w:ind w:left="70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2420" w:type="dxa"/>
            <w:vAlign w:val="bottom"/>
          </w:tcPr>
          <w:p>
            <w:pPr>
              <w:ind w:left="20"/>
              <w:spacing w:after="0" w:line="128" w:lineRule="exact"/>
              <w:rPr>
                <w:sz w:val="20"/>
                <w:szCs w:val="20"/>
                <w:color w:val="auto"/>
              </w:rPr>
            </w:pPr>
            <w:r>
              <w:rPr>
                <w:rFonts w:ascii="Arial" w:cs="Arial" w:eastAsia="Arial" w:hAnsi="Arial"/>
                <w:sz w:val="13"/>
                <w:szCs w:val="13"/>
                <w:color w:val="auto"/>
              </w:rPr>
              <w:t>Suite 600</w:t>
            </w:r>
          </w:p>
        </w:tc>
        <w:tc>
          <w:tcPr>
            <w:tcW w:w="234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2420" w:type="dxa"/>
            <w:vAlign w:val="bottom"/>
          </w:tcPr>
          <w:p>
            <w:pPr>
              <w:ind w:left="20"/>
              <w:spacing w:after="0" w:line="128" w:lineRule="exact"/>
              <w:rPr>
                <w:sz w:val="20"/>
                <w:szCs w:val="20"/>
                <w:color w:val="auto"/>
              </w:rPr>
            </w:pPr>
            <w:r>
              <w:rPr>
                <w:rFonts w:ascii="Arial" w:cs="Arial" w:eastAsia="Arial" w:hAnsi="Arial"/>
                <w:sz w:val="13"/>
                <w:szCs w:val="13"/>
                <w:color w:val="auto"/>
              </w:rPr>
              <w:t>Halifax</w:t>
            </w:r>
          </w:p>
        </w:tc>
        <w:tc>
          <w:tcPr>
            <w:tcW w:w="234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4060" w:type="dxa"/>
            <w:vAlign w:val="bottom"/>
          </w:tcPr>
          <w:p>
            <w:pPr>
              <w:spacing w:after="0"/>
              <w:rPr>
                <w:sz w:val="14"/>
                <w:szCs w:val="14"/>
                <w:color w:val="auto"/>
              </w:rPr>
            </w:pPr>
          </w:p>
        </w:tc>
        <w:tc>
          <w:tcPr>
            <w:tcW w:w="2420" w:type="dxa"/>
            <w:vAlign w:val="bottom"/>
          </w:tcPr>
          <w:p>
            <w:pPr>
              <w:ind w:left="20"/>
              <w:spacing w:after="0"/>
              <w:rPr>
                <w:sz w:val="20"/>
                <w:szCs w:val="20"/>
                <w:color w:val="auto"/>
              </w:rPr>
            </w:pPr>
            <w:r>
              <w:rPr>
                <w:rFonts w:ascii="Arial" w:cs="Arial" w:eastAsia="Arial" w:hAnsi="Arial"/>
                <w:sz w:val="13"/>
                <w:szCs w:val="13"/>
                <w:color w:val="auto"/>
              </w:rPr>
              <w:t>Nova Scotia B3J 0J2</w:t>
            </w:r>
          </w:p>
        </w:tc>
        <w:tc>
          <w:tcPr>
            <w:tcW w:w="234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40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Oxford Outcomes LTD.</w:t>
            </w:r>
          </w:p>
        </w:tc>
        <w:tc>
          <w:tcPr>
            <w:tcW w:w="24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19th Floor</w:t>
            </w:r>
          </w:p>
        </w:tc>
        <w:tc>
          <w:tcPr>
            <w:tcW w:w="2340" w:type="dxa"/>
            <w:vAlign w:val="bottom"/>
            <w:shd w:val="clear" w:color="auto" w:fill="CCEEFF"/>
          </w:tcPr>
          <w:p>
            <w:pPr>
              <w:ind w:left="70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242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885 West Georgia Street</w:t>
            </w:r>
          </w:p>
        </w:tc>
        <w:tc>
          <w:tcPr>
            <w:tcW w:w="23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242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Vancouver BC V6C 3H4</w:t>
            </w:r>
          </w:p>
        </w:tc>
        <w:tc>
          <w:tcPr>
            <w:tcW w:w="23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4060" w:type="dxa"/>
            <w:vAlign w:val="bottom"/>
            <w:shd w:val="clear" w:color="auto" w:fill="CCEEFF"/>
          </w:tcPr>
          <w:p>
            <w:pPr>
              <w:spacing w:after="0"/>
              <w:rPr>
                <w:sz w:val="14"/>
                <w:szCs w:val="14"/>
                <w:color w:val="auto"/>
              </w:rPr>
            </w:pPr>
          </w:p>
        </w:tc>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Canada</w:t>
            </w:r>
          </w:p>
        </w:tc>
        <w:tc>
          <w:tcPr>
            <w:tcW w:w="234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4060" w:type="dxa"/>
            <w:vAlign w:val="bottom"/>
          </w:tcPr>
          <w:p>
            <w:pPr>
              <w:ind w:left="20"/>
              <w:spacing w:after="0" w:line="128" w:lineRule="exact"/>
              <w:rPr>
                <w:sz w:val="20"/>
                <w:szCs w:val="20"/>
                <w:color w:val="auto"/>
              </w:rPr>
            </w:pPr>
            <w:r>
              <w:rPr>
                <w:rFonts w:ascii="Arial" w:cs="Arial" w:eastAsia="Arial" w:hAnsi="Arial"/>
                <w:sz w:val="13"/>
                <w:szCs w:val="13"/>
                <w:color w:val="auto"/>
              </w:rPr>
              <w:t>ICON Life Sciences Canada Inc.</w:t>
            </w:r>
          </w:p>
        </w:tc>
        <w:tc>
          <w:tcPr>
            <w:tcW w:w="2420" w:type="dxa"/>
            <w:vAlign w:val="bottom"/>
          </w:tcPr>
          <w:p>
            <w:pPr>
              <w:ind w:left="20"/>
              <w:spacing w:after="0" w:line="128" w:lineRule="exact"/>
              <w:rPr>
                <w:sz w:val="20"/>
                <w:szCs w:val="20"/>
                <w:color w:val="auto"/>
              </w:rPr>
            </w:pPr>
            <w:r>
              <w:rPr>
                <w:rFonts w:ascii="Arial" w:cs="Arial" w:eastAsia="Arial" w:hAnsi="Arial"/>
                <w:sz w:val="13"/>
                <w:szCs w:val="13"/>
                <w:color w:val="auto"/>
              </w:rPr>
              <w:t>3455 North Service Road</w:t>
            </w:r>
          </w:p>
        </w:tc>
        <w:tc>
          <w:tcPr>
            <w:tcW w:w="2340" w:type="dxa"/>
            <w:vAlign w:val="bottom"/>
          </w:tcPr>
          <w:p>
            <w:pPr>
              <w:ind w:left="70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2420" w:type="dxa"/>
            <w:vAlign w:val="bottom"/>
          </w:tcPr>
          <w:p>
            <w:pPr>
              <w:ind w:left="20"/>
              <w:spacing w:after="0" w:line="128" w:lineRule="exact"/>
              <w:rPr>
                <w:sz w:val="20"/>
                <w:szCs w:val="20"/>
                <w:color w:val="auto"/>
              </w:rPr>
            </w:pPr>
            <w:r>
              <w:rPr>
                <w:rFonts w:ascii="Arial" w:cs="Arial" w:eastAsia="Arial" w:hAnsi="Arial"/>
                <w:sz w:val="13"/>
                <w:szCs w:val="13"/>
                <w:color w:val="auto"/>
              </w:rPr>
              <w:t>Unit #400</w:t>
            </w:r>
          </w:p>
        </w:tc>
        <w:tc>
          <w:tcPr>
            <w:tcW w:w="234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2420" w:type="dxa"/>
            <w:vAlign w:val="bottom"/>
          </w:tcPr>
          <w:p>
            <w:pPr>
              <w:ind w:left="20"/>
              <w:spacing w:after="0" w:line="128" w:lineRule="exact"/>
              <w:rPr>
                <w:sz w:val="20"/>
                <w:szCs w:val="20"/>
                <w:color w:val="auto"/>
              </w:rPr>
            </w:pPr>
            <w:r>
              <w:rPr>
                <w:rFonts w:ascii="Arial" w:cs="Arial" w:eastAsia="Arial" w:hAnsi="Arial"/>
                <w:sz w:val="13"/>
                <w:szCs w:val="13"/>
                <w:color w:val="auto"/>
              </w:rPr>
              <w:t>Burlington ON L7N 3G2</w:t>
            </w:r>
          </w:p>
        </w:tc>
        <w:tc>
          <w:tcPr>
            <w:tcW w:w="234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4060" w:type="dxa"/>
            <w:vAlign w:val="bottom"/>
          </w:tcPr>
          <w:p>
            <w:pPr>
              <w:spacing w:after="0"/>
              <w:rPr>
                <w:sz w:val="14"/>
                <w:szCs w:val="14"/>
                <w:color w:val="auto"/>
              </w:rPr>
            </w:pPr>
          </w:p>
        </w:tc>
        <w:tc>
          <w:tcPr>
            <w:tcW w:w="2420" w:type="dxa"/>
            <w:vAlign w:val="bottom"/>
          </w:tcPr>
          <w:p>
            <w:pPr>
              <w:ind w:left="20"/>
              <w:spacing w:after="0"/>
              <w:rPr>
                <w:sz w:val="20"/>
                <w:szCs w:val="20"/>
                <w:color w:val="auto"/>
              </w:rPr>
            </w:pPr>
            <w:r>
              <w:rPr>
                <w:rFonts w:ascii="Arial" w:cs="Arial" w:eastAsia="Arial" w:hAnsi="Arial"/>
                <w:sz w:val="13"/>
                <w:szCs w:val="13"/>
                <w:color w:val="auto"/>
              </w:rPr>
              <w:t>Canada</w:t>
            </w:r>
          </w:p>
        </w:tc>
        <w:tc>
          <w:tcPr>
            <w:tcW w:w="234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71"/>
        </w:trPr>
        <w:tc>
          <w:tcPr>
            <w:tcW w:w="4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ICON Chile Limitada</w:t>
            </w:r>
          </w:p>
        </w:tc>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Huerfanos 770</w:t>
            </w:r>
          </w:p>
        </w:tc>
        <w:tc>
          <w:tcPr>
            <w:tcW w:w="2340" w:type="dxa"/>
            <w:vAlign w:val="bottom"/>
            <w:shd w:val="clear" w:color="auto" w:fill="CCEEFF"/>
          </w:tcPr>
          <w:p>
            <w:pPr>
              <w:ind w:left="700"/>
              <w:spacing w:after="0"/>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100%</w:t>
            </w:r>
          </w:p>
        </w:tc>
      </w:tr>
      <w:tr>
        <w:trPr>
          <w:trHeight w:val="149"/>
        </w:trPr>
        <w:tc>
          <w:tcPr>
            <w:tcW w:w="4060" w:type="dxa"/>
            <w:vAlign w:val="bottom"/>
            <w:shd w:val="clear" w:color="auto" w:fill="CCEEFF"/>
          </w:tcPr>
          <w:p>
            <w:pPr>
              <w:spacing w:after="0"/>
              <w:rPr>
                <w:sz w:val="12"/>
                <w:szCs w:val="12"/>
                <w:color w:val="auto"/>
              </w:rPr>
            </w:pPr>
          </w:p>
        </w:tc>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Piso 4</w:t>
            </w:r>
          </w:p>
        </w:tc>
        <w:tc>
          <w:tcPr>
            <w:tcW w:w="2340" w:type="dxa"/>
            <w:vAlign w:val="bottom"/>
            <w:shd w:val="clear" w:color="auto" w:fill="CCEEFF"/>
          </w:tcPr>
          <w:p>
            <w:pPr>
              <w:spacing w:after="0"/>
              <w:rPr>
                <w:sz w:val="12"/>
                <w:szCs w:val="12"/>
                <w:color w:val="auto"/>
              </w:rPr>
            </w:pPr>
          </w:p>
        </w:tc>
        <w:tc>
          <w:tcPr>
            <w:tcW w:w="2440" w:type="dxa"/>
            <w:vAlign w:val="bottom"/>
            <w:shd w:val="clear" w:color="auto" w:fill="CCEEFF"/>
          </w:tcPr>
          <w:p>
            <w:pPr>
              <w:spacing w:after="0"/>
              <w:rPr>
                <w:sz w:val="12"/>
                <w:szCs w:val="12"/>
                <w:color w:val="auto"/>
              </w:rPr>
            </w:pPr>
          </w:p>
        </w:tc>
      </w:tr>
      <w:tr>
        <w:trPr>
          <w:trHeight w:val="159"/>
        </w:trPr>
        <w:tc>
          <w:tcPr>
            <w:tcW w:w="4060" w:type="dxa"/>
            <w:vAlign w:val="bottom"/>
            <w:shd w:val="clear" w:color="auto" w:fill="CCEEFF"/>
          </w:tcPr>
          <w:p>
            <w:pPr>
              <w:spacing w:after="0"/>
              <w:rPr>
                <w:sz w:val="13"/>
                <w:szCs w:val="13"/>
                <w:color w:val="auto"/>
              </w:rPr>
            </w:pPr>
          </w:p>
        </w:tc>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Oficina 402</w:t>
            </w:r>
          </w:p>
        </w:tc>
        <w:tc>
          <w:tcPr>
            <w:tcW w:w="2340" w:type="dxa"/>
            <w:vAlign w:val="bottom"/>
            <w:shd w:val="clear" w:color="auto" w:fill="CCEEFF"/>
          </w:tcPr>
          <w:p>
            <w:pPr>
              <w:spacing w:after="0"/>
              <w:rPr>
                <w:sz w:val="13"/>
                <w:szCs w:val="13"/>
                <w:color w:val="auto"/>
              </w:rPr>
            </w:pPr>
          </w:p>
        </w:tc>
        <w:tc>
          <w:tcPr>
            <w:tcW w:w="2440" w:type="dxa"/>
            <w:vAlign w:val="bottom"/>
            <w:shd w:val="clear" w:color="auto" w:fill="CCEEFF"/>
          </w:tcPr>
          <w:p>
            <w:pPr>
              <w:spacing w:after="0"/>
              <w:rPr>
                <w:sz w:val="13"/>
                <w:szCs w:val="13"/>
                <w:color w:val="auto"/>
              </w:rPr>
            </w:pPr>
          </w:p>
        </w:tc>
      </w:tr>
      <w:tr>
        <w:trPr>
          <w:trHeight w:val="159"/>
        </w:trPr>
        <w:tc>
          <w:tcPr>
            <w:tcW w:w="4060" w:type="dxa"/>
            <w:vAlign w:val="bottom"/>
            <w:shd w:val="clear" w:color="auto" w:fill="CCEEFF"/>
          </w:tcPr>
          <w:p>
            <w:pPr>
              <w:spacing w:after="0"/>
              <w:rPr>
                <w:sz w:val="13"/>
                <w:szCs w:val="13"/>
                <w:color w:val="auto"/>
              </w:rPr>
            </w:pPr>
          </w:p>
        </w:tc>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Santiago</w:t>
            </w:r>
          </w:p>
        </w:tc>
        <w:tc>
          <w:tcPr>
            <w:tcW w:w="2340" w:type="dxa"/>
            <w:vAlign w:val="bottom"/>
            <w:shd w:val="clear" w:color="auto" w:fill="CCEEFF"/>
          </w:tcPr>
          <w:p>
            <w:pPr>
              <w:spacing w:after="0"/>
              <w:rPr>
                <w:sz w:val="13"/>
                <w:szCs w:val="13"/>
                <w:color w:val="auto"/>
              </w:rPr>
            </w:pPr>
          </w:p>
        </w:tc>
        <w:tc>
          <w:tcPr>
            <w:tcW w:w="2440" w:type="dxa"/>
            <w:vAlign w:val="bottom"/>
            <w:shd w:val="clear" w:color="auto" w:fill="CCEEFF"/>
          </w:tcPr>
          <w:p>
            <w:pPr>
              <w:spacing w:after="0"/>
              <w:rPr>
                <w:sz w:val="13"/>
                <w:szCs w:val="13"/>
                <w:color w:val="auto"/>
              </w:rPr>
            </w:pPr>
          </w:p>
        </w:tc>
      </w:tr>
      <w:tr>
        <w:trPr>
          <w:trHeight w:val="171"/>
        </w:trPr>
        <w:tc>
          <w:tcPr>
            <w:tcW w:w="4060" w:type="dxa"/>
            <w:vAlign w:val="bottom"/>
            <w:tcBorders>
              <w:bottom w:val="single" w:sz="8" w:color="CCEEFF"/>
            </w:tcBorders>
            <w:shd w:val="clear" w:color="auto" w:fill="CCEEFF"/>
          </w:tcPr>
          <w:p>
            <w:pPr>
              <w:spacing w:after="0"/>
              <w:rPr>
                <w:sz w:val="14"/>
                <w:szCs w:val="14"/>
                <w:color w:val="auto"/>
              </w:rPr>
            </w:pPr>
          </w:p>
        </w:tc>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Chile</w:t>
            </w:r>
          </w:p>
        </w:tc>
        <w:tc>
          <w:tcPr>
            <w:tcW w:w="2340" w:type="dxa"/>
            <w:vAlign w:val="bottom"/>
            <w:tcBorders>
              <w:bottom w:val="single" w:sz="8" w:color="CCEEFF"/>
            </w:tcBorders>
            <w:shd w:val="clear" w:color="auto" w:fill="CCEEFF"/>
          </w:tcPr>
          <w:p>
            <w:pPr>
              <w:spacing w:after="0"/>
              <w:rPr>
                <w:sz w:val="14"/>
                <w:szCs w:val="14"/>
                <w:color w:val="auto"/>
              </w:rPr>
            </w:pPr>
          </w:p>
        </w:tc>
        <w:tc>
          <w:tcPr>
            <w:tcW w:w="2440" w:type="dxa"/>
            <w:vAlign w:val="bottom"/>
            <w:tcBorders>
              <w:bottom w:val="single" w:sz="8" w:color="CCEEFF"/>
            </w:tcBorders>
            <w:shd w:val="clear" w:color="auto" w:fill="CCEEFF"/>
          </w:tcPr>
          <w:p>
            <w:pPr>
              <w:spacing w:after="0"/>
              <w:rPr>
                <w:sz w:val="14"/>
                <w:szCs w:val="14"/>
                <w:color w:val="auto"/>
              </w:rPr>
            </w:pPr>
          </w:p>
        </w:tc>
      </w:tr>
      <w:tr>
        <w:trPr>
          <w:trHeight w:val="127"/>
        </w:trPr>
        <w:tc>
          <w:tcPr>
            <w:tcW w:w="4060" w:type="dxa"/>
            <w:vAlign w:val="bottom"/>
          </w:tcPr>
          <w:p>
            <w:pPr>
              <w:ind w:left="20"/>
              <w:spacing w:after="0" w:line="128" w:lineRule="exact"/>
              <w:rPr>
                <w:sz w:val="20"/>
                <w:szCs w:val="20"/>
                <w:color w:val="auto"/>
              </w:rPr>
            </w:pPr>
            <w:r>
              <w:rPr>
                <w:rFonts w:ascii="Arial" w:cs="Arial" w:eastAsia="Arial" w:hAnsi="Arial"/>
                <w:sz w:val="13"/>
                <w:szCs w:val="13"/>
                <w:color w:val="auto"/>
              </w:rPr>
              <w:t>PRA Health Sciences Chile SpA</w:t>
            </w:r>
          </w:p>
        </w:tc>
        <w:tc>
          <w:tcPr>
            <w:tcW w:w="2420" w:type="dxa"/>
            <w:vAlign w:val="bottom"/>
          </w:tcPr>
          <w:p>
            <w:pPr>
              <w:ind w:left="20"/>
              <w:spacing w:after="0" w:line="128" w:lineRule="exact"/>
              <w:rPr>
                <w:sz w:val="20"/>
                <w:szCs w:val="20"/>
                <w:color w:val="auto"/>
              </w:rPr>
            </w:pPr>
            <w:r>
              <w:rPr>
                <w:rFonts w:ascii="Arial" w:cs="Arial" w:eastAsia="Arial" w:hAnsi="Arial"/>
                <w:sz w:val="13"/>
                <w:szCs w:val="13"/>
                <w:color w:val="auto"/>
              </w:rPr>
              <w:t>Miraflores 222</w:t>
            </w:r>
          </w:p>
        </w:tc>
        <w:tc>
          <w:tcPr>
            <w:tcW w:w="2340" w:type="dxa"/>
            <w:vAlign w:val="bottom"/>
          </w:tcPr>
          <w:p>
            <w:pPr>
              <w:ind w:left="70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2420" w:type="dxa"/>
            <w:vAlign w:val="bottom"/>
          </w:tcPr>
          <w:p>
            <w:pPr>
              <w:ind w:left="20"/>
              <w:spacing w:after="0" w:line="128" w:lineRule="exact"/>
              <w:rPr>
                <w:sz w:val="20"/>
                <w:szCs w:val="20"/>
                <w:color w:val="auto"/>
              </w:rPr>
            </w:pPr>
            <w:r>
              <w:rPr>
                <w:rFonts w:ascii="Arial" w:cs="Arial" w:eastAsia="Arial" w:hAnsi="Arial"/>
                <w:sz w:val="13"/>
                <w:szCs w:val="13"/>
                <w:color w:val="auto"/>
              </w:rPr>
              <w:t>Piso 28</w:t>
            </w:r>
          </w:p>
        </w:tc>
        <w:tc>
          <w:tcPr>
            <w:tcW w:w="234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2420" w:type="dxa"/>
            <w:vAlign w:val="bottom"/>
          </w:tcPr>
          <w:p>
            <w:pPr>
              <w:ind w:left="20"/>
              <w:spacing w:after="0" w:line="128" w:lineRule="exact"/>
              <w:rPr>
                <w:sz w:val="20"/>
                <w:szCs w:val="20"/>
                <w:color w:val="auto"/>
              </w:rPr>
            </w:pPr>
            <w:r>
              <w:rPr>
                <w:rFonts w:ascii="Arial" w:cs="Arial" w:eastAsia="Arial" w:hAnsi="Arial"/>
                <w:sz w:val="13"/>
                <w:szCs w:val="13"/>
                <w:color w:val="auto"/>
              </w:rPr>
              <w:t>Santiago</w:t>
            </w:r>
          </w:p>
        </w:tc>
        <w:tc>
          <w:tcPr>
            <w:tcW w:w="234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7"/>
        </w:trPr>
        <w:tc>
          <w:tcPr>
            <w:tcW w:w="4060" w:type="dxa"/>
            <w:vAlign w:val="bottom"/>
          </w:tcPr>
          <w:p>
            <w:pPr>
              <w:spacing w:after="0"/>
              <w:rPr>
                <w:sz w:val="14"/>
                <w:szCs w:val="14"/>
                <w:color w:val="auto"/>
              </w:rPr>
            </w:pPr>
          </w:p>
        </w:tc>
        <w:tc>
          <w:tcPr>
            <w:tcW w:w="2420" w:type="dxa"/>
            <w:vAlign w:val="bottom"/>
          </w:tcPr>
          <w:p>
            <w:pPr>
              <w:ind w:left="20"/>
              <w:spacing w:after="0"/>
              <w:rPr>
                <w:sz w:val="20"/>
                <w:szCs w:val="20"/>
                <w:color w:val="auto"/>
              </w:rPr>
            </w:pPr>
            <w:r>
              <w:rPr>
                <w:rFonts w:ascii="Arial" w:cs="Arial" w:eastAsia="Arial" w:hAnsi="Arial"/>
                <w:sz w:val="13"/>
                <w:szCs w:val="13"/>
                <w:color w:val="auto"/>
              </w:rPr>
              <w:t>Chile</w:t>
            </w:r>
          </w:p>
        </w:tc>
        <w:tc>
          <w:tcPr>
            <w:tcW w:w="2340" w:type="dxa"/>
            <w:vAlign w:val="bottom"/>
          </w:tcPr>
          <w:p>
            <w:pPr>
              <w:spacing w:after="0"/>
              <w:rPr>
                <w:sz w:val="14"/>
                <w:szCs w:val="14"/>
                <w:color w:val="auto"/>
              </w:rPr>
            </w:pPr>
          </w:p>
        </w:tc>
        <w:tc>
          <w:tcPr>
            <w:tcW w:w="2440" w:type="dxa"/>
            <w:vAlign w:val="bottom"/>
          </w:tcPr>
          <w:p>
            <w:pPr>
              <w:spacing w:after="0"/>
              <w:rPr>
                <w:sz w:val="14"/>
                <w:szCs w:val="14"/>
                <w:color w:val="auto"/>
              </w:rPr>
            </w:pPr>
          </w:p>
        </w:tc>
      </w:tr>
    </w:tbl>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119</w:t>
      </w:r>
    </w:p>
    <w:p>
      <w:pPr>
        <w:sectPr>
          <w:pgSz w:w="11900" w:h="16838" w:orient="portrait"/>
          <w:cols w:equalWidth="0" w:num="1">
            <w:col w:w="11260"/>
          </w:cols>
          <w:pgMar w:left="300" w:top="698" w:right="3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32.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30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Registered Office</w:t>
            </w:r>
          </w:p>
        </w:tc>
        <w:tc>
          <w:tcPr>
            <w:tcW w:w="1740" w:type="dxa"/>
            <w:vAlign w:val="bottom"/>
            <w:shd w:val="clear" w:color="auto" w:fill="CCEEFF"/>
          </w:tcPr>
          <w:p>
            <w:pPr>
              <w:ind w:left="100"/>
              <w:spacing w:after="0"/>
              <w:rPr>
                <w:sz w:val="20"/>
                <w:szCs w:val="20"/>
                <w:color w:val="auto"/>
              </w:rPr>
            </w:pPr>
            <w:r>
              <w:rPr>
                <w:rFonts w:ascii="Arial" w:cs="Arial" w:eastAsia="Arial" w:hAnsi="Arial"/>
                <w:sz w:val="13"/>
                <w:szCs w:val="13"/>
                <w:b w:val="1"/>
                <w:bCs w:val="1"/>
                <w:color w:val="auto"/>
              </w:rPr>
              <w:t>Nature of business</w:t>
            </w:r>
          </w:p>
        </w:tc>
        <w:tc>
          <w:tcPr>
            <w:tcW w:w="244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Proportion held by</w:t>
            </w:r>
          </w:p>
        </w:tc>
      </w:tr>
      <w:tr>
        <w:trPr>
          <w:trHeight w:val="170"/>
        </w:trPr>
        <w:tc>
          <w:tcPr>
            <w:tcW w:w="4060" w:type="dxa"/>
            <w:vAlign w:val="bottom"/>
            <w:tcBorders>
              <w:bottom w:val="single" w:sz="8" w:color="auto"/>
            </w:tcBorders>
            <w:shd w:val="clear" w:color="auto" w:fill="CCEEFF"/>
          </w:tcPr>
          <w:p>
            <w:pPr>
              <w:spacing w:after="0"/>
              <w:rPr>
                <w:sz w:val="14"/>
                <w:szCs w:val="14"/>
                <w:color w:val="auto"/>
              </w:rPr>
            </w:pPr>
          </w:p>
        </w:tc>
        <w:tc>
          <w:tcPr>
            <w:tcW w:w="3020" w:type="dxa"/>
            <w:vAlign w:val="bottom"/>
            <w:tcBorders>
              <w:bottom w:val="single" w:sz="8" w:color="auto"/>
            </w:tcBorders>
            <w:shd w:val="clear" w:color="auto" w:fill="CCEEFF"/>
          </w:tcPr>
          <w:p>
            <w:pPr>
              <w:spacing w:after="0"/>
              <w:rPr>
                <w:sz w:val="14"/>
                <w:szCs w:val="14"/>
                <w:color w:val="auto"/>
              </w:rPr>
            </w:pPr>
          </w:p>
        </w:tc>
        <w:tc>
          <w:tcPr>
            <w:tcW w:w="1740" w:type="dxa"/>
            <w:vAlign w:val="bottom"/>
            <w:tcBorders>
              <w:bottom w:val="single" w:sz="8" w:color="auto"/>
            </w:tcBorders>
            <w:shd w:val="clear" w:color="auto" w:fill="CCEEFF"/>
          </w:tcPr>
          <w:p>
            <w:pPr>
              <w:spacing w:after="0"/>
              <w:rPr>
                <w:sz w:val="14"/>
                <w:szCs w:val="14"/>
                <w:color w:val="auto"/>
              </w:rPr>
            </w:pPr>
          </w:p>
        </w:tc>
        <w:tc>
          <w:tcPr>
            <w:tcW w:w="24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3"/>
                <w:szCs w:val="13"/>
                <w:b w:val="1"/>
                <w:bCs w:val="1"/>
                <w:color w:val="auto"/>
              </w:rPr>
              <w:t>Group</w:t>
            </w:r>
          </w:p>
        </w:tc>
      </w:tr>
      <w:tr>
        <w:trPr>
          <w:trHeight w:val="118"/>
        </w:trPr>
        <w:tc>
          <w:tcPr>
            <w:tcW w:w="4060" w:type="dxa"/>
            <w:vAlign w:val="bottom"/>
            <w:shd w:val="clear" w:color="auto" w:fill="CCEEFF"/>
          </w:tcPr>
          <w:p>
            <w:pPr>
              <w:ind w:left="20"/>
              <w:spacing w:after="0" w:line="118" w:lineRule="exact"/>
              <w:rPr>
                <w:sz w:val="20"/>
                <w:szCs w:val="20"/>
                <w:color w:val="auto"/>
              </w:rPr>
            </w:pPr>
            <w:r>
              <w:rPr>
                <w:rFonts w:ascii="Arial" w:cs="Arial" w:eastAsia="Arial" w:hAnsi="Arial"/>
                <w:sz w:val="13"/>
                <w:szCs w:val="13"/>
                <w:color w:val="auto"/>
              </w:rPr>
              <w:t>CRS (Beijing) Clinical Research Co., Limited</w:t>
            </w:r>
          </w:p>
        </w:tc>
        <w:tc>
          <w:tcPr>
            <w:tcW w:w="3020" w:type="dxa"/>
            <w:vAlign w:val="bottom"/>
            <w:shd w:val="clear" w:color="auto" w:fill="CCEEFF"/>
          </w:tcPr>
          <w:p>
            <w:pPr>
              <w:ind w:left="20"/>
              <w:spacing w:after="0" w:line="118" w:lineRule="exact"/>
              <w:rPr>
                <w:sz w:val="20"/>
                <w:szCs w:val="20"/>
                <w:color w:val="auto"/>
              </w:rPr>
            </w:pPr>
            <w:r>
              <w:rPr>
                <w:rFonts w:ascii="Arial" w:cs="Arial" w:eastAsia="Arial" w:hAnsi="Arial"/>
                <w:sz w:val="13"/>
                <w:szCs w:val="13"/>
                <w:color w:val="auto"/>
              </w:rPr>
              <w:t>Floor 3, Building 3,</w:t>
            </w:r>
          </w:p>
        </w:tc>
        <w:tc>
          <w:tcPr>
            <w:tcW w:w="1740" w:type="dxa"/>
            <w:vAlign w:val="bottom"/>
            <w:shd w:val="clear" w:color="auto" w:fill="CCEEFF"/>
          </w:tcPr>
          <w:p>
            <w:pPr>
              <w:ind w:left="100"/>
              <w:spacing w:after="0" w:line="118"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18"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302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Hongda Industrial park,</w:t>
            </w:r>
          </w:p>
        </w:tc>
        <w:tc>
          <w:tcPr>
            <w:tcW w:w="17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302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No. 8, Hongda North Road,</w:t>
            </w:r>
          </w:p>
        </w:tc>
        <w:tc>
          <w:tcPr>
            <w:tcW w:w="17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302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w w:val="99"/>
              </w:rPr>
              <w:t>Beijing Economic-Technological Development Area,</w:t>
            </w:r>
          </w:p>
        </w:tc>
        <w:tc>
          <w:tcPr>
            <w:tcW w:w="17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302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Beijing,</w:t>
            </w:r>
          </w:p>
        </w:tc>
        <w:tc>
          <w:tcPr>
            <w:tcW w:w="17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4060" w:type="dxa"/>
            <w:vAlign w:val="bottom"/>
            <w:shd w:val="clear" w:color="auto" w:fill="CCEEFF"/>
          </w:tcPr>
          <w:p>
            <w:pPr>
              <w:spacing w:after="0"/>
              <w:rPr>
                <w:sz w:val="14"/>
                <w:szCs w:val="14"/>
                <w:color w:val="auto"/>
              </w:rPr>
            </w:pPr>
          </w:p>
        </w:tc>
        <w:tc>
          <w:tcPr>
            <w:tcW w:w="3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China</w:t>
            </w:r>
          </w:p>
        </w:tc>
        <w:tc>
          <w:tcPr>
            <w:tcW w:w="174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4060" w:type="dxa"/>
            <w:vAlign w:val="bottom"/>
          </w:tcPr>
          <w:p>
            <w:pPr>
              <w:ind w:left="20"/>
              <w:spacing w:after="0" w:line="128" w:lineRule="exact"/>
              <w:rPr>
                <w:sz w:val="20"/>
                <w:szCs w:val="20"/>
                <w:color w:val="auto"/>
              </w:rPr>
            </w:pPr>
            <w:r>
              <w:rPr>
                <w:rFonts w:ascii="Arial" w:cs="Arial" w:eastAsia="Arial" w:hAnsi="Arial"/>
                <w:sz w:val="13"/>
                <w:szCs w:val="13"/>
                <w:color w:val="auto"/>
              </w:rPr>
              <w:t>ICON Clinical Research (Beijing No.2) Co., Ltd</w:t>
            </w:r>
          </w:p>
        </w:tc>
        <w:tc>
          <w:tcPr>
            <w:tcW w:w="3020" w:type="dxa"/>
            <w:vAlign w:val="bottom"/>
          </w:tcPr>
          <w:p>
            <w:pPr>
              <w:ind w:left="20"/>
              <w:spacing w:after="0" w:line="128" w:lineRule="exact"/>
              <w:rPr>
                <w:sz w:val="20"/>
                <w:szCs w:val="20"/>
                <w:color w:val="auto"/>
              </w:rPr>
            </w:pPr>
            <w:r>
              <w:rPr>
                <w:rFonts w:ascii="Arial" w:cs="Arial" w:eastAsia="Arial" w:hAnsi="Arial"/>
                <w:sz w:val="13"/>
                <w:szCs w:val="13"/>
                <w:color w:val="auto"/>
              </w:rPr>
              <w:t>Floor 2, Building 5,</w:t>
            </w:r>
          </w:p>
        </w:tc>
        <w:tc>
          <w:tcPr>
            <w:tcW w:w="1740" w:type="dxa"/>
            <w:vAlign w:val="bottom"/>
          </w:tcPr>
          <w:p>
            <w:pPr>
              <w:ind w:left="10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3020" w:type="dxa"/>
            <w:vAlign w:val="bottom"/>
          </w:tcPr>
          <w:p>
            <w:pPr>
              <w:ind w:left="20"/>
              <w:spacing w:after="0" w:line="128" w:lineRule="exact"/>
              <w:rPr>
                <w:sz w:val="20"/>
                <w:szCs w:val="20"/>
                <w:color w:val="auto"/>
              </w:rPr>
            </w:pPr>
            <w:r>
              <w:rPr>
                <w:rFonts w:ascii="Arial" w:cs="Arial" w:eastAsia="Arial" w:hAnsi="Arial"/>
                <w:sz w:val="13"/>
                <w:szCs w:val="13"/>
                <w:color w:val="auto"/>
              </w:rPr>
              <w:t>Hongda Industrial park,</w:t>
            </w:r>
          </w:p>
        </w:tc>
        <w:tc>
          <w:tcPr>
            <w:tcW w:w="174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3020" w:type="dxa"/>
            <w:vAlign w:val="bottom"/>
          </w:tcPr>
          <w:p>
            <w:pPr>
              <w:ind w:left="20"/>
              <w:spacing w:after="0" w:line="128" w:lineRule="exact"/>
              <w:rPr>
                <w:sz w:val="20"/>
                <w:szCs w:val="20"/>
                <w:color w:val="auto"/>
              </w:rPr>
            </w:pPr>
            <w:r>
              <w:rPr>
                <w:rFonts w:ascii="Arial" w:cs="Arial" w:eastAsia="Arial" w:hAnsi="Arial"/>
                <w:sz w:val="13"/>
                <w:szCs w:val="13"/>
                <w:color w:val="auto"/>
              </w:rPr>
              <w:t>No. 8 Hongda North Road, Beijing Economic -</w:t>
            </w:r>
          </w:p>
        </w:tc>
        <w:tc>
          <w:tcPr>
            <w:tcW w:w="174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3020" w:type="dxa"/>
            <w:vAlign w:val="bottom"/>
          </w:tcPr>
          <w:p>
            <w:pPr>
              <w:ind w:left="20"/>
              <w:spacing w:after="0" w:line="128" w:lineRule="exact"/>
              <w:rPr>
                <w:sz w:val="20"/>
                <w:szCs w:val="20"/>
                <w:color w:val="auto"/>
              </w:rPr>
            </w:pPr>
            <w:r>
              <w:rPr>
                <w:rFonts w:ascii="Arial" w:cs="Arial" w:eastAsia="Arial" w:hAnsi="Arial"/>
                <w:sz w:val="13"/>
                <w:szCs w:val="13"/>
                <w:color w:val="auto"/>
              </w:rPr>
              <w:t>Technologies Development Area,</w:t>
            </w:r>
          </w:p>
        </w:tc>
        <w:tc>
          <w:tcPr>
            <w:tcW w:w="174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3020" w:type="dxa"/>
            <w:vAlign w:val="bottom"/>
          </w:tcPr>
          <w:p>
            <w:pPr>
              <w:ind w:left="20"/>
              <w:spacing w:after="0" w:line="128" w:lineRule="exact"/>
              <w:rPr>
                <w:sz w:val="20"/>
                <w:szCs w:val="20"/>
                <w:color w:val="auto"/>
              </w:rPr>
            </w:pPr>
            <w:r>
              <w:rPr>
                <w:rFonts w:ascii="Arial" w:cs="Arial" w:eastAsia="Arial" w:hAnsi="Arial"/>
                <w:sz w:val="13"/>
                <w:szCs w:val="13"/>
                <w:color w:val="auto"/>
              </w:rPr>
              <w:t>Beijing,</w:t>
            </w:r>
          </w:p>
        </w:tc>
        <w:tc>
          <w:tcPr>
            <w:tcW w:w="174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7"/>
        </w:trPr>
        <w:tc>
          <w:tcPr>
            <w:tcW w:w="4060" w:type="dxa"/>
            <w:vAlign w:val="bottom"/>
          </w:tcPr>
          <w:p>
            <w:pPr>
              <w:spacing w:after="0"/>
              <w:rPr>
                <w:sz w:val="14"/>
                <w:szCs w:val="14"/>
                <w:color w:val="auto"/>
              </w:rPr>
            </w:pPr>
          </w:p>
        </w:tc>
        <w:tc>
          <w:tcPr>
            <w:tcW w:w="3020" w:type="dxa"/>
            <w:vAlign w:val="bottom"/>
          </w:tcPr>
          <w:p>
            <w:pPr>
              <w:ind w:left="20"/>
              <w:spacing w:after="0"/>
              <w:rPr>
                <w:sz w:val="20"/>
                <w:szCs w:val="20"/>
                <w:color w:val="auto"/>
              </w:rPr>
            </w:pPr>
            <w:r>
              <w:rPr>
                <w:rFonts w:ascii="Arial" w:cs="Arial" w:eastAsia="Arial" w:hAnsi="Arial"/>
                <w:sz w:val="13"/>
                <w:szCs w:val="13"/>
                <w:color w:val="auto"/>
              </w:rPr>
              <w:t>China</w:t>
            </w:r>
          </w:p>
        </w:tc>
        <w:tc>
          <w:tcPr>
            <w:tcW w:w="174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30"/>
        </w:trPr>
        <w:tc>
          <w:tcPr>
            <w:tcW w:w="4060" w:type="dxa"/>
            <w:vAlign w:val="bottom"/>
          </w:tcPr>
          <w:p>
            <w:pPr>
              <w:ind w:left="20"/>
              <w:spacing w:after="0" w:line="130" w:lineRule="exact"/>
              <w:rPr>
                <w:sz w:val="20"/>
                <w:szCs w:val="20"/>
                <w:color w:val="auto"/>
              </w:rPr>
            </w:pPr>
            <w:r>
              <w:rPr>
                <w:rFonts w:ascii="Arial" w:cs="Arial" w:eastAsia="Arial" w:hAnsi="Arial"/>
                <w:sz w:val="13"/>
                <w:szCs w:val="13"/>
                <w:color w:val="auto"/>
              </w:rPr>
              <w:t>ICON Clinical Research (Beijing) Co., Ltd</w:t>
            </w:r>
          </w:p>
        </w:tc>
        <w:tc>
          <w:tcPr>
            <w:tcW w:w="3020" w:type="dxa"/>
            <w:vAlign w:val="bottom"/>
          </w:tcPr>
          <w:p>
            <w:pPr>
              <w:ind w:left="20"/>
              <w:spacing w:after="0" w:line="130" w:lineRule="exact"/>
              <w:rPr>
                <w:sz w:val="20"/>
                <w:szCs w:val="20"/>
                <w:color w:val="auto"/>
              </w:rPr>
            </w:pPr>
            <w:r>
              <w:rPr>
                <w:rFonts w:ascii="Arial" w:cs="Arial" w:eastAsia="Arial" w:hAnsi="Arial"/>
                <w:sz w:val="13"/>
                <w:szCs w:val="13"/>
                <w:color w:val="auto"/>
              </w:rPr>
              <w:t>Floor 1</w:t>
            </w:r>
          </w:p>
        </w:tc>
        <w:tc>
          <w:tcPr>
            <w:tcW w:w="1740" w:type="dxa"/>
            <w:vAlign w:val="bottom"/>
          </w:tcPr>
          <w:p>
            <w:pPr>
              <w:ind w:left="100"/>
              <w:spacing w:after="0" w:line="130"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30"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3020" w:type="dxa"/>
            <w:vAlign w:val="bottom"/>
          </w:tcPr>
          <w:p>
            <w:pPr>
              <w:ind w:left="20"/>
              <w:spacing w:after="0" w:line="128" w:lineRule="exact"/>
              <w:rPr>
                <w:sz w:val="20"/>
                <w:szCs w:val="20"/>
                <w:color w:val="auto"/>
              </w:rPr>
            </w:pPr>
            <w:r>
              <w:rPr>
                <w:rFonts w:ascii="Arial" w:cs="Arial" w:eastAsia="Arial" w:hAnsi="Arial"/>
                <w:sz w:val="13"/>
                <w:szCs w:val="13"/>
                <w:color w:val="auto"/>
              </w:rPr>
              <w:t>Building No. 5,</w:t>
            </w:r>
          </w:p>
        </w:tc>
        <w:tc>
          <w:tcPr>
            <w:tcW w:w="174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3020" w:type="dxa"/>
            <w:vAlign w:val="bottom"/>
          </w:tcPr>
          <w:p>
            <w:pPr>
              <w:ind w:left="20"/>
              <w:spacing w:after="0" w:line="128" w:lineRule="exact"/>
              <w:rPr>
                <w:sz w:val="20"/>
                <w:szCs w:val="20"/>
                <w:color w:val="auto"/>
              </w:rPr>
            </w:pPr>
            <w:r>
              <w:rPr>
                <w:rFonts w:ascii="Arial" w:cs="Arial" w:eastAsia="Arial" w:hAnsi="Arial"/>
                <w:sz w:val="13"/>
                <w:szCs w:val="13"/>
                <w:color w:val="auto"/>
              </w:rPr>
              <w:t>No. 8 Hongda North Road, Beijing Economic-</w:t>
            </w:r>
          </w:p>
        </w:tc>
        <w:tc>
          <w:tcPr>
            <w:tcW w:w="174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39"/>
        </w:trPr>
        <w:tc>
          <w:tcPr>
            <w:tcW w:w="4060" w:type="dxa"/>
            <w:vAlign w:val="bottom"/>
          </w:tcPr>
          <w:p>
            <w:pPr>
              <w:spacing w:after="0"/>
              <w:rPr>
                <w:sz w:val="12"/>
                <w:szCs w:val="12"/>
                <w:color w:val="auto"/>
              </w:rPr>
            </w:pPr>
          </w:p>
        </w:tc>
        <w:tc>
          <w:tcPr>
            <w:tcW w:w="3020" w:type="dxa"/>
            <w:vAlign w:val="bottom"/>
          </w:tcPr>
          <w:p>
            <w:pPr>
              <w:ind w:left="20"/>
              <w:spacing w:after="0" w:line="139" w:lineRule="exact"/>
              <w:rPr>
                <w:sz w:val="20"/>
                <w:szCs w:val="20"/>
                <w:color w:val="auto"/>
              </w:rPr>
            </w:pPr>
            <w:r>
              <w:rPr>
                <w:rFonts w:ascii="Arial" w:cs="Arial" w:eastAsia="Arial" w:hAnsi="Arial"/>
                <w:sz w:val="13"/>
                <w:szCs w:val="13"/>
                <w:color w:val="auto"/>
              </w:rPr>
              <w:t>Technologies Developement Zone,</w:t>
            </w:r>
          </w:p>
        </w:tc>
        <w:tc>
          <w:tcPr>
            <w:tcW w:w="1740" w:type="dxa"/>
            <w:vAlign w:val="bottom"/>
          </w:tcPr>
          <w:p>
            <w:pPr>
              <w:spacing w:after="0"/>
              <w:rPr>
                <w:sz w:val="12"/>
                <w:szCs w:val="12"/>
                <w:color w:val="auto"/>
              </w:rPr>
            </w:pPr>
          </w:p>
        </w:tc>
        <w:tc>
          <w:tcPr>
            <w:tcW w:w="244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-330200</wp:posOffset>
            </wp:positionV>
            <wp:extent cx="7148195" cy="5118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8195" cy="511810"/>
                    </a:xfrm>
                    <a:prstGeom prst="rect">
                      <a:avLst/>
                    </a:prstGeom>
                    <a:noFill/>
                  </pic:spPr>
                </pic:pic>
              </a:graphicData>
            </a:graphic>
          </wp:anchor>
        </w:drawing>
      </w:r>
    </w:p>
    <w:p>
      <w:pPr>
        <w:ind w:left="4080"/>
        <w:spacing w:after="0" w:line="204" w:lineRule="auto"/>
        <w:rPr>
          <w:sz w:val="20"/>
          <w:szCs w:val="20"/>
          <w:color w:val="auto"/>
        </w:rPr>
      </w:pPr>
      <w:r>
        <w:rPr>
          <w:rFonts w:ascii="Arial" w:cs="Arial" w:eastAsia="Arial" w:hAnsi="Arial"/>
          <w:sz w:val="13"/>
          <w:szCs w:val="13"/>
          <w:color w:val="auto"/>
        </w:rPr>
        <w:t>Beijing,</w:t>
      </w:r>
    </w:p>
    <w:p>
      <w:pPr>
        <w:ind w:left="4080"/>
        <w:spacing w:after="0"/>
        <w:rPr>
          <w:sz w:val="20"/>
          <w:szCs w:val="20"/>
          <w:color w:val="auto"/>
        </w:rPr>
      </w:pPr>
      <w:r>
        <w:rPr>
          <w:rFonts w:ascii="Arial" w:cs="Arial" w:eastAsia="Arial" w:hAnsi="Arial"/>
          <w:sz w:val="13"/>
          <w:szCs w:val="13"/>
          <w:color w:val="auto"/>
        </w:rPr>
        <w:t>China</w:t>
      </w:r>
    </w:p>
    <w:p>
      <w:pPr>
        <w:sectPr>
          <w:pgSz w:w="11900" w:h="16838" w:orient="portrait"/>
          <w:cols w:equalWidth="0" w:num="1">
            <w:col w:w="11260"/>
          </w:cols>
          <w:pgMar w:left="300" w:top="698" w:right="339" w:bottom="1440" w:gutter="0" w:footer="0" w:header="0"/>
        </w:sectPr>
      </w:pPr>
    </w:p>
    <w:p>
      <w:pPr>
        <w:spacing w:after="0" w:line="8" w:lineRule="exact"/>
        <w:rPr>
          <w:sz w:val="20"/>
          <w:szCs w:val="20"/>
          <w:color w:val="auto"/>
        </w:rPr>
      </w:pPr>
    </w:p>
    <w:p>
      <w:pPr>
        <w:ind w:left="20"/>
        <w:spacing w:after="0"/>
        <w:rPr>
          <w:sz w:val="20"/>
          <w:szCs w:val="20"/>
          <w:color w:val="auto"/>
        </w:rPr>
      </w:pPr>
      <w:r>
        <w:rPr>
          <w:rFonts w:ascii="Arial" w:cs="Arial" w:eastAsia="Arial" w:hAnsi="Arial"/>
          <w:sz w:val="13"/>
          <w:szCs w:val="13"/>
          <w:color w:val="auto"/>
        </w:rPr>
        <w:t>PRA Health Sciences China, Inc.</w:t>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3"/>
          <w:szCs w:val="13"/>
          <w:color w:val="auto"/>
        </w:rPr>
        <w:t>PRA Health Sciences Colombia Ltda.</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Research Pharmaceutical Services Costa Rica, LTDA.</w:t>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3"/>
          <w:szCs w:val="13"/>
          <w:color w:val="auto"/>
        </w:rPr>
        <w:t>Ispitivanja ICON d.o.o (ICON Research Ltd.)</w:t>
      </w:r>
    </w:p>
    <w:p>
      <w:pPr>
        <w:spacing w:after="0" w:line="275" w:lineRule="exact"/>
        <w:rPr>
          <w:sz w:val="20"/>
          <w:szCs w:val="20"/>
          <w:color w:val="auto"/>
        </w:rPr>
      </w:pPr>
    </w:p>
    <w:p>
      <w:pPr>
        <w:ind w:left="20" w:right="160"/>
        <w:spacing w:after="0" w:line="505" w:lineRule="auto"/>
        <w:rPr>
          <w:sz w:val="20"/>
          <w:szCs w:val="20"/>
          <w:color w:val="auto"/>
        </w:rPr>
      </w:pPr>
      <w:r>
        <w:rPr>
          <w:rFonts w:ascii="Arial" w:cs="Arial" w:eastAsia="Arial" w:hAnsi="Arial"/>
          <w:sz w:val="13"/>
          <w:szCs w:val="13"/>
          <w:color w:val="auto"/>
        </w:rPr>
        <w:t>Pharm Research Associates d.o.o. za klinicka ispitivanja ICON Clinical Research s.r.o.</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13"/>
          <w:szCs w:val="13"/>
          <w:color w:val="auto"/>
        </w:rPr>
        <w:t>Pharmaceutical Research Associates CZ, s.r.o.</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6"/>
        </w:trPr>
        <w:tc>
          <w:tcPr>
            <w:tcW w:w="3040" w:type="dxa"/>
            <w:vAlign w:val="bottom"/>
          </w:tcPr>
          <w:p>
            <w:pPr>
              <w:spacing w:after="0" w:line="136" w:lineRule="exact"/>
              <w:rPr>
                <w:sz w:val="20"/>
                <w:szCs w:val="20"/>
                <w:color w:val="auto"/>
              </w:rPr>
            </w:pPr>
            <w:r>
              <w:rPr>
                <w:rFonts w:ascii="Arial" w:cs="Arial" w:eastAsia="Arial" w:hAnsi="Arial"/>
                <w:sz w:val="13"/>
                <w:szCs w:val="13"/>
                <w:color w:val="auto"/>
                <w:w w:val="99"/>
              </w:rPr>
              <w:t>Room 301, Floor 3, Building No. 5, Hongda Industrial</w:t>
            </w:r>
          </w:p>
        </w:tc>
        <w:tc>
          <w:tcPr>
            <w:tcW w:w="1700" w:type="dxa"/>
            <w:vAlign w:val="bottom"/>
          </w:tcPr>
          <w:p>
            <w:pPr>
              <w:ind w:left="60"/>
              <w:spacing w:after="0" w:line="136" w:lineRule="exact"/>
              <w:rPr>
                <w:sz w:val="20"/>
                <w:szCs w:val="20"/>
                <w:color w:val="auto"/>
              </w:rPr>
            </w:pPr>
            <w:r>
              <w:rPr>
                <w:rFonts w:ascii="Arial" w:cs="Arial" w:eastAsia="Arial" w:hAnsi="Arial"/>
                <w:sz w:val="13"/>
                <w:szCs w:val="13"/>
                <w:color w:val="auto"/>
              </w:rPr>
              <w:t>Clinical research services</w:t>
            </w:r>
          </w:p>
        </w:tc>
        <w:tc>
          <w:tcPr>
            <w:tcW w:w="520" w:type="dxa"/>
            <w:vAlign w:val="bottom"/>
          </w:tcPr>
          <w:p>
            <w:pPr>
              <w:jc w:val="right"/>
              <w:spacing w:after="0" w:line="136" w:lineRule="exact"/>
              <w:rPr>
                <w:sz w:val="20"/>
                <w:szCs w:val="20"/>
                <w:color w:val="auto"/>
              </w:rPr>
            </w:pPr>
            <w:r>
              <w:rPr>
                <w:rFonts w:ascii="Arial" w:cs="Arial" w:eastAsia="Arial" w:hAnsi="Arial"/>
                <w:sz w:val="13"/>
                <w:szCs w:val="13"/>
                <w:color w:val="auto"/>
              </w:rPr>
              <w:t>100%</w:t>
            </w:r>
          </w:p>
        </w:tc>
      </w:tr>
      <w:tr>
        <w:trPr>
          <w:trHeight w:val="127"/>
        </w:trPr>
        <w:tc>
          <w:tcPr>
            <w:tcW w:w="3040" w:type="dxa"/>
            <w:vAlign w:val="bottom"/>
          </w:tcPr>
          <w:p>
            <w:pPr>
              <w:spacing w:after="0" w:line="128" w:lineRule="exact"/>
              <w:rPr>
                <w:sz w:val="20"/>
                <w:szCs w:val="20"/>
                <w:color w:val="auto"/>
              </w:rPr>
            </w:pPr>
            <w:r>
              <w:rPr>
                <w:rFonts w:ascii="Arial" w:cs="Arial" w:eastAsia="Arial" w:hAnsi="Arial"/>
                <w:sz w:val="13"/>
                <w:szCs w:val="13"/>
                <w:color w:val="auto"/>
              </w:rPr>
              <w:t>Park, No. 8 Hongda North Road, Beijing Economic-</w:t>
            </w:r>
          </w:p>
        </w:tc>
        <w:tc>
          <w:tcPr>
            <w:tcW w:w="170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67"/>
        </w:trPr>
        <w:tc>
          <w:tcPr>
            <w:tcW w:w="3040" w:type="dxa"/>
            <w:vAlign w:val="bottom"/>
          </w:tcPr>
          <w:p>
            <w:pPr>
              <w:spacing w:after="0"/>
              <w:rPr>
                <w:sz w:val="20"/>
                <w:szCs w:val="20"/>
                <w:color w:val="auto"/>
              </w:rPr>
            </w:pPr>
            <w:r>
              <w:rPr>
                <w:rFonts w:ascii="Arial" w:cs="Arial" w:eastAsia="Arial" w:hAnsi="Arial"/>
                <w:sz w:val="13"/>
                <w:szCs w:val="13"/>
                <w:color w:val="auto"/>
              </w:rPr>
              <w:t>Technological Development Area, Beijing</w:t>
            </w:r>
          </w:p>
        </w:tc>
        <w:tc>
          <w:tcPr>
            <w:tcW w:w="17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30"/>
        </w:trPr>
        <w:tc>
          <w:tcPr>
            <w:tcW w:w="3040" w:type="dxa"/>
            <w:vAlign w:val="bottom"/>
          </w:tcPr>
          <w:p>
            <w:pPr>
              <w:spacing w:after="0" w:line="130" w:lineRule="exact"/>
              <w:rPr>
                <w:sz w:val="20"/>
                <w:szCs w:val="20"/>
                <w:color w:val="auto"/>
              </w:rPr>
            </w:pPr>
            <w:r>
              <w:rPr>
                <w:rFonts w:ascii="Arial" w:cs="Arial" w:eastAsia="Arial" w:hAnsi="Arial"/>
                <w:sz w:val="13"/>
                <w:szCs w:val="13"/>
                <w:color w:val="auto"/>
              </w:rPr>
              <w:t>Calle 116 No. 7 – 15</w:t>
            </w:r>
          </w:p>
        </w:tc>
        <w:tc>
          <w:tcPr>
            <w:tcW w:w="1700" w:type="dxa"/>
            <w:vAlign w:val="bottom"/>
          </w:tcPr>
          <w:p>
            <w:pPr>
              <w:ind w:left="60"/>
              <w:spacing w:after="0" w:line="130" w:lineRule="exact"/>
              <w:rPr>
                <w:sz w:val="20"/>
                <w:szCs w:val="20"/>
                <w:color w:val="auto"/>
              </w:rPr>
            </w:pPr>
            <w:r>
              <w:rPr>
                <w:rFonts w:ascii="Arial" w:cs="Arial" w:eastAsia="Arial" w:hAnsi="Arial"/>
                <w:sz w:val="13"/>
                <w:szCs w:val="13"/>
                <w:color w:val="auto"/>
              </w:rPr>
              <w:t>Clinical research services</w:t>
            </w:r>
          </w:p>
        </w:tc>
        <w:tc>
          <w:tcPr>
            <w:tcW w:w="520" w:type="dxa"/>
            <w:vAlign w:val="bottom"/>
          </w:tcPr>
          <w:p>
            <w:pPr>
              <w:jc w:val="right"/>
              <w:spacing w:after="0" w:line="130" w:lineRule="exact"/>
              <w:rPr>
                <w:sz w:val="20"/>
                <w:szCs w:val="20"/>
                <w:color w:val="auto"/>
              </w:rPr>
            </w:pPr>
            <w:r>
              <w:rPr>
                <w:rFonts w:ascii="Arial" w:cs="Arial" w:eastAsia="Arial" w:hAnsi="Arial"/>
                <w:sz w:val="13"/>
                <w:szCs w:val="13"/>
                <w:color w:val="auto"/>
              </w:rPr>
              <w:t>100%</w:t>
            </w:r>
          </w:p>
        </w:tc>
      </w:tr>
      <w:tr>
        <w:trPr>
          <w:trHeight w:val="127"/>
        </w:trPr>
        <w:tc>
          <w:tcPr>
            <w:tcW w:w="3040" w:type="dxa"/>
            <w:vAlign w:val="bottom"/>
          </w:tcPr>
          <w:p>
            <w:pPr>
              <w:spacing w:after="0" w:line="128" w:lineRule="exact"/>
              <w:rPr>
                <w:sz w:val="20"/>
                <w:szCs w:val="20"/>
                <w:color w:val="auto"/>
              </w:rPr>
            </w:pPr>
            <w:r>
              <w:rPr>
                <w:rFonts w:ascii="Arial" w:cs="Arial" w:eastAsia="Arial" w:hAnsi="Arial"/>
                <w:sz w:val="13"/>
                <w:szCs w:val="13"/>
                <w:color w:val="auto"/>
              </w:rPr>
              <w:t>Torre Cusezar Oficina 1002</w:t>
            </w:r>
          </w:p>
        </w:tc>
        <w:tc>
          <w:tcPr>
            <w:tcW w:w="170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27"/>
        </w:trPr>
        <w:tc>
          <w:tcPr>
            <w:tcW w:w="3040" w:type="dxa"/>
            <w:vAlign w:val="bottom"/>
          </w:tcPr>
          <w:p>
            <w:pPr>
              <w:spacing w:after="0" w:line="128" w:lineRule="exact"/>
              <w:rPr>
                <w:sz w:val="20"/>
                <w:szCs w:val="20"/>
                <w:color w:val="auto"/>
              </w:rPr>
            </w:pPr>
            <w:r>
              <w:rPr>
                <w:rFonts w:ascii="Arial" w:cs="Arial" w:eastAsia="Arial" w:hAnsi="Arial"/>
                <w:sz w:val="13"/>
                <w:szCs w:val="13"/>
                <w:color w:val="auto"/>
              </w:rPr>
              <w:t>Bogotá</w:t>
            </w:r>
          </w:p>
        </w:tc>
        <w:tc>
          <w:tcPr>
            <w:tcW w:w="170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27"/>
        </w:trPr>
        <w:tc>
          <w:tcPr>
            <w:tcW w:w="3040" w:type="dxa"/>
            <w:vAlign w:val="bottom"/>
          </w:tcPr>
          <w:p>
            <w:pPr>
              <w:spacing w:after="0" w:line="128" w:lineRule="exact"/>
              <w:rPr>
                <w:sz w:val="20"/>
                <w:szCs w:val="20"/>
                <w:color w:val="auto"/>
              </w:rPr>
            </w:pPr>
            <w:r>
              <w:rPr>
                <w:rFonts w:ascii="Arial" w:cs="Arial" w:eastAsia="Arial" w:hAnsi="Arial"/>
                <w:sz w:val="13"/>
                <w:szCs w:val="13"/>
                <w:color w:val="auto"/>
              </w:rPr>
              <w:t>Cundinamarca</w:t>
            </w:r>
          </w:p>
        </w:tc>
        <w:tc>
          <w:tcPr>
            <w:tcW w:w="170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27"/>
        </w:trPr>
        <w:tc>
          <w:tcPr>
            <w:tcW w:w="3040" w:type="dxa"/>
            <w:vAlign w:val="bottom"/>
          </w:tcPr>
          <w:p>
            <w:pPr>
              <w:spacing w:after="0" w:line="128" w:lineRule="exact"/>
              <w:rPr>
                <w:sz w:val="20"/>
                <w:szCs w:val="20"/>
                <w:color w:val="auto"/>
              </w:rPr>
            </w:pPr>
            <w:r>
              <w:rPr>
                <w:rFonts w:ascii="Arial" w:cs="Arial" w:eastAsia="Arial" w:hAnsi="Arial"/>
                <w:sz w:val="13"/>
                <w:szCs w:val="13"/>
                <w:color w:val="auto"/>
              </w:rPr>
              <w:t>Colombia</w:t>
            </w:r>
          </w:p>
        </w:tc>
        <w:tc>
          <w:tcPr>
            <w:tcW w:w="170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67"/>
        </w:trPr>
        <w:tc>
          <w:tcPr>
            <w:tcW w:w="3040" w:type="dxa"/>
            <w:vAlign w:val="bottom"/>
          </w:tcPr>
          <w:p>
            <w:pPr>
              <w:spacing w:after="0"/>
              <w:rPr>
                <w:sz w:val="20"/>
                <w:szCs w:val="20"/>
                <w:color w:val="auto"/>
              </w:rPr>
            </w:pPr>
            <w:r>
              <w:rPr>
                <w:rFonts w:ascii="Arial" w:cs="Arial" w:eastAsia="Arial" w:hAnsi="Arial"/>
                <w:sz w:val="13"/>
                <w:szCs w:val="13"/>
                <w:color w:val="auto"/>
              </w:rPr>
              <w:t>110111</w:t>
            </w:r>
          </w:p>
        </w:tc>
        <w:tc>
          <w:tcPr>
            <w:tcW w:w="17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30"/>
        </w:trPr>
        <w:tc>
          <w:tcPr>
            <w:tcW w:w="3040" w:type="dxa"/>
            <w:vAlign w:val="bottom"/>
          </w:tcPr>
          <w:p>
            <w:pPr>
              <w:spacing w:after="0" w:line="130" w:lineRule="exact"/>
              <w:rPr>
                <w:sz w:val="20"/>
                <w:szCs w:val="20"/>
                <w:color w:val="auto"/>
              </w:rPr>
            </w:pPr>
            <w:r>
              <w:rPr>
                <w:rFonts w:ascii="Arial" w:cs="Arial" w:eastAsia="Arial" w:hAnsi="Arial"/>
                <w:sz w:val="13"/>
                <w:szCs w:val="13"/>
                <w:color w:val="auto"/>
              </w:rPr>
              <w:t>Sabana Business Center, piso 11</w:t>
            </w:r>
          </w:p>
        </w:tc>
        <w:tc>
          <w:tcPr>
            <w:tcW w:w="1700" w:type="dxa"/>
            <w:vAlign w:val="bottom"/>
          </w:tcPr>
          <w:p>
            <w:pPr>
              <w:ind w:left="60"/>
              <w:spacing w:after="0" w:line="130" w:lineRule="exact"/>
              <w:rPr>
                <w:sz w:val="20"/>
                <w:szCs w:val="20"/>
                <w:color w:val="auto"/>
              </w:rPr>
            </w:pPr>
            <w:r>
              <w:rPr>
                <w:rFonts w:ascii="Arial" w:cs="Arial" w:eastAsia="Arial" w:hAnsi="Arial"/>
                <w:sz w:val="13"/>
                <w:szCs w:val="13"/>
                <w:color w:val="auto"/>
              </w:rPr>
              <w:t>Clinical research services</w:t>
            </w:r>
          </w:p>
        </w:tc>
        <w:tc>
          <w:tcPr>
            <w:tcW w:w="520" w:type="dxa"/>
            <w:vAlign w:val="bottom"/>
          </w:tcPr>
          <w:p>
            <w:pPr>
              <w:jc w:val="right"/>
              <w:spacing w:after="0" w:line="130" w:lineRule="exact"/>
              <w:rPr>
                <w:sz w:val="20"/>
                <w:szCs w:val="20"/>
                <w:color w:val="auto"/>
              </w:rPr>
            </w:pPr>
            <w:r>
              <w:rPr>
                <w:rFonts w:ascii="Arial" w:cs="Arial" w:eastAsia="Arial" w:hAnsi="Arial"/>
                <w:sz w:val="13"/>
                <w:szCs w:val="13"/>
                <w:color w:val="auto"/>
              </w:rPr>
              <w:t>100%</w:t>
            </w:r>
          </w:p>
        </w:tc>
      </w:tr>
      <w:tr>
        <w:trPr>
          <w:trHeight w:val="127"/>
        </w:trPr>
        <w:tc>
          <w:tcPr>
            <w:tcW w:w="3040" w:type="dxa"/>
            <w:vAlign w:val="bottom"/>
          </w:tcPr>
          <w:p>
            <w:pPr>
              <w:spacing w:after="0" w:line="128" w:lineRule="exact"/>
              <w:rPr>
                <w:sz w:val="20"/>
                <w:szCs w:val="20"/>
                <w:color w:val="auto"/>
              </w:rPr>
            </w:pPr>
            <w:r>
              <w:rPr>
                <w:rFonts w:ascii="Arial" w:cs="Arial" w:eastAsia="Arial" w:hAnsi="Arial"/>
                <w:sz w:val="13"/>
                <w:szCs w:val="13"/>
                <w:color w:val="auto"/>
              </w:rPr>
              <w:t>Bulevar Rohrmoser y Calle 68</w:t>
            </w:r>
          </w:p>
        </w:tc>
        <w:tc>
          <w:tcPr>
            <w:tcW w:w="170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67"/>
        </w:trPr>
        <w:tc>
          <w:tcPr>
            <w:tcW w:w="3040" w:type="dxa"/>
            <w:vAlign w:val="bottom"/>
          </w:tcPr>
          <w:p>
            <w:pPr>
              <w:spacing w:after="0"/>
              <w:rPr>
                <w:sz w:val="20"/>
                <w:szCs w:val="20"/>
                <w:color w:val="auto"/>
              </w:rPr>
            </w:pPr>
            <w:r>
              <w:rPr>
                <w:rFonts w:ascii="Arial" w:cs="Arial" w:eastAsia="Arial" w:hAnsi="Arial"/>
                <w:sz w:val="13"/>
                <w:szCs w:val="13"/>
                <w:color w:val="auto"/>
              </w:rPr>
              <w:t>San José, Costa Rica 10108</w:t>
            </w:r>
          </w:p>
        </w:tc>
        <w:tc>
          <w:tcPr>
            <w:tcW w:w="17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30"/>
        </w:trPr>
        <w:tc>
          <w:tcPr>
            <w:tcW w:w="3040" w:type="dxa"/>
            <w:vAlign w:val="bottom"/>
          </w:tcPr>
          <w:p>
            <w:pPr>
              <w:spacing w:after="0" w:line="130" w:lineRule="exact"/>
              <w:rPr>
                <w:sz w:val="20"/>
                <w:szCs w:val="20"/>
                <w:color w:val="auto"/>
              </w:rPr>
            </w:pPr>
            <w:r>
              <w:rPr>
                <w:rFonts w:ascii="Arial" w:cs="Arial" w:eastAsia="Arial" w:hAnsi="Arial"/>
                <w:sz w:val="13"/>
                <w:szCs w:val="13"/>
                <w:color w:val="auto"/>
              </w:rPr>
              <w:t>Zagreb,</w:t>
            </w:r>
          </w:p>
        </w:tc>
        <w:tc>
          <w:tcPr>
            <w:tcW w:w="1700" w:type="dxa"/>
            <w:vAlign w:val="bottom"/>
          </w:tcPr>
          <w:p>
            <w:pPr>
              <w:ind w:left="60"/>
              <w:spacing w:after="0" w:line="130" w:lineRule="exact"/>
              <w:rPr>
                <w:sz w:val="20"/>
                <w:szCs w:val="20"/>
                <w:color w:val="auto"/>
              </w:rPr>
            </w:pPr>
            <w:r>
              <w:rPr>
                <w:rFonts w:ascii="Arial" w:cs="Arial" w:eastAsia="Arial" w:hAnsi="Arial"/>
                <w:sz w:val="13"/>
                <w:szCs w:val="13"/>
                <w:color w:val="auto"/>
              </w:rPr>
              <w:t>Clinical research services</w:t>
            </w:r>
          </w:p>
        </w:tc>
        <w:tc>
          <w:tcPr>
            <w:tcW w:w="520" w:type="dxa"/>
            <w:vAlign w:val="bottom"/>
          </w:tcPr>
          <w:p>
            <w:pPr>
              <w:jc w:val="right"/>
              <w:spacing w:after="0" w:line="130" w:lineRule="exact"/>
              <w:rPr>
                <w:sz w:val="20"/>
                <w:szCs w:val="20"/>
                <w:color w:val="auto"/>
              </w:rPr>
            </w:pPr>
            <w:r>
              <w:rPr>
                <w:rFonts w:ascii="Arial" w:cs="Arial" w:eastAsia="Arial" w:hAnsi="Arial"/>
                <w:sz w:val="13"/>
                <w:szCs w:val="13"/>
                <w:color w:val="auto"/>
              </w:rPr>
              <w:t>100%</w:t>
            </w:r>
          </w:p>
        </w:tc>
      </w:tr>
      <w:tr>
        <w:trPr>
          <w:trHeight w:val="127"/>
        </w:trPr>
        <w:tc>
          <w:tcPr>
            <w:tcW w:w="3040" w:type="dxa"/>
            <w:vAlign w:val="bottom"/>
          </w:tcPr>
          <w:p>
            <w:pPr>
              <w:spacing w:after="0" w:line="128" w:lineRule="exact"/>
              <w:rPr>
                <w:sz w:val="20"/>
                <w:szCs w:val="20"/>
                <w:color w:val="auto"/>
              </w:rPr>
            </w:pPr>
            <w:r>
              <w:rPr>
                <w:rFonts w:ascii="Arial" w:cs="Arial" w:eastAsia="Arial" w:hAnsi="Arial"/>
                <w:sz w:val="13"/>
                <w:szCs w:val="13"/>
                <w:color w:val="auto"/>
              </w:rPr>
              <w:t>Radnicka cesta 80,</w:t>
            </w:r>
          </w:p>
        </w:tc>
        <w:tc>
          <w:tcPr>
            <w:tcW w:w="170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67"/>
        </w:trPr>
        <w:tc>
          <w:tcPr>
            <w:tcW w:w="3040" w:type="dxa"/>
            <w:vAlign w:val="bottom"/>
          </w:tcPr>
          <w:p>
            <w:pPr>
              <w:spacing w:after="0"/>
              <w:rPr>
                <w:sz w:val="20"/>
                <w:szCs w:val="20"/>
                <w:color w:val="auto"/>
              </w:rPr>
            </w:pPr>
            <w:r>
              <w:rPr>
                <w:rFonts w:ascii="Arial" w:cs="Arial" w:eastAsia="Arial" w:hAnsi="Arial"/>
                <w:sz w:val="13"/>
                <w:szCs w:val="13"/>
                <w:color w:val="auto"/>
              </w:rPr>
              <w:t>Croatia</w:t>
            </w:r>
          </w:p>
        </w:tc>
        <w:tc>
          <w:tcPr>
            <w:tcW w:w="17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30"/>
        </w:trPr>
        <w:tc>
          <w:tcPr>
            <w:tcW w:w="3040" w:type="dxa"/>
            <w:vAlign w:val="bottom"/>
          </w:tcPr>
          <w:p>
            <w:pPr>
              <w:spacing w:after="0" w:line="130" w:lineRule="exact"/>
              <w:rPr>
                <w:sz w:val="20"/>
                <w:szCs w:val="20"/>
                <w:color w:val="auto"/>
              </w:rPr>
            </w:pPr>
            <w:r>
              <w:rPr>
                <w:rFonts w:ascii="Arial" w:cs="Arial" w:eastAsia="Arial" w:hAnsi="Arial"/>
                <w:sz w:val="13"/>
                <w:szCs w:val="13"/>
                <w:color w:val="auto"/>
              </w:rPr>
              <w:t>Radnička cesta 180,</w:t>
            </w:r>
          </w:p>
        </w:tc>
        <w:tc>
          <w:tcPr>
            <w:tcW w:w="1700" w:type="dxa"/>
            <w:vAlign w:val="bottom"/>
          </w:tcPr>
          <w:p>
            <w:pPr>
              <w:ind w:left="60"/>
              <w:spacing w:after="0" w:line="130" w:lineRule="exact"/>
              <w:rPr>
                <w:sz w:val="20"/>
                <w:szCs w:val="20"/>
                <w:color w:val="auto"/>
              </w:rPr>
            </w:pPr>
            <w:r>
              <w:rPr>
                <w:rFonts w:ascii="Arial" w:cs="Arial" w:eastAsia="Arial" w:hAnsi="Arial"/>
                <w:sz w:val="13"/>
                <w:szCs w:val="13"/>
                <w:color w:val="auto"/>
              </w:rPr>
              <w:t>Clinical research services</w:t>
            </w:r>
          </w:p>
        </w:tc>
        <w:tc>
          <w:tcPr>
            <w:tcW w:w="520" w:type="dxa"/>
            <w:vAlign w:val="bottom"/>
          </w:tcPr>
          <w:p>
            <w:pPr>
              <w:jc w:val="right"/>
              <w:spacing w:after="0" w:line="130" w:lineRule="exact"/>
              <w:rPr>
                <w:sz w:val="20"/>
                <w:szCs w:val="20"/>
                <w:color w:val="auto"/>
              </w:rPr>
            </w:pPr>
            <w:r>
              <w:rPr>
                <w:rFonts w:ascii="Arial" w:cs="Arial" w:eastAsia="Arial" w:hAnsi="Arial"/>
                <w:sz w:val="13"/>
                <w:szCs w:val="13"/>
                <w:color w:val="auto"/>
              </w:rPr>
              <w:t>100%</w:t>
            </w:r>
          </w:p>
        </w:tc>
      </w:tr>
      <w:tr>
        <w:trPr>
          <w:trHeight w:val="167"/>
        </w:trPr>
        <w:tc>
          <w:tcPr>
            <w:tcW w:w="3040" w:type="dxa"/>
            <w:vAlign w:val="bottom"/>
          </w:tcPr>
          <w:p>
            <w:pPr>
              <w:spacing w:after="0"/>
              <w:rPr>
                <w:sz w:val="20"/>
                <w:szCs w:val="20"/>
                <w:color w:val="auto"/>
              </w:rPr>
            </w:pPr>
            <w:r>
              <w:rPr>
                <w:rFonts w:ascii="Arial" w:cs="Arial" w:eastAsia="Arial" w:hAnsi="Arial"/>
                <w:sz w:val="13"/>
                <w:szCs w:val="13"/>
                <w:color w:val="auto"/>
              </w:rPr>
              <w:t>10 000 Zagreb, Croatia</w:t>
            </w:r>
          </w:p>
        </w:tc>
        <w:tc>
          <w:tcPr>
            <w:tcW w:w="17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30"/>
        </w:trPr>
        <w:tc>
          <w:tcPr>
            <w:tcW w:w="3040" w:type="dxa"/>
            <w:vAlign w:val="bottom"/>
          </w:tcPr>
          <w:p>
            <w:pPr>
              <w:spacing w:after="0" w:line="130" w:lineRule="exact"/>
              <w:rPr>
                <w:sz w:val="20"/>
                <w:szCs w:val="20"/>
                <w:color w:val="auto"/>
              </w:rPr>
            </w:pPr>
            <w:r>
              <w:rPr>
                <w:rFonts w:ascii="Arial" w:cs="Arial" w:eastAsia="Arial" w:hAnsi="Arial"/>
                <w:sz w:val="13"/>
                <w:szCs w:val="13"/>
                <w:color w:val="auto"/>
              </w:rPr>
              <w:t>V parku 2335/20,</w:t>
            </w:r>
          </w:p>
        </w:tc>
        <w:tc>
          <w:tcPr>
            <w:tcW w:w="1700" w:type="dxa"/>
            <w:vAlign w:val="bottom"/>
          </w:tcPr>
          <w:p>
            <w:pPr>
              <w:ind w:left="60"/>
              <w:spacing w:after="0" w:line="130" w:lineRule="exact"/>
              <w:rPr>
                <w:sz w:val="20"/>
                <w:szCs w:val="20"/>
                <w:color w:val="auto"/>
              </w:rPr>
            </w:pPr>
            <w:r>
              <w:rPr>
                <w:rFonts w:ascii="Arial" w:cs="Arial" w:eastAsia="Arial" w:hAnsi="Arial"/>
                <w:sz w:val="13"/>
                <w:szCs w:val="13"/>
                <w:color w:val="auto"/>
              </w:rPr>
              <w:t>Clinical research services</w:t>
            </w:r>
          </w:p>
        </w:tc>
        <w:tc>
          <w:tcPr>
            <w:tcW w:w="520" w:type="dxa"/>
            <w:vAlign w:val="bottom"/>
          </w:tcPr>
          <w:p>
            <w:pPr>
              <w:jc w:val="right"/>
              <w:spacing w:after="0" w:line="130" w:lineRule="exact"/>
              <w:rPr>
                <w:sz w:val="20"/>
                <w:szCs w:val="20"/>
                <w:color w:val="auto"/>
              </w:rPr>
            </w:pPr>
            <w:r>
              <w:rPr>
                <w:rFonts w:ascii="Arial" w:cs="Arial" w:eastAsia="Arial" w:hAnsi="Arial"/>
                <w:sz w:val="13"/>
                <w:szCs w:val="13"/>
                <w:color w:val="auto"/>
              </w:rPr>
              <w:t>100%</w:t>
            </w:r>
          </w:p>
        </w:tc>
      </w:tr>
      <w:tr>
        <w:trPr>
          <w:trHeight w:val="127"/>
        </w:trPr>
        <w:tc>
          <w:tcPr>
            <w:tcW w:w="3040" w:type="dxa"/>
            <w:vAlign w:val="bottom"/>
          </w:tcPr>
          <w:p>
            <w:pPr>
              <w:spacing w:after="0" w:line="128" w:lineRule="exact"/>
              <w:rPr>
                <w:sz w:val="20"/>
                <w:szCs w:val="20"/>
                <w:color w:val="auto"/>
              </w:rPr>
            </w:pPr>
            <w:r>
              <w:rPr>
                <w:rFonts w:ascii="Arial" w:cs="Arial" w:eastAsia="Arial" w:hAnsi="Arial"/>
                <w:sz w:val="13"/>
                <w:szCs w:val="13"/>
                <w:color w:val="auto"/>
              </w:rPr>
              <w:t>Praha 4 - Chodov,</w:t>
            </w:r>
          </w:p>
        </w:tc>
        <w:tc>
          <w:tcPr>
            <w:tcW w:w="170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27"/>
        </w:trPr>
        <w:tc>
          <w:tcPr>
            <w:tcW w:w="3040" w:type="dxa"/>
            <w:vAlign w:val="bottom"/>
          </w:tcPr>
          <w:p>
            <w:pPr>
              <w:spacing w:after="0" w:line="128" w:lineRule="exact"/>
              <w:rPr>
                <w:sz w:val="20"/>
                <w:szCs w:val="20"/>
                <w:color w:val="auto"/>
              </w:rPr>
            </w:pPr>
            <w:r>
              <w:rPr>
                <w:rFonts w:ascii="Arial" w:cs="Arial" w:eastAsia="Arial" w:hAnsi="Arial"/>
                <w:sz w:val="13"/>
                <w:szCs w:val="13"/>
                <w:color w:val="auto"/>
              </w:rPr>
              <w:t>PSČ 148 00</w:t>
            </w:r>
          </w:p>
        </w:tc>
        <w:tc>
          <w:tcPr>
            <w:tcW w:w="170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67"/>
        </w:trPr>
        <w:tc>
          <w:tcPr>
            <w:tcW w:w="3040" w:type="dxa"/>
            <w:vAlign w:val="bottom"/>
          </w:tcPr>
          <w:p>
            <w:pPr>
              <w:spacing w:after="0"/>
              <w:rPr>
                <w:sz w:val="20"/>
                <w:szCs w:val="20"/>
                <w:color w:val="auto"/>
              </w:rPr>
            </w:pPr>
            <w:r>
              <w:rPr>
                <w:rFonts w:ascii="Arial" w:cs="Arial" w:eastAsia="Arial" w:hAnsi="Arial"/>
                <w:sz w:val="13"/>
                <w:szCs w:val="13"/>
                <w:color w:val="auto"/>
              </w:rPr>
              <w:t>Czech Republic</w:t>
            </w:r>
          </w:p>
        </w:tc>
        <w:tc>
          <w:tcPr>
            <w:tcW w:w="17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30"/>
        </w:trPr>
        <w:tc>
          <w:tcPr>
            <w:tcW w:w="3040" w:type="dxa"/>
            <w:vAlign w:val="bottom"/>
          </w:tcPr>
          <w:p>
            <w:pPr>
              <w:spacing w:after="0" w:line="130" w:lineRule="exact"/>
              <w:rPr>
                <w:sz w:val="20"/>
                <w:szCs w:val="20"/>
                <w:color w:val="auto"/>
              </w:rPr>
            </w:pPr>
            <w:r>
              <w:rPr>
                <w:rFonts w:ascii="Arial" w:cs="Arial" w:eastAsia="Arial" w:hAnsi="Arial"/>
                <w:sz w:val="13"/>
                <w:szCs w:val="13"/>
                <w:color w:val="auto"/>
              </w:rPr>
              <w:t>Prague 7</w:t>
            </w:r>
          </w:p>
        </w:tc>
        <w:tc>
          <w:tcPr>
            <w:tcW w:w="1700" w:type="dxa"/>
            <w:vAlign w:val="bottom"/>
          </w:tcPr>
          <w:p>
            <w:pPr>
              <w:ind w:left="60"/>
              <w:spacing w:after="0" w:line="130" w:lineRule="exact"/>
              <w:rPr>
                <w:sz w:val="20"/>
                <w:szCs w:val="20"/>
                <w:color w:val="auto"/>
              </w:rPr>
            </w:pPr>
            <w:r>
              <w:rPr>
                <w:rFonts w:ascii="Arial" w:cs="Arial" w:eastAsia="Arial" w:hAnsi="Arial"/>
                <w:sz w:val="13"/>
                <w:szCs w:val="13"/>
                <w:color w:val="auto"/>
              </w:rPr>
              <w:t>Clinical research services</w:t>
            </w:r>
          </w:p>
        </w:tc>
        <w:tc>
          <w:tcPr>
            <w:tcW w:w="520" w:type="dxa"/>
            <w:vAlign w:val="bottom"/>
          </w:tcPr>
          <w:p>
            <w:pPr>
              <w:jc w:val="right"/>
              <w:spacing w:after="0" w:line="130" w:lineRule="exact"/>
              <w:rPr>
                <w:sz w:val="20"/>
                <w:szCs w:val="20"/>
                <w:color w:val="auto"/>
              </w:rPr>
            </w:pPr>
            <w:r>
              <w:rPr>
                <w:rFonts w:ascii="Arial" w:cs="Arial" w:eastAsia="Arial" w:hAnsi="Arial"/>
                <w:sz w:val="13"/>
                <w:szCs w:val="13"/>
                <w:color w:val="auto"/>
              </w:rPr>
              <w:t>100%</w:t>
            </w:r>
          </w:p>
        </w:tc>
      </w:tr>
      <w:tr>
        <w:trPr>
          <w:trHeight w:val="127"/>
        </w:trPr>
        <w:tc>
          <w:tcPr>
            <w:tcW w:w="3040" w:type="dxa"/>
            <w:vAlign w:val="bottom"/>
          </w:tcPr>
          <w:p>
            <w:pPr>
              <w:spacing w:after="0" w:line="128" w:lineRule="exact"/>
              <w:rPr>
                <w:sz w:val="20"/>
                <w:szCs w:val="20"/>
                <w:color w:val="auto"/>
              </w:rPr>
            </w:pPr>
            <w:r>
              <w:rPr>
                <w:rFonts w:ascii="Arial" w:cs="Arial" w:eastAsia="Arial" w:hAnsi="Arial"/>
                <w:sz w:val="13"/>
                <w:szCs w:val="13"/>
                <w:color w:val="auto"/>
              </w:rPr>
              <w:t>Jankovcova 1569/2c</w:t>
            </w:r>
          </w:p>
        </w:tc>
        <w:tc>
          <w:tcPr>
            <w:tcW w:w="170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27"/>
        </w:trPr>
        <w:tc>
          <w:tcPr>
            <w:tcW w:w="3040" w:type="dxa"/>
            <w:vAlign w:val="bottom"/>
          </w:tcPr>
          <w:p>
            <w:pPr>
              <w:spacing w:after="0" w:line="128" w:lineRule="exact"/>
              <w:rPr>
                <w:sz w:val="20"/>
                <w:szCs w:val="20"/>
                <w:color w:val="auto"/>
              </w:rPr>
            </w:pPr>
            <w:r>
              <w:rPr>
                <w:rFonts w:ascii="Arial" w:cs="Arial" w:eastAsia="Arial" w:hAnsi="Arial"/>
                <w:sz w:val="13"/>
                <w:szCs w:val="13"/>
                <w:color w:val="auto"/>
              </w:rPr>
              <w:t>Postal Code 170 00</w:t>
            </w:r>
          </w:p>
        </w:tc>
        <w:tc>
          <w:tcPr>
            <w:tcW w:w="170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67"/>
        </w:trPr>
        <w:tc>
          <w:tcPr>
            <w:tcW w:w="3040" w:type="dxa"/>
            <w:vAlign w:val="bottom"/>
          </w:tcPr>
          <w:p>
            <w:pPr>
              <w:spacing w:after="0"/>
              <w:rPr>
                <w:sz w:val="20"/>
                <w:szCs w:val="20"/>
                <w:color w:val="auto"/>
              </w:rPr>
            </w:pPr>
            <w:r>
              <w:rPr>
                <w:rFonts w:ascii="Arial" w:cs="Arial" w:eastAsia="Arial" w:hAnsi="Arial"/>
                <w:sz w:val="13"/>
                <w:szCs w:val="13"/>
                <w:color w:val="auto"/>
              </w:rPr>
              <w:t>Czech Republic</w:t>
            </w:r>
          </w:p>
        </w:tc>
        <w:tc>
          <w:tcPr>
            <w:tcW w:w="1700" w:type="dxa"/>
            <w:vAlign w:val="bottom"/>
          </w:tcPr>
          <w:p>
            <w:pPr>
              <w:spacing w:after="0"/>
              <w:rPr>
                <w:sz w:val="14"/>
                <w:szCs w:val="14"/>
                <w:color w:val="auto"/>
              </w:rPr>
            </w:pPr>
          </w:p>
        </w:tc>
        <w:tc>
          <w:tcPr>
            <w:tcW w:w="52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-2586990</wp:posOffset>
            </wp:positionH>
            <wp:positionV relativeFrom="paragraph">
              <wp:posOffset>-1938020</wp:posOffset>
            </wp:positionV>
            <wp:extent cx="7148195" cy="5118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8195" cy="511810"/>
                    </a:xfrm>
                    <a:prstGeom prst="rect">
                      <a:avLst/>
                    </a:prstGeom>
                    <a:noFill/>
                  </pic:spPr>
                </pic:pic>
              </a:graphicData>
            </a:graphic>
          </wp:anchor>
        </w:drawing>
        <w:drawing>
          <wp:anchor simplePos="0" relativeHeight="251657728" behindDoc="1" locked="0" layoutInCell="0" allowOverlap="1">
            <wp:simplePos x="0" y="0"/>
            <wp:positionH relativeFrom="column">
              <wp:posOffset>-2586990</wp:posOffset>
            </wp:positionH>
            <wp:positionV relativeFrom="paragraph">
              <wp:posOffset>-1156335</wp:posOffset>
            </wp:positionV>
            <wp:extent cx="7148195" cy="269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8195" cy="269240"/>
                    </a:xfrm>
                    <a:prstGeom prst="rect">
                      <a:avLst/>
                    </a:prstGeom>
                    <a:noFill/>
                  </pic:spPr>
                </pic:pic>
              </a:graphicData>
            </a:graphic>
          </wp:anchor>
        </w:drawing>
        <w:drawing>
          <wp:anchor simplePos="0" relativeHeight="251657728" behindDoc="1" locked="0" layoutInCell="0" allowOverlap="1">
            <wp:simplePos x="0" y="0"/>
            <wp:positionH relativeFrom="column">
              <wp:posOffset>-2586990</wp:posOffset>
            </wp:positionH>
            <wp:positionV relativeFrom="paragraph">
              <wp:posOffset>-698500</wp:posOffset>
            </wp:positionV>
            <wp:extent cx="7148195" cy="3505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8195" cy="35052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360" w:space="720"/>
            <w:col w:w="7180"/>
          </w:cols>
          <w:pgMar w:left="300" w:top="698" w:right="3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3520" w:type="dxa"/>
            <w:vAlign w:val="bottom"/>
            <w:shd w:val="clear" w:color="auto" w:fill="CCEEFF"/>
          </w:tcPr>
          <w:p>
            <w:pPr>
              <w:ind w:left="20"/>
              <w:spacing w:after="0" w:line="130" w:lineRule="exact"/>
              <w:rPr>
                <w:sz w:val="20"/>
                <w:szCs w:val="20"/>
                <w:color w:val="auto"/>
              </w:rPr>
            </w:pPr>
            <w:r>
              <w:rPr>
                <w:rFonts w:ascii="Arial" w:cs="Arial" w:eastAsia="Arial" w:hAnsi="Arial"/>
                <w:sz w:val="13"/>
                <w:szCs w:val="13"/>
                <w:color w:val="auto"/>
              </w:rPr>
              <w:t>DOCS International Nordic Countries A/S</w:t>
            </w:r>
          </w:p>
        </w:tc>
        <w:tc>
          <w:tcPr>
            <w:tcW w:w="2920" w:type="dxa"/>
            <w:vAlign w:val="bottom"/>
            <w:shd w:val="clear" w:color="auto" w:fill="CCEEFF"/>
          </w:tcPr>
          <w:p>
            <w:pPr>
              <w:ind w:left="560"/>
              <w:spacing w:after="0" w:line="130" w:lineRule="exact"/>
              <w:rPr>
                <w:sz w:val="20"/>
                <w:szCs w:val="20"/>
                <w:color w:val="auto"/>
              </w:rPr>
            </w:pPr>
            <w:r>
              <w:rPr>
                <w:rFonts w:ascii="Arial" w:cs="Arial" w:eastAsia="Arial" w:hAnsi="Arial"/>
                <w:sz w:val="13"/>
                <w:szCs w:val="13"/>
                <w:color w:val="auto"/>
              </w:rPr>
              <w:t>c/o BuusMark Advokater</w:t>
            </w:r>
          </w:p>
        </w:tc>
        <w:tc>
          <w:tcPr>
            <w:tcW w:w="2380" w:type="dxa"/>
            <w:vAlign w:val="bottom"/>
            <w:shd w:val="clear" w:color="auto" w:fill="CCEEFF"/>
          </w:tcPr>
          <w:p>
            <w:pPr>
              <w:ind w:left="740"/>
              <w:spacing w:after="0" w:line="130"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jc w:val="right"/>
              <w:ind w:right="1856"/>
              <w:spacing w:after="0" w:line="130" w:lineRule="exact"/>
              <w:rPr>
                <w:sz w:val="20"/>
                <w:szCs w:val="20"/>
                <w:color w:val="auto"/>
              </w:rPr>
            </w:pPr>
            <w:r>
              <w:rPr>
                <w:rFonts w:ascii="Arial" w:cs="Arial" w:eastAsia="Arial" w:hAnsi="Arial"/>
                <w:sz w:val="13"/>
                <w:szCs w:val="13"/>
                <w:color w:val="auto"/>
              </w:rPr>
              <w:t>100%</w:t>
            </w:r>
          </w:p>
        </w:tc>
      </w:tr>
      <w:tr>
        <w:trPr>
          <w:trHeight w:val="127"/>
        </w:trPr>
        <w:tc>
          <w:tcPr>
            <w:tcW w:w="3520" w:type="dxa"/>
            <w:vAlign w:val="bottom"/>
            <w:shd w:val="clear" w:color="auto" w:fill="CCEEFF"/>
          </w:tcPr>
          <w:p>
            <w:pPr>
              <w:spacing w:after="0"/>
              <w:rPr>
                <w:sz w:val="11"/>
                <w:szCs w:val="11"/>
                <w:color w:val="auto"/>
              </w:rPr>
            </w:pPr>
          </w:p>
        </w:tc>
        <w:tc>
          <w:tcPr>
            <w:tcW w:w="2920" w:type="dxa"/>
            <w:vAlign w:val="bottom"/>
            <w:shd w:val="clear" w:color="auto" w:fill="CCEEFF"/>
          </w:tcPr>
          <w:p>
            <w:pPr>
              <w:ind w:left="560"/>
              <w:spacing w:after="0" w:line="128" w:lineRule="exact"/>
              <w:rPr>
                <w:sz w:val="20"/>
                <w:szCs w:val="20"/>
                <w:color w:val="auto"/>
              </w:rPr>
            </w:pPr>
            <w:r>
              <w:rPr>
                <w:rFonts w:ascii="Arial" w:cs="Arial" w:eastAsia="Arial" w:hAnsi="Arial"/>
                <w:sz w:val="13"/>
                <w:szCs w:val="13"/>
                <w:color w:val="auto"/>
              </w:rPr>
              <w:t>Sankt Ols Gade 4</w:t>
            </w:r>
          </w:p>
        </w:tc>
        <w:tc>
          <w:tcPr>
            <w:tcW w:w="238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520" w:type="dxa"/>
            <w:vAlign w:val="bottom"/>
            <w:shd w:val="clear" w:color="auto" w:fill="CCEEFF"/>
          </w:tcPr>
          <w:p>
            <w:pPr>
              <w:spacing w:after="0"/>
              <w:rPr>
                <w:sz w:val="11"/>
                <w:szCs w:val="11"/>
                <w:color w:val="auto"/>
              </w:rPr>
            </w:pPr>
          </w:p>
        </w:tc>
        <w:tc>
          <w:tcPr>
            <w:tcW w:w="2920" w:type="dxa"/>
            <w:vAlign w:val="bottom"/>
            <w:shd w:val="clear" w:color="auto" w:fill="CCEEFF"/>
          </w:tcPr>
          <w:p>
            <w:pPr>
              <w:ind w:left="560"/>
              <w:spacing w:after="0" w:line="128" w:lineRule="exact"/>
              <w:rPr>
                <w:sz w:val="20"/>
                <w:szCs w:val="20"/>
                <w:color w:val="auto"/>
              </w:rPr>
            </w:pPr>
            <w:r>
              <w:rPr>
                <w:rFonts w:ascii="Arial" w:cs="Arial" w:eastAsia="Arial" w:hAnsi="Arial"/>
                <w:sz w:val="13"/>
                <w:szCs w:val="13"/>
                <w:color w:val="auto"/>
              </w:rPr>
              <w:t>4000 Roskilde</w:t>
            </w:r>
          </w:p>
        </w:tc>
        <w:tc>
          <w:tcPr>
            <w:tcW w:w="238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3520" w:type="dxa"/>
            <w:vAlign w:val="bottom"/>
            <w:shd w:val="clear" w:color="auto" w:fill="CCEEFF"/>
          </w:tcPr>
          <w:p>
            <w:pPr>
              <w:spacing w:after="0"/>
              <w:rPr>
                <w:sz w:val="14"/>
                <w:szCs w:val="14"/>
                <w:color w:val="auto"/>
              </w:rPr>
            </w:pPr>
          </w:p>
        </w:tc>
        <w:tc>
          <w:tcPr>
            <w:tcW w:w="2920" w:type="dxa"/>
            <w:vAlign w:val="bottom"/>
            <w:shd w:val="clear" w:color="auto" w:fill="CCEEFF"/>
          </w:tcPr>
          <w:p>
            <w:pPr>
              <w:ind w:left="560"/>
              <w:spacing w:after="0"/>
              <w:rPr>
                <w:sz w:val="20"/>
                <w:szCs w:val="20"/>
                <w:color w:val="auto"/>
              </w:rPr>
            </w:pPr>
            <w:r>
              <w:rPr>
                <w:rFonts w:ascii="Arial" w:cs="Arial" w:eastAsia="Arial" w:hAnsi="Arial"/>
                <w:sz w:val="13"/>
                <w:szCs w:val="13"/>
                <w:color w:val="auto"/>
              </w:rPr>
              <w:t>Denmark"</w:t>
            </w:r>
          </w:p>
        </w:tc>
        <w:tc>
          <w:tcPr>
            <w:tcW w:w="238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3520" w:type="dxa"/>
            <w:vAlign w:val="bottom"/>
          </w:tcPr>
          <w:p>
            <w:pPr>
              <w:ind w:left="20"/>
              <w:spacing w:after="0" w:line="128" w:lineRule="exact"/>
              <w:rPr>
                <w:sz w:val="20"/>
                <w:szCs w:val="20"/>
                <w:color w:val="auto"/>
              </w:rPr>
            </w:pPr>
            <w:r>
              <w:rPr>
                <w:rFonts w:ascii="Arial" w:cs="Arial" w:eastAsia="Arial" w:hAnsi="Arial"/>
                <w:sz w:val="13"/>
                <w:szCs w:val="13"/>
                <w:color w:val="auto"/>
              </w:rPr>
              <w:t>Pharmaceutical Research Associates Denmark ApS</w:t>
            </w:r>
          </w:p>
        </w:tc>
        <w:tc>
          <w:tcPr>
            <w:tcW w:w="2920" w:type="dxa"/>
            <w:vAlign w:val="bottom"/>
          </w:tcPr>
          <w:p>
            <w:pPr>
              <w:ind w:left="560"/>
              <w:spacing w:after="0" w:line="128" w:lineRule="exact"/>
              <w:rPr>
                <w:sz w:val="20"/>
                <w:szCs w:val="20"/>
                <w:color w:val="auto"/>
              </w:rPr>
            </w:pPr>
            <w:r>
              <w:rPr>
                <w:rFonts w:ascii="Arial" w:cs="Arial" w:eastAsia="Arial" w:hAnsi="Arial"/>
                <w:sz w:val="13"/>
                <w:szCs w:val="13"/>
                <w:color w:val="auto"/>
              </w:rPr>
              <w:t>Havneholmen 29</w:t>
            </w:r>
          </w:p>
        </w:tc>
        <w:tc>
          <w:tcPr>
            <w:tcW w:w="2380" w:type="dxa"/>
            <w:vAlign w:val="bottom"/>
          </w:tcPr>
          <w:p>
            <w:pPr>
              <w:ind w:left="74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jc w:val="right"/>
              <w:ind w:right="1856"/>
              <w:spacing w:after="0" w:line="128" w:lineRule="exact"/>
              <w:rPr>
                <w:sz w:val="20"/>
                <w:szCs w:val="20"/>
                <w:color w:val="auto"/>
              </w:rPr>
            </w:pPr>
            <w:r>
              <w:rPr>
                <w:rFonts w:ascii="Arial" w:cs="Arial" w:eastAsia="Arial" w:hAnsi="Arial"/>
                <w:sz w:val="13"/>
                <w:szCs w:val="13"/>
                <w:color w:val="auto"/>
              </w:rPr>
              <w:t>100%</w:t>
            </w:r>
          </w:p>
        </w:tc>
      </w:tr>
      <w:tr>
        <w:trPr>
          <w:trHeight w:val="167"/>
        </w:trPr>
        <w:tc>
          <w:tcPr>
            <w:tcW w:w="3520" w:type="dxa"/>
            <w:vAlign w:val="bottom"/>
          </w:tcPr>
          <w:p>
            <w:pPr>
              <w:spacing w:after="0"/>
              <w:rPr>
                <w:sz w:val="14"/>
                <w:szCs w:val="14"/>
                <w:color w:val="auto"/>
              </w:rPr>
            </w:pPr>
          </w:p>
        </w:tc>
        <w:tc>
          <w:tcPr>
            <w:tcW w:w="2920" w:type="dxa"/>
            <w:vAlign w:val="bottom"/>
          </w:tcPr>
          <w:p>
            <w:pPr>
              <w:ind w:left="560"/>
              <w:spacing w:after="0"/>
              <w:rPr>
                <w:sz w:val="20"/>
                <w:szCs w:val="20"/>
                <w:color w:val="auto"/>
              </w:rPr>
            </w:pPr>
            <w:r>
              <w:rPr>
                <w:rFonts w:ascii="Arial" w:cs="Arial" w:eastAsia="Arial" w:hAnsi="Arial"/>
                <w:sz w:val="13"/>
                <w:szCs w:val="13"/>
                <w:color w:val="auto"/>
              </w:rPr>
              <w:t>1561 Copenhagen, Denmark</w:t>
            </w:r>
          </w:p>
        </w:tc>
        <w:tc>
          <w:tcPr>
            <w:tcW w:w="2380" w:type="dxa"/>
            <w:vAlign w:val="bottom"/>
          </w:tcPr>
          <w:p>
            <w:pPr>
              <w:spacing w:after="0"/>
              <w:rPr>
                <w:sz w:val="14"/>
                <w:szCs w:val="14"/>
                <w:color w:val="auto"/>
              </w:rPr>
            </w:pPr>
          </w:p>
        </w:tc>
        <w:tc>
          <w:tcPr>
            <w:tcW w:w="2440" w:type="dxa"/>
            <w:vAlign w:val="bottom"/>
          </w:tcPr>
          <w:p>
            <w:pPr>
              <w:spacing w:after="0"/>
              <w:rPr>
                <w:sz w:val="14"/>
                <w:szCs w:val="14"/>
                <w:color w:val="auto"/>
              </w:rPr>
            </w:pPr>
          </w:p>
        </w:tc>
      </w:tr>
    </w:tbl>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120</w:t>
      </w:r>
    </w:p>
    <w:p>
      <w:pPr>
        <w:sectPr>
          <w:pgSz w:w="11900" w:h="16838" w:orient="portrait"/>
          <w:cols w:equalWidth="0" w:num="1">
            <w:col w:w="11260"/>
          </w:cols>
          <w:pgMar w:left="300" w:top="698" w:right="339" w:bottom="1440" w:gutter="0" w:footer="0" w:header="0"/>
          <w:type w:val="continuous"/>
        </w:sectPr>
      </w:pPr>
    </w:p>
    <w:bookmarkStart w:id="137" w:name="page138"/>
    <w:bookmarkEnd w:id="137"/>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32.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26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Registered Office</w:t>
            </w:r>
          </w:p>
        </w:tc>
        <w:tc>
          <w:tcPr>
            <w:tcW w:w="2120" w:type="dxa"/>
            <w:vAlign w:val="bottom"/>
            <w:shd w:val="clear" w:color="auto" w:fill="CCEEFF"/>
          </w:tcPr>
          <w:p>
            <w:pPr>
              <w:ind w:left="480"/>
              <w:spacing w:after="0"/>
              <w:rPr>
                <w:sz w:val="20"/>
                <w:szCs w:val="20"/>
                <w:color w:val="auto"/>
              </w:rPr>
            </w:pPr>
            <w:r>
              <w:rPr>
                <w:rFonts w:ascii="Arial" w:cs="Arial" w:eastAsia="Arial" w:hAnsi="Arial"/>
                <w:sz w:val="13"/>
                <w:szCs w:val="13"/>
                <w:b w:val="1"/>
                <w:bCs w:val="1"/>
                <w:color w:val="auto"/>
              </w:rPr>
              <w:t>Nature of business</w:t>
            </w:r>
          </w:p>
        </w:tc>
        <w:tc>
          <w:tcPr>
            <w:tcW w:w="244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Proportion held by</w:t>
            </w:r>
          </w:p>
        </w:tc>
      </w:tr>
      <w:tr>
        <w:trPr>
          <w:trHeight w:val="170"/>
        </w:trPr>
        <w:tc>
          <w:tcPr>
            <w:tcW w:w="4060" w:type="dxa"/>
            <w:vAlign w:val="bottom"/>
            <w:tcBorders>
              <w:bottom w:val="single" w:sz="8" w:color="auto"/>
            </w:tcBorders>
            <w:shd w:val="clear" w:color="auto" w:fill="CCEEFF"/>
          </w:tcPr>
          <w:p>
            <w:pPr>
              <w:spacing w:after="0"/>
              <w:rPr>
                <w:sz w:val="14"/>
                <w:szCs w:val="14"/>
                <w:color w:val="auto"/>
              </w:rPr>
            </w:pPr>
          </w:p>
        </w:tc>
        <w:tc>
          <w:tcPr>
            <w:tcW w:w="2640" w:type="dxa"/>
            <w:vAlign w:val="bottom"/>
            <w:tcBorders>
              <w:bottom w:val="single" w:sz="8" w:color="auto"/>
            </w:tcBorders>
            <w:shd w:val="clear" w:color="auto" w:fill="CCEEFF"/>
          </w:tcPr>
          <w:p>
            <w:pPr>
              <w:spacing w:after="0"/>
              <w:rPr>
                <w:sz w:val="14"/>
                <w:szCs w:val="14"/>
                <w:color w:val="auto"/>
              </w:rPr>
            </w:pPr>
          </w:p>
        </w:tc>
        <w:tc>
          <w:tcPr>
            <w:tcW w:w="2120" w:type="dxa"/>
            <w:vAlign w:val="bottom"/>
            <w:tcBorders>
              <w:bottom w:val="single" w:sz="8" w:color="auto"/>
            </w:tcBorders>
            <w:shd w:val="clear" w:color="auto" w:fill="CCEEFF"/>
          </w:tcPr>
          <w:p>
            <w:pPr>
              <w:spacing w:after="0"/>
              <w:rPr>
                <w:sz w:val="14"/>
                <w:szCs w:val="14"/>
                <w:color w:val="auto"/>
              </w:rPr>
            </w:pPr>
          </w:p>
        </w:tc>
        <w:tc>
          <w:tcPr>
            <w:tcW w:w="24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3"/>
                <w:szCs w:val="13"/>
                <w:b w:val="1"/>
                <w:bCs w:val="1"/>
                <w:color w:val="auto"/>
              </w:rPr>
              <w:t>Group</w:t>
            </w:r>
          </w:p>
        </w:tc>
      </w:tr>
      <w:tr>
        <w:trPr>
          <w:trHeight w:val="118"/>
        </w:trPr>
        <w:tc>
          <w:tcPr>
            <w:tcW w:w="4060" w:type="dxa"/>
            <w:vAlign w:val="bottom"/>
            <w:shd w:val="clear" w:color="auto" w:fill="CCEEFF"/>
          </w:tcPr>
          <w:p>
            <w:pPr>
              <w:ind w:left="20"/>
              <w:spacing w:after="0" w:line="118" w:lineRule="exact"/>
              <w:rPr>
                <w:sz w:val="20"/>
                <w:szCs w:val="20"/>
                <w:color w:val="auto"/>
              </w:rPr>
            </w:pPr>
            <w:r>
              <w:rPr>
                <w:rFonts w:ascii="Arial" w:cs="Arial" w:eastAsia="Arial" w:hAnsi="Arial"/>
                <w:sz w:val="13"/>
                <w:szCs w:val="13"/>
                <w:color w:val="auto"/>
              </w:rPr>
              <w:t>RPS Egypt (Limited Liability Company)</w:t>
            </w:r>
          </w:p>
        </w:tc>
        <w:tc>
          <w:tcPr>
            <w:tcW w:w="2640" w:type="dxa"/>
            <w:vAlign w:val="bottom"/>
            <w:shd w:val="clear" w:color="auto" w:fill="CCEEFF"/>
          </w:tcPr>
          <w:p>
            <w:pPr>
              <w:ind w:left="20"/>
              <w:spacing w:after="0" w:line="118" w:lineRule="exact"/>
              <w:rPr>
                <w:sz w:val="20"/>
                <w:szCs w:val="20"/>
                <w:color w:val="auto"/>
              </w:rPr>
            </w:pPr>
            <w:r>
              <w:rPr>
                <w:rFonts w:ascii="Arial" w:cs="Arial" w:eastAsia="Arial" w:hAnsi="Arial"/>
                <w:sz w:val="13"/>
                <w:szCs w:val="13"/>
                <w:color w:val="auto"/>
              </w:rPr>
              <w:t>40 Road 254, Shell Building, 5th Floor</w:t>
            </w:r>
          </w:p>
        </w:tc>
        <w:tc>
          <w:tcPr>
            <w:tcW w:w="2120" w:type="dxa"/>
            <w:vAlign w:val="bottom"/>
            <w:shd w:val="clear" w:color="auto" w:fill="CCEEFF"/>
          </w:tcPr>
          <w:p>
            <w:pPr>
              <w:ind w:left="480"/>
              <w:spacing w:after="0" w:line="118"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18" w:lineRule="exact"/>
              <w:rPr>
                <w:sz w:val="20"/>
                <w:szCs w:val="20"/>
                <w:color w:val="auto"/>
              </w:rPr>
            </w:pPr>
            <w:r>
              <w:rPr>
                <w:rFonts w:ascii="Arial" w:cs="Arial" w:eastAsia="Arial" w:hAnsi="Arial"/>
                <w:sz w:val="13"/>
                <w:szCs w:val="13"/>
                <w:color w:val="auto"/>
              </w:rPr>
              <w:t>100%</w:t>
            </w:r>
          </w:p>
        </w:tc>
      </w:tr>
      <w:tr>
        <w:trPr>
          <w:trHeight w:val="170"/>
        </w:trPr>
        <w:tc>
          <w:tcPr>
            <w:tcW w:w="4060" w:type="dxa"/>
            <w:vAlign w:val="bottom"/>
            <w:shd w:val="clear" w:color="auto" w:fill="CCEEFF"/>
          </w:tcPr>
          <w:p>
            <w:pPr>
              <w:spacing w:after="0"/>
              <w:rPr>
                <w:sz w:val="14"/>
                <w:szCs w:val="14"/>
                <w:color w:val="auto"/>
              </w:rPr>
            </w:pPr>
          </w:p>
        </w:tc>
        <w:tc>
          <w:tcPr>
            <w:tcW w:w="2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Degla, Maadi, 11431 Cairo, Egypt</w:t>
            </w:r>
          </w:p>
        </w:tc>
        <w:tc>
          <w:tcPr>
            <w:tcW w:w="212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4060" w:type="dxa"/>
            <w:vAlign w:val="bottom"/>
          </w:tcPr>
          <w:p>
            <w:pPr>
              <w:ind w:left="20"/>
              <w:spacing w:after="0" w:line="128" w:lineRule="exact"/>
              <w:rPr>
                <w:sz w:val="20"/>
                <w:szCs w:val="20"/>
                <w:color w:val="auto"/>
              </w:rPr>
            </w:pPr>
            <w:r>
              <w:rPr>
                <w:rFonts w:ascii="Arial" w:cs="Arial" w:eastAsia="Arial" w:hAnsi="Arial"/>
                <w:sz w:val="13"/>
                <w:szCs w:val="13"/>
                <w:color w:val="auto"/>
              </w:rPr>
              <w:t>RPS Estonia OÜ</w:t>
            </w:r>
          </w:p>
        </w:tc>
        <w:tc>
          <w:tcPr>
            <w:tcW w:w="2640" w:type="dxa"/>
            <w:vAlign w:val="bottom"/>
          </w:tcPr>
          <w:p>
            <w:pPr>
              <w:ind w:left="20"/>
              <w:spacing w:after="0" w:line="128" w:lineRule="exact"/>
              <w:rPr>
                <w:sz w:val="20"/>
                <w:szCs w:val="20"/>
                <w:color w:val="auto"/>
              </w:rPr>
            </w:pPr>
            <w:r>
              <w:rPr>
                <w:rFonts w:ascii="Arial" w:cs="Arial" w:eastAsia="Arial" w:hAnsi="Arial"/>
                <w:sz w:val="13"/>
                <w:szCs w:val="13"/>
                <w:color w:val="auto"/>
              </w:rPr>
              <w:t>Pärnu road 22</w:t>
            </w:r>
          </w:p>
        </w:tc>
        <w:tc>
          <w:tcPr>
            <w:tcW w:w="2120" w:type="dxa"/>
            <w:vAlign w:val="bottom"/>
          </w:tcPr>
          <w:p>
            <w:pPr>
              <w:ind w:left="48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68"/>
        </w:trPr>
        <w:tc>
          <w:tcPr>
            <w:tcW w:w="4060" w:type="dxa"/>
            <w:vAlign w:val="bottom"/>
          </w:tcPr>
          <w:p>
            <w:pPr>
              <w:spacing w:after="0"/>
              <w:rPr>
                <w:sz w:val="14"/>
                <w:szCs w:val="14"/>
                <w:color w:val="auto"/>
              </w:rPr>
            </w:pPr>
          </w:p>
        </w:tc>
        <w:tc>
          <w:tcPr>
            <w:tcW w:w="2640" w:type="dxa"/>
            <w:vAlign w:val="bottom"/>
          </w:tcPr>
          <w:p>
            <w:pPr>
              <w:ind w:left="20"/>
              <w:spacing w:after="0"/>
              <w:rPr>
                <w:sz w:val="20"/>
                <w:szCs w:val="20"/>
                <w:color w:val="auto"/>
              </w:rPr>
            </w:pPr>
            <w:r>
              <w:rPr>
                <w:rFonts w:ascii="Arial" w:cs="Arial" w:eastAsia="Arial" w:hAnsi="Arial"/>
                <w:sz w:val="13"/>
                <w:szCs w:val="13"/>
                <w:color w:val="auto"/>
              </w:rPr>
              <w:t>10141 Tallinn, Republic of Estonia</w:t>
            </w:r>
          </w:p>
        </w:tc>
        <w:tc>
          <w:tcPr>
            <w:tcW w:w="212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40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DOCS International Finland Oy</w:t>
            </w:r>
          </w:p>
        </w:tc>
        <w:tc>
          <w:tcPr>
            <w:tcW w:w="26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Mannerheimintie 12B,</w:t>
            </w:r>
          </w:p>
        </w:tc>
        <w:tc>
          <w:tcPr>
            <w:tcW w:w="2120" w:type="dxa"/>
            <w:vAlign w:val="bottom"/>
            <w:shd w:val="clear" w:color="auto" w:fill="CCEEFF"/>
          </w:tcPr>
          <w:p>
            <w:pPr>
              <w:ind w:left="48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264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00100 Helsinki,</w:t>
            </w:r>
          </w:p>
        </w:tc>
        <w:tc>
          <w:tcPr>
            <w:tcW w:w="212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4060" w:type="dxa"/>
            <w:vAlign w:val="bottom"/>
            <w:shd w:val="clear" w:color="auto" w:fill="CCEEFF"/>
          </w:tcPr>
          <w:p>
            <w:pPr>
              <w:spacing w:after="0"/>
              <w:rPr>
                <w:sz w:val="14"/>
                <w:szCs w:val="14"/>
                <w:color w:val="auto"/>
              </w:rPr>
            </w:pPr>
          </w:p>
        </w:tc>
        <w:tc>
          <w:tcPr>
            <w:tcW w:w="2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Finland</w:t>
            </w:r>
          </w:p>
        </w:tc>
        <w:tc>
          <w:tcPr>
            <w:tcW w:w="212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4060" w:type="dxa"/>
            <w:vAlign w:val="bottom"/>
          </w:tcPr>
          <w:p>
            <w:pPr>
              <w:ind w:left="20"/>
              <w:spacing w:after="0" w:line="128" w:lineRule="exact"/>
              <w:rPr>
                <w:sz w:val="20"/>
                <w:szCs w:val="20"/>
                <w:color w:val="auto"/>
              </w:rPr>
            </w:pPr>
            <w:r>
              <w:rPr>
                <w:rFonts w:ascii="Arial" w:cs="Arial" w:eastAsia="Arial" w:hAnsi="Arial"/>
                <w:sz w:val="13"/>
                <w:szCs w:val="13"/>
                <w:color w:val="auto"/>
              </w:rPr>
              <w:t>Pharmaceutical Research Associates Finland Oy</w:t>
            </w:r>
          </w:p>
        </w:tc>
        <w:tc>
          <w:tcPr>
            <w:tcW w:w="2640" w:type="dxa"/>
            <w:vAlign w:val="bottom"/>
          </w:tcPr>
          <w:p>
            <w:pPr>
              <w:ind w:left="20"/>
              <w:spacing w:after="0" w:line="128" w:lineRule="exact"/>
              <w:rPr>
                <w:sz w:val="20"/>
                <w:szCs w:val="20"/>
                <w:color w:val="auto"/>
              </w:rPr>
            </w:pPr>
            <w:r>
              <w:rPr>
                <w:rFonts w:ascii="Arial" w:cs="Arial" w:eastAsia="Arial" w:hAnsi="Arial"/>
                <w:sz w:val="13"/>
                <w:szCs w:val="13"/>
                <w:color w:val="auto"/>
              </w:rPr>
              <w:t>Vattuniemenranta 2</w:t>
            </w:r>
          </w:p>
        </w:tc>
        <w:tc>
          <w:tcPr>
            <w:tcW w:w="2120" w:type="dxa"/>
            <w:vAlign w:val="bottom"/>
          </w:tcPr>
          <w:p>
            <w:pPr>
              <w:ind w:left="48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68"/>
        </w:trPr>
        <w:tc>
          <w:tcPr>
            <w:tcW w:w="4060" w:type="dxa"/>
            <w:vAlign w:val="bottom"/>
          </w:tcPr>
          <w:p>
            <w:pPr>
              <w:spacing w:after="0"/>
              <w:rPr>
                <w:sz w:val="14"/>
                <w:szCs w:val="14"/>
                <w:color w:val="auto"/>
              </w:rPr>
            </w:pPr>
          </w:p>
        </w:tc>
        <w:tc>
          <w:tcPr>
            <w:tcW w:w="2640" w:type="dxa"/>
            <w:vAlign w:val="bottom"/>
          </w:tcPr>
          <w:p>
            <w:pPr>
              <w:ind w:left="20"/>
              <w:spacing w:after="0"/>
              <w:rPr>
                <w:sz w:val="20"/>
                <w:szCs w:val="20"/>
                <w:color w:val="auto"/>
              </w:rPr>
            </w:pPr>
            <w:r>
              <w:rPr>
                <w:rFonts w:ascii="Arial" w:cs="Arial" w:eastAsia="Arial" w:hAnsi="Arial"/>
                <w:sz w:val="13"/>
                <w:szCs w:val="13"/>
                <w:color w:val="auto"/>
              </w:rPr>
              <w:t>00210 Helsinki, Finland</w:t>
            </w:r>
          </w:p>
        </w:tc>
        <w:tc>
          <w:tcPr>
            <w:tcW w:w="212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40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DOCS International France S.A.S.</w:t>
            </w:r>
          </w:p>
        </w:tc>
        <w:tc>
          <w:tcPr>
            <w:tcW w:w="26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55 Avenue des Champs Pierreux,</w:t>
            </w:r>
          </w:p>
        </w:tc>
        <w:tc>
          <w:tcPr>
            <w:tcW w:w="2120" w:type="dxa"/>
            <w:vAlign w:val="bottom"/>
            <w:shd w:val="clear" w:color="auto" w:fill="CCEEFF"/>
          </w:tcPr>
          <w:p>
            <w:pPr>
              <w:ind w:left="48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264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Immeuble le Capitole,</w:t>
            </w:r>
          </w:p>
        </w:tc>
        <w:tc>
          <w:tcPr>
            <w:tcW w:w="212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264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92000 Nanterre,</w:t>
            </w:r>
          </w:p>
        </w:tc>
        <w:tc>
          <w:tcPr>
            <w:tcW w:w="212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4060" w:type="dxa"/>
            <w:vAlign w:val="bottom"/>
            <w:shd w:val="clear" w:color="auto" w:fill="CCEEFF"/>
          </w:tcPr>
          <w:p>
            <w:pPr>
              <w:spacing w:after="0"/>
              <w:rPr>
                <w:sz w:val="14"/>
                <w:szCs w:val="14"/>
                <w:color w:val="auto"/>
              </w:rPr>
            </w:pPr>
          </w:p>
        </w:tc>
        <w:tc>
          <w:tcPr>
            <w:tcW w:w="2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France</w:t>
            </w:r>
          </w:p>
        </w:tc>
        <w:tc>
          <w:tcPr>
            <w:tcW w:w="212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4060" w:type="dxa"/>
            <w:vAlign w:val="bottom"/>
          </w:tcPr>
          <w:p>
            <w:pPr>
              <w:ind w:left="20"/>
              <w:spacing w:after="0" w:line="128" w:lineRule="exact"/>
              <w:rPr>
                <w:sz w:val="20"/>
                <w:szCs w:val="20"/>
                <w:color w:val="auto"/>
              </w:rPr>
            </w:pPr>
            <w:r>
              <w:rPr>
                <w:rFonts w:ascii="Arial" w:cs="Arial" w:eastAsia="Arial" w:hAnsi="Arial"/>
                <w:sz w:val="13"/>
                <w:szCs w:val="13"/>
                <w:color w:val="auto"/>
              </w:rPr>
              <w:t>ICON Clinical Research S.A.R.L.</w:t>
            </w:r>
          </w:p>
        </w:tc>
        <w:tc>
          <w:tcPr>
            <w:tcW w:w="2640" w:type="dxa"/>
            <w:vAlign w:val="bottom"/>
          </w:tcPr>
          <w:p>
            <w:pPr>
              <w:ind w:left="20"/>
              <w:spacing w:after="0" w:line="128" w:lineRule="exact"/>
              <w:rPr>
                <w:sz w:val="20"/>
                <w:szCs w:val="20"/>
                <w:color w:val="auto"/>
              </w:rPr>
            </w:pPr>
            <w:r>
              <w:rPr>
                <w:rFonts w:ascii="Arial" w:cs="Arial" w:eastAsia="Arial" w:hAnsi="Arial"/>
                <w:sz w:val="13"/>
                <w:szCs w:val="13"/>
                <w:color w:val="auto"/>
              </w:rPr>
              <w:t>55 Avenue des Champs Pierreux,</w:t>
            </w:r>
          </w:p>
        </w:tc>
        <w:tc>
          <w:tcPr>
            <w:tcW w:w="2120" w:type="dxa"/>
            <w:vAlign w:val="bottom"/>
          </w:tcPr>
          <w:p>
            <w:pPr>
              <w:ind w:left="48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2640" w:type="dxa"/>
            <w:vAlign w:val="bottom"/>
          </w:tcPr>
          <w:p>
            <w:pPr>
              <w:ind w:left="20"/>
              <w:spacing w:after="0" w:line="128" w:lineRule="exact"/>
              <w:rPr>
                <w:sz w:val="20"/>
                <w:szCs w:val="20"/>
                <w:color w:val="auto"/>
              </w:rPr>
            </w:pPr>
            <w:r>
              <w:rPr>
                <w:rFonts w:ascii="Arial" w:cs="Arial" w:eastAsia="Arial" w:hAnsi="Arial"/>
                <w:sz w:val="13"/>
                <w:szCs w:val="13"/>
                <w:color w:val="auto"/>
              </w:rPr>
              <w:t>Immeuble le Capitole,</w:t>
            </w:r>
          </w:p>
        </w:tc>
        <w:tc>
          <w:tcPr>
            <w:tcW w:w="212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2640" w:type="dxa"/>
            <w:vAlign w:val="bottom"/>
          </w:tcPr>
          <w:p>
            <w:pPr>
              <w:ind w:left="20"/>
              <w:spacing w:after="0" w:line="128" w:lineRule="exact"/>
              <w:rPr>
                <w:sz w:val="20"/>
                <w:szCs w:val="20"/>
                <w:color w:val="auto"/>
              </w:rPr>
            </w:pPr>
            <w:r>
              <w:rPr>
                <w:rFonts w:ascii="Arial" w:cs="Arial" w:eastAsia="Arial" w:hAnsi="Arial"/>
                <w:sz w:val="13"/>
                <w:szCs w:val="13"/>
                <w:color w:val="auto"/>
              </w:rPr>
              <w:t>92000 Nanterre,</w:t>
            </w:r>
          </w:p>
        </w:tc>
        <w:tc>
          <w:tcPr>
            <w:tcW w:w="212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4060" w:type="dxa"/>
            <w:vAlign w:val="bottom"/>
          </w:tcPr>
          <w:p>
            <w:pPr>
              <w:spacing w:after="0"/>
              <w:rPr>
                <w:sz w:val="14"/>
                <w:szCs w:val="14"/>
                <w:color w:val="auto"/>
              </w:rPr>
            </w:pPr>
          </w:p>
        </w:tc>
        <w:tc>
          <w:tcPr>
            <w:tcW w:w="2640" w:type="dxa"/>
            <w:vAlign w:val="bottom"/>
          </w:tcPr>
          <w:p>
            <w:pPr>
              <w:ind w:left="20"/>
              <w:spacing w:after="0"/>
              <w:rPr>
                <w:sz w:val="20"/>
                <w:szCs w:val="20"/>
                <w:color w:val="auto"/>
              </w:rPr>
            </w:pPr>
            <w:r>
              <w:rPr>
                <w:rFonts w:ascii="Arial" w:cs="Arial" w:eastAsia="Arial" w:hAnsi="Arial"/>
                <w:sz w:val="13"/>
                <w:szCs w:val="13"/>
                <w:color w:val="auto"/>
              </w:rPr>
              <w:t>France</w:t>
            </w:r>
          </w:p>
        </w:tc>
        <w:tc>
          <w:tcPr>
            <w:tcW w:w="212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40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Mapi Research Trust**</w:t>
            </w:r>
          </w:p>
        </w:tc>
        <w:tc>
          <w:tcPr>
            <w:tcW w:w="26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27 rue de la Villette,</w:t>
            </w:r>
          </w:p>
        </w:tc>
        <w:tc>
          <w:tcPr>
            <w:tcW w:w="2120" w:type="dxa"/>
            <w:vAlign w:val="bottom"/>
            <w:shd w:val="clear" w:color="auto" w:fill="CCEEFF"/>
          </w:tcPr>
          <w:p>
            <w:pPr>
              <w:ind w:left="48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264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69003 Lyon,</w:t>
            </w:r>
          </w:p>
        </w:tc>
        <w:tc>
          <w:tcPr>
            <w:tcW w:w="212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4060" w:type="dxa"/>
            <w:vAlign w:val="bottom"/>
            <w:shd w:val="clear" w:color="auto" w:fill="CCEEFF"/>
          </w:tcPr>
          <w:p>
            <w:pPr>
              <w:spacing w:after="0"/>
              <w:rPr>
                <w:sz w:val="14"/>
                <w:szCs w:val="14"/>
                <w:color w:val="auto"/>
              </w:rPr>
            </w:pPr>
          </w:p>
        </w:tc>
        <w:tc>
          <w:tcPr>
            <w:tcW w:w="2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France</w:t>
            </w:r>
          </w:p>
        </w:tc>
        <w:tc>
          <w:tcPr>
            <w:tcW w:w="212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4060" w:type="dxa"/>
            <w:vAlign w:val="bottom"/>
          </w:tcPr>
          <w:p>
            <w:pPr>
              <w:ind w:left="20"/>
              <w:spacing w:after="0" w:line="128" w:lineRule="exact"/>
              <w:rPr>
                <w:sz w:val="20"/>
                <w:szCs w:val="20"/>
                <w:color w:val="auto"/>
              </w:rPr>
            </w:pPr>
            <w:r>
              <w:rPr>
                <w:rFonts w:ascii="Arial" w:cs="Arial" w:eastAsia="Arial" w:hAnsi="Arial"/>
                <w:sz w:val="13"/>
                <w:szCs w:val="13"/>
                <w:color w:val="auto"/>
              </w:rPr>
              <w:t>Mapi SAS***</w:t>
            </w:r>
          </w:p>
        </w:tc>
        <w:tc>
          <w:tcPr>
            <w:tcW w:w="2640" w:type="dxa"/>
            <w:vAlign w:val="bottom"/>
          </w:tcPr>
          <w:p>
            <w:pPr>
              <w:ind w:left="20"/>
              <w:spacing w:after="0" w:line="128" w:lineRule="exact"/>
              <w:rPr>
                <w:sz w:val="20"/>
                <w:szCs w:val="20"/>
                <w:color w:val="auto"/>
              </w:rPr>
            </w:pPr>
            <w:r>
              <w:rPr>
                <w:rFonts w:ascii="Arial" w:cs="Arial" w:eastAsia="Arial" w:hAnsi="Arial"/>
                <w:sz w:val="13"/>
                <w:szCs w:val="13"/>
                <w:color w:val="auto"/>
              </w:rPr>
              <w:t>27 rue de la Villette,</w:t>
            </w:r>
          </w:p>
        </w:tc>
        <w:tc>
          <w:tcPr>
            <w:tcW w:w="2120" w:type="dxa"/>
            <w:vAlign w:val="bottom"/>
          </w:tcPr>
          <w:p>
            <w:pPr>
              <w:ind w:left="48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2640" w:type="dxa"/>
            <w:vAlign w:val="bottom"/>
          </w:tcPr>
          <w:p>
            <w:pPr>
              <w:ind w:left="20"/>
              <w:spacing w:after="0" w:line="128" w:lineRule="exact"/>
              <w:rPr>
                <w:sz w:val="20"/>
                <w:szCs w:val="20"/>
                <w:color w:val="auto"/>
              </w:rPr>
            </w:pPr>
            <w:r>
              <w:rPr>
                <w:rFonts w:ascii="Arial" w:cs="Arial" w:eastAsia="Arial" w:hAnsi="Arial"/>
                <w:sz w:val="13"/>
                <w:szCs w:val="13"/>
                <w:color w:val="auto"/>
              </w:rPr>
              <w:t>69003 Lyon,</w:t>
            </w:r>
          </w:p>
        </w:tc>
        <w:tc>
          <w:tcPr>
            <w:tcW w:w="212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4060" w:type="dxa"/>
            <w:vAlign w:val="bottom"/>
          </w:tcPr>
          <w:p>
            <w:pPr>
              <w:spacing w:after="0"/>
              <w:rPr>
                <w:sz w:val="14"/>
                <w:szCs w:val="14"/>
                <w:color w:val="auto"/>
              </w:rPr>
            </w:pPr>
          </w:p>
        </w:tc>
        <w:tc>
          <w:tcPr>
            <w:tcW w:w="2640" w:type="dxa"/>
            <w:vAlign w:val="bottom"/>
          </w:tcPr>
          <w:p>
            <w:pPr>
              <w:ind w:left="20"/>
              <w:spacing w:after="0"/>
              <w:rPr>
                <w:sz w:val="20"/>
                <w:szCs w:val="20"/>
                <w:color w:val="auto"/>
              </w:rPr>
            </w:pPr>
            <w:r>
              <w:rPr>
                <w:rFonts w:ascii="Arial" w:cs="Arial" w:eastAsia="Arial" w:hAnsi="Arial"/>
                <w:sz w:val="13"/>
                <w:szCs w:val="13"/>
                <w:color w:val="auto"/>
              </w:rPr>
              <w:t>France</w:t>
            </w:r>
          </w:p>
        </w:tc>
        <w:tc>
          <w:tcPr>
            <w:tcW w:w="212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40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Pharmaceutical Research Associates Sarl</w:t>
            </w:r>
          </w:p>
        </w:tc>
        <w:tc>
          <w:tcPr>
            <w:tcW w:w="26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35 Rue d'Alsace</w:t>
            </w:r>
          </w:p>
        </w:tc>
        <w:tc>
          <w:tcPr>
            <w:tcW w:w="2120" w:type="dxa"/>
            <w:vAlign w:val="bottom"/>
            <w:shd w:val="clear" w:color="auto" w:fill="CCEEFF"/>
          </w:tcPr>
          <w:p>
            <w:pPr>
              <w:ind w:left="48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264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Tour So Quest</w:t>
            </w:r>
          </w:p>
        </w:tc>
        <w:tc>
          <w:tcPr>
            <w:tcW w:w="212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4060" w:type="dxa"/>
            <w:vAlign w:val="bottom"/>
            <w:shd w:val="clear" w:color="auto" w:fill="CCEEFF"/>
          </w:tcPr>
          <w:p>
            <w:pPr>
              <w:spacing w:after="0"/>
              <w:rPr>
                <w:sz w:val="14"/>
                <w:szCs w:val="14"/>
                <w:color w:val="auto"/>
              </w:rPr>
            </w:pPr>
          </w:p>
        </w:tc>
        <w:tc>
          <w:tcPr>
            <w:tcW w:w="2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92300 Levallois-Perret, France</w:t>
            </w:r>
          </w:p>
        </w:tc>
        <w:tc>
          <w:tcPr>
            <w:tcW w:w="212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4060" w:type="dxa"/>
            <w:vAlign w:val="bottom"/>
          </w:tcPr>
          <w:p>
            <w:pPr>
              <w:ind w:left="20"/>
              <w:spacing w:after="0" w:line="128" w:lineRule="exact"/>
              <w:rPr>
                <w:sz w:val="20"/>
                <w:szCs w:val="20"/>
                <w:color w:val="auto"/>
              </w:rPr>
            </w:pPr>
            <w:r>
              <w:rPr>
                <w:rFonts w:ascii="Arial" w:cs="Arial" w:eastAsia="Arial" w:hAnsi="Arial"/>
                <w:sz w:val="13"/>
                <w:szCs w:val="13"/>
                <w:color w:val="auto"/>
              </w:rPr>
              <w:t>ReSearch Pharmaceutical Services France S.A.S.</w:t>
            </w:r>
          </w:p>
        </w:tc>
        <w:tc>
          <w:tcPr>
            <w:tcW w:w="2640" w:type="dxa"/>
            <w:vAlign w:val="bottom"/>
          </w:tcPr>
          <w:p>
            <w:pPr>
              <w:ind w:left="20"/>
              <w:spacing w:after="0" w:line="128" w:lineRule="exact"/>
              <w:rPr>
                <w:sz w:val="20"/>
                <w:szCs w:val="20"/>
                <w:color w:val="auto"/>
              </w:rPr>
            </w:pPr>
            <w:r>
              <w:rPr>
                <w:rFonts w:ascii="Arial" w:cs="Arial" w:eastAsia="Arial" w:hAnsi="Arial"/>
                <w:sz w:val="13"/>
                <w:szCs w:val="13"/>
                <w:color w:val="auto"/>
              </w:rPr>
              <w:t>35 Rue d'Alsace</w:t>
            </w:r>
          </w:p>
        </w:tc>
        <w:tc>
          <w:tcPr>
            <w:tcW w:w="2120" w:type="dxa"/>
            <w:vAlign w:val="bottom"/>
          </w:tcPr>
          <w:p>
            <w:pPr>
              <w:ind w:left="48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2640" w:type="dxa"/>
            <w:vAlign w:val="bottom"/>
          </w:tcPr>
          <w:p>
            <w:pPr>
              <w:ind w:left="20"/>
              <w:spacing w:after="0" w:line="128" w:lineRule="exact"/>
              <w:rPr>
                <w:sz w:val="20"/>
                <w:szCs w:val="20"/>
                <w:color w:val="auto"/>
              </w:rPr>
            </w:pPr>
            <w:r>
              <w:rPr>
                <w:rFonts w:ascii="Arial" w:cs="Arial" w:eastAsia="Arial" w:hAnsi="Arial"/>
                <w:sz w:val="13"/>
                <w:szCs w:val="13"/>
                <w:color w:val="auto"/>
              </w:rPr>
              <w:t>Tour So Quest</w:t>
            </w:r>
          </w:p>
        </w:tc>
        <w:tc>
          <w:tcPr>
            <w:tcW w:w="212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4060" w:type="dxa"/>
            <w:vAlign w:val="bottom"/>
          </w:tcPr>
          <w:p>
            <w:pPr>
              <w:spacing w:after="0"/>
              <w:rPr>
                <w:sz w:val="14"/>
                <w:szCs w:val="14"/>
                <w:color w:val="auto"/>
              </w:rPr>
            </w:pPr>
          </w:p>
        </w:tc>
        <w:tc>
          <w:tcPr>
            <w:tcW w:w="2640" w:type="dxa"/>
            <w:vAlign w:val="bottom"/>
          </w:tcPr>
          <w:p>
            <w:pPr>
              <w:ind w:left="20"/>
              <w:spacing w:after="0"/>
              <w:rPr>
                <w:sz w:val="20"/>
                <w:szCs w:val="20"/>
                <w:color w:val="auto"/>
              </w:rPr>
            </w:pPr>
            <w:r>
              <w:rPr>
                <w:rFonts w:ascii="Arial" w:cs="Arial" w:eastAsia="Arial" w:hAnsi="Arial"/>
                <w:sz w:val="13"/>
                <w:szCs w:val="13"/>
                <w:color w:val="auto"/>
              </w:rPr>
              <w:t>92300 Levallois-Perret, France</w:t>
            </w:r>
          </w:p>
        </w:tc>
        <w:tc>
          <w:tcPr>
            <w:tcW w:w="212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40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IMP Logistics Georgia LLC</w:t>
            </w:r>
          </w:p>
        </w:tc>
        <w:tc>
          <w:tcPr>
            <w:tcW w:w="26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Mtatsminda District</w:t>
            </w:r>
          </w:p>
        </w:tc>
        <w:tc>
          <w:tcPr>
            <w:tcW w:w="2120" w:type="dxa"/>
            <w:vAlign w:val="bottom"/>
            <w:shd w:val="clear" w:color="auto" w:fill="CCEEFF"/>
          </w:tcPr>
          <w:p>
            <w:pPr>
              <w:ind w:left="48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264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Freedom Square N4 (Plot 66/4)</w:t>
            </w:r>
          </w:p>
        </w:tc>
        <w:tc>
          <w:tcPr>
            <w:tcW w:w="212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4060" w:type="dxa"/>
            <w:vAlign w:val="bottom"/>
            <w:shd w:val="clear" w:color="auto" w:fill="CCEEFF"/>
          </w:tcPr>
          <w:p>
            <w:pPr>
              <w:spacing w:after="0"/>
              <w:rPr>
                <w:sz w:val="14"/>
                <w:szCs w:val="14"/>
                <w:color w:val="auto"/>
              </w:rPr>
            </w:pPr>
          </w:p>
        </w:tc>
        <w:tc>
          <w:tcPr>
            <w:tcW w:w="2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Tbilisi, Georgia</w:t>
            </w:r>
          </w:p>
        </w:tc>
        <w:tc>
          <w:tcPr>
            <w:tcW w:w="212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4060" w:type="dxa"/>
            <w:vAlign w:val="bottom"/>
          </w:tcPr>
          <w:p>
            <w:pPr>
              <w:ind w:left="20"/>
              <w:spacing w:after="0" w:line="128" w:lineRule="exact"/>
              <w:rPr>
                <w:sz w:val="20"/>
                <w:szCs w:val="20"/>
                <w:color w:val="auto"/>
              </w:rPr>
            </w:pPr>
            <w:r>
              <w:rPr>
                <w:rFonts w:ascii="Arial" w:cs="Arial" w:eastAsia="Arial" w:hAnsi="Arial"/>
                <w:sz w:val="13"/>
                <w:szCs w:val="13"/>
                <w:color w:val="auto"/>
              </w:rPr>
              <w:t>Pharmaceutical Research Associates Georgia LLC</w:t>
            </w:r>
          </w:p>
        </w:tc>
        <w:tc>
          <w:tcPr>
            <w:tcW w:w="2640" w:type="dxa"/>
            <w:vAlign w:val="bottom"/>
          </w:tcPr>
          <w:p>
            <w:pPr>
              <w:ind w:left="20"/>
              <w:spacing w:after="0" w:line="128" w:lineRule="exact"/>
              <w:rPr>
                <w:sz w:val="20"/>
                <w:szCs w:val="20"/>
                <w:color w:val="auto"/>
              </w:rPr>
            </w:pPr>
            <w:r>
              <w:rPr>
                <w:rFonts w:ascii="Arial" w:cs="Arial" w:eastAsia="Arial" w:hAnsi="Arial"/>
                <w:sz w:val="13"/>
                <w:szCs w:val="13"/>
                <w:color w:val="auto"/>
              </w:rPr>
              <w:t>42-42a (Building No. 1)</w:t>
            </w:r>
          </w:p>
        </w:tc>
        <w:tc>
          <w:tcPr>
            <w:tcW w:w="2120" w:type="dxa"/>
            <w:vAlign w:val="bottom"/>
          </w:tcPr>
          <w:p>
            <w:pPr>
              <w:ind w:left="48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2640" w:type="dxa"/>
            <w:vAlign w:val="bottom"/>
          </w:tcPr>
          <w:p>
            <w:pPr>
              <w:ind w:left="20"/>
              <w:spacing w:after="0" w:line="128" w:lineRule="exact"/>
              <w:rPr>
                <w:sz w:val="20"/>
                <w:szCs w:val="20"/>
                <w:color w:val="auto"/>
              </w:rPr>
            </w:pPr>
            <w:r>
              <w:rPr>
                <w:rFonts w:ascii="Arial" w:cs="Arial" w:eastAsia="Arial" w:hAnsi="Arial"/>
                <w:sz w:val="13"/>
                <w:szCs w:val="13"/>
                <w:color w:val="auto"/>
              </w:rPr>
              <w:t>Alexander Kazbegi Avenue</w:t>
            </w:r>
          </w:p>
        </w:tc>
        <w:tc>
          <w:tcPr>
            <w:tcW w:w="212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2640" w:type="dxa"/>
            <w:vAlign w:val="bottom"/>
          </w:tcPr>
          <w:p>
            <w:pPr>
              <w:ind w:left="20"/>
              <w:spacing w:after="0" w:line="128" w:lineRule="exact"/>
              <w:rPr>
                <w:sz w:val="20"/>
                <w:szCs w:val="20"/>
                <w:color w:val="auto"/>
              </w:rPr>
            </w:pPr>
            <w:r>
              <w:rPr>
                <w:rFonts w:ascii="Arial" w:cs="Arial" w:eastAsia="Arial" w:hAnsi="Arial"/>
                <w:sz w:val="13"/>
                <w:szCs w:val="13"/>
                <w:color w:val="auto"/>
              </w:rPr>
              <w:t>Vake-Saburtalo District</w:t>
            </w:r>
          </w:p>
        </w:tc>
        <w:tc>
          <w:tcPr>
            <w:tcW w:w="212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4060" w:type="dxa"/>
            <w:vAlign w:val="bottom"/>
          </w:tcPr>
          <w:p>
            <w:pPr>
              <w:spacing w:after="0"/>
              <w:rPr>
                <w:sz w:val="14"/>
                <w:szCs w:val="14"/>
                <w:color w:val="auto"/>
              </w:rPr>
            </w:pPr>
          </w:p>
        </w:tc>
        <w:tc>
          <w:tcPr>
            <w:tcW w:w="2640" w:type="dxa"/>
            <w:vAlign w:val="bottom"/>
          </w:tcPr>
          <w:p>
            <w:pPr>
              <w:ind w:left="20"/>
              <w:spacing w:after="0"/>
              <w:rPr>
                <w:sz w:val="20"/>
                <w:szCs w:val="20"/>
                <w:color w:val="auto"/>
              </w:rPr>
            </w:pPr>
            <w:r>
              <w:rPr>
                <w:rFonts w:ascii="Arial" w:cs="Arial" w:eastAsia="Arial" w:hAnsi="Arial"/>
                <w:sz w:val="13"/>
                <w:szCs w:val="13"/>
                <w:color w:val="auto"/>
              </w:rPr>
              <w:t>Tbilisi, Georgia</w:t>
            </w:r>
          </w:p>
        </w:tc>
        <w:tc>
          <w:tcPr>
            <w:tcW w:w="212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40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Averion Europe GmbH</w:t>
            </w:r>
          </w:p>
        </w:tc>
        <w:tc>
          <w:tcPr>
            <w:tcW w:w="26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Konrad-Zuse-Platz 11</w:t>
            </w:r>
          </w:p>
        </w:tc>
        <w:tc>
          <w:tcPr>
            <w:tcW w:w="2120" w:type="dxa"/>
            <w:vAlign w:val="bottom"/>
            <w:shd w:val="clear" w:color="auto" w:fill="CCEEFF"/>
          </w:tcPr>
          <w:p>
            <w:pPr>
              <w:ind w:left="48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264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81829 M</w:t>
            </w:r>
            <w:r>
              <w:rPr>
                <w:rFonts w:ascii="MS PGothic" w:cs="MS PGothic" w:eastAsia="MS PGothic" w:hAnsi="MS PGothic"/>
                <w:sz w:val="13"/>
                <w:szCs w:val="13"/>
                <w:color w:val="auto"/>
              </w:rPr>
              <w:t>✔</w:t>
            </w:r>
            <w:r>
              <w:rPr>
                <w:rFonts w:ascii="Arial" w:cs="Arial" w:eastAsia="Arial" w:hAnsi="Arial"/>
                <w:sz w:val="13"/>
                <w:szCs w:val="13"/>
                <w:color w:val="auto"/>
              </w:rPr>
              <w:t>nchen</w:t>
            </w:r>
          </w:p>
        </w:tc>
        <w:tc>
          <w:tcPr>
            <w:tcW w:w="212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4060" w:type="dxa"/>
            <w:vAlign w:val="bottom"/>
            <w:shd w:val="clear" w:color="auto" w:fill="CCEEFF"/>
          </w:tcPr>
          <w:p>
            <w:pPr>
              <w:spacing w:after="0"/>
              <w:rPr>
                <w:sz w:val="14"/>
                <w:szCs w:val="14"/>
                <w:color w:val="auto"/>
              </w:rPr>
            </w:pPr>
          </w:p>
        </w:tc>
        <w:tc>
          <w:tcPr>
            <w:tcW w:w="2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Germany</w:t>
            </w:r>
          </w:p>
        </w:tc>
        <w:tc>
          <w:tcPr>
            <w:tcW w:w="212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4060" w:type="dxa"/>
            <w:vAlign w:val="bottom"/>
          </w:tcPr>
          <w:p>
            <w:pPr>
              <w:ind w:left="20"/>
              <w:spacing w:after="0" w:line="128" w:lineRule="exact"/>
              <w:rPr>
                <w:sz w:val="20"/>
                <w:szCs w:val="20"/>
                <w:color w:val="auto"/>
              </w:rPr>
            </w:pPr>
            <w:r>
              <w:rPr>
                <w:rFonts w:ascii="Arial" w:cs="Arial" w:eastAsia="Arial" w:hAnsi="Arial"/>
                <w:sz w:val="13"/>
                <w:szCs w:val="13"/>
                <w:color w:val="auto"/>
              </w:rPr>
              <w:t>DOCS International Germany GmbH</w:t>
            </w:r>
          </w:p>
        </w:tc>
        <w:tc>
          <w:tcPr>
            <w:tcW w:w="2640" w:type="dxa"/>
            <w:vAlign w:val="bottom"/>
          </w:tcPr>
          <w:p>
            <w:pPr>
              <w:ind w:left="20"/>
              <w:spacing w:after="0" w:line="128" w:lineRule="exact"/>
              <w:rPr>
                <w:sz w:val="20"/>
                <w:szCs w:val="20"/>
                <w:color w:val="auto"/>
              </w:rPr>
            </w:pPr>
            <w:r>
              <w:rPr>
                <w:rFonts w:ascii="Arial" w:cs="Arial" w:eastAsia="Arial" w:hAnsi="Arial"/>
                <w:sz w:val="13"/>
                <w:szCs w:val="13"/>
                <w:color w:val="auto"/>
              </w:rPr>
              <w:t>Konrad-Zuse-Platz 11</w:t>
            </w:r>
          </w:p>
        </w:tc>
        <w:tc>
          <w:tcPr>
            <w:tcW w:w="2120" w:type="dxa"/>
            <w:vAlign w:val="bottom"/>
          </w:tcPr>
          <w:p>
            <w:pPr>
              <w:ind w:left="48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2640" w:type="dxa"/>
            <w:vAlign w:val="bottom"/>
          </w:tcPr>
          <w:p>
            <w:pPr>
              <w:ind w:left="20"/>
              <w:spacing w:after="0" w:line="128" w:lineRule="exact"/>
              <w:rPr>
                <w:sz w:val="20"/>
                <w:szCs w:val="20"/>
                <w:color w:val="auto"/>
              </w:rPr>
            </w:pPr>
            <w:r>
              <w:rPr>
                <w:rFonts w:ascii="Arial" w:cs="Arial" w:eastAsia="Arial" w:hAnsi="Arial"/>
                <w:sz w:val="13"/>
                <w:szCs w:val="13"/>
                <w:color w:val="auto"/>
              </w:rPr>
              <w:t>81829 M</w:t>
            </w:r>
            <w:r>
              <w:rPr>
                <w:rFonts w:ascii="MS PGothic" w:cs="MS PGothic" w:eastAsia="MS PGothic" w:hAnsi="MS PGothic"/>
                <w:sz w:val="13"/>
                <w:szCs w:val="13"/>
                <w:color w:val="auto"/>
              </w:rPr>
              <w:t>✔</w:t>
            </w:r>
            <w:r>
              <w:rPr>
                <w:rFonts w:ascii="Arial" w:cs="Arial" w:eastAsia="Arial" w:hAnsi="Arial"/>
                <w:sz w:val="13"/>
                <w:szCs w:val="13"/>
                <w:color w:val="auto"/>
              </w:rPr>
              <w:t>nchen</w:t>
            </w:r>
          </w:p>
        </w:tc>
        <w:tc>
          <w:tcPr>
            <w:tcW w:w="212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7"/>
        </w:trPr>
        <w:tc>
          <w:tcPr>
            <w:tcW w:w="4060" w:type="dxa"/>
            <w:vAlign w:val="bottom"/>
          </w:tcPr>
          <w:p>
            <w:pPr>
              <w:spacing w:after="0"/>
              <w:rPr>
                <w:sz w:val="14"/>
                <w:szCs w:val="14"/>
                <w:color w:val="auto"/>
              </w:rPr>
            </w:pPr>
          </w:p>
        </w:tc>
        <w:tc>
          <w:tcPr>
            <w:tcW w:w="2640" w:type="dxa"/>
            <w:vAlign w:val="bottom"/>
          </w:tcPr>
          <w:p>
            <w:pPr>
              <w:ind w:left="20"/>
              <w:spacing w:after="0"/>
              <w:rPr>
                <w:sz w:val="20"/>
                <w:szCs w:val="20"/>
                <w:color w:val="auto"/>
              </w:rPr>
            </w:pPr>
            <w:r>
              <w:rPr>
                <w:rFonts w:ascii="Arial" w:cs="Arial" w:eastAsia="Arial" w:hAnsi="Arial"/>
                <w:sz w:val="13"/>
                <w:szCs w:val="13"/>
                <w:color w:val="auto"/>
              </w:rPr>
              <w:t>Germany</w:t>
            </w:r>
          </w:p>
        </w:tc>
        <w:tc>
          <w:tcPr>
            <w:tcW w:w="2120" w:type="dxa"/>
            <w:vAlign w:val="bottom"/>
          </w:tcPr>
          <w:p>
            <w:pPr>
              <w:spacing w:after="0"/>
              <w:rPr>
                <w:sz w:val="14"/>
                <w:szCs w:val="14"/>
                <w:color w:val="auto"/>
              </w:rPr>
            </w:pPr>
          </w:p>
        </w:tc>
        <w:tc>
          <w:tcPr>
            <w:tcW w:w="2440" w:type="dxa"/>
            <w:vAlign w:val="bottom"/>
          </w:tcPr>
          <w:p>
            <w:pPr>
              <w:spacing w:after="0"/>
              <w:rPr>
                <w:sz w:val="14"/>
                <w:szCs w:val="14"/>
                <w:color w:val="auto"/>
              </w:rPr>
            </w:pPr>
          </w:p>
        </w:tc>
      </w:tr>
    </w:tbl>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121</w:t>
      </w:r>
    </w:p>
    <w:p>
      <w:pPr>
        <w:sectPr>
          <w:pgSz w:w="11900" w:h="16838" w:orient="portrait"/>
          <w:cols w:equalWidth="0" w:num="1">
            <w:col w:w="11260"/>
          </w:cols>
          <w:pgMar w:left="300" w:top="698" w:right="3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32.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30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Registered Office</w:t>
            </w:r>
          </w:p>
        </w:tc>
        <w:tc>
          <w:tcPr>
            <w:tcW w:w="1740" w:type="dxa"/>
            <w:vAlign w:val="bottom"/>
            <w:shd w:val="clear" w:color="auto" w:fill="CCEEFF"/>
          </w:tcPr>
          <w:p>
            <w:pPr>
              <w:ind w:left="100"/>
              <w:spacing w:after="0"/>
              <w:rPr>
                <w:sz w:val="20"/>
                <w:szCs w:val="20"/>
                <w:color w:val="auto"/>
              </w:rPr>
            </w:pPr>
            <w:r>
              <w:rPr>
                <w:rFonts w:ascii="Arial" w:cs="Arial" w:eastAsia="Arial" w:hAnsi="Arial"/>
                <w:sz w:val="13"/>
                <w:szCs w:val="13"/>
                <w:b w:val="1"/>
                <w:bCs w:val="1"/>
                <w:color w:val="auto"/>
              </w:rPr>
              <w:t>Nature of business</w:t>
            </w:r>
          </w:p>
        </w:tc>
        <w:tc>
          <w:tcPr>
            <w:tcW w:w="244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Proportion held by</w:t>
            </w:r>
          </w:p>
        </w:tc>
        <w:tc>
          <w:tcPr>
            <w:tcW w:w="0" w:type="dxa"/>
            <w:vAlign w:val="bottom"/>
          </w:tcPr>
          <w:p>
            <w:pPr>
              <w:spacing w:after="0"/>
              <w:rPr>
                <w:sz w:val="1"/>
                <w:szCs w:val="1"/>
                <w:color w:val="auto"/>
              </w:rPr>
            </w:pPr>
          </w:p>
        </w:tc>
      </w:tr>
      <w:tr>
        <w:trPr>
          <w:trHeight w:val="170"/>
        </w:trPr>
        <w:tc>
          <w:tcPr>
            <w:tcW w:w="4060" w:type="dxa"/>
            <w:vAlign w:val="bottom"/>
            <w:tcBorders>
              <w:bottom w:val="single" w:sz="8" w:color="auto"/>
            </w:tcBorders>
            <w:shd w:val="clear" w:color="auto" w:fill="CCEEFF"/>
          </w:tcPr>
          <w:p>
            <w:pPr>
              <w:spacing w:after="0"/>
              <w:rPr>
                <w:sz w:val="14"/>
                <w:szCs w:val="14"/>
                <w:color w:val="auto"/>
              </w:rPr>
            </w:pPr>
          </w:p>
        </w:tc>
        <w:tc>
          <w:tcPr>
            <w:tcW w:w="3020" w:type="dxa"/>
            <w:vAlign w:val="bottom"/>
            <w:tcBorders>
              <w:bottom w:val="single" w:sz="8" w:color="auto"/>
            </w:tcBorders>
            <w:shd w:val="clear" w:color="auto" w:fill="CCEEFF"/>
          </w:tcPr>
          <w:p>
            <w:pPr>
              <w:spacing w:after="0"/>
              <w:rPr>
                <w:sz w:val="14"/>
                <w:szCs w:val="14"/>
                <w:color w:val="auto"/>
              </w:rPr>
            </w:pPr>
          </w:p>
        </w:tc>
        <w:tc>
          <w:tcPr>
            <w:tcW w:w="1740" w:type="dxa"/>
            <w:vAlign w:val="bottom"/>
            <w:tcBorders>
              <w:bottom w:val="single" w:sz="8" w:color="auto"/>
            </w:tcBorders>
            <w:shd w:val="clear" w:color="auto" w:fill="CCEEFF"/>
          </w:tcPr>
          <w:p>
            <w:pPr>
              <w:spacing w:after="0"/>
              <w:rPr>
                <w:sz w:val="14"/>
                <w:szCs w:val="14"/>
                <w:color w:val="auto"/>
              </w:rPr>
            </w:pPr>
          </w:p>
        </w:tc>
        <w:tc>
          <w:tcPr>
            <w:tcW w:w="24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3"/>
                <w:szCs w:val="13"/>
                <w:b w:val="1"/>
                <w:bCs w:val="1"/>
                <w:color w:val="auto"/>
              </w:rPr>
              <w:t>Group</w:t>
            </w:r>
          </w:p>
        </w:tc>
        <w:tc>
          <w:tcPr>
            <w:tcW w:w="0" w:type="dxa"/>
            <w:vAlign w:val="bottom"/>
          </w:tcPr>
          <w:p>
            <w:pPr>
              <w:spacing w:after="0"/>
              <w:rPr>
                <w:sz w:val="1"/>
                <w:szCs w:val="1"/>
                <w:color w:val="auto"/>
              </w:rPr>
            </w:pPr>
          </w:p>
        </w:tc>
      </w:tr>
      <w:tr>
        <w:trPr>
          <w:trHeight w:val="118"/>
        </w:trPr>
        <w:tc>
          <w:tcPr>
            <w:tcW w:w="4060" w:type="dxa"/>
            <w:vAlign w:val="bottom"/>
            <w:shd w:val="clear" w:color="auto" w:fill="CCEEFF"/>
          </w:tcPr>
          <w:p>
            <w:pPr>
              <w:ind w:left="20"/>
              <w:spacing w:after="0" w:line="118" w:lineRule="exact"/>
              <w:rPr>
                <w:sz w:val="20"/>
                <w:szCs w:val="20"/>
                <w:color w:val="auto"/>
              </w:rPr>
            </w:pPr>
            <w:r>
              <w:rPr>
                <w:rFonts w:ascii="Arial" w:cs="Arial" w:eastAsia="Arial" w:hAnsi="Arial"/>
                <w:sz w:val="13"/>
                <w:szCs w:val="13"/>
                <w:color w:val="auto"/>
              </w:rPr>
              <w:t>ICON Clinical Research GmbH</w:t>
            </w:r>
          </w:p>
        </w:tc>
        <w:tc>
          <w:tcPr>
            <w:tcW w:w="3020" w:type="dxa"/>
            <w:vAlign w:val="bottom"/>
            <w:shd w:val="clear" w:color="auto" w:fill="CCEEFF"/>
          </w:tcPr>
          <w:p>
            <w:pPr>
              <w:ind w:left="20"/>
              <w:spacing w:after="0" w:line="118" w:lineRule="exact"/>
              <w:rPr>
                <w:sz w:val="20"/>
                <w:szCs w:val="20"/>
                <w:color w:val="auto"/>
              </w:rPr>
            </w:pPr>
            <w:r>
              <w:rPr>
                <w:rFonts w:ascii="Arial" w:cs="Arial" w:eastAsia="Arial" w:hAnsi="Arial"/>
                <w:sz w:val="13"/>
                <w:szCs w:val="13"/>
                <w:color w:val="auto"/>
              </w:rPr>
              <w:t>Heinrich-Hertz-Straße 26,</w:t>
            </w:r>
          </w:p>
        </w:tc>
        <w:tc>
          <w:tcPr>
            <w:tcW w:w="1740" w:type="dxa"/>
            <w:vAlign w:val="bottom"/>
            <w:shd w:val="clear" w:color="auto" w:fill="CCEEFF"/>
          </w:tcPr>
          <w:p>
            <w:pPr>
              <w:ind w:left="100"/>
              <w:spacing w:after="0" w:line="118"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18" w:lineRule="exact"/>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27"/>
        </w:trPr>
        <w:tc>
          <w:tcPr>
            <w:tcW w:w="4060" w:type="dxa"/>
            <w:vAlign w:val="bottom"/>
            <w:shd w:val="clear" w:color="auto" w:fill="CCEEFF"/>
          </w:tcPr>
          <w:p>
            <w:pPr>
              <w:spacing w:after="0"/>
              <w:rPr>
                <w:sz w:val="11"/>
                <w:szCs w:val="11"/>
                <w:color w:val="auto"/>
              </w:rPr>
            </w:pPr>
          </w:p>
        </w:tc>
        <w:tc>
          <w:tcPr>
            <w:tcW w:w="302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63225,</w:t>
            </w:r>
          </w:p>
        </w:tc>
        <w:tc>
          <w:tcPr>
            <w:tcW w:w="17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060" w:type="dxa"/>
            <w:vAlign w:val="bottom"/>
            <w:shd w:val="clear" w:color="auto" w:fill="CCEEFF"/>
          </w:tcPr>
          <w:p>
            <w:pPr>
              <w:spacing w:after="0"/>
              <w:rPr>
                <w:sz w:val="11"/>
                <w:szCs w:val="11"/>
                <w:color w:val="auto"/>
              </w:rPr>
            </w:pPr>
          </w:p>
        </w:tc>
        <w:tc>
          <w:tcPr>
            <w:tcW w:w="302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Langen,</w:t>
            </w:r>
          </w:p>
        </w:tc>
        <w:tc>
          <w:tcPr>
            <w:tcW w:w="17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060" w:type="dxa"/>
            <w:vAlign w:val="bottom"/>
            <w:shd w:val="clear" w:color="auto" w:fill="CCEEFF"/>
          </w:tcPr>
          <w:p>
            <w:pPr>
              <w:spacing w:after="0"/>
              <w:rPr>
                <w:sz w:val="11"/>
                <w:szCs w:val="11"/>
                <w:color w:val="auto"/>
              </w:rPr>
            </w:pPr>
          </w:p>
        </w:tc>
        <w:tc>
          <w:tcPr>
            <w:tcW w:w="302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Hessen,</w:t>
            </w:r>
          </w:p>
        </w:tc>
        <w:tc>
          <w:tcPr>
            <w:tcW w:w="17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4060" w:type="dxa"/>
            <w:vAlign w:val="bottom"/>
            <w:shd w:val="clear" w:color="auto" w:fill="CCEEFF"/>
          </w:tcPr>
          <w:p>
            <w:pPr>
              <w:spacing w:after="0"/>
              <w:rPr>
                <w:sz w:val="14"/>
                <w:szCs w:val="14"/>
                <w:color w:val="auto"/>
              </w:rPr>
            </w:pPr>
          </w:p>
        </w:tc>
        <w:tc>
          <w:tcPr>
            <w:tcW w:w="3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Germany</w:t>
            </w:r>
          </w:p>
        </w:tc>
        <w:tc>
          <w:tcPr>
            <w:tcW w:w="174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4060" w:type="dxa"/>
            <w:vAlign w:val="bottom"/>
          </w:tcPr>
          <w:p>
            <w:pPr>
              <w:ind w:left="20"/>
              <w:spacing w:after="0" w:line="128" w:lineRule="exact"/>
              <w:rPr>
                <w:sz w:val="20"/>
                <w:szCs w:val="20"/>
                <w:color w:val="auto"/>
              </w:rPr>
            </w:pPr>
            <w:r>
              <w:rPr>
                <w:rFonts w:ascii="Arial" w:cs="Arial" w:eastAsia="Arial" w:hAnsi="Arial"/>
                <w:sz w:val="13"/>
                <w:szCs w:val="13"/>
                <w:color w:val="auto"/>
              </w:rPr>
              <w:t>Pharmaceutical Research Associates GmbH</w:t>
            </w:r>
          </w:p>
        </w:tc>
        <w:tc>
          <w:tcPr>
            <w:tcW w:w="3020" w:type="dxa"/>
            <w:vAlign w:val="bottom"/>
          </w:tcPr>
          <w:p>
            <w:pPr>
              <w:ind w:left="20"/>
              <w:spacing w:after="0" w:line="128" w:lineRule="exact"/>
              <w:rPr>
                <w:sz w:val="20"/>
                <w:szCs w:val="20"/>
                <w:color w:val="auto"/>
              </w:rPr>
            </w:pPr>
            <w:r>
              <w:rPr>
                <w:rFonts w:ascii="Arial" w:cs="Arial" w:eastAsia="Arial" w:hAnsi="Arial"/>
                <w:sz w:val="13"/>
                <w:szCs w:val="13"/>
                <w:color w:val="auto"/>
              </w:rPr>
              <w:t>Gottlieb-Daimler Strasse 10</w:t>
            </w:r>
          </w:p>
        </w:tc>
        <w:tc>
          <w:tcPr>
            <w:tcW w:w="1740" w:type="dxa"/>
            <w:vAlign w:val="bottom"/>
          </w:tcPr>
          <w:p>
            <w:pPr>
              <w:ind w:left="10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68"/>
        </w:trPr>
        <w:tc>
          <w:tcPr>
            <w:tcW w:w="4060" w:type="dxa"/>
            <w:vAlign w:val="bottom"/>
          </w:tcPr>
          <w:p>
            <w:pPr>
              <w:spacing w:after="0"/>
              <w:rPr>
                <w:sz w:val="14"/>
                <w:szCs w:val="14"/>
                <w:color w:val="auto"/>
              </w:rPr>
            </w:pPr>
          </w:p>
        </w:tc>
        <w:tc>
          <w:tcPr>
            <w:tcW w:w="3020" w:type="dxa"/>
            <w:vAlign w:val="bottom"/>
          </w:tcPr>
          <w:p>
            <w:pPr>
              <w:ind w:left="20"/>
              <w:spacing w:after="0"/>
              <w:rPr>
                <w:sz w:val="20"/>
                <w:szCs w:val="20"/>
                <w:color w:val="auto"/>
              </w:rPr>
            </w:pPr>
            <w:r>
              <w:rPr>
                <w:rFonts w:ascii="Arial" w:cs="Arial" w:eastAsia="Arial" w:hAnsi="Arial"/>
                <w:sz w:val="13"/>
                <w:szCs w:val="13"/>
                <w:color w:val="auto"/>
              </w:rPr>
              <w:t>68165 Mannheim, Germany</w:t>
            </w:r>
          </w:p>
        </w:tc>
        <w:tc>
          <w:tcPr>
            <w:tcW w:w="17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0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Pharmaceutical Research Associates Greece A.E.</w:t>
            </w:r>
          </w:p>
        </w:tc>
        <w:tc>
          <w:tcPr>
            <w:tcW w:w="30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81 Ifigeneias Street</w:t>
            </w:r>
          </w:p>
        </w:tc>
        <w:tc>
          <w:tcPr>
            <w:tcW w:w="1740" w:type="dxa"/>
            <w:vAlign w:val="bottom"/>
            <w:shd w:val="clear" w:color="auto" w:fill="CCEEFF"/>
          </w:tcPr>
          <w:p>
            <w:pPr>
              <w:ind w:left="10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27"/>
        </w:trPr>
        <w:tc>
          <w:tcPr>
            <w:tcW w:w="4060" w:type="dxa"/>
            <w:vAlign w:val="bottom"/>
            <w:shd w:val="clear" w:color="auto" w:fill="CCEEFF"/>
          </w:tcPr>
          <w:p>
            <w:pPr>
              <w:spacing w:after="0"/>
              <w:rPr>
                <w:sz w:val="11"/>
                <w:szCs w:val="11"/>
                <w:color w:val="auto"/>
              </w:rPr>
            </w:pPr>
          </w:p>
        </w:tc>
        <w:tc>
          <w:tcPr>
            <w:tcW w:w="302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Nea Ionia 142 31</w:t>
            </w:r>
          </w:p>
        </w:tc>
        <w:tc>
          <w:tcPr>
            <w:tcW w:w="17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4060" w:type="dxa"/>
            <w:vAlign w:val="bottom"/>
            <w:shd w:val="clear" w:color="auto" w:fill="CCEEFF"/>
          </w:tcPr>
          <w:p>
            <w:pPr>
              <w:spacing w:after="0"/>
              <w:rPr>
                <w:sz w:val="14"/>
                <w:szCs w:val="14"/>
                <w:color w:val="auto"/>
              </w:rPr>
            </w:pPr>
          </w:p>
        </w:tc>
        <w:tc>
          <w:tcPr>
            <w:tcW w:w="3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Attikis, Athens, Greece</w:t>
            </w:r>
          </w:p>
        </w:tc>
        <w:tc>
          <w:tcPr>
            <w:tcW w:w="174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4060" w:type="dxa"/>
            <w:vAlign w:val="bottom"/>
          </w:tcPr>
          <w:p>
            <w:pPr>
              <w:ind w:left="20"/>
              <w:spacing w:after="0" w:line="128" w:lineRule="exact"/>
              <w:rPr>
                <w:sz w:val="20"/>
                <w:szCs w:val="20"/>
                <w:color w:val="auto"/>
              </w:rPr>
            </w:pPr>
            <w:r>
              <w:rPr>
                <w:rFonts w:ascii="Arial" w:cs="Arial" w:eastAsia="Arial" w:hAnsi="Arial"/>
                <w:sz w:val="13"/>
                <w:szCs w:val="13"/>
                <w:color w:val="auto"/>
              </w:rPr>
              <w:t>RPS Guatemala, S.A.</w:t>
            </w:r>
          </w:p>
        </w:tc>
        <w:tc>
          <w:tcPr>
            <w:tcW w:w="3020" w:type="dxa"/>
            <w:vAlign w:val="bottom"/>
          </w:tcPr>
          <w:p>
            <w:pPr>
              <w:ind w:left="20"/>
              <w:spacing w:after="0" w:line="128" w:lineRule="exact"/>
              <w:rPr>
                <w:sz w:val="20"/>
                <w:szCs w:val="20"/>
                <w:color w:val="auto"/>
              </w:rPr>
            </w:pPr>
            <w:r>
              <w:rPr>
                <w:rFonts w:ascii="Arial" w:cs="Arial" w:eastAsia="Arial" w:hAnsi="Arial"/>
                <w:sz w:val="13"/>
                <w:szCs w:val="13"/>
                <w:color w:val="auto"/>
              </w:rPr>
              <w:t>5 Avenida 5-55, Zona 14</w:t>
            </w:r>
          </w:p>
        </w:tc>
        <w:tc>
          <w:tcPr>
            <w:tcW w:w="1740" w:type="dxa"/>
            <w:vAlign w:val="bottom"/>
          </w:tcPr>
          <w:p>
            <w:pPr>
              <w:ind w:left="10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27"/>
        </w:trPr>
        <w:tc>
          <w:tcPr>
            <w:tcW w:w="4060" w:type="dxa"/>
            <w:vAlign w:val="bottom"/>
          </w:tcPr>
          <w:p>
            <w:pPr>
              <w:spacing w:after="0"/>
              <w:rPr>
                <w:sz w:val="11"/>
                <w:szCs w:val="11"/>
                <w:color w:val="auto"/>
              </w:rPr>
            </w:pPr>
          </w:p>
        </w:tc>
        <w:tc>
          <w:tcPr>
            <w:tcW w:w="3020" w:type="dxa"/>
            <w:vAlign w:val="bottom"/>
          </w:tcPr>
          <w:p>
            <w:pPr>
              <w:ind w:left="20"/>
              <w:spacing w:after="0" w:line="128" w:lineRule="exact"/>
              <w:rPr>
                <w:sz w:val="20"/>
                <w:szCs w:val="20"/>
                <w:color w:val="auto"/>
              </w:rPr>
            </w:pPr>
            <w:r>
              <w:rPr>
                <w:rFonts w:ascii="Arial" w:cs="Arial" w:eastAsia="Arial" w:hAnsi="Arial"/>
                <w:sz w:val="13"/>
                <w:szCs w:val="13"/>
                <w:color w:val="auto"/>
              </w:rPr>
              <w:t>Edificio Europlaza World Business Center</w:t>
            </w:r>
          </w:p>
        </w:tc>
        <w:tc>
          <w:tcPr>
            <w:tcW w:w="17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060" w:type="dxa"/>
            <w:vAlign w:val="bottom"/>
          </w:tcPr>
          <w:p>
            <w:pPr>
              <w:spacing w:after="0"/>
              <w:rPr>
                <w:sz w:val="11"/>
                <w:szCs w:val="11"/>
                <w:color w:val="auto"/>
              </w:rPr>
            </w:pPr>
          </w:p>
        </w:tc>
        <w:tc>
          <w:tcPr>
            <w:tcW w:w="3020" w:type="dxa"/>
            <w:vAlign w:val="bottom"/>
          </w:tcPr>
          <w:p>
            <w:pPr>
              <w:ind w:left="20"/>
              <w:spacing w:after="0" w:line="128" w:lineRule="exact"/>
              <w:rPr>
                <w:sz w:val="20"/>
                <w:szCs w:val="20"/>
                <w:color w:val="auto"/>
              </w:rPr>
            </w:pPr>
            <w:r>
              <w:rPr>
                <w:rFonts w:ascii="Arial" w:cs="Arial" w:eastAsia="Arial" w:hAnsi="Arial"/>
                <w:sz w:val="13"/>
                <w:szCs w:val="13"/>
                <w:color w:val="auto"/>
              </w:rPr>
              <w:t>Torre II, Nivel 9</w:t>
            </w:r>
          </w:p>
        </w:tc>
        <w:tc>
          <w:tcPr>
            <w:tcW w:w="17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4060" w:type="dxa"/>
            <w:vAlign w:val="bottom"/>
          </w:tcPr>
          <w:p>
            <w:pPr>
              <w:spacing w:after="0"/>
              <w:rPr>
                <w:sz w:val="14"/>
                <w:szCs w:val="14"/>
                <w:color w:val="auto"/>
              </w:rPr>
            </w:pPr>
          </w:p>
        </w:tc>
        <w:tc>
          <w:tcPr>
            <w:tcW w:w="3020" w:type="dxa"/>
            <w:vAlign w:val="bottom"/>
          </w:tcPr>
          <w:p>
            <w:pPr>
              <w:ind w:left="20"/>
              <w:spacing w:after="0"/>
              <w:rPr>
                <w:sz w:val="20"/>
                <w:szCs w:val="20"/>
                <w:color w:val="auto"/>
              </w:rPr>
            </w:pPr>
            <w:r>
              <w:rPr>
                <w:rFonts w:ascii="Arial" w:cs="Arial" w:eastAsia="Arial" w:hAnsi="Arial"/>
                <w:sz w:val="13"/>
                <w:szCs w:val="13"/>
                <w:color w:val="auto"/>
              </w:rPr>
              <w:t>Guatemala City, Guatemala</w:t>
            </w:r>
          </w:p>
        </w:tc>
        <w:tc>
          <w:tcPr>
            <w:tcW w:w="17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0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Clinical Research Hong Kong Limited</w:t>
            </w:r>
          </w:p>
        </w:tc>
        <w:tc>
          <w:tcPr>
            <w:tcW w:w="30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Unit 4333 &amp; 4335C, 43/F,</w:t>
            </w:r>
          </w:p>
        </w:tc>
        <w:tc>
          <w:tcPr>
            <w:tcW w:w="1740" w:type="dxa"/>
            <w:vAlign w:val="bottom"/>
            <w:shd w:val="clear" w:color="auto" w:fill="CCEEFF"/>
          </w:tcPr>
          <w:p>
            <w:pPr>
              <w:ind w:left="10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27"/>
        </w:trPr>
        <w:tc>
          <w:tcPr>
            <w:tcW w:w="4060" w:type="dxa"/>
            <w:vAlign w:val="bottom"/>
            <w:shd w:val="clear" w:color="auto" w:fill="CCEEFF"/>
          </w:tcPr>
          <w:p>
            <w:pPr>
              <w:spacing w:after="0"/>
              <w:rPr>
                <w:sz w:val="11"/>
                <w:szCs w:val="11"/>
                <w:color w:val="auto"/>
              </w:rPr>
            </w:pPr>
          </w:p>
        </w:tc>
        <w:tc>
          <w:tcPr>
            <w:tcW w:w="302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AIA Tower,</w:t>
            </w:r>
          </w:p>
        </w:tc>
        <w:tc>
          <w:tcPr>
            <w:tcW w:w="17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060" w:type="dxa"/>
            <w:vAlign w:val="bottom"/>
            <w:shd w:val="clear" w:color="auto" w:fill="CCEEFF"/>
          </w:tcPr>
          <w:p>
            <w:pPr>
              <w:spacing w:after="0"/>
              <w:rPr>
                <w:sz w:val="11"/>
                <w:szCs w:val="11"/>
                <w:color w:val="auto"/>
              </w:rPr>
            </w:pPr>
          </w:p>
        </w:tc>
        <w:tc>
          <w:tcPr>
            <w:tcW w:w="302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183 Electric Road,</w:t>
            </w:r>
          </w:p>
        </w:tc>
        <w:tc>
          <w:tcPr>
            <w:tcW w:w="17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060" w:type="dxa"/>
            <w:vAlign w:val="bottom"/>
            <w:shd w:val="clear" w:color="auto" w:fill="CCEEFF"/>
          </w:tcPr>
          <w:p>
            <w:pPr>
              <w:spacing w:after="0"/>
              <w:rPr>
                <w:sz w:val="11"/>
                <w:szCs w:val="11"/>
                <w:color w:val="auto"/>
              </w:rPr>
            </w:pPr>
          </w:p>
        </w:tc>
        <w:tc>
          <w:tcPr>
            <w:tcW w:w="302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North Point,</w:t>
            </w:r>
          </w:p>
        </w:tc>
        <w:tc>
          <w:tcPr>
            <w:tcW w:w="17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060" w:type="dxa"/>
            <w:vAlign w:val="bottom"/>
            <w:shd w:val="clear" w:color="auto" w:fill="CCEEFF"/>
          </w:tcPr>
          <w:p>
            <w:pPr>
              <w:spacing w:after="0"/>
              <w:rPr>
                <w:sz w:val="14"/>
                <w:szCs w:val="14"/>
                <w:color w:val="auto"/>
              </w:rPr>
            </w:pPr>
          </w:p>
        </w:tc>
        <w:tc>
          <w:tcPr>
            <w:tcW w:w="3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Hong Kong</w:t>
            </w:r>
          </w:p>
        </w:tc>
        <w:tc>
          <w:tcPr>
            <w:tcW w:w="174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60" w:type="dxa"/>
            <w:vAlign w:val="bottom"/>
            <w:shd w:val="clear" w:color="auto" w:fill="CCEEFF"/>
          </w:tcPr>
          <w:p>
            <w:pPr>
              <w:spacing w:after="0"/>
              <w:rPr>
                <w:sz w:val="14"/>
                <w:szCs w:val="14"/>
                <w:color w:val="auto"/>
              </w:rPr>
            </w:pPr>
          </w:p>
        </w:tc>
        <w:tc>
          <w:tcPr>
            <w:tcW w:w="302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4060" w:type="dxa"/>
            <w:vAlign w:val="bottom"/>
          </w:tcPr>
          <w:p>
            <w:pPr>
              <w:ind w:left="20"/>
              <w:spacing w:after="0" w:line="128" w:lineRule="exact"/>
              <w:rPr>
                <w:sz w:val="20"/>
                <w:szCs w:val="20"/>
                <w:color w:val="auto"/>
              </w:rPr>
            </w:pPr>
            <w:r>
              <w:rPr>
                <w:rFonts w:ascii="Arial" w:cs="Arial" w:eastAsia="Arial" w:hAnsi="Arial"/>
                <w:sz w:val="13"/>
                <w:szCs w:val="13"/>
                <w:color w:val="auto"/>
              </w:rPr>
              <w:t>PRA Health Sciences (Hong Kong) Limited</w:t>
            </w:r>
          </w:p>
        </w:tc>
        <w:tc>
          <w:tcPr>
            <w:tcW w:w="3020" w:type="dxa"/>
            <w:vAlign w:val="bottom"/>
          </w:tcPr>
          <w:p>
            <w:pPr>
              <w:ind w:left="20"/>
              <w:spacing w:after="0" w:line="128" w:lineRule="exact"/>
              <w:rPr>
                <w:sz w:val="20"/>
                <w:szCs w:val="20"/>
                <w:color w:val="auto"/>
              </w:rPr>
            </w:pPr>
            <w:r>
              <w:rPr>
                <w:rFonts w:ascii="Arial" w:cs="Arial" w:eastAsia="Arial" w:hAnsi="Arial"/>
                <w:sz w:val="13"/>
                <w:szCs w:val="13"/>
                <w:color w:val="auto"/>
              </w:rPr>
              <w:t>Unit 4321 &amp; 4336A, 43/F</w:t>
            </w:r>
          </w:p>
        </w:tc>
        <w:tc>
          <w:tcPr>
            <w:tcW w:w="1740" w:type="dxa"/>
            <w:vAlign w:val="bottom"/>
          </w:tcPr>
          <w:p>
            <w:pPr>
              <w:ind w:left="10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27"/>
        </w:trPr>
        <w:tc>
          <w:tcPr>
            <w:tcW w:w="4060" w:type="dxa"/>
            <w:vAlign w:val="bottom"/>
          </w:tcPr>
          <w:p>
            <w:pPr>
              <w:spacing w:after="0"/>
              <w:rPr>
                <w:sz w:val="11"/>
                <w:szCs w:val="11"/>
                <w:color w:val="auto"/>
              </w:rPr>
            </w:pPr>
          </w:p>
        </w:tc>
        <w:tc>
          <w:tcPr>
            <w:tcW w:w="3020" w:type="dxa"/>
            <w:vAlign w:val="bottom"/>
          </w:tcPr>
          <w:p>
            <w:pPr>
              <w:ind w:left="20"/>
              <w:spacing w:after="0" w:line="128" w:lineRule="exact"/>
              <w:rPr>
                <w:sz w:val="20"/>
                <w:szCs w:val="20"/>
                <w:color w:val="auto"/>
              </w:rPr>
            </w:pPr>
            <w:r>
              <w:rPr>
                <w:rFonts w:ascii="Arial" w:cs="Arial" w:eastAsia="Arial" w:hAnsi="Arial"/>
                <w:sz w:val="13"/>
                <w:szCs w:val="13"/>
                <w:color w:val="auto"/>
              </w:rPr>
              <w:t>AIA Tower, 183 Electric Road</w:t>
            </w:r>
          </w:p>
        </w:tc>
        <w:tc>
          <w:tcPr>
            <w:tcW w:w="17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4060" w:type="dxa"/>
            <w:vAlign w:val="bottom"/>
          </w:tcPr>
          <w:p>
            <w:pPr>
              <w:spacing w:after="0"/>
              <w:rPr>
                <w:sz w:val="14"/>
                <w:szCs w:val="14"/>
                <w:color w:val="auto"/>
              </w:rPr>
            </w:pPr>
          </w:p>
        </w:tc>
        <w:tc>
          <w:tcPr>
            <w:tcW w:w="3020" w:type="dxa"/>
            <w:vAlign w:val="bottom"/>
          </w:tcPr>
          <w:p>
            <w:pPr>
              <w:ind w:left="20"/>
              <w:spacing w:after="0"/>
              <w:rPr>
                <w:sz w:val="20"/>
                <w:szCs w:val="20"/>
                <w:color w:val="auto"/>
              </w:rPr>
            </w:pPr>
            <w:r>
              <w:rPr>
                <w:rFonts w:ascii="Arial" w:cs="Arial" w:eastAsia="Arial" w:hAnsi="Arial"/>
                <w:sz w:val="13"/>
                <w:szCs w:val="13"/>
                <w:color w:val="auto"/>
              </w:rPr>
              <w:t>North Point, Hong Kong</w:t>
            </w:r>
          </w:p>
        </w:tc>
        <w:tc>
          <w:tcPr>
            <w:tcW w:w="17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0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Klinikai Kutató Korlátolt Felelősségű Társaság</w:t>
            </w:r>
          </w:p>
        </w:tc>
        <w:tc>
          <w:tcPr>
            <w:tcW w:w="30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Váci út 47.</w:t>
            </w:r>
          </w:p>
        </w:tc>
        <w:tc>
          <w:tcPr>
            <w:tcW w:w="1740" w:type="dxa"/>
            <w:vAlign w:val="bottom"/>
            <w:shd w:val="clear" w:color="auto" w:fill="CCEEFF"/>
          </w:tcPr>
          <w:p>
            <w:pPr>
              <w:ind w:left="10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27"/>
        </w:trPr>
        <w:tc>
          <w:tcPr>
            <w:tcW w:w="406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(ICON Clinical Research Limited Liability Company)******</w:t>
            </w:r>
          </w:p>
        </w:tc>
        <w:tc>
          <w:tcPr>
            <w:tcW w:w="302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1134 Budapest,</w:t>
            </w:r>
          </w:p>
        </w:tc>
        <w:tc>
          <w:tcPr>
            <w:tcW w:w="17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4060" w:type="dxa"/>
            <w:vAlign w:val="bottom"/>
            <w:shd w:val="clear" w:color="auto" w:fill="CCEEFF"/>
          </w:tcPr>
          <w:p>
            <w:pPr>
              <w:spacing w:after="0"/>
              <w:rPr>
                <w:sz w:val="14"/>
                <w:szCs w:val="14"/>
                <w:color w:val="auto"/>
              </w:rPr>
            </w:pPr>
          </w:p>
        </w:tc>
        <w:tc>
          <w:tcPr>
            <w:tcW w:w="3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Hungary</w:t>
            </w:r>
          </w:p>
        </w:tc>
        <w:tc>
          <w:tcPr>
            <w:tcW w:w="174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4060" w:type="dxa"/>
            <w:vAlign w:val="bottom"/>
          </w:tcPr>
          <w:p>
            <w:pPr>
              <w:ind w:left="20"/>
              <w:spacing w:after="0" w:line="128" w:lineRule="exact"/>
              <w:rPr>
                <w:sz w:val="20"/>
                <w:szCs w:val="20"/>
                <w:color w:val="auto"/>
              </w:rPr>
            </w:pPr>
            <w:r>
              <w:rPr>
                <w:rFonts w:ascii="Arial" w:cs="Arial" w:eastAsia="Arial" w:hAnsi="Arial"/>
                <w:sz w:val="13"/>
                <w:szCs w:val="13"/>
                <w:color w:val="auto"/>
              </w:rPr>
              <w:t>Pharmaceutical Research Associates Magyarország Kutatás-</w:t>
            </w:r>
          </w:p>
        </w:tc>
        <w:tc>
          <w:tcPr>
            <w:tcW w:w="3020" w:type="dxa"/>
            <w:vAlign w:val="bottom"/>
          </w:tcPr>
          <w:p>
            <w:pPr>
              <w:ind w:left="20"/>
              <w:spacing w:after="0" w:line="128" w:lineRule="exact"/>
              <w:rPr>
                <w:sz w:val="20"/>
                <w:szCs w:val="20"/>
                <w:color w:val="auto"/>
              </w:rPr>
            </w:pPr>
            <w:r>
              <w:rPr>
                <w:rFonts w:ascii="Arial" w:cs="Arial" w:eastAsia="Arial" w:hAnsi="Arial"/>
                <w:sz w:val="13"/>
                <w:szCs w:val="13"/>
                <w:color w:val="auto"/>
              </w:rPr>
              <w:t>Szepvolgyi ut 39</w:t>
            </w:r>
          </w:p>
        </w:tc>
        <w:tc>
          <w:tcPr>
            <w:tcW w:w="1740" w:type="dxa"/>
            <w:vAlign w:val="bottom"/>
          </w:tcPr>
          <w:p>
            <w:pPr>
              <w:ind w:left="10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27"/>
        </w:trPr>
        <w:tc>
          <w:tcPr>
            <w:tcW w:w="4060" w:type="dxa"/>
            <w:vAlign w:val="bottom"/>
          </w:tcPr>
          <w:p>
            <w:pPr>
              <w:ind w:left="20"/>
              <w:spacing w:after="0" w:line="128" w:lineRule="exact"/>
              <w:rPr>
                <w:sz w:val="20"/>
                <w:szCs w:val="20"/>
                <w:color w:val="auto"/>
              </w:rPr>
            </w:pPr>
            <w:r>
              <w:rPr>
                <w:rFonts w:ascii="Arial" w:cs="Arial" w:eastAsia="Arial" w:hAnsi="Arial"/>
                <w:sz w:val="13"/>
                <w:szCs w:val="13"/>
                <w:color w:val="auto"/>
              </w:rPr>
              <w:t>Fejlesztési Korlátolt Felelősségű Társaság</w:t>
            </w:r>
          </w:p>
        </w:tc>
        <w:tc>
          <w:tcPr>
            <w:tcW w:w="3020" w:type="dxa"/>
            <w:vAlign w:val="bottom"/>
          </w:tcPr>
          <w:p>
            <w:pPr>
              <w:ind w:left="20"/>
              <w:spacing w:after="0" w:line="128" w:lineRule="exact"/>
              <w:rPr>
                <w:sz w:val="20"/>
                <w:szCs w:val="20"/>
                <w:color w:val="auto"/>
              </w:rPr>
            </w:pPr>
            <w:r>
              <w:rPr>
                <w:rFonts w:ascii="Arial" w:cs="Arial" w:eastAsia="Arial" w:hAnsi="Arial"/>
                <w:sz w:val="13"/>
                <w:szCs w:val="13"/>
                <w:color w:val="auto"/>
              </w:rPr>
              <w:t>HU-1037 Budapest</w:t>
            </w:r>
          </w:p>
        </w:tc>
        <w:tc>
          <w:tcPr>
            <w:tcW w:w="17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060" w:type="dxa"/>
            <w:vAlign w:val="bottom"/>
            <w:vMerge w:val="restart"/>
          </w:tcPr>
          <w:p>
            <w:pPr>
              <w:ind w:left="20"/>
              <w:spacing w:after="0"/>
              <w:rPr>
                <w:sz w:val="20"/>
                <w:szCs w:val="20"/>
                <w:color w:val="auto"/>
              </w:rPr>
            </w:pPr>
            <w:r>
              <w:rPr>
                <w:rFonts w:ascii="Arial" w:cs="Arial" w:eastAsia="Arial" w:hAnsi="Arial"/>
                <w:sz w:val="13"/>
                <w:szCs w:val="13"/>
                <w:color w:val="auto"/>
              </w:rPr>
              <w:t>Pharmaceutical Research Associates Hungary Research and</w:t>
            </w:r>
          </w:p>
        </w:tc>
        <w:tc>
          <w:tcPr>
            <w:tcW w:w="3020" w:type="dxa"/>
            <w:vAlign w:val="bottom"/>
          </w:tcPr>
          <w:p>
            <w:pPr>
              <w:ind w:left="20"/>
              <w:spacing w:after="0"/>
              <w:rPr>
                <w:sz w:val="20"/>
                <w:szCs w:val="20"/>
                <w:color w:val="auto"/>
              </w:rPr>
            </w:pPr>
            <w:r>
              <w:rPr>
                <w:rFonts w:ascii="Arial" w:cs="Arial" w:eastAsia="Arial" w:hAnsi="Arial"/>
                <w:sz w:val="13"/>
                <w:szCs w:val="13"/>
                <w:color w:val="auto"/>
              </w:rPr>
              <w:t>Hungary</w:t>
            </w:r>
          </w:p>
        </w:tc>
        <w:tc>
          <w:tcPr>
            <w:tcW w:w="17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4060" w:type="dxa"/>
            <w:vAlign w:val="bottom"/>
            <w:vMerge w:val="continue"/>
          </w:tcPr>
          <w:p>
            <w:pPr>
              <w:spacing w:after="0"/>
              <w:rPr>
                <w:sz w:val="7"/>
                <w:szCs w:val="7"/>
                <w:color w:val="auto"/>
              </w:rPr>
            </w:pPr>
          </w:p>
        </w:tc>
        <w:tc>
          <w:tcPr>
            <w:tcW w:w="3020" w:type="dxa"/>
            <w:vAlign w:val="bottom"/>
          </w:tcPr>
          <w:p>
            <w:pPr>
              <w:spacing w:after="0"/>
              <w:rPr>
                <w:sz w:val="7"/>
                <w:szCs w:val="7"/>
                <w:color w:val="auto"/>
              </w:rPr>
            </w:pPr>
          </w:p>
        </w:tc>
        <w:tc>
          <w:tcPr>
            <w:tcW w:w="1740" w:type="dxa"/>
            <w:vAlign w:val="bottom"/>
          </w:tcPr>
          <w:p>
            <w:pPr>
              <w:spacing w:after="0"/>
              <w:rPr>
                <w:sz w:val="7"/>
                <w:szCs w:val="7"/>
                <w:color w:val="auto"/>
              </w:rPr>
            </w:pPr>
          </w:p>
        </w:tc>
        <w:tc>
          <w:tcPr>
            <w:tcW w:w="2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4060" w:type="dxa"/>
            <w:vAlign w:val="bottom"/>
          </w:tcPr>
          <w:p>
            <w:pPr>
              <w:ind w:left="20"/>
              <w:spacing w:after="0"/>
              <w:rPr>
                <w:sz w:val="20"/>
                <w:szCs w:val="20"/>
                <w:color w:val="auto"/>
              </w:rPr>
            </w:pPr>
            <w:r>
              <w:rPr>
                <w:rFonts w:ascii="Arial" w:cs="Arial" w:eastAsia="Arial" w:hAnsi="Arial"/>
                <w:sz w:val="13"/>
                <w:szCs w:val="13"/>
                <w:color w:val="auto"/>
              </w:rPr>
              <w:t>Development Ltd.</w:t>
            </w:r>
          </w:p>
        </w:tc>
        <w:tc>
          <w:tcPr>
            <w:tcW w:w="30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0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RPS Iceland ehf.</w:t>
            </w:r>
          </w:p>
        </w:tc>
        <w:tc>
          <w:tcPr>
            <w:tcW w:w="30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Skipholti 50D</w:t>
            </w:r>
          </w:p>
        </w:tc>
        <w:tc>
          <w:tcPr>
            <w:tcW w:w="1740" w:type="dxa"/>
            <w:vAlign w:val="bottom"/>
            <w:shd w:val="clear" w:color="auto" w:fill="CCEEFF"/>
          </w:tcPr>
          <w:p>
            <w:pPr>
              <w:ind w:left="10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70"/>
        </w:trPr>
        <w:tc>
          <w:tcPr>
            <w:tcW w:w="4060" w:type="dxa"/>
            <w:vAlign w:val="bottom"/>
            <w:shd w:val="clear" w:color="auto" w:fill="CCEEFF"/>
          </w:tcPr>
          <w:p>
            <w:pPr>
              <w:spacing w:after="0"/>
              <w:rPr>
                <w:sz w:val="14"/>
                <w:szCs w:val="14"/>
                <w:color w:val="auto"/>
              </w:rPr>
            </w:pPr>
          </w:p>
        </w:tc>
        <w:tc>
          <w:tcPr>
            <w:tcW w:w="3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105 Reykjavik, Iceland</w:t>
            </w:r>
          </w:p>
        </w:tc>
        <w:tc>
          <w:tcPr>
            <w:tcW w:w="174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4060" w:type="dxa"/>
            <w:vAlign w:val="bottom"/>
          </w:tcPr>
          <w:p>
            <w:pPr>
              <w:ind w:left="20"/>
              <w:spacing w:after="0" w:line="128" w:lineRule="exact"/>
              <w:rPr>
                <w:sz w:val="20"/>
                <w:szCs w:val="20"/>
                <w:color w:val="auto"/>
              </w:rPr>
            </w:pPr>
            <w:r>
              <w:rPr>
                <w:rFonts w:ascii="Arial" w:cs="Arial" w:eastAsia="Arial" w:hAnsi="Arial"/>
                <w:sz w:val="13"/>
                <w:szCs w:val="13"/>
                <w:color w:val="auto"/>
              </w:rPr>
              <w:t>ICON Clinical Research India Private Limited</w:t>
            </w:r>
          </w:p>
        </w:tc>
        <w:tc>
          <w:tcPr>
            <w:tcW w:w="3020" w:type="dxa"/>
            <w:vAlign w:val="bottom"/>
          </w:tcPr>
          <w:p>
            <w:pPr>
              <w:ind w:left="20"/>
              <w:spacing w:after="0" w:line="128" w:lineRule="exact"/>
              <w:rPr>
                <w:sz w:val="20"/>
                <w:szCs w:val="20"/>
                <w:color w:val="auto"/>
              </w:rPr>
            </w:pPr>
            <w:r>
              <w:rPr>
                <w:rFonts w:ascii="Arial" w:cs="Arial" w:eastAsia="Arial" w:hAnsi="Arial"/>
                <w:sz w:val="13"/>
                <w:szCs w:val="13"/>
                <w:color w:val="auto"/>
                <w:w w:val="99"/>
              </w:rPr>
              <w:t>CHENNAI ONE IT PARK ITE/ITES SEZ North Block</w:t>
            </w:r>
          </w:p>
        </w:tc>
        <w:tc>
          <w:tcPr>
            <w:tcW w:w="1740" w:type="dxa"/>
            <w:vAlign w:val="bottom"/>
          </w:tcPr>
          <w:p>
            <w:pPr>
              <w:ind w:left="10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27"/>
        </w:trPr>
        <w:tc>
          <w:tcPr>
            <w:tcW w:w="4060" w:type="dxa"/>
            <w:vAlign w:val="bottom"/>
          </w:tcPr>
          <w:p>
            <w:pPr>
              <w:spacing w:after="0"/>
              <w:rPr>
                <w:sz w:val="11"/>
                <w:szCs w:val="11"/>
                <w:color w:val="auto"/>
              </w:rPr>
            </w:pPr>
          </w:p>
        </w:tc>
        <w:tc>
          <w:tcPr>
            <w:tcW w:w="3020" w:type="dxa"/>
            <w:vAlign w:val="bottom"/>
          </w:tcPr>
          <w:p>
            <w:pPr>
              <w:ind w:left="20"/>
              <w:spacing w:after="0" w:line="128" w:lineRule="exact"/>
              <w:rPr>
                <w:sz w:val="20"/>
                <w:szCs w:val="20"/>
                <w:color w:val="auto"/>
              </w:rPr>
            </w:pPr>
            <w:r>
              <w:rPr>
                <w:rFonts w:ascii="Arial" w:cs="Arial" w:eastAsia="Arial" w:hAnsi="Arial"/>
                <w:sz w:val="13"/>
                <w:szCs w:val="13"/>
                <w:color w:val="auto"/>
              </w:rPr>
              <w:t>Block B, 4th Floor, Thoraipakkam</w:t>
            </w:r>
          </w:p>
        </w:tc>
        <w:tc>
          <w:tcPr>
            <w:tcW w:w="17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060" w:type="dxa"/>
            <w:vAlign w:val="bottom"/>
          </w:tcPr>
          <w:p>
            <w:pPr>
              <w:spacing w:after="0"/>
              <w:rPr>
                <w:sz w:val="11"/>
                <w:szCs w:val="11"/>
                <w:color w:val="auto"/>
              </w:rPr>
            </w:pPr>
          </w:p>
        </w:tc>
        <w:tc>
          <w:tcPr>
            <w:tcW w:w="3020" w:type="dxa"/>
            <w:vAlign w:val="bottom"/>
          </w:tcPr>
          <w:p>
            <w:pPr>
              <w:ind w:left="20"/>
              <w:spacing w:after="0" w:line="128" w:lineRule="exact"/>
              <w:rPr>
                <w:sz w:val="20"/>
                <w:szCs w:val="20"/>
                <w:color w:val="auto"/>
              </w:rPr>
            </w:pPr>
            <w:r>
              <w:rPr>
                <w:rFonts w:ascii="Arial" w:cs="Arial" w:eastAsia="Arial" w:hAnsi="Arial"/>
                <w:sz w:val="13"/>
                <w:szCs w:val="13"/>
                <w:color w:val="auto"/>
              </w:rPr>
              <w:t>Chennai</w:t>
            </w:r>
          </w:p>
        </w:tc>
        <w:tc>
          <w:tcPr>
            <w:tcW w:w="17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060" w:type="dxa"/>
            <w:vAlign w:val="bottom"/>
          </w:tcPr>
          <w:p>
            <w:pPr>
              <w:spacing w:after="0"/>
              <w:rPr>
                <w:sz w:val="11"/>
                <w:szCs w:val="11"/>
                <w:color w:val="auto"/>
              </w:rPr>
            </w:pPr>
          </w:p>
        </w:tc>
        <w:tc>
          <w:tcPr>
            <w:tcW w:w="3020" w:type="dxa"/>
            <w:vAlign w:val="bottom"/>
          </w:tcPr>
          <w:p>
            <w:pPr>
              <w:ind w:left="20"/>
              <w:spacing w:after="0" w:line="128" w:lineRule="exact"/>
              <w:rPr>
                <w:sz w:val="20"/>
                <w:szCs w:val="20"/>
                <w:color w:val="auto"/>
              </w:rPr>
            </w:pPr>
            <w:r>
              <w:rPr>
                <w:rFonts w:ascii="Arial" w:cs="Arial" w:eastAsia="Arial" w:hAnsi="Arial"/>
                <w:sz w:val="13"/>
                <w:szCs w:val="13"/>
                <w:color w:val="auto"/>
              </w:rPr>
              <w:t>Tamil Nadu-TN</w:t>
            </w:r>
          </w:p>
        </w:tc>
        <w:tc>
          <w:tcPr>
            <w:tcW w:w="17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060" w:type="dxa"/>
            <w:vAlign w:val="bottom"/>
          </w:tcPr>
          <w:p>
            <w:pPr>
              <w:spacing w:after="0"/>
              <w:rPr>
                <w:sz w:val="11"/>
                <w:szCs w:val="11"/>
                <w:color w:val="auto"/>
              </w:rPr>
            </w:pPr>
          </w:p>
        </w:tc>
        <w:tc>
          <w:tcPr>
            <w:tcW w:w="3020" w:type="dxa"/>
            <w:vAlign w:val="bottom"/>
          </w:tcPr>
          <w:p>
            <w:pPr>
              <w:ind w:left="20"/>
              <w:spacing w:after="0" w:line="128" w:lineRule="exact"/>
              <w:rPr>
                <w:sz w:val="20"/>
                <w:szCs w:val="20"/>
                <w:color w:val="auto"/>
              </w:rPr>
            </w:pPr>
            <w:r>
              <w:rPr>
                <w:rFonts w:ascii="Arial" w:cs="Arial" w:eastAsia="Arial" w:hAnsi="Arial"/>
                <w:sz w:val="13"/>
                <w:szCs w:val="13"/>
                <w:color w:val="auto"/>
              </w:rPr>
              <w:t>600097</w:t>
            </w:r>
          </w:p>
        </w:tc>
        <w:tc>
          <w:tcPr>
            <w:tcW w:w="17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4060" w:type="dxa"/>
            <w:vAlign w:val="bottom"/>
          </w:tcPr>
          <w:p>
            <w:pPr>
              <w:spacing w:after="0"/>
              <w:rPr>
                <w:sz w:val="14"/>
                <w:szCs w:val="14"/>
                <w:color w:val="auto"/>
              </w:rPr>
            </w:pPr>
          </w:p>
        </w:tc>
        <w:tc>
          <w:tcPr>
            <w:tcW w:w="3020" w:type="dxa"/>
            <w:vAlign w:val="bottom"/>
          </w:tcPr>
          <w:p>
            <w:pPr>
              <w:ind w:left="20"/>
              <w:spacing w:after="0"/>
              <w:rPr>
                <w:sz w:val="20"/>
                <w:szCs w:val="20"/>
                <w:color w:val="auto"/>
              </w:rPr>
            </w:pPr>
            <w:r>
              <w:rPr>
                <w:rFonts w:ascii="Arial" w:cs="Arial" w:eastAsia="Arial" w:hAnsi="Arial"/>
                <w:sz w:val="13"/>
                <w:szCs w:val="13"/>
                <w:color w:val="auto"/>
              </w:rPr>
              <w:t>India</w:t>
            </w:r>
          </w:p>
        </w:tc>
        <w:tc>
          <w:tcPr>
            <w:tcW w:w="17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0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Pharmaceutical Research Associates India Private Limited</w:t>
            </w:r>
          </w:p>
        </w:tc>
        <w:tc>
          <w:tcPr>
            <w:tcW w:w="30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Level 2, B-Wing Times Square, Andheri-Kurla Road</w:t>
            </w:r>
          </w:p>
        </w:tc>
        <w:tc>
          <w:tcPr>
            <w:tcW w:w="1740" w:type="dxa"/>
            <w:vAlign w:val="bottom"/>
            <w:shd w:val="clear" w:color="auto" w:fill="CCEEFF"/>
          </w:tcPr>
          <w:p>
            <w:pPr>
              <w:ind w:left="10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27"/>
        </w:trPr>
        <w:tc>
          <w:tcPr>
            <w:tcW w:w="4060" w:type="dxa"/>
            <w:vAlign w:val="bottom"/>
            <w:shd w:val="clear" w:color="auto" w:fill="CCEEFF"/>
          </w:tcPr>
          <w:p>
            <w:pPr>
              <w:spacing w:after="0"/>
              <w:rPr>
                <w:sz w:val="11"/>
                <w:szCs w:val="11"/>
                <w:color w:val="auto"/>
              </w:rPr>
            </w:pPr>
          </w:p>
        </w:tc>
        <w:tc>
          <w:tcPr>
            <w:tcW w:w="302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Andheri (East) Mumbai, Mumbai City, Maharashtra</w:t>
            </w:r>
          </w:p>
        </w:tc>
        <w:tc>
          <w:tcPr>
            <w:tcW w:w="17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4060" w:type="dxa"/>
            <w:vAlign w:val="bottom"/>
            <w:shd w:val="clear" w:color="auto" w:fill="CCEEFF"/>
          </w:tcPr>
          <w:p>
            <w:pPr>
              <w:spacing w:after="0"/>
              <w:rPr>
                <w:sz w:val="14"/>
                <w:szCs w:val="14"/>
                <w:color w:val="auto"/>
              </w:rPr>
            </w:pPr>
          </w:p>
        </w:tc>
        <w:tc>
          <w:tcPr>
            <w:tcW w:w="3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400059</w:t>
            </w:r>
          </w:p>
        </w:tc>
        <w:tc>
          <w:tcPr>
            <w:tcW w:w="174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4060" w:type="dxa"/>
            <w:vAlign w:val="bottom"/>
          </w:tcPr>
          <w:p>
            <w:pPr>
              <w:ind w:left="20"/>
              <w:spacing w:after="0" w:line="128" w:lineRule="exact"/>
              <w:rPr>
                <w:sz w:val="20"/>
                <w:szCs w:val="20"/>
                <w:color w:val="auto"/>
              </w:rPr>
            </w:pPr>
            <w:r>
              <w:rPr>
                <w:rFonts w:ascii="Arial" w:cs="Arial" w:eastAsia="Arial" w:hAnsi="Arial"/>
                <w:sz w:val="13"/>
                <w:szCs w:val="13"/>
                <w:color w:val="auto"/>
              </w:rPr>
              <w:t>Accellacare Limited</w:t>
            </w:r>
          </w:p>
        </w:tc>
        <w:tc>
          <w:tcPr>
            <w:tcW w:w="3020" w:type="dxa"/>
            <w:vAlign w:val="bottom"/>
          </w:tcPr>
          <w:p>
            <w:pPr>
              <w:ind w:left="20"/>
              <w:spacing w:after="0" w:line="128" w:lineRule="exact"/>
              <w:rPr>
                <w:sz w:val="20"/>
                <w:szCs w:val="20"/>
                <w:color w:val="auto"/>
              </w:rPr>
            </w:pPr>
            <w:r>
              <w:rPr>
                <w:rFonts w:ascii="Arial" w:cs="Arial" w:eastAsia="Arial" w:hAnsi="Arial"/>
                <w:sz w:val="13"/>
                <w:szCs w:val="13"/>
                <w:color w:val="auto"/>
              </w:rPr>
              <w:t>South County Business Park,</w:t>
            </w:r>
          </w:p>
        </w:tc>
        <w:tc>
          <w:tcPr>
            <w:tcW w:w="1740" w:type="dxa"/>
            <w:vAlign w:val="bottom"/>
          </w:tcPr>
          <w:p>
            <w:pPr>
              <w:ind w:left="10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27"/>
        </w:trPr>
        <w:tc>
          <w:tcPr>
            <w:tcW w:w="4060" w:type="dxa"/>
            <w:vAlign w:val="bottom"/>
          </w:tcPr>
          <w:p>
            <w:pPr>
              <w:spacing w:after="0"/>
              <w:rPr>
                <w:sz w:val="11"/>
                <w:szCs w:val="11"/>
                <w:color w:val="auto"/>
              </w:rPr>
            </w:pPr>
          </w:p>
        </w:tc>
        <w:tc>
          <w:tcPr>
            <w:tcW w:w="3020" w:type="dxa"/>
            <w:vAlign w:val="bottom"/>
          </w:tcPr>
          <w:p>
            <w:pPr>
              <w:ind w:left="20"/>
              <w:spacing w:after="0" w:line="128" w:lineRule="exact"/>
              <w:rPr>
                <w:sz w:val="20"/>
                <w:szCs w:val="20"/>
                <w:color w:val="auto"/>
              </w:rPr>
            </w:pPr>
            <w:r>
              <w:rPr>
                <w:rFonts w:ascii="Arial" w:cs="Arial" w:eastAsia="Arial" w:hAnsi="Arial"/>
                <w:sz w:val="13"/>
                <w:szCs w:val="13"/>
                <w:color w:val="auto"/>
              </w:rPr>
              <w:t>Leopardstown,</w:t>
            </w:r>
          </w:p>
        </w:tc>
        <w:tc>
          <w:tcPr>
            <w:tcW w:w="17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060" w:type="dxa"/>
            <w:vAlign w:val="bottom"/>
          </w:tcPr>
          <w:p>
            <w:pPr>
              <w:spacing w:after="0"/>
              <w:rPr>
                <w:sz w:val="11"/>
                <w:szCs w:val="11"/>
                <w:color w:val="auto"/>
              </w:rPr>
            </w:pPr>
          </w:p>
        </w:tc>
        <w:tc>
          <w:tcPr>
            <w:tcW w:w="3020" w:type="dxa"/>
            <w:vAlign w:val="bottom"/>
          </w:tcPr>
          <w:p>
            <w:pPr>
              <w:ind w:left="20"/>
              <w:spacing w:after="0" w:line="128" w:lineRule="exact"/>
              <w:rPr>
                <w:sz w:val="20"/>
                <w:szCs w:val="20"/>
                <w:color w:val="auto"/>
              </w:rPr>
            </w:pPr>
            <w:r>
              <w:rPr>
                <w:rFonts w:ascii="Arial" w:cs="Arial" w:eastAsia="Arial" w:hAnsi="Arial"/>
                <w:sz w:val="13"/>
                <w:szCs w:val="13"/>
                <w:color w:val="auto"/>
              </w:rPr>
              <w:t>Dublin 18,</w:t>
            </w:r>
          </w:p>
        </w:tc>
        <w:tc>
          <w:tcPr>
            <w:tcW w:w="17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4060" w:type="dxa"/>
            <w:vAlign w:val="bottom"/>
          </w:tcPr>
          <w:p>
            <w:pPr>
              <w:spacing w:after="0"/>
              <w:rPr>
                <w:sz w:val="14"/>
                <w:szCs w:val="14"/>
                <w:color w:val="auto"/>
              </w:rPr>
            </w:pPr>
          </w:p>
        </w:tc>
        <w:tc>
          <w:tcPr>
            <w:tcW w:w="3020" w:type="dxa"/>
            <w:vAlign w:val="bottom"/>
          </w:tcPr>
          <w:p>
            <w:pPr>
              <w:ind w:left="20"/>
              <w:spacing w:after="0"/>
              <w:rPr>
                <w:sz w:val="20"/>
                <w:szCs w:val="20"/>
                <w:color w:val="auto"/>
              </w:rPr>
            </w:pPr>
            <w:r>
              <w:rPr>
                <w:rFonts w:ascii="Arial" w:cs="Arial" w:eastAsia="Arial" w:hAnsi="Arial"/>
                <w:sz w:val="13"/>
                <w:szCs w:val="13"/>
                <w:color w:val="auto"/>
              </w:rPr>
              <w:t>Republic of Ireland</w:t>
            </w:r>
          </w:p>
        </w:tc>
        <w:tc>
          <w:tcPr>
            <w:tcW w:w="17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0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DOCS Resourcing Limited</w:t>
            </w:r>
          </w:p>
        </w:tc>
        <w:tc>
          <w:tcPr>
            <w:tcW w:w="30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South County Business Park,</w:t>
            </w:r>
          </w:p>
        </w:tc>
        <w:tc>
          <w:tcPr>
            <w:tcW w:w="1740" w:type="dxa"/>
            <w:vAlign w:val="bottom"/>
            <w:shd w:val="clear" w:color="auto" w:fill="CCEEFF"/>
          </w:tcPr>
          <w:p>
            <w:pPr>
              <w:ind w:left="10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27"/>
        </w:trPr>
        <w:tc>
          <w:tcPr>
            <w:tcW w:w="4060" w:type="dxa"/>
            <w:vAlign w:val="bottom"/>
            <w:shd w:val="clear" w:color="auto" w:fill="CCEEFF"/>
          </w:tcPr>
          <w:p>
            <w:pPr>
              <w:spacing w:after="0"/>
              <w:rPr>
                <w:sz w:val="11"/>
                <w:szCs w:val="11"/>
                <w:color w:val="auto"/>
              </w:rPr>
            </w:pPr>
          </w:p>
        </w:tc>
        <w:tc>
          <w:tcPr>
            <w:tcW w:w="302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Leopardstown,</w:t>
            </w:r>
          </w:p>
        </w:tc>
        <w:tc>
          <w:tcPr>
            <w:tcW w:w="17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060" w:type="dxa"/>
            <w:vAlign w:val="bottom"/>
            <w:shd w:val="clear" w:color="auto" w:fill="CCEEFF"/>
          </w:tcPr>
          <w:p>
            <w:pPr>
              <w:spacing w:after="0"/>
              <w:rPr>
                <w:sz w:val="11"/>
                <w:szCs w:val="11"/>
                <w:color w:val="auto"/>
              </w:rPr>
            </w:pPr>
          </w:p>
        </w:tc>
        <w:tc>
          <w:tcPr>
            <w:tcW w:w="302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Dublin 18,</w:t>
            </w:r>
          </w:p>
        </w:tc>
        <w:tc>
          <w:tcPr>
            <w:tcW w:w="17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4060" w:type="dxa"/>
            <w:vAlign w:val="bottom"/>
            <w:shd w:val="clear" w:color="auto" w:fill="CCEEFF"/>
          </w:tcPr>
          <w:p>
            <w:pPr>
              <w:spacing w:after="0"/>
              <w:rPr>
                <w:sz w:val="14"/>
                <w:szCs w:val="14"/>
                <w:color w:val="auto"/>
              </w:rPr>
            </w:pPr>
          </w:p>
        </w:tc>
        <w:tc>
          <w:tcPr>
            <w:tcW w:w="3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Republic of Ireland</w:t>
            </w:r>
          </w:p>
        </w:tc>
        <w:tc>
          <w:tcPr>
            <w:tcW w:w="174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122</w:t>
      </w:r>
    </w:p>
    <w:p>
      <w:pPr>
        <w:sectPr>
          <w:pgSz w:w="11900" w:h="16838" w:orient="portrait"/>
          <w:cols w:equalWidth="0" w:num="1">
            <w:col w:w="11260"/>
          </w:cols>
          <w:pgMar w:left="300" w:top="698" w:right="3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32.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270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Registered Office</w:t>
            </w:r>
          </w:p>
        </w:tc>
        <w:tc>
          <w:tcPr>
            <w:tcW w:w="2320" w:type="dxa"/>
            <w:vAlign w:val="bottom"/>
            <w:shd w:val="clear" w:color="auto" w:fill="CCEEFF"/>
          </w:tcPr>
          <w:p>
            <w:pPr>
              <w:ind w:left="600"/>
              <w:spacing w:after="0"/>
              <w:rPr>
                <w:sz w:val="20"/>
                <w:szCs w:val="20"/>
                <w:color w:val="auto"/>
              </w:rPr>
            </w:pPr>
            <w:r>
              <w:rPr>
                <w:rFonts w:ascii="Arial" w:cs="Arial" w:eastAsia="Arial" w:hAnsi="Arial"/>
                <w:sz w:val="13"/>
                <w:szCs w:val="13"/>
                <w:b w:val="1"/>
                <w:bCs w:val="1"/>
                <w:color w:val="auto"/>
              </w:rPr>
              <w:t>Nature of business</w:t>
            </w:r>
          </w:p>
        </w:tc>
        <w:tc>
          <w:tcPr>
            <w:tcW w:w="236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Proportion held by</w:t>
            </w:r>
          </w:p>
        </w:tc>
      </w:tr>
      <w:tr>
        <w:trPr>
          <w:trHeight w:val="170"/>
        </w:trPr>
        <w:tc>
          <w:tcPr>
            <w:tcW w:w="3880" w:type="dxa"/>
            <w:vAlign w:val="bottom"/>
            <w:tcBorders>
              <w:bottom w:val="single" w:sz="8" w:color="auto"/>
            </w:tcBorders>
            <w:shd w:val="clear" w:color="auto" w:fill="CCEEFF"/>
          </w:tcPr>
          <w:p>
            <w:pPr>
              <w:spacing w:after="0"/>
              <w:rPr>
                <w:sz w:val="14"/>
                <w:szCs w:val="14"/>
                <w:color w:val="auto"/>
              </w:rPr>
            </w:pPr>
          </w:p>
        </w:tc>
        <w:tc>
          <w:tcPr>
            <w:tcW w:w="2700" w:type="dxa"/>
            <w:vAlign w:val="bottom"/>
            <w:tcBorders>
              <w:bottom w:val="single" w:sz="8" w:color="auto"/>
            </w:tcBorders>
            <w:shd w:val="clear" w:color="auto" w:fill="CCEEFF"/>
          </w:tcPr>
          <w:p>
            <w:pPr>
              <w:spacing w:after="0"/>
              <w:rPr>
                <w:sz w:val="14"/>
                <w:szCs w:val="14"/>
                <w:color w:val="auto"/>
              </w:rPr>
            </w:pPr>
          </w:p>
        </w:tc>
        <w:tc>
          <w:tcPr>
            <w:tcW w:w="2320" w:type="dxa"/>
            <w:vAlign w:val="bottom"/>
            <w:tcBorders>
              <w:bottom w:val="single" w:sz="8" w:color="auto"/>
            </w:tcBorders>
            <w:shd w:val="clear" w:color="auto" w:fill="CCEEFF"/>
          </w:tcPr>
          <w:p>
            <w:pPr>
              <w:spacing w:after="0"/>
              <w:rPr>
                <w:sz w:val="14"/>
                <w:szCs w:val="14"/>
                <w:color w:val="auto"/>
              </w:rPr>
            </w:pPr>
          </w:p>
        </w:tc>
        <w:tc>
          <w:tcPr>
            <w:tcW w:w="23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3"/>
                <w:szCs w:val="13"/>
                <w:b w:val="1"/>
                <w:bCs w:val="1"/>
                <w:color w:val="auto"/>
              </w:rPr>
              <w:t>Group</w:t>
            </w:r>
          </w:p>
        </w:tc>
      </w:tr>
      <w:tr>
        <w:trPr>
          <w:trHeight w:val="118"/>
        </w:trPr>
        <w:tc>
          <w:tcPr>
            <w:tcW w:w="3880" w:type="dxa"/>
            <w:vAlign w:val="bottom"/>
          </w:tcPr>
          <w:p>
            <w:pPr>
              <w:ind w:left="20"/>
              <w:spacing w:after="0" w:line="118" w:lineRule="exact"/>
              <w:rPr>
                <w:sz w:val="20"/>
                <w:szCs w:val="20"/>
                <w:color w:val="auto"/>
              </w:rPr>
            </w:pPr>
            <w:r>
              <w:rPr>
                <w:rFonts w:ascii="Arial" w:cs="Arial" w:eastAsia="Arial" w:hAnsi="Arial"/>
                <w:sz w:val="13"/>
                <w:szCs w:val="13"/>
                <w:color w:val="auto"/>
              </w:rPr>
              <w:t>ICON (LR) Limited</w:t>
            </w:r>
          </w:p>
        </w:tc>
        <w:tc>
          <w:tcPr>
            <w:tcW w:w="2700" w:type="dxa"/>
            <w:vAlign w:val="bottom"/>
          </w:tcPr>
          <w:p>
            <w:pPr>
              <w:ind w:left="200"/>
              <w:spacing w:after="0" w:line="118" w:lineRule="exact"/>
              <w:rPr>
                <w:sz w:val="20"/>
                <w:szCs w:val="20"/>
                <w:color w:val="auto"/>
              </w:rPr>
            </w:pPr>
            <w:r>
              <w:rPr>
                <w:rFonts w:ascii="Arial" w:cs="Arial" w:eastAsia="Arial" w:hAnsi="Arial"/>
                <w:sz w:val="13"/>
                <w:szCs w:val="13"/>
                <w:color w:val="auto"/>
              </w:rPr>
              <w:t>South County Business Park,</w:t>
            </w:r>
          </w:p>
        </w:tc>
        <w:tc>
          <w:tcPr>
            <w:tcW w:w="2320" w:type="dxa"/>
            <w:vAlign w:val="bottom"/>
          </w:tcPr>
          <w:p>
            <w:pPr>
              <w:ind w:left="600"/>
              <w:spacing w:after="0" w:line="118" w:lineRule="exact"/>
              <w:rPr>
                <w:sz w:val="20"/>
                <w:szCs w:val="20"/>
                <w:color w:val="auto"/>
              </w:rPr>
            </w:pPr>
            <w:r>
              <w:rPr>
                <w:rFonts w:ascii="Arial" w:cs="Arial" w:eastAsia="Arial" w:hAnsi="Arial"/>
                <w:sz w:val="13"/>
                <w:szCs w:val="13"/>
                <w:color w:val="auto"/>
              </w:rPr>
              <w:t>Clinical research services</w:t>
            </w:r>
          </w:p>
        </w:tc>
        <w:tc>
          <w:tcPr>
            <w:tcW w:w="2360" w:type="dxa"/>
            <w:vAlign w:val="bottom"/>
          </w:tcPr>
          <w:p>
            <w:pPr>
              <w:ind w:left="120"/>
              <w:spacing w:after="0" w:line="118" w:lineRule="exact"/>
              <w:rPr>
                <w:sz w:val="20"/>
                <w:szCs w:val="20"/>
                <w:color w:val="auto"/>
              </w:rPr>
            </w:pPr>
            <w:r>
              <w:rPr>
                <w:rFonts w:ascii="Arial" w:cs="Arial" w:eastAsia="Arial" w:hAnsi="Arial"/>
                <w:sz w:val="13"/>
                <w:szCs w:val="13"/>
                <w:color w:val="auto"/>
              </w:rPr>
              <w:t>100%</w:t>
            </w:r>
          </w:p>
        </w:tc>
      </w:tr>
      <w:tr>
        <w:trPr>
          <w:trHeight w:val="127"/>
        </w:trPr>
        <w:tc>
          <w:tcPr>
            <w:tcW w:w="3880" w:type="dxa"/>
            <w:vAlign w:val="bottom"/>
          </w:tcPr>
          <w:p>
            <w:pPr>
              <w:spacing w:after="0"/>
              <w:rPr>
                <w:sz w:val="11"/>
                <w:szCs w:val="11"/>
                <w:color w:val="auto"/>
              </w:rPr>
            </w:pPr>
          </w:p>
        </w:tc>
        <w:tc>
          <w:tcPr>
            <w:tcW w:w="2700" w:type="dxa"/>
            <w:vAlign w:val="bottom"/>
          </w:tcPr>
          <w:p>
            <w:pPr>
              <w:ind w:left="200"/>
              <w:spacing w:after="0" w:line="128" w:lineRule="exact"/>
              <w:rPr>
                <w:sz w:val="20"/>
                <w:szCs w:val="20"/>
                <w:color w:val="auto"/>
              </w:rPr>
            </w:pPr>
            <w:r>
              <w:rPr>
                <w:rFonts w:ascii="Arial" w:cs="Arial" w:eastAsia="Arial" w:hAnsi="Arial"/>
                <w:sz w:val="13"/>
                <w:szCs w:val="13"/>
                <w:color w:val="auto"/>
              </w:rPr>
              <w:t>Leopardstown,</w:t>
            </w:r>
          </w:p>
        </w:tc>
        <w:tc>
          <w:tcPr>
            <w:tcW w:w="232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127"/>
        </w:trPr>
        <w:tc>
          <w:tcPr>
            <w:tcW w:w="3880" w:type="dxa"/>
            <w:vAlign w:val="bottom"/>
          </w:tcPr>
          <w:p>
            <w:pPr>
              <w:spacing w:after="0"/>
              <w:rPr>
                <w:sz w:val="11"/>
                <w:szCs w:val="11"/>
                <w:color w:val="auto"/>
              </w:rPr>
            </w:pPr>
          </w:p>
        </w:tc>
        <w:tc>
          <w:tcPr>
            <w:tcW w:w="2700" w:type="dxa"/>
            <w:vAlign w:val="bottom"/>
          </w:tcPr>
          <w:p>
            <w:pPr>
              <w:ind w:left="200"/>
              <w:spacing w:after="0" w:line="128" w:lineRule="exact"/>
              <w:rPr>
                <w:sz w:val="20"/>
                <w:szCs w:val="20"/>
                <w:color w:val="auto"/>
              </w:rPr>
            </w:pPr>
            <w:r>
              <w:rPr>
                <w:rFonts w:ascii="Arial" w:cs="Arial" w:eastAsia="Arial" w:hAnsi="Arial"/>
                <w:sz w:val="13"/>
                <w:szCs w:val="13"/>
                <w:color w:val="auto"/>
              </w:rPr>
              <w:t>Dublin 18,</w:t>
            </w:r>
          </w:p>
        </w:tc>
        <w:tc>
          <w:tcPr>
            <w:tcW w:w="232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168"/>
        </w:trPr>
        <w:tc>
          <w:tcPr>
            <w:tcW w:w="3880" w:type="dxa"/>
            <w:vAlign w:val="bottom"/>
          </w:tcPr>
          <w:p>
            <w:pPr>
              <w:spacing w:after="0"/>
              <w:rPr>
                <w:sz w:val="14"/>
                <w:szCs w:val="14"/>
                <w:color w:val="auto"/>
              </w:rPr>
            </w:pPr>
          </w:p>
        </w:tc>
        <w:tc>
          <w:tcPr>
            <w:tcW w:w="2700" w:type="dxa"/>
            <w:vAlign w:val="bottom"/>
          </w:tcPr>
          <w:p>
            <w:pPr>
              <w:ind w:left="200"/>
              <w:spacing w:after="0"/>
              <w:rPr>
                <w:sz w:val="20"/>
                <w:szCs w:val="20"/>
                <w:color w:val="auto"/>
              </w:rPr>
            </w:pPr>
            <w:r>
              <w:rPr>
                <w:rFonts w:ascii="Arial" w:cs="Arial" w:eastAsia="Arial" w:hAnsi="Arial"/>
                <w:sz w:val="13"/>
                <w:szCs w:val="13"/>
                <w:color w:val="auto"/>
              </w:rPr>
              <w:t>Republic of Ireland</w:t>
            </w:r>
          </w:p>
        </w:tc>
        <w:tc>
          <w:tcPr>
            <w:tcW w:w="232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29"/>
        </w:trPr>
        <w:tc>
          <w:tcPr>
            <w:tcW w:w="38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Clinical Global Holdings Unlimited Company</w:t>
            </w:r>
          </w:p>
        </w:tc>
        <w:tc>
          <w:tcPr>
            <w:tcW w:w="270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South County Business Park,</w:t>
            </w:r>
          </w:p>
        </w:tc>
        <w:tc>
          <w:tcPr>
            <w:tcW w:w="2320" w:type="dxa"/>
            <w:vAlign w:val="bottom"/>
            <w:shd w:val="clear" w:color="auto" w:fill="CCEEFF"/>
          </w:tcPr>
          <w:p>
            <w:pPr>
              <w:ind w:left="600"/>
              <w:spacing w:after="0" w:line="129" w:lineRule="exact"/>
              <w:rPr>
                <w:sz w:val="20"/>
                <w:szCs w:val="20"/>
                <w:color w:val="auto"/>
              </w:rPr>
            </w:pPr>
            <w:r>
              <w:rPr>
                <w:rFonts w:ascii="Arial" w:cs="Arial" w:eastAsia="Arial" w:hAnsi="Arial"/>
                <w:sz w:val="13"/>
                <w:szCs w:val="13"/>
                <w:color w:val="auto"/>
              </w:rPr>
              <w:t>Investment holding company</w:t>
            </w:r>
          </w:p>
        </w:tc>
        <w:tc>
          <w:tcPr>
            <w:tcW w:w="2360" w:type="dxa"/>
            <w:vAlign w:val="bottom"/>
            <w:shd w:val="clear" w:color="auto" w:fill="CCEEFF"/>
          </w:tcPr>
          <w:p>
            <w:pPr>
              <w:ind w:left="1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880" w:type="dxa"/>
            <w:vAlign w:val="bottom"/>
            <w:shd w:val="clear" w:color="auto" w:fill="CCEEFF"/>
          </w:tcPr>
          <w:p>
            <w:pPr>
              <w:spacing w:after="0"/>
              <w:rPr>
                <w:sz w:val="11"/>
                <w:szCs w:val="11"/>
                <w:color w:val="auto"/>
              </w:rPr>
            </w:pPr>
          </w:p>
        </w:tc>
        <w:tc>
          <w:tcPr>
            <w:tcW w:w="2700" w:type="dxa"/>
            <w:vAlign w:val="bottom"/>
            <w:shd w:val="clear" w:color="auto" w:fill="CCEEFF"/>
          </w:tcPr>
          <w:p>
            <w:pPr>
              <w:ind w:left="200"/>
              <w:spacing w:after="0" w:line="128" w:lineRule="exact"/>
              <w:rPr>
                <w:sz w:val="20"/>
                <w:szCs w:val="20"/>
                <w:color w:val="auto"/>
              </w:rPr>
            </w:pPr>
            <w:r>
              <w:rPr>
                <w:rFonts w:ascii="Arial" w:cs="Arial" w:eastAsia="Arial" w:hAnsi="Arial"/>
                <w:sz w:val="13"/>
                <w:szCs w:val="13"/>
                <w:color w:val="auto"/>
              </w:rPr>
              <w:t>Leopardstown,</w:t>
            </w:r>
          </w:p>
        </w:tc>
        <w:tc>
          <w:tcPr>
            <w:tcW w:w="232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r>
      <w:tr>
        <w:trPr>
          <w:trHeight w:val="127"/>
        </w:trPr>
        <w:tc>
          <w:tcPr>
            <w:tcW w:w="3880" w:type="dxa"/>
            <w:vAlign w:val="bottom"/>
            <w:shd w:val="clear" w:color="auto" w:fill="CCEEFF"/>
          </w:tcPr>
          <w:p>
            <w:pPr>
              <w:spacing w:after="0"/>
              <w:rPr>
                <w:sz w:val="11"/>
                <w:szCs w:val="11"/>
                <w:color w:val="auto"/>
              </w:rPr>
            </w:pPr>
          </w:p>
        </w:tc>
        <w:tc>
          <w:tcPr>
            <w:tcW w:w="2700" w:type="dxa"/>
            <w:vAlign w:val="bottom"/>
            <w:shd w:val="clear" w:color="auto" w:fill="CCEEFF"/>
          </w:tcPr>
          <w:p>
            <w:pPr>
              <w:ind w:left="200"/>
              <w:spacing w:after="0" w:line="128" w:lineRule="exact"/>
              <w:rPr>
                <w:sz w:val="20"/>
                <w:szCs w:val="20"/>
                <w:color w:val="auto"/>
              </w:rPr>
            </w:pPr>
            <w:r>
              <w:rPr>
                <w:rFonts w:ascii="Arial" w:cs="Arial" w:eastAsia="Arial" w:hAnsi="Arial"/>
                <w:sz w:val="13"/>
                <w:szCs w:val="13"/>
                <w:color w:val="auto"/>
              </w:rPr>
              <w:t>Dublin 18</w:t>
            </w:r>
          </w:p>
        </w:tc>
        <w:tc>
          <w:tcPr>
            <w:tcW w:w="232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r>
      <w:tr>
        <w:trPr>
          <w:trHeight w:val="170"/>
        </w:trPr>
        <w:tc>
          <w:tcPr>
            <w:tcW w:w="3880" w:type="dxa"/>
            <w:vAlign w:val="bottom"/>
            <w:shd w:val="clear" w:color="auto" w:fill="CCEEFF"/>
          </w:tcPr>
          <w:p>
            <w:pPr>
              <w:spacing w:after="0"/>
              <w:rPr>
                <w:sz w:val="14"/>
                <w:szCs w:val="14"/>
                <w:color w:val="auto"/>
              </w:rPr>
            </w:pPr>
          </w:p>
        </w:tc>
        <w:tc>
          <w:tcPr>
            <w:tcW w:w="27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Republic of Ireland</w:t>
            </w:r>
          </w:p>
        </w:tc>
        <w:tc>
          <w:tcPr>
            <w:tcW w:w="232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r>
      <w:tr>
        <w:trPr>
          <w:trHeight w:val="127"/>
        </w:trPr>
        <w:tc>
          <w:tcPr>
            <w:tcW w:w="3880" w:type="dxa"/>
            <w:vAlign w:val="bottom"/>
          </w:tcPr>
          <w:p>
            <w:pPr>
              <w:ind w:left="20"/>
              <w:spacing w:after="0" w:line="128" w:lineRule="exact"/>
              <w:rPr>
                <w:sz w:val="20"/>
                <w:szCs w:val="20"/>
                <w:color w:val="auto"/>
              </w:rPr>
            </w:pPr>
            <w:r>
              <w:rPr>
                <w:rFonts w:ascii="Arial" w:cs="Arial" w:eastAsia="Arial" w:hAnsi="Arial"/>
                <w:sz w:val="13"/>
                <w:szCs w:val="13"/>
                <w:color w:val="auto"/>
              </w:rPr>
              <w:t>ICON Clinical International Unlimited Company</w:t>
            </w:r>
          </w:p>
        </w:tc>
        <w:tc>
          <w:tcPr>
            <w:tcW w:w="2700" w:type="dxa"/>
            <w:vAlign w:val="bottom"/>
          </w:tcPr>
          <w:p>
            <w:pPr>
              <w:ind w:left="200"/>
              <w:spacing w:after="0" w:line="128" w:lineRule="exact"/>
              <w:rPr>
                <w:sz w:val="20"/>
                <w:szCs w:val="20"/>
                <w:color w:val="auto"/>
              </w:rPr>
            </w:pPr>
            <w:r>
              <w:rPr>
                <w:rFonts w:ascii="Arial" w:cs="Arial" w:eastAsia="Arial" w:hAnsi="Arial"/>
                <w:sz w:val="13"/>
                <w:szCs w:val="13"/>
                <w:color w:val="auto"/>
              </w:rPr>
              <w:t>South County Business Park,</w:t>
            </w:r>
          </w:p>
        </w:tc>
        <w:tc>
          <w:tcPr>
            <w:tcW w:w="2320" w:type="dxa"/>
            <w:vAlign w:val="bottom"/>
          </w:tcPr>
          <w:p>
            <w:pPr>
              <w:ind w:left="600"/>
              <w:spacing w:after="0" w:line="128" w:lineRule="exact"/>
              <w:rPr>
                <w:sz w:val="20"/>
                <w:szCs w:val="20"/>
                <w:color w:val="auto"/>
              </w:rPr>
            </w:pPr>
            <w:r>
              <w:rPr>
                <w:rFonts w:ascii="Arial" w:cs="Arial" w:eastAsia="Arial" w:hAnsi="Arial"/>
                <w:sz w:val="13"/>
                <w:szCs w:val="13"/>
                <w:color w:val="auto"/>
              </w:rPr>
              <w:t>Clinical research services</w:t>
            </w:r>
          </w:p>
        </w:tc>
        <w:tc>
          <w:tcPr>
            <w:tcW w:w="2360" w:type="dxa"/>
            <w:vAlign w:val="bottom"/>
          </w:tcPr>
          <w:p>
            <w:pPr>
              <w:ind w:left="1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880" w:type="dxa"/>
            <w:vAlign w:val="bottom"/>
          </w:tcPr>
          <w:p>
            <w:pPr>
              <w:spacing w:after="0"/>
              <w:rPr>
                <w:sz w:val="11"/>
                <w:szCs w:val="11"/>
                <w:color w:val="auto"/>
              </w:rPr>
            </w:pPr>
          </w:p>
        </w:tc>
        <w:tc>
          <w:tcPr>
            <w:tcW w:w="2700" w:type="dxa"/>
            <w:vAlign w:val="bottom"/>
          </w:tcPr>
          <w:p>
            <w:pPr>
              <w:ind w:left="200"/>
              <w:spacing w:after="0" w:line="128" w:lineRule="exact"/>
              <w:rPr>
                <w:sz w:val="20"/>
                <w:szCs w:val="20"/>
                <w:color w:val="auto"/>
              </w:rPr>
            </w:pPr>
            <w:r>
              <w:rPr>
                <w:rFonts w:ascii="Arial" w:cs="Arial" w:eastAsia="Arial" w:hAnsi="Arial"/>
                <w:sz w:val="13"/>
                <w:szCs w:val="13"/>
                <w:color w:val="auto"/>
              </w:rPr>
              <w:t>Leopardstown,</w:t>
            </w:r>
          </w:p>
        </w:tc>
        <w:tc>
          <w:tcPr>
            <w:tcW w:w="232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127"/>
        </w:trPr>
        <w:tc>
          <w:tcPr>
            <w:tcW w:w="3880" w:type="dxa"/>
            <w:vAlign w:val="bottom"/>
          </w:tcPr>
          <w:p>
            <w:pPr>
              <w:spacing w:after="0"/>
              <w:rPr>
                <w:sz w:val="11"/>
                <w:szCs w:val="11"/>
                <w:color w:val="auto"/>
              </w:rPr>
            </w:pPr>
          </w:p>
        </w:tc>
        <w:tc>
          <w:tcPr>
            <w:tcW w:w="2700" w:type="dxa"/>
            <w:vAlign w:val="bottom"/>
          </w:tcPr>
          <w:p>
            <w:pPr>
              <w:ind w:left="200"/>
              <w:spacing w:after="0" w:line="128" w:lineRule="exact"/>
              <w:rPr>
                <w:sz w:val="20"/>
                <w:szCs w:val="20"/>
                <w:color w:val="auto"/>
              </w:rPr>
            </w:pPr>
            <w:r>
              <w:rPr>
                <w:rFonts w:ascii="Arial" w:cs="Arial" w:eastAsia="Arial" w:hAnsi="Arial"/>
                <w:sz w:val="13"/>
                <w:szCs w:val="13"/>
                <w:color w:val="auto"/>
              </w:rPr>
              <w:t>Dublin 18,</w:t>
            </w:r>
          </w:p>
        </w:tc>
        <w:tc>
          <w:tcPr>
            <w:tcW w:w="232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168"/>
        </w:trPr>
        <w:tc>
          <w:tcPr>
            <w:tcW w:w="3880" w:type="dxa"/>
            <w:vAlign w:val="bottom"/>
          </w:tcPr>
          <w:p>
            <w:pPr>
              <w:spacing w:after="0"/>
              <w:rPr>
                <w:sz w:val="14"/>
                <w:szCs w:val="14"/>
                <w:color w:val="auto"/>
              </w:rPr>
            </w:pPr>
          </w:p>
        </w:tc>
        <w:tc>
          <w:tcPr>
            <w:tcW w:w="2700" w:type="dxa"/>
            <w:vAlign w:val="bottom"/>
          </w:tcPr>
          <w:p>
            <w:pPr>
              <w:ind w:left="200"/>
              <w:spacing w:after="0"/>
              <w:rPr>
                <w:sz w:val="20"/>
                <w:szCs w:val="20"/>
                <w:color w:val="auto"/>
              </w:rPr>
            </w:pPr>
            <w:r>
              <w:rPr>
                <w:rFonts w:ascii="Arial" w:cs="Arial" w:eastAsia="Arial" w:hAnsi="Arial"/>
                <w:sz w:val="13"/>
                <w:szCs w:val="13"/>
                <w:color w:val="auto"/>
              </w:rPr>
              <w:t>Republic of Ireland</w:t>
            </w:r>
          </w:p>
        </w:tc>
        <w:tc>
          <w:tcPr>
            <w:tcW w:w="232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29"/>
        </w:trPr>
        <w:tc>
          <w:tcPr>
            <w:tcW w:w="38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Clinical Research Limited</w:t>
            </w:r>
          </w:p>
        </w:tc>
        <w:tc>
          <w:tcPr>
            <w:tcW w:w="270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South County Business Park,</w:t>
            </w:r>
          </w:p>
        </w:tc>
        <w:tc>
          <w:tcPr>
            <w:tcW w:w="2320" w:type="dxa"/>
            <w:vAlign w:val="bottom"/>
            <w:shd w:val="clear" w:color="auto" w:fill="CCEEFF"/>
          </w:tcPr>
          <w:p>
            <w:pPr>
              <w:ind w:left="600"/>
              <w:spacing w:after="0" w:line="129" w:lineRule="exact"/>
              <w:rPr>
                <w:sz w:val="20"/>
                <w:szCs w:val="20"/>
                <w:color w:val="auto"/>
              </w:rPr>
            </w:pPr>
            <w:r>
              <w:rPr>
                <w:rFonts w:ascii="Arial" w:cs="Arial" w:eastAsia="Arial" w:hAnsi="Arial"/>
                <w:sz w:val="13"/>
                <w:szCs w:val="13"/>
                <w:color w:val="auto"/>
              </w:rPr>
              <w:t>Clinical research services</w:t>
            </w:r>
          </w:p>
        </w:tc>
        <w:tc>
          <w:tcPr>
            <w:tcW w:w="2360" w:type="dxa"/>
            <w:vAlign w:val="bottom"/>
            <w:shd w:val="clear" w:color="auto" w:fill="CCEEFF"/>
          </w:tcPr>
          <w:p>
            <w:pPr>
              <w:ind w:left="1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880" w:type="dxa"/>
            <w:vAlign w:val="bottom"/>
            <w:shd w:val="clear" w:color="auto" w:fill="CCEEFF"/>
          </w:tcPr>
          <w:p>
            <w:pPr>
              <w:spacing w:after="0"/>
              <w:rPr>
                <w:sz w:val="11"/>
                <w:szCs w:val="11"/>
                <w:color w:val="auto"/>
              </w:rPr>
            </w:pPr>
          </w:p>
        </w:tc>
        <w:tc>
          <w:tcPr>
            <w:tcW w:w="2700" w:type="dxa"/>
            <w:vAlign w:val="bottom"/>
            <w:shd w:val="clear" w:color="auto" w:fill="CCEEFF"/>
          </w:tcPr>
          <w:p>
            <w:pPr>
              <w:ind w:left="200"/>
              <w:spacing w:after="0" w:line="128" w:lineRule="exact"/>
              <w:rPr>
                <w:sz w:val="20"/>
                <w:szCs w:val="20"/>
                <w:color w:val="auto"/>
              </w:rPr>
            </w:pPr>
            <w:r>
              <w:rPr>
                <w:rFonts w:ascii="Arial" w:cs="Arial" w:eastAsia="Arial" w:hAnsi="Arial"/>
                <w:sz w:val="13"/>
                <w:szCs w:val="13"/>
                <w:color w:val="auto"/>
              </w:rPr>
              <w:t>Leopardstown,</w:t>
            </w:r>
          </w:p>
        </w:tc>
        <w:tc>
          <w:tcPr>
            <w:tcW w:w="232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r>
      <w:tr>
        <w:trPr>
          <w:trHeight w:val="127"/>
        </w:trPr>
        <w:tc>
          <w:tcPr>
            <w:tcW w:w="3880" w:type="dxa"/>
            <w:vAlign w:val="bottom"/>
            <w:shd w:val="clear" w:color="auto" w:fill="CCEEFF"/>
          </w:tcPr>
          <w:p>
            <w:pPr>
              <w:spacing w:after="0"/>
              <w:rPr>
                <w:sz w:val="11"/>
                <w:szCs w:val="11"/>
                <w:color w:val="auto"/>
              </w:rPr>
            </w:pPr>
          </w:p>
        </w:tc>
        <w:tc>
          <w:tcPr>
            <w:tcW w:w="2700" w:type="dxa"/>
            <w:vAlign w:val="bottom"/>
            <w:shd w:val="clear" w:color="auto" w:fill="CCEEFF"/>
          </w:tcPr>
          <w:p>
            <w:pPr>
              <w:ind w:left="200"/>
              <w:spacing w:after="0" w:line="128" w:lineRule="exact"/>
              <w:rPr>
                <w:sz w:val="20"/>
                <w:szCs w:val="20"/>
                <w:color w:val="auto"/>
              </w:rPr>
            </w:pPr>
            <w:r>
              <w:rPr>
                <w:rFonts w:ascii="Arial" w:cs="Arial" w:eastAsia="Arial" w:hAnsi="Arial"/>
                <w:sz w:val="13"/>
                <w:szCs w:val="13"/>
                <w:color w:val="auto"/>
              </w:rPr>
              <w:t>Dublin 18,</w:t>
            </w:r>
          </w:p>
        </w:tc>
        <w:tc>
          <w:tcPr>
            <w:tcW w:w="232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r>
      <w:tr>
        <w:trPr>
          <w:trHeight w:val="170"/>
        </w:trPr>
        <w:tc>
          <w:tcPr>
            <w:tcW w:w="3880" w:type="dxa"/>
            <w:vAlign w:val="bottom"/>
            <w:shd w:val="clear" w:color="auto" w:fill="CCEEFF"/>
          </w:tcPr>
          <w:p>
            <w:pPr>
              <w:spacing w:after="0"/>
              <w:rPr>
                <w:sz w:val="14"/>
                <w:szCs w:val="14"/>
                <w:color w:val="auto"/>
              </w:rPr>
            </w:pPr>
          </w:p>
        </w:tc>
        <w:tc>
          <w:tcPr>
            <w:tcW w:w="27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Republic of Ireland</w:t>
            </w:r>
          </w:p>
        </w:tc>
        <w:tc>
          <w:tcPr>
            <w:tcW w:w="232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r>
      <w:tr>
        <w:trPr>
          <w:trHeight w:val="127"/>
        </w:trPr>
        <w:tc>
          <w:tcPr>
            <w:tcW w:w="3880" w:type="dxa"/>
            <w:vAlign w:val="bottom"/>
          </w:tcPr>
          <w:p>
            <w:pPr>
              <w:ind w:left="20"/>
              <w:spacing w:after="0" w:line="128" w:lineRule="exact"/>
              <w:rPr>
                <w:sz w:val="20"/>
                <w:szCs w:val="20"/>
                <w:color w:val="auto"/>
              </w:rPr>
            </w:pPr>
            <w:r>
              <w:rPr>
                <w:rFonts w:ascii="Arial" w:cs="Arial" w:eastAsia="Arial" w:hAnsi="Arial"/>
                <w:sz w:val="13"/>
                <w:szCs w:val="13"/>
                <w:color w:val="auto"/>
              </w:rPr>
              <w:t>ICON Clinical Research Property Development (Ireland) Limited</w:t>
            </w:r>
          </w:p>
        </w:tc>
        <w:tc>
          <w:tcPr>
            <w:tcW w:w="2700" w:type="dxa"/>
            <w:vAlign w:val="bottom"/>
          </w:tcPr>
          <w:p>
            <w:pPr>
              <w:ind w:left="200"/>
              <w:spacing w:after="0" w:line="128" w:lineRule="exact"/>
              <w:rPr>
                <w:sz w:val="20"/>
                <w:szCs w:val="20"/>
                <w:color w:val="auto"/>
              </w:rPr>
            </w:pPr>
            <w:r>
              <w:rPr>
                <w:rFonts w:ascii="Arial" w:cs="Arial" w:eastAsia="Arial" w:hAnsi="Arial"/>
                <w:sz w:val="13"/>
                <w:szCs w:val="13"/>
                <w:color w:val="auto"/>
              </w:rPr>
              <w:t>South County Business Park,</w:t>
            </w:r>
          </w:p>
        </w:tc>
        <w:tc>
          <w:tcPr>
            <w:tcW w:w="4680" w:type="dxa"/>
            <w:vAlign w:val="bottom"/>
            <w:gridSpan w:val="2"/>
          </w:tcPr>
          <w:p>
            <w:pPr>
              <w:ind w:left="600"/>
              <w:spacing w:after="0" w:line="128" w:lineRule="exact"/>
              <w:rPr>
                <w:sz w:val="20"/>
                <w:szCs w:val="20"/>
                <w:color w:val="auto"/>
              </w:rPr>
            </w:pPr>
            <w:r>
              <w:rPr>
                <w:rFonts w:ascii="Arial" w:cs="Arial" w:eastAsia="Arial" w:hAnsi="Arial"/>
                <w:sz w:val="13"/>
                <w:szCs w:val="13"/>
                <w:color w:val="auto"/>
              </w:rPr>
              <w:t>Property management company 100%*</w:t>
            </w:r>
          </w:p>
        </w:tc>
      </w:tr>
      <w:tr>
        <w:trPr>
          <w:trHeight w:val="127"/>
        </w:trPr>
        <w:tc>
          <w:tcPr>
            <w:tcW w:w="3880" w:type="dxa"/>
            <w:vAlign w:val="bottom"/>
          </w:tcPr>
          <w:p>
            <w:pPr>
              <w:spacing w:after="0"/>
              <w:rPr>
                <w:sz w:val="11"/>
                <w:szCs w:val="11"/>
                <w:color w:val="auto"/>
              </w:rPr>
            </w:pPr>
          </w:p>
        </w:tc>
        <w:tc>
          <w:tcPr>
            <w:tcW w:w="2700" w:type="dxa"/>
            <w:vAlign w:val="bottom"/>
          </w:tcPr>
          <w:p>
            <w:pPr>
              <w:ind w:left="200"/>
              <w:spacing w:after="0" w:line="128" w:lineRule="exact"/>
              <w:rPr>
                <w:sz w:val="20"/>
                <w:szCs w:val="20"/>
                <w:color w:val="auto"/>
              </w:rPr>
            </w:pPr>
            <w:r>
              <w:rPr>
                <w:rFonts w:ascii="Arial" w:cs="Arial" w:eastAsia="Arial" w:hAnsi="Arial"/>
                <w:sz w:val="13"/>
                <w:szCs w:val="13"/>
                <w:color w:val="auto"/>
              </w:rPr>
              <w:t>Leopardstown,</w:t>
            </w:r>
          </w:p>
        </w:tc>
        <w:tc>
          <w:tcPr>
            <w:tcW w:w="232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127"/>
        </w:trPr>
        <w:tc>
          <w:tcPr>
            <w:tcW w:w="3880" w:type="dxa"/>
            <w:vAlign w:val="bottom"/>
          </w:tcPr>
          <w:p>
            <w:pPr>
              <w:spacing w:after="0"/>
              <w:rPr>
                <w:sz w:val="11"/>
                <w:szCs w:val="11"/>
                <w:color w:val="auto"/>
              </w:rPr>
            </w:pPr>
          </w:p>
        </w:tc>
        <w:tc>
          <w:tcPr>
            <w:tcW w:w="2700" w:type="dxa"/>
            <w:vAlign w:val="bottom"/>
          </w:tcPr>
          <w:p>
            <w:pPr>
              <w:ind w:left="200"/>
              <w:spacing w:after="0" w:line="128" w:lineRule="exact"/>
              <w:rPr>
                <w:sz w:val="20"/>
                <w:szCs w:val="20"/>
                <w:color w:val="auto"/>
              </w:rPr>
            </w:pPr>
            <w:r>
              <w:rPr>
                <w:rFonts w:ascii="Arial" w:cs="Arial" w:eastAsia="Arial" w:hAnsi="Arial"/>
                <w:sz w:val="13"/>
                <w:szCs w:val="13"/>
                <w:color w:val="auto"/>
              </w:rPr>
              <w:t>Dublin 18,</w:t>
            </w:r>
          </w:p>
        </w:tc>
        <w:tc>
          <w:tcPr>
            <w:tcW w:w="232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168"/>
        </w:trPr>
        <w:tc>
          <w:tcPr>
            <w:tcW w:w="3880" w:type="dxa"/>
            <w:vAlign w:val="bottom"/>
          </w:tcPr>
          <w:p>
            <w:pPr>
              <w:spacing w:after="0"/>
              <w:rPr>
                <w:sz w:val="14"/>
                <w:szCs w:val="14"/>
                <w:color w:val="auto"/>
              </w:rPr>
            </w:pPr>
          </w:p>
        </w:tc>
        <w:tc>
          <w:tcPr>
            <w:tcW w:w="2700" w:type="dxa"/>
            <w:vAlign w:val="bottom"/>
          </w:tcPr>
          <w:p>
            <w:pPr>
              <w:ind w:left="200"/>
              <w:spacing w:after="0"/>
              <w:rPr>
                <w:sz w:val="20"/>
                <w:szCs w:val="20"/>
                <w:color w:val="auto"/>
              </w:rPr>
            </w:pPr>
            <w:r>
              <w:rPr>
                <w:rFonts w:ascii="Arial" w:cs="Arial" w:eastAsia="Arial" w:hAnsi="Arial"/>
                <w:sz w:val="13"/>
                <w:szCs w:val="13"/>
                <w:color w:val="auto"/>
              </w:rPr>
              <w:t>Republic of Ireland</w:t>
            </w:r>
          </w:p>
        </w:tc>
        <w:tc>
          <w:tcPr>
            <w:tcW w:w="232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29"/>
        </w:trPr>
        <w:tc>
          <w:tcPr>
            <w:tcW w:w="38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Clinical Research Property Holdings (Ireland) Limited</w:t>
            </w:r>
          </w:p>
        </w:tc>
        <w:tc>
          <w:tcPr>
            <w:tcW w:w="270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South County Business Park,</w:t>
            </w:r>
          </w:p>
        </w:tc>
        <w:tc>
          <w:tcPr>
            <w:tcW w:w="4680" w:type="dxa"/>
            <w:vAlign w:val="bottom"/>
            <w:gridSpan w:val="2"/>
            <w:shd w:val="clear" w:color="auto" w:fill="CCEEFF"/>
          </w:tcPr>
          <w:p>
            <w:pPr>
              <w:ind w:left="600"/>
              <w:spacing w:after="0" w:line="129" w:lineRule="exact"/>
              <w:rPr>
                <w:sz w:val="20"/>
                <w:szCs w:val="20"/>
                <w:color w:val="auto"/>
              </w:rPr>
            </w:pPr>
            <w:r>
              <w:rPr>
                <w:rFonts w:ascii="Arial" w:cs="Arial" w:eastAsia="Arial" w:hAnsi="Arial"/>
                <w:sz w:val="13"/>
                <w:szCs w:val="13"/>
                <w:color w:val="auto"/>
              </w:rPr>
              <w:t>Property management company 100%</w:t>
            </w:r>
          </w:p>
        </w:tc>
      </w:tr>
      <w:tr>
        <w:trPr>
          <w:trHeight w:val="127"/>
        </w:trPr>
        <w:tc>
          <w:tcPr>
            <w:tcW w:w="3880" w:type="dxa"/>
            <w:vAlign w:val="bottom"/>
            <w:shd w:val="clear" w:color="auto" w:fill="CCEEFF"/>
          </w:tcPr>
          <w:p>
            <w:pPr>
              <w:spacing w:after="0"/>
              <w:rPr>
                <w:sz w:val="11"/>
                <w:szCs w:val="11"/>
                <w:color w:val="auto"/>
              </w:rPr>
            </w:pPr>
          </w:p>
        </w:tc>
        <w:tc>
          <w:tcPr>
            <w:tcW w:w="2700" w:type="dxa"/>
            <w:vAlign w:val="bottom"/>
            <w:shd w:val="clear" w:color="auto" w:fill="CCEEFF"/>
          </w:tcPr>
          <w:p>
            <w:pPr>
              <w:ind w:left="200"/>
              <w:spacing w:after="0" w:line="128" w:lineRule="exact"/>
              <w:rPr>
                <w:sz w:val="20"/>
                <w:szCs w:val="20"/>
                <w:color w:val="auto"/>
              </w:rPr>
            </w:pPr>
            <w:r>
              <w:rPr>
                <w:rFonts w:ascii="Arial" w:cs="Arial" w:eastAsia="Arial" w:hAnsi="Arial"/>
                <w:sz w:val="13"/>
                <w:szCs w:val="13"/>
                <w:color w:val="auto"/>
              </w:rPr>
              <w:t>Leopardstown,</w:t>
            </w:r>
          </w:p>
        </w:tc>
        <w:tc>
          <w:tcPr>
            <w:tcW w:w="232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r>
      <w:tr>
        <w:trPr>
          <w:trHeight w:val="127"/>
        </w:trPr>
        <w:tc>
          <w:tcPr>
            <w:tcW w:w="3880" w:type="dxa"/>
            <w:vAlign w:val="bottom"/>
            <w:shd w:val="clear" w:color="auto" w:fill="CCEEFF"/>
          </w:tcPr>
          <w:p>
            <w:pPr>
              <w:spacing w:after="0"/>
              <w:rPr>
                <w:sz w:val="11"/>
                <w:szCs w:val="11"/>
                <w:color w:val="auto"/>
              </w:rPr>
            </w:pPr>
          </w:p>
        </w:tc>
        <w:tc>
          <w:tcPr>
            <w:tcW w:w="2700" w:type="dxa"/>
            <w:vAlign w:val="bottom"/>
            <w:shd w:val="clear" w:color="auto" w:fill="CCEEFF"/>
          </w:tcPr>
          <w:p>
            <w:pPr>
              <w:ind w:left="200"/>
              <w:spacing w:after="0" w:line="128" w:lineRule="exact"/>
              <w:rPr>
                <w:sz w:val="20"/>
                <w:szCs w:val="20"/>
                <w:color w:val="auto"/>
              </w:rPr>
            </w:pPr>
            <w:r>
              <w:rPr>
                <w:rFonts w:ascii="Arial" w:cs="Arial" w:eastAsia="Arial" w:hAnsi="Arial"/>
                <w:sz w:val="13"/>
                <w:szCs w:val="13"/>
                <w:color w:val="auto"/>
              </w:rPr>
              <w:t>Dublin 18,</w:t>
            </w:r>
          </w:p>
        </w:tc>
        <w:tc>
          <w:tcPr>
            <w:tcW w:w="232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r>
      <w:tr>
        <w:trPr>
          <w:trHeight w:val="170"/>
        </w:trPr>
        <w:tc>
          <w:tcPr>
            <w:tcW w:w="3880" w:type="dxa"/>
            <w:vAlign w:val="bottom"/>
            <w:shd w:val="clear" w:color="auto" w:fill="CCEEFF"/>
          </w:tcPr>
          <w:p>
            <w:pPr>
              <w:spacing w:after="0"/>
              <w:rPr>
                <w:sz w:val="14"/>
                <w:szCs w:val="14"/>
                <w:color w:val="auto"/>
              </w:rPr>
            </w:pPr>
          </w:p>
        </w:tc>
        <w:tc>
          <w:tcPr>
            <w:tcW w:w="27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Republic of Ireland</w:t>
            </w:r>
          </w:p>
        </w:tc>
        <w:tc>
          <w:tcPr>
            <w:tcW w:w="232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r>
      <w:tr>
        <w:trPr>
          <w:trHeight w:val="127"/>
        </w:trPr>
        <w:tc>
          <w:tcPr>
            <w:tcW w:w="3880" w:type="dxa"/>
            <w:vAlign w:val="bottom"/>
          </w:tcPr>
          <w:p>
            <w:pPr>
              <w:ind w:left="20"/>
              <w:spacing w:after="0" w:line="128" w:lineRule="exact"/>
              <w:rPr>
                <w:sz w:val="20"/>
                <w:szCs w:val="20"/>
                <w:color w:val="auto"/>
              </w:rPr>
            </w:pPr>
            <w:r>
              <w:rPr>
                <w:rFonts w:ascii="Arial" w:cs="Arial" w:eastAsia="Arial" w:hAnsi="Arial"/>
                <w:sz w:val="13"/>
                <w:szCs w:val="13"/>
                <w:color w:val="auto"/>
              </w:rPr>
              <w:t>ICON Holdings Clinical Research International Limited</w:t>
            </w:r>
          </w:p>
        </w:tc>
        <w:tc>
          <w:tcPr>
            <w:tcW w:w="2700" w:type="dxa"/>
            <w:vAlign w:val="bottom"/>
          </w:tcPr>
          <w:p>
            <w:pPr>
              <w:ind w:left="200"/>
              <w:spacing w:after="0" w:line="128" w:lineRule="exact"/>
              <w:rPr>
                <w:sz w:val="20"/>
                <w:szCs w:val="20"/>
                <w:color w:val="auto"/>
              </w:rPr>
            </w:pPr>
            <w:r>
              <w:rPr>
                <w:rFonts w:ascii="Arial" w:cs="Arial" w:eastAsia="Arial" w:hAnsi="Arial"/>
                <w:sz w:val="13"/>
                <w:szCs w:val="13"/>
                <w:color w:val="auto"/>
              </w:rPr>
              <w:t>South County Business Park,</w:t>
            </w:r>
          </w:p>
        </w:tc>
        <w:tc>
          <w:tcPr>
            <w:tcW w:w="2320" w:type="dxa"/>
            <w:vAlign w:val="bottom"/>
          </w:tcPr>
          <w:p>
            <w:pPr>
              <w:ind w:left="600"/>
              <w:spacing w:after="0" w:line="128" w:lineRule="exact"/>
              <w:rPr>
                <w:sz w:val="20"/>
                <w:szCs w:val="20"/>
                <w:color w:val="auto"/>
              </w:rPr>
            </w:pPr>
            <w:r>
              <w:rPr>
                <w:rFonts w:ascii="Arial" w:cs="Arial" w:eastAsia="Arial" w:hAnsi="Arial"/>
                <w:sz w:val="13"/>
                <w:szCs w:val="13"/>
                <w:color w:val="auto"/>
              </w:rPr>
              <w:t>Investment holding company</w:t>
            </w:r>
          </w:p>
        </w:tc>
        <w:tc>
          <w:tcPr>
            <w:tcW w:w="2360" w:type="dxa"/>
            <w:vAlign w:val="bottom"/>
          </w:tcPr>
          <w:p>
            <w:pPr>
              <w:ind w:left="1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880" w:type="dxa"/>
            <w:vAlign w:val="bottom"/>
          </w:tcPr>
          <w:p>
            <w:pPr>
              <w:spacing w:after="0"/>
              <w:rPr>
                <w:sz w:val="11"/>
                <w:szCs w:val="11"/>
                <w:color w:val="auto"/>
              </w:rPr>
            </w:pPr>
          </w:p>
        </w:tc>
        <w:tc>
          <w:tcPr>
            <w:tcW w:w="2700" w:type="dxa"/>
            <w:vAlign w:val="bottom"/>
          </w:tcPr>
          <w:p>
            <w:pPr>
              <w:ind w:left="200"/>
              <w:spacing w:after="0" w:line="128" w:lineRule="exact"/>
              <w:rPr>
                <w:sz w:val="20"/>
                <w:szCs w:val="20"/>
                <w:color w:val="auto"/>
              </w:rPr>
            </w:pPr>
            <w:r>
              <w:rPr>
                <w:rFonts w:ascii="Arial" w:cs="Arial" w:eastAsia="Arial" w:hAnsi="Arial"/>
                <w:sz w:val="13"/>
                <w:szCs w:val="13"/>
                <w:color w:val="auto"/>
              </w:rPr>
              <w:t>Leopardstown,</w:t>
            </w:r>
          </w:p>
        </w:tc>
        <w:tc>
          <w:tcPr>
            <w:tcW w:w="232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127"/>
        </w:trPr>
        <w:tc>
          <w:tcPr>
            <w:tcW w:w="3880" w:type="dxa"/>
            <w:vAlign w:val="bottom"/>
          </w:tcPr>
          <w:p>
            <w:pPr>
              <w:spacing w:after="0"/>
              <w:rPr>
                <w:sz w:val="11"/>
                <w:szCs w:val="11"/>
                <w:color w:val="auto"/>
              </w:rPr>
            </w:pPr>
          </w:p>
        </w:tc>
        <w:tc>
          <w:tcPr>
            <w:tcW w:w="2700" w:type="dxa"/>
            <w:vAlign w:val="bottom"/>
          </w:tcPr>
          <w:p>
            <w:pPr>
              <w:ind w:left="200"/>
              <w:spacing w:after="0" w:line="128" w:lineRule="exact"/>
              <w:rPr>
                <w:sz w:val="20"/>
                <w:szCs w:val="20"/>
                <w:color w:val="auto"/>
              </w:rPr>
            </w:pPr>
            <w:r>
              <w:rPr>
                <w:rFonts w:ascii="Arial" w:cs="Arial" w:eastAsia="Arial" w:hAnsi="Arial"/>
                <w:sz w:val="13"/>
                <w:szCs w:val="13"/>
                <w:color w:val="auto"/>
              </w:rPr>
              <w:t>Dublin 18,</w:t>
            </w:r>
          </w:p>
        </w:tc>
        <w:tc>
          <w:tcPr>
            <w:tcW w:w="232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168"/>
        </w:trPr>
        <w:tc>
          <w:tcPr>
            <w:tcW w:w="3880" w:type="dxa"/>
            <w:vAlign w:val="bottom"/>
          </w:tcPr>
          <w:p>
            <w:pPr>
              <w:spacing w:after="0"/>
              <w:rPr>
                <w:sz w:val="14"/>
                <w:szCs w:val="14"/>
                <w:color w:val="auto"/>
              </w:rPr>
            </w:pPr>
          </w:p>
        </w:tc>
        <w:tc>
          <w:tcPr>
            <w:tcW w:w="2700" w:type="dxa"/>
            <w:vAlign w:val="bottom"/>
          </w:tcPr>
          <w:p>
            <w:pPr>
              <w:ind w:left="200"/>
              <w:spacing w:after="0"/>
              <w:rPr>
                <w:sz w:val="20"/>
                <w:szCs w:val="20"/>
                <w:color w:val="auto"/>
              </w:rPr>
            </w:pPr>
            <w:r>
              <w:rPr>
                <w:rFonts w:ascii="Arial" w:cs="Arial" w:eastAsia="Arial" w:hAnsi="Arial"/>
                <w:sz w:val="13"/>
                <w:szCs w:val="13"/>
                <w:color w:val="auto"/>
              </w:rPr>
              <w:t>Republic of Ireland</w:t>
            </w:r>
          </w:p>
        </w:tc>
        <w:tc>
          <w:tcPr>
            <w:tcW w:w="232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29"/>
        </w:trPr>
        <w:tc>
          <w:tcPr>
            <w:tcW w:w="38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Holdings Unlimited Company</w:t>
            </w:r>
          </w:p>
        </w:tc>
        <w:tc>
          <w:tcPr>
            <w:tcW w:w="270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South County Business Park,</w:t>
            </w:r>
          </w:p>
        </w:tc>
        <w:tc>
          <w:tcPr>
            <w:tcW w:w="2320" w:type="dxa"/>
            <w:vAlign w:val="bottom"/>
            <w:shd w:val="clear" w:color="auto" w:fill="CCEEFF"/>
          </w:tcPr>
          <w:p>
            <w:pPr>
              <w:ind w:left="600"/>
              <w:spacing w:after="0" w:line="129" w:lineRule="exact"/>
              <w:rPr>
                <w:sz w:val="20"/>
                <w:szCs w:val="20"/>
                <w:color w:val="auto"/>
              </w:rPr>
            </w:pPr>
            <w:r>
              <w:rPr>
                <w:rFonts w:ascii="Arial" w:cs="Arial" w:eastAsia="Arial" w:hAnsi="Arial"/>
                <w:sz w:val="13"/>
                <w:szCs w:val="13"/>
                <w:color w:val="auto"/>
              </w:rPr>
              <w:t>Investment holding company</w:t>
            </w:r>
          </w:p>
        </w:tc>
        <w:tc>
          <w:tcPr>
            <w:tcW w:w="2360" w:type="dxa"/>
            <w:vAlign w:val="bottom"/>
            <w:shd w:val="clear" w:color="auto" w:fill="CCEEFF"/>
          </w:tcPr>
          <w:p>
            <w:pPr>
              <w:ind w:left="1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880" w:type="dxa"/>
            <w:vAlign w:val="bottom"/>
            <w:shd w:val="clear" w:color="auto" w:fill="CCEEFF"/>
          </w:tcPr>
          <w:p>
            <w:pPr>
              <w:spacing w:after="0"/>
              <w:rPr>
                <w:sz w:val="11"/>
                <w:szCs w:val="11"/>
                <w:color w:val="auto"/>
              </w:rPr>
            </w:pPr>
          </w:p>
        </w:tc>
        <w:tc>
          <w:tcPr>
            <w:tcW w:w="2700" w:type="dxa"/>
            <w:vAlign w:val="bottom"/>
            <w:shd w:val="clear" w:color="auto" w:fill="CCEEFF"/>
          </w:tcPr>
          <w:p>
            <w:pPr>
              <w:ind w:left="200"/>
              <w:spacing w:after="0" w:line="128" w:lineRule="exact"/>
              <w:rPr>
                <w:sz w:val="20"/>
                <w:szCs w:val="20"/>
                <w:color w:val="auto"/>
              </w:rPr>
            </w:pPr>
            <w:r>
              <w:rPr>
                <w:rFonts w:ascii="Arial" w:cs="Arial" w:eastAsia="Arial" w:hAnsi="Arial"/>
                <w:sz w:val="13"/>
                <w:szCs w:val="13"/>
                <w:color w:val="auto"/>
              </w:rPr>
              <w:t>Leopardstown,</w:t>
            </w:r>
          </w:p>
        </w:tc>
        <w:tc>
          <w:tcPr>
            <w:tcW w:w="232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r>
      <w:tr>
        <w:trPr>
          <w:trHeight w:val="127"/>
        </w:trPr>
        <w:tc>
          <w:tcPr>
            <w:tcW w:w="3880" w:type="dxa"/>
            <w:vAlign w:val="bottom"/>
            <w:shd w:val="clear" w:color="auto" w:fill="CCEEFF"/>
          </w:tcPr>
          <w:p>
            <w:pPr>
              <w:spacing w:after="0"/>
              <w:rPr>
                <w:sz w:val="11"/>
                <w:szCs w:val="11"/>
                <w:color w:val="auto"/>
              </w:rPr>
            </w:pPr>
          </w:p>
        </w:tc>
        <w:tc>
          <w:tcPr>
            <w:tcW w:w="2700" w:type="dxa"/>
            <w:vAlign w:val="bottom"/>
            <w:shd w:val="clear" w:color="auto" w:fill="CCEEFF"/>
          </w:tcPr>
          <w:p>
            <w:pPr>
              <w:ind w:left="200"/>
              <w:spacing w:after="0" w:line="128" w:lineRule="exact"/>
              <w:rPr>
                <w:sz w:val="20"/>
                <w:szCs w:val="20"/>
                <w:color w:val="auto"/>
              </w:rPr>
            </w:pPr>
            <w:r>
              <w:rPr>
                <w:rFonts w:ascii="Arial" w:cs="Arial" w:eastAsia="Arial" w:hAnsi="Arial"/>
                <w:sz w:val="13"/>
                <w:szCs w:val="13"/>
                <w:color w:val="auto"/>
              </w:rPr>
              <w:t>Dublin 18,</w:t>
            </w:r>
          </w:p>
        </w:tc>
        <w:tc>
          <w:tcPr>
            <w:tcW w:w="232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r>
      <w:tr>
        <w:trPr>
          <w:trHeight w:val="170"/>
        </w:trPr>
        <w:tc>
          <w:tcPr>
            <w:tcW w:w="3880" w:type="dxa"/>
            <w:vAlign w:val="bottom"/>
            <w:shd w:val="clear" w:color="auto" w:fill="CCEEFF"/>
          </w:tcPr>
          <w:p>
            <w:pPr>
              <w:spacing w:after="0"/>
              <w:rPr>
                <w:sz w:val="14"/>
                <w:szCs w:val="14"/>
                <w:color w:val="auto"/>
              </w:rPr>
            </w:pPr>
          </w:p>
        </w:tc>
        <w:tc>
          <w:tcPr>
            <w:tcW w:w="27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Republic of Ireland</w:t>
            </w:r>
          </w:p>
        </w:tc>
        <w:tc>
          <w:tcPr>
            <w:tcW w:w="232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r>
      <w:tr>
        <w:trPr>
          <w:trHeight w:val="127"/>
        </w:trPr>
        <w:tc>
          <w:tcPr>
            <w:tcW w:w="3880" w:type="dxa"/>
            <w:vAlign w:val="bottom"/>
          </w:tcPr>
          <w:p>
            <w:pPr>
              <w:ind w:left="20"/>
              <w:spacing w:after="0" w:line="128" w:lineRule="exact"/>
              <w:rPr>
                <w:sz w:val="20"/>
                <w:szCs w:val="20"/>
                <w:color w:val="auto"/>
              </w:rPr>
            </w:pPr>
            <w:r>
              <w:rPr>
                <w:rFonts w:ascii="Arial" w:cs="Arial" w:eastAsia="Arial" w:hAnsi="Arial"/>
                <w:sz w:val="13"/>
                <w:szCs w:val="13"/>
                <w:color w:val="auto"/>
              </w:rPr>
              <w:t>ICON Investments Five Unlimited Company</w:t>
            </w:r>
          </w:p>
        </w:tc>
        <w:tc>
          <w:tcPr>
            <w:tcW w:w="2700" w:type="dxa"/>
            <w:vAlign w:val="bottom"/>
          </w:tcPr>
          <w:p>
            <w:pPr>
              <w:ind w:left="200"/>
              <w:spacing w:after="0" w:line="128" w:lineRule="exact"/>
              <w:rPr>
                <w:sz w:val="20"/>
                <w:szCs w:val="20"/>
                <w:color w:val="auto"/>
              </w:rPr>
            </w:pPr>
            <w:r>
              <w:rPr>
                <w:rFonts w:ascii="Arial" w:cs="Arial" w:eastAsia="Arial" w:hAnsi="Arial"/>
                <w:sz w:val="13"/>
                <w:szCs w:val="13"/>
                <w:color w:val="auto"/>
              </w:rPr>
              <w:t>South County Business Park,</w:t>
            </w:r>
          </w:p>
        </w:tc>
        <w:tc>
          <w:tcPr>
            <w:tcW w:w="2320" w:type="dxa"/>
            <w:vAlign w:val="bottom"/>
          </w:tcPr>
          <w:p>
            <w:pPr>
              <w:ind w:left="600"/>
              <w:spacing w:after="0" w:line="128" w:lineRule="exact"/>
              <w:rPr>
                <w:sz w:val="20"/>
                <w:szCs w:val="20"/>
                <w:color w:val="auto"/>
              </w:rPr>
            </w:pPr>
            <w:r>
              <w:rPr>
                <w:rFonts w:ascii="Arial" w:cs="Arial" w:eastAsia="Arial" w:hAnsi="Arial"/>
                <w:sz w:val="13"/>
                <w:szCs w:val="13"/>
                <w:color w:val="auto"/>
              </w:rPr>
              <w:t>Investment holding and</w:t>
            </w:r>
          </w:p>
        </w:tc>
        <w:tc>
          <w:tcPr>
            <w:tcW w:w="2360" w:type="dxa"/>
            <w:vAlign w:val="bottom"/>
          </w:tcPr>
          <w:p>
            <w:pPr>
              <w:ind w:left="1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880" w:type="dxa"/>
            <w:vAlign w:val="bottom"/>
          </w:tcPr>
          <w:p>
            <w:pPr>
              <w:spacing w:after="0"/>
              <w:rPr>
                <w:sz w:val="11"/>
                <w:szCs w:val="11"/>
                <w:color w:val="auto"/>
              </w:rPr>
            </w:pPr>
          </w:p>
        </w:tc>
        <w:tc>
          <w:tcPr>
            <w:tcW w:w="2700" w:type="dxa"/>
            <w:vAlign w:val="bottom"/>
          </w:tcPr>
          <w:p>
            <w:pPr>
              <w:ind w:left="200"/>
              <w:spacing w:after="0" w:line="128" w:lineRule="exact"/>
              <w:rPr>
                <w:sz w:val="20"/>
                <w:szCs w:val="20"/>
                <w:color w:val="auto"/>
              </w:rPr>
            </w:pPr>
            <w:r>
              <w:rPr>
                <w:rFonts w:ascii="Arial" w:cs="Arial" w:eastAsia="Arial" w:hAnsi="Arial"/>
                <w:sz w:val="13"/>
                <w:szCs w:val="13"/>
                <w:color w:val="auto"/>
              </w:rPr>
              <w:t>Leopardstown,</w:t>
            </w:r>
          </w:p>
        </w:tc>
        <w:tc>
          <w:tcPr>
            <w:tcW w:w="2320" w:type="dxa"/>
            <w:vAlign w:val="bottom"/>
          </w:tcPr>
          <w:p>
            <w:pPr>
              <w:ind w:left="600"/>
              <w:spacing w:after="0" w:line="128" w:lineRule="exact"/>
              <w:rPr>
                <w:sz w:val="20"/>
                <w:szCs w:val="20"/>
                <w:color w:val="auto"/>
              </w:rPr>
            </w:pPr>
            <w:r>
              <w:rPr>
                <w:rFonts w:ascii="Arial" w:cs="Arial" w:eastAsia="Arial" w:hAnsi="Arial"/>
                <w:sz w:val="13"/>
                <w:szCs w:val="13"/>
                <w:color w:val="auto"/>
              </w:rPr>
              <w:t>financing company</w:t>
            </w:r>
          </w:p>
        </w:tc>
        <w:tc>
          <w:tcPr>
            <w:tcW w:w="2360" w:type="dxa"/>
            <w:vAlign w:val="bottom"/>
          </w:tcPr>
          <w:p>
            <w:pPr>
              <w:spacing w:after="0"/>
              <w:rPr>
                <w:sz w:val="11"/>
                <w:szCs w:val="11"/>
                <w:color w:val="auto"/>
              </w:rPr>
            </w:pPr>
          </w:p>
        </w:tc>
      </w:tr>
      <w:tr>
        <w:trPr>
          <w:trHeight w:val="127"/>
        </w:trPr>
        <w:tc>
          <w:tcPr>
            <w:tcW w:w="3880" w:type="dxa"/>
            <w:vAlign w:val="bottom"/>
          </w:tcPr>
          <w:p>
            <w:pPr>
              <w:spacing w:after="0"/>
              <w:rPr>
                <w:sz w:val="11"/>
                <w:szCs w:val="11"/>
                <w:color w:val="auto"/>
              </w:rPr>
            </w:pPr>
          </w:p>
        </w:tc>
        <w:tc>
          <w:tcPr>
            <w:tcW w:w="2700" w:type="dxa"/>
            <w:vAlign w:val="bottom"/>
          </w:tcPr>
          <w:p>
            <w:pPr>
              <w:ind w:left="200"/>
              <w:spacing w:after="0" w:line="128" w:lineRule="exact"/>
              <w:rPr>
                <w:sz w:val="20"/>
                <w:szCs w:val="20"/>
                <w:color w:val="auto"/>
              </w:rPr>
            </w:pPr>
            <w:r>
              <w:rPr>
                <w:rFonts w:ascii="Arial" w:cs="Arial" w:eastAsia="Arial" w:hAnsi="Arial"/>
                <w:sz w:val="13"/>
                <w:szCs w:val="13"/>
                <w:color w:val="auto"/>
              </w:rPr>
              <w:t>Dublin 18,</w:t>
            </w:r>
          </w:p>
        </w:tc>
        <w:tc>
          <w:tcPr>
            <w:tcW w:w="232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168"/>
        </w:trPr>
        <w:tc>
          <w:tcPr>
            <w:tcW w:w="3880" w:type="dxa"/>
            <w:vAlign w:val="bottom"/>
          </w:tcPr>
          <w:p>
            <w:pPr>
              <w:spacing w:after="0"/>
              <w:rPr>
                <w:sz w:val="14"/>
                <w:szCs w:val="14"/>
                <w:color w:val="auto"/>
              </w:rPr>
            </w:pPr>
          </w:p>
        </w:tc>
        <w:tc>
          <w:tcPr>
            <w:tcW w:w="2700" w:type="dxa"/>
            <w:vAlign w:val="bottom"/>
          </w:tcPr>
          <w:p>
            <w:pPr>
              <w:ind w:left="200"/>
              <w:spacing w:after="0"/>
              <w:rPr>
                <w:sz w:val="20"/>
                <w:szCs w:val="20"/>
                <w:color w:val="auto"/>
              </w:rPr>
            </w:pPr>
            <w:r>
              <w:rPr>
                <w:rFonts w:ascii="Arial" w:cs="Arial" w:eastAsia="Arial" w:hAnsi="Arial"/>
                <w:sz w:val="13"/>
                <w:szCs w:val="13"/>
                <w:color w:val="auto"/>
              </w:rPr>
              <w:t>Republic of Ireland</w:t>
            </w:r>
          </w:p>
        </w:tc>
        <w:tc>
          <w:tcPr>
            <w:tcW w:w="232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29"/>
        </w:trPr>
        <w:tc>
          <w:tcPr>
            <w:tcW w:w="38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Investments Four Unlimited Company</w:t>
            </w:r>
          </w:p>
        </w:tc>
        <w:tc>
          <w:tcPr>
            <w:tcW w:w="270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South County Business Park,</w:t>
            </w:r>
          </w:p>
        </w:tc>
        <w:tc>
          <w:tcPr>
            <w:tcW w:w="2320" w:type="dxa"/>
            <w:vAlign w:val="bottom"/>
            <w:shd w:val="clear" w:color="auto" w:fill="CCEEFF"/>
          </w:tcPr>
          <w:p>
            <w:pPr>
              <w:ind w:left="600"/>
              <w:spacing w:after="0" w:line="129" w:lineRule="exact"/>
              <w:rPr>
                <w:sz w:val="20"/>
                <w:szCs w:val="20"/>
                <w:color w:val="auto"/>
              </w:rPr>
            </w:pPr>
            <w:r>
              <w:rPr>
                <w:rFonts w:ascii="Arial" w:cs="Arial" w:eastAsia="Arial" w:hAnsi="Arial"/>
                <w:sz w:val="13"/>
                <w:szCs w:val="13"/>
                <w:color w:val="auto"/>
              </w:rPr>
              <w:t>Investment holding and</w:t>
            </w:r>
          </w:p>
        </w:tc>
        <w:tc>
          <w:tcPr>
            <w:tcW w:w="2360" w:type="dxa"/>
            <w:vAlign w:val="bottom"/>
            <w:shd w:val="clear" w:color="auto" w:fill="CCEEFF"/>
          </w:tcPr>
          <w:p>
            <w:pPr>
              <w:ind w:left="1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880" w:type="dxa"/>
            <w:vAlign w:val="bottom"/>
            <w:shd w:val="clear" w:color="auto" w:fill="CCEEFF"/>
          </w:tcPr>
          <w:p>
            <w:pPr>
              <w:spacing w:after="0"/>
              <w:rPr>
                <w:sz w:val="11"/>
                <w:szCs w:val="11"/>
                <w:color w:val="auto"/>
              </w:rPr>
            </w:pPr>
          </w:p>
        </w:tc>
        <w:tc>
          <w:tcPr>
            <w:tcW w:w="2700" w:type="dxa"/>
            <w:vAlign w:val="bottom"/>
            <w:shd w:val="clear" w:color="auto" w:fill="CCEEFF"/>
          </w:tcPr>
          <w:p>
            <w:pPr>
              <w:ind w:left="200"/>
              <w:spacing w:after="0" w:line="128" w:lineRule="exact"/>
              <w:rPr>
                <w:sz w:val="20"/>
                <w:szCs w:val="20"/>
                <w:color w:val="auto"/>
              </w:rPr>
            </w:pPr>
            <w:r>
              <w:rPr>
                <w:rFonts w:ascii="Arial" w:cs="Arial" w:eastAsia="Arial" w:hAnsi="Arial"/>
                <w:sz w:val="13"/>
                <w:szCs w:val="13"/>
                <w:color w:val="auto"/>
              </w:rPr>
              <w:t>Leopardstown,</w:t>
            </w:r>
          </w:p>
        </w:tc>
        <w:tc>
          <w:tcPr>
            <w:tcW w:w="2320" w:type="dxa"/>
            <w:vAlign w:val="bottom"/>
            <w:shd w:val="clear" w:color="auto" w:fill="CCEEFF"/>
          </w:tcPr>
          <w:p>
            <w:pPr>
              <w:ind w:left="600"/>
              <w:spacing w:after="0" w:line="128" w:lineRule="exact"/>
              <w:rPr>
                <w:sz w:val="20"/>
                <w:szCs w:val="20"/>
                <w:color w:val="auto"/>
              </w:rPr>
            </w:pPr>
            <w:r>
              <w:rPr>
                <w:rFonts w:ascii="Arial" w:cs="Arial" w:eastAsia="Arial" w:hAnsi="Arial"/>
                <w:sz w:val="13"/>
                <w:szCs w:val="13"/>
                <w:color w:val="auto"/>
              </w:rPr>
              <w:t>financing company</w:t>
            </w:r>
          </w:p>
        </w:tc>
        <w:tc>
          <w:tcPr>
            <w:tcW w:w="2360" w:type="dxa"/>
            <w:vAlign w:val="bottom"/>
            <w:shd w:val="clear" w:color="auto" w:fill="CCEEFF"/>
          </w:tcPr>
          <w:p>
            <w:pPr>
              <w:spacing w:after="0"/>
              <w:rPr>
                <w:sz w:val="11"/>
                <w:szCs w:val="11"/>
                <w:color w:val="auto"/>
              </w:rPr>
            </w:pPr>
          </w:p>
        </w:tc>
      </w:tr>
      <w:tr>
        <w:trPr>
          <w:trHeight w:val="127"/>
        </w:trPr>
        <w:tc>
          <w:tcPr>
            <w:tcW w:w="3880" w:type="dxa"/>
            <w:vAlign w:val="bottom"/>
            <w:shd w:val="clear" w:color="auto" w:fill="CCEEFF"/>
          </w:tcPr>
          <w:p>
            <w:pPr>
              <w:spacing w:after="0"/>
              <w:rPr>
                <w:sz w:val="11"/>
                <w:szCs w:val="11"/>
                <w:color w:val="auto"/>
              </w:rPr>
            </w:pPr>
          </w:p>
        </w:tc>
        <w:tc>
          <w:tcPr>
            <w:tcW w:w="2700" w:type="dxa"/>
            <w:vAlign w:val="bottom"/>
            <w:shd w:val="clear" w:color="auto" w:fill="CCEEFF"/>
          </w:tcPr>
          <w:p>
            <w:pPr>
              <w:ind w:left="200"/>
              <w:spacing w:after="0" w:line="128" w:lineRule="exact"/>
              <w:rPr>
                <w:sz w:val="20"/>
                <w:szCs w:val="20"/>
                <w:color w:val="auto"/>
              </w:rPr>
            </w:pPr>
            <w:r>
              <w:rPr>
                <w:rFonts w:ascii="Arial" w:cs="Arial" w:eastAsia="Arial" w:hAnsi="Arial"/>
                <w:sz w:val="13"/>
                <w:szCs w:val="13"/>
                <w:color w:val="auto"/>
              </w:rPr>
              <w:t>Dublin 18,</w:t>
            </w:r>
          </w:p>
        </w:tc>
        <w:tc>
          <w:tcPr>
            <w:tcW w:w="232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r>
      <w:tr>
        <w:trPr>
          <w:trHeight w:val="170"/>
        </w:trPr>
        <w:tc>
          <w:tcPr>
            <w:tcW w:w="3880" w:type="dxa"/>
            <w:vAlign w:val="bottom"/>
            <w:shd w:val="clear" w:color="auto" w:fill="CCEEFF"/>
          </w:tcPr>
          <w:p>
            <w:pPr>
              <w:spacing w:after="0"/>
              <w:rPr>
                <w:sz w:val="14"/>
                <w:szCs w:val="14"/>
                <w:color w:val="auto"/>
              </w:rPr>
            </w:pPr>
          </w:p>
        </w:tc>
        <w:tc>
          <w:tcPr>
            <w:tcW w:w="27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Republic of Ireland</w:t>
            </w:r>
          </w:p>
        </w:tc>
        <w:tc>
          <w:tcPr>
            <w:tcW w:w="232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r>
      <w:tr>
        <w:trPr>
          <w:trHeight w:val="127"/>
        </w:trPr>
        <w:tc>
          <w:tcPr>
            <w:tcW w:w="3880" w:type="dxa"/>
            <w:vAlign w:val="bottom"/>
          </w:tcPr>
          <w:p>
            <w:pPr>
              <w:ind w:left="20"/>
              <w:spacing w:after="0" w:line="128" w:lineRule="exact"/>
              <w:rPr>
                <w:sz w:val="20"/>
                <w:szCs w:val="20"/>
                <w:color w:val="auto"/>
              </w:rPr>
            </w:pPr>
            <w:r>
              <w:rPr>
                <w:rFonts w:ascii="Arial" w:cs="Arial" w:eastAsia="Arial" w:hAnsi="Arial"/>
                <w:sz w:val="13"/>
                <w:szCs w:val="13"/>
                <w:color w:val="auto"/>
              </w:rPr>
              <w:t>ICON Operational Financing Unlimited Company</w:t>
            </w:r>
          </w:p>
        </w:tc>
        <w:tc>
          <w:tcPr>
            <w:tcW w:w="2700" w:type="dxa"/>
            <w:vAlign w:val="bottom"/>
          </w:tcPr>
          <w:p>
            <w:pPr>
              <w:ind w:left="200"/>
              <w:spacing w:after="0" w:line="128" w:lineRule="exact"/>
              <w:rPr>
                <w:sz w:val="20"/>
                <w:szCs w:val="20"/>
                <w:color w:val="auto"/>
              </w:rPr>
            </w:pPr>
            <w:r>
              <w:rPr>
                <w:rFonts w:ascii="Arial" w:cs="Arial" w:eastAsia="Arial" w:hAnsi="Arial"/>
                <w:sz w:val="13"/>
                <w:szCs w:val="13"/>
                <w:color w:val="auto"/>
              </w:rPr>
              <w:t>South County Business Park,</w:t>
            </w:r>
          </w:p>
        </w:tc>
        <w:tc>
          <w:tcPr>
            <w:tcW w:w="2320" w:type="dxa"/>
            <w:vAlign w:val="bottom"/>
          </w:tcPr>
          <w:p>
            <w:pPr>
              <w:ind w:left="600"/>
              <w:spacing w:after="0" w:line="128" w:lineRule="exact"/>
              <w:rPr>
                <w:sz w:val="20"/>
                <w:szCs w:val="20"/>
                <w:color w:val="auto"/>
              </w:rPr>
            </w:pPr>
            <w:r>
              <w:rPr>
                <w:rFonts w:ascii="Arial" w:cs="Arial" w:eastAsia="Arial" w:hAnsi="Arial"/>
                <w:sz w:val="13"/>
                <w:szCs w:val="13"/>
                <w:color w:val="auto"/>
              </w:rPr>
              <w:t>Investment holding and</w:t>
            </w:r>
          </w:p>
        </w:tc>
        <w:tc>
          <w:tcPr>
            <w:tcW w:w="2360" w:type="dxa"/>
            <w:vAlign w:val="bottom"/>
          </w:tcPr>
          <w:p>
            <w:pPr>
              <w:ind w:left="1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880" w:type="dxa"/>
            <w:vAlign w:val="bottom"/>
          </w:tcPr>
          <w:p>
            <w:pPr>
              <w:spacing w:after="0"/>
              <w:rPr>
                <w:sz w:val="11"/>
                <w:szCs w:val="11"/>
                <w:color w:val="auto"/>
              </w:rPr>
            </w:pPr>
          </w:p>
        </w:tc>
        <w:tc>
          <w:tcPr>
            <w:tcW w:w="2700" w:type="dxa"/>
            <w:vAlign w:val="bottom"/>
          </w:tcPr>
          <w:p>
            <w:pPr>
              <w:ind w:left="200"/>
              <w:spacing w:after="0" w:line="128" w:lineRule="exact"/>
              <w:rPr>
                <w:sz w:val="20"/>
                <w:szCs w:val="20"/>
                <w:color w:val="auto"/>
              </w:rPr>
            </w:pPr>
            <w:r>
              <w:rPr>
                <w:rFonts w:ascii="Arial" w:cs="Arial" w:eastAsia="Arial" w:hAnsi="Arial"/>
                <w:sz w:val="13"/>
                <w:szCs w:val="13"/>
                <w:color w:val="auto"/>
              </w:rPr>
              <w:t>Leopardstown,</w:t>
            </w:r>
          </w:p>
        </w:tc>
        <w:tc>
          <w:tcPr>
            <w:tcW w:w="2320" w:type="dxa"/>
            <w:vAlign w:val="bottom"/>
          </w:tcPr>
          <w:p>
            <w:pPr>
              <w:ind w:left="600"/>
              <w:spacing w:after="0" w:line="128" w:lineRule="exact"/>
              <w:rPr>
                <w:sz w:val="20"/>
                <w:szCs w:val="20"/>
                <w:color w:val="auto"/>
              </w:rPr>
            </w:pPr>
            <w:r>
              <w:rPr>
                <w:rFonts w:ascii="Arial" w:cs="Arial" w:eastAsia="Arial" w:hAnsi="Arial"/>
                <w:sz w:val="13"/>
                <w:szCs w:val="13"/>
                <w:color w:val="auto"/>
              </w:rPr>
              <w:t>financing company</w:t>
            </w:r>
          </w:p>
        </w:tc>
        <w:tc>
          <w:tcPr>
            <w:tcW w:w="2360" w:type="dxa"/>
            <w:vAlign w:val="bottom"/>
          </w:tcPr>
          <w:p>
            <w:pPr>
              <w:spacing w:after="0"/>
              <w:rPr>
                <w:sz w:val="11"/>
                <w:szCs w:val="11"/>
                <w:color w:val="auto"/>
              </w:rPr>
            </w:pPr>
          </w:p>
        </w:tc>
      </w:tr>
      <w:tr>
        <w:trPr>
          <w:trHeight w:val="127"/>
        </w:trPr>
        <w:tc>
          <w:tcPr>
            <w:tcW w:w="3880" w:type="dxa"/>
            <w:vAlign w:val="bottom"/>
          </w:tcPr>
          <w:p>
            <w:pPr>
              <w:spacing w:after="0"/>
              <w:rPr>
                <w:sz w:val="11"/>
                <w:szCs w:val="11"/>
                <w:color w:val="auto"/>
              </w:rPr>
            </w:pPr>
          </w:p>
        </w:tc>
        <w:tc>
          <w:tcPr>
            <w:tcW w:w="2700" w:type="dxa"/>
            <w:vAlign w:val="bottom"/>
          </w:tcPr>
          <w:p>
            <w:pPr>
              <w:ind w:left="200"/>
              <w:spacing w:after="0" w:line="128" w:lineRule="exact"/>
              <w:rPr>
                <w:sz w:val="20"/>
                <w:szCs w:val="20"/>
                <w:color w:val="auto"/>
              </w:rPr>
            </w:pPr>
            <w:r>
              <w:rPr>
                <w:rFonts w:ascii="Arial" w:cs="Arial" w:eastAsia="Arial" w:hAnsi="Arial"/>
                <w:sz w:val="13"/>
                <w:szCs w:val="13"/>
                <w:color w:val="auto"/>
              </w:rPr>
              <w:t>Dublin 18,</w:t>
            </w:r>
          </w:p>
        </w:tc>
        <w:tc>
          <w:tcPr>
            <w:tcW w:w="232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168"/>
        </w:trPr>
        <w:tc>
          <w:tcPr>
            <w:tcW w:w="3880" w:type="dxa"/>
            <w:vAlign w:val="bottom"/>
          </w:tcPr>
          <w:p>
            <w:pPr>
              <w:spacing w:after="0"/>
              <w:rPr>
                <w:sz w:val="14"/>
                <w:szCs w:val="14"/>
                <w:color w:val="auto"/>
              </w:rPr>
            </w:pPr>
          </w:p>
        </w:tc>
        <w:tc>
          <w:tcPr>
            <w:tcW w:w="2700" w:type="dxa"/>
            <w:vAlign w:val="bottom"/>
          </w:tcPr>
          <w:p>
            <w:pPr>
              <w:ind w:left="200"/>
              <w:spacing w:after="0"/>
              <w:rPr>
                <w:sz w:val="20"/>
                <w:szCs w:val="20"/>
                <w:color w:val="auto"/>
              </w:rPr>
            </w:pPr>
            <w:r>
              <w:rPr>
                <w:rFonts w:ascii="Arial" w:cs="Arial" w:eastAsia="Arial" w:hAnsi="Arial"/>
                <w:sz w:val="13"/>
                <w:szCs w:val="13"/>
                <w:color w:val="auto"/>
              </w:rPr>
              <w:t>Republic of Ireland</w:t>
            </w:r>
          </w:p>
        </w:tc>
        <w:tc>
          <w:tcPr>
            <w:tcW w:w="232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29"/>
        </w:trPr>
        <w:tc>
          <w:tcPr>
            <w:tcW w:w="38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Operational Holdings Unlimited Company</w:t>
            </w:r>
          </w:p>
        </w:tc>
        <w:tc>
          <w:tcPr>
            <w:tcW w:w="270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South County Business Park,</w:t>
            </w:r>
          </w:p>
        </w:tc>
        <w:tc>
          <w:tcPr>
            <w:tcW w:w="2320" w:type="dxa"/>
            <w:vAlign w:val="bottom"/>
            <w:shd w:val="clear" w:color="auto" w:fill="CCEEFF"/>
          </w:tcPr>
          <w:p>
            <w:pPr>
              <w:ind w:left="600"/>
              <w:spacing w:after="0" w:line="129" w:lineRule="exact"/>
              <w:rPr>
                <w:sz w:val="20"/>
                <w:szCs w:val="20"/>
                <w:color w:val="auto"/>
              </w:rPr>
            </w:pPr>
            <w:r>
              <w:rPr>
                <w:rFonts w:ascii="Arial" w:cs="Arial" w:eastAsia="Arial" w:hAnsi="Arial"/>
                <w:sz w:val="13"/>
                <w:szCs w:val="13"/>
                <w:color w:val="auto"/>
              </w:rPr>
              <w:t>Investment holding company</w:t>
            </w:r>
          </w:p>
        </w:tc>
        <w:tc>
          <w:tcPr>
            <w:tcW w:w="2360" w:type="dxa"/>
            <w:vAlign w:val="bottom"/>
            <w:shd w:val="clear" w:color="auto" w:fill="CCEEFF"/>
          </w:tcPr>
          <w:p>
            <w:pPr>
              <w:ind w:left="1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880" w:type="dxa"/>
            <w:vAlign w:val="bottom"/>
            <w:shd w:val="clear" w:color="auto" w:fill="CCEEFF"/>
          </w:tcPr>
          <w:p>
            <w:pPr>
              <w:spacing w:after="0"/>
              <w:rPr>
                <w:sz w:val="11"/>
                <w:szCs w:val="11"/>
                <w:color w:val="auto"/>
              </w:rPr>
            </w:pPr>
          </w:p>
        </w:tc>
        <w:tc>
          <w:tcPr>
            <w:tcW w:w="2700" w:type="dxa"/>
            <w:vAlign w:val="bottom"/>
            <w:shd w:val="clear" w:color="auto" w:fill="CCEEFF"/>
          </w:tcPr>
          <w:p>
            <w:pPr>
              <w:ind w:left="200"/>
              <w:spacing w:after="0" w:line="128" w:lineRule="exact"/>
              <w:rPr>
                <w:sz w:val="20"/>
                <w:szCs w:val="20"/>
                <w:color w:val="auto"/>
              </w:rPr>
            </w:pPr>
            <w:r>
              <w:rPr>
                <w:rFonts w:ascii="Arial" w:cs="Arial" w:eastAsia="Arial" w:hAnsi="Arial"/>
                <w:sz w:val="13"/>
                <w:szCs w:val="13"/>
                <w:color w:val="auto"/>
              </w:rPr>
              <w:t>Leopardstown,</w:t>
            </w:r>
          </w:p>
        </w:tc>
        <w:tc>
          <w:tcPr>
            <w:tcW w:w="232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r>
      <w:tr>
        <w:trPr>
          <w:trHeight w:val="127"/>
        </w:trPr>
        <w:tc>
          <w:tcPr>
            <w:tcW w:w="3880" w:type="dxa"/>
            <w:vAlign w:val="bottom"/>
            <w:shd w:val="clear" w:color="auto" w:fill="CCEEFF"/>
          </w:tcPr>
          <w:p>
            <w:pPr>
              <w:spacing w:after="0"/>
              <w:rPr>
                <w:sz w:val="11"/>
                <w:szCs w:val="11"/>
                <w:color w:val="auto"/>
              </w:rPr>
            </w:pPr>
          </w:p>
        </w:tc>
        <w:tc>
          <w:tcPr>
            <w:tcW w:w="2700" w:type="dxa"/>
            <w:vAlign w:val="bottom"/>
            <w:shd w:val="clear" w:color="auto" w:fill="CCEEFF"/>
          </w:tcPr>
          <w:p>
            <w:pPr>
              <w:ind w:left="200"/>
              <w:spacing w:after="0" w:line="128" w:lineRule="exact"/>
              <w:rPr>
                <w:sz w:val="20"/>
                <w:szCs w:val="20"/>
                <w:color w:val="auto"/>
              </w:rPr>
            </w:pPr>
            <w:r>
              <w:rPr>
                <w:rFonts w:ascii="Arial" w:cs="Arial" w:eastAsia="Arial" w:hAnsi="Arial"/>
                <w:sz w:val="13"/>
                <w:szCs w:val="13"/>
                <w:color w:val="auto"/>
              </w:rPr>
              <w:t>Dublin 18,</w:t>
            </w:r>
          </w:p>
        </w:tc>
        <w:tc>
          <w:tcPr>
            <w:tcW w:w="232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r>
      <w:tr>
        <w:trPr>
          <w:trHeight w:val="170"/>
        </w:trPr>
        <w:tc>
          <w:tcPr>
            <w:tcW w:w="3880" w:type="dxa"/>
            <w:vAlign w:val="bottom"/>
            <w:shd w:val="clear" w:color="auto" w:fill="CCEEFF"/>
          </w:tcPr>
          <w:p>
            <w:pPr>
              <w:spacing w:after="0"/>
              <w:rPr>
                <w:sz w:val="14"/>
                <w:szCs w:val="14"/>
                <w:color w:val="auto"/>
              </w:rPr>
            </w:pPr>
          </w:p>
        </w:tc>
        <w:tc>
          <w:tcPr>
            <w:tcW w:w="27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Republic of Ireland</w:t>
            </w:r>
          </w:p>
        </w:tc>
        <w:tc>
          <w:tcPr>
            <w:tcW w:w="232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r>
      <w:tr>
        <w:trPr>
          <w:trHeight w:val="127"/>
        </w:trPr>
        <w:tc>
          <w:tcPr>
            <w:tcW w:w="3880" w:type="dxa"/>
            <w:vAlign w:val="bottom"/>
          </w:tcPr>
          <w:p>
            <w:pPr>
              <w:ind w:left="20"/>
              <w:spacing w:after="0" w:line="128" w:lineRule="exact"/>
              <w:rPr>
                <w:sz w:val="20"/>
                <w:szCs w:val="20"/>
                <w:color w:val="auto"/>
              </w:rPr>
            </w:pPr>
            <w:r>
              <w:rPr>
                <w:rFonts w:ascii="Arial" w:cs="Arial" w:eastAsia="Arial" w:hAnsi="Arial"/>
                <w:sz w:val="13"/>
                <w:szCs w:val="13"/>
                <w:color w:val="auto"/>
              </w:rPr>
              <w:t>Timpani Unlimited Company (In Voluntary Liquidation) ****</w:t>
            </w:r>
          </w:p>
        </w:tc>
        <w:tc>
          <w:tcPr>
            <w:tcW w:w="2700" w:type="dxa"/>
            <w:vAlign w:val="bottom"/>
          </w:tcPr>
          <w:p>
            <w:pPr>
              <w:ind w:left="200"/>
              <w:spacing w:after="0" w:line="128" w:lineRule="exact"/>
              <w:rPr>
                <w:sz w:val="20"/>
                <w:szCs w:val="20"/>
                <w:color w:val="auto"/>
              </w:rPr>
            </w:pPr>
            <w:r>
              <w:rPr>
                <w:rFonts w:ascii="Arial" w:cs="Arial" w:eastAsia="Arial" w:hAnsi="Arial"/>
                <w:sz w:val="13"/>
                <w:szCs w:val="13"/>
                <w:color w:val="auto"/>
              </w:rPr>
              <w:t>South County Business Park,</w:t>
            </w:r>
          </w:p>
        </w:tc>
        <w:tc>
          <w:tcPr>
            <w:tcW w:w="2320" w:type="dxa"/>
            <w:vAlign w:val="bottom"/>
          </w:tcPr>
          <w:p>
            <w:pPr>
              <w:ind w:left="600"/>
              <w:spacing w:after="0" w:line="128" w:lineRule="exact"/>
              <w:rPr>
                <w:sz w:val="20"/>
                <w:szCs w:val="20"/>
                <w:color w:val="auto"/>
              </w:rPr>
            </w:pPr>
            <w:r>
              <w:rPr>
                <w:rFonts w:ascii="Arial" w:cs="Arial" w:eastAsia="Arial" w:hAnsi="Arial"/>
                <w:sz w:val="13"/>
                <w:szCs w:val="13"/>
                <w:color w:val="auto"/>
              </w:rPr>
              <w:t>Investment holding company</w:t>
            </w:r>
          </w:p>
        </w:tc>
        <w:tc>
          <w:tcPr>
            <w:tcW w:w="2360" w:type="dxa"/>
            <w:vAlign w:val="bottom"/>
          </w:tcPr>
          <w:p>
            <w:pPr>
              <w:ind w:left="1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880" w:type="dxa"/>
            <w:vAlign w:val="bottom"/>
          </w:tcPr>
          <w:p>
            <w:pPr>
              <w:spacing w:after="0"/>
              <w:rPr>
                <w:sz w:val="11"/>
                <w:szCs w:val="11"/>
                <w:color w:val="auto"/>
              </w:rPr>
            </w:pPr>
          </w:p>
        </w:tc>
        <w:tc>
          <w:tcPr>
            <w:tcW w:w="2700" w:type="dxa"/>
            <w:vAlign w:val="bottom"/>
          </w:tcPr>
          <w:p>
            <w:pPr>
              <w:ind w:left="200"/>
              <w:spacing w:after="0" w:line="128" w:lineRule="exact"/>
              <w:rPr>
                <w:sz w:val="20"/>
                <w:szCs w:val="20"/>
                <w:color w:val="auto"/>
              </w:rPr>
            </w:pPr>
            <w:r>
              <w:rPr>
                <w:rFonts w:ascii="Arial" w:cs="Arial" w:eastAsia="Arial" w:hAnsi="Arial"/>
                <w:sz w:val="13"/>
                <w:szCs w:val="13"/>
                <w:color w:val="auto"/>
              </w:rPr>
              <w:t>Leopardstown,</w:t>
            </w:r>
          </w:p>
        </w:tc>
        <w:tc>
          <w:tcPr>
            <w:tcW w:w="232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127"/>
        </w:trPr>
        <w:tc>
          <w:tcPr>
            <w:tcW w:w="3880" w:type="dxa"/>
            <w:vAlign w:val="bottom"/>
          </w:tcPr>
          <w:p>
            <w:pPr>
              <w:spacing w:after="0"/>
              <w:rPr>
                <w:sz w:val="11"/>
                <w:szCs w:val="11"/>
                <w:color w:val="auto"/>
              </w:rPr>
            </w:pPr>
          </w:p>
        </w:tc>
        <w:tc>
          <w:tcPr>
            <w:tcW w:w="2700" w:type="dxa"/>
            <w:vAlign w:val="bottom"/>
          </w:tcPr>
          <w:p>
            <w:pPr>
              <w:ind w:left="200"/>
              <w:spacing w:after="0" w:line="128" w:lineRule="exact"/>
              <w:rPr>
                <w:sz w:val="20"/>
                <w:szCs w:val="20"/>
                <w:color w:val="auto"/>
              </w:rPr>
            </w:pPr>
            <w:r>
              <w:rPr>
                <w:rFonts w:ascii="Arial" w:cs="Arial" w:eastAsia="Arial" w:hAnsi="Arial"/>
                <w:sz w:val="13"/>
                <w:szCs w:val="13"/>
                <w:color w:val="auto"/>
              </w:rPr>
              <w:t>Dublin 18</w:t>
            </w:r>
          </w:p>
        </w:tc>
        <w:tc>
          <w:tcPr>
            <w:tcW w:w="232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168"/>
        </w:trPr>
        <w:tc>
          <w:tcPr>
            <w:tcW w:w="3880" w:type="dxa"/>
            <w:vAlign w:val="bottom"/>
          </w:tcPr>
          <w:p>
            <w:pPr>
              <w:spacing w:after="0"/>
              <w:rPr>
                <w:sz w:val="14"/>
                <w:szCs w:val="14"/>
                <w:color w:val="auto"/>
              </w:rPr>
            </w:pPr>
          </w:p>
        </w:tc>
        <w:tc>
          <w:tcPr>
            <w:tcW w:w="2700" w:type="dxa"/>
            <w:vAlign w:val="bottom"/>
          </w:tcPr>
          <w:p>
            <w:pPr>
              <w:ind w:left="200"/>
              <w:spacing w:after="0"/>
              <w:rPr>
                <w:sz w:val="20"/>
                <w:szCs w:val="20"/>
                <w:color w:val="auto"/>
              </w:rPr>
            </w:pPr>
            <w:r>
              <w:rPr>
                <w:rFonts w:ascii="Arial" w:cs="Arial" w:eastAsia="Arial" w:hAnsi="Arial"/>
                <w:sz w:val="13"/>
                <w:szCs w:val="13"/>
                <w:color w:val="auto"/>
              </w:rPr>
              <w:t>Republic of Ireland</w:t>
            </w:r>
          </w:p>
        </w:tc>
        <w:tc>
          <w:tcPr>
            <w:tcW w:w="232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29"/>
        </w:trPr>
        <w:tc>
          <w:tcPr>
            <w:tcW w:w="38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Research Pharmaceutical Services (Outsourcing Ireland) Limited</w:t>
            </w:r>
          </w:p>
        </w:tc>
        <w:tc>
          <w:tcPr>
            <w:tcW w:w="270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2 Church Street</w:t>
            </w:r>
          </w:p>
        </w:tc>
        <w:tc>
          <w:tcPr>
            <w:tcW w:w="2320" w:type="dxa"/>
            <w:vAlign w:val="bottom"/>
            <w:shd w:val="clear" w:color="auto" w:fill="CCEEFF"/>
          </w:tcPr>
          <w:p>
            <w:pPr>
              <w:ind w:left="600"/>
              <w:spacing w:after="0" w:line="129" w:lineRule="exact"/>
              <w:rPr>
                <w:sz w:val="20"/>
                <w:szCs w:val="20"/>
                <w:color w:val="auto"/>
              </w:rPr>
            </w:pPr>
            <w:r>
              <w:rPr>
                <w:rFonts w:ascii="Arial" w:cs="Arial" w:eastAsia="Arial" w:hAnsi="Arial"/>
                <w:sz w:val="13"/>
                <w:szCs w:val="13"/>
                <w:color w:val="auto"/>
              </w:rPr>
              <w:t>Clinical research services</w:t>
            </w:r>
          </w:p>
        </w:tc>
        <w:tc>
          <w:tcPr>
            <w:tcW w:w="2360" w:type="dxa"/>
            <w:vAlign w:val="bottom"/>
            <w:shd w:val="clear" w:color="auto" w:fill="CCEEFF"/>
          </w:tcPr>
          <w:p>
            <w:pPr>
              <w:ind w:left="1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880" w:type="dxa"/>
            <w:vAlign w:val="bottom"/>
            <w:shd w:val="clear" w:color="auto" w:fill="CCEEFF"/>
          </w:tcPr>
          <w:p>
            <w:pPr>
              <w:spacing w:after="0"/>
              <w:rPr>
                <w:sz w:val="11"/>
                <w:szCs w:val="11"/>
                <w:color w:val="auto"/>
              </w:rPr>
            </w:pPr>
          </w:p>
        </w:tc>
        <w:tc>
          <w:tcPr>
            <w:tcW w:w="2700" w:type="dxa"/>
            <w:vAlign w:val="bottom"/>
            <w:shd w:val="clear" w:color="auto" w:fill="CCEEFF"/>
          </w:tcPr>
          <w:p>
            <w:pPr>
              <w:ind w:left="200"/>
              <w:spacing w:after="0" w:line="128" w:lineRule="exact"/>
              <w:rPr>
                <w:sz w:val="20"/>
                <w:szCs w:val="20"/>
                <w:color w:val="auto"/>
              </w:rPr>
            </w:pPr>
            <w:r>
              <w:rPr>
                <w:rFonts w:ascii="Arial" w:cs="Arial" w:eastAsia="Arial" w:hAnsi="Arial"/>
                <w:sz w:val="13"/>
                <w:szCs w:val="13"/>
                <w:color w:val="auto"/>
              </w:rPr>
              <w:t>Longford, Co Longford N39 W1X7</w:t>
            </w:r>
          </w:p>
        </w:tc>
        <w:tc>
          <w:tcPr>
            <w:tcW w:w="232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r>
      <w:tr>
        <w:trPr>
          <w:trHeight w:val="170"/>
        </w:trPr>
        <w:tc>
          <w:tcPr>
            <w:tcW w:w="3880" w:type="dxa"/>
            <w:vAlign w:val="bottom"/>
            <w:shd w:val="clear" w:color="auto" w:fill="CCEEFF"/>
          </w:tcPr>
          <w:p>
            <w:pPr>
              <w:spacing w:after="0"/>
              <w:rPr>
                <w:sz w:val="14"/>
                <w:szCs w:val="14"/>
                <w:color w:val="auto"/>
              </w:rPr>
            </w:pPr>
          </w:p>
        </w:tc>
        <w:tc>
          <w:tcPr>
            <w:tcW w:w="27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Ireland</w:t>
            </w:r>
          </w:p>
        </w:tc>
        <w:tc>
          <w:tcPr>
            <w:tcW w:w="232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r>
    </w:tbl>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123</w:t>
      </w:r>
    </w:p>
    <w:p>
      <w:pPr>
        <w:sectPr>
          <w:pgSz w:w="11900" w:h="16838" w:orient="portrait"/>
          <w:cols w:equalWidth="0" w:num="1">
            <w:col w:w="11260"/>
          </w:cols>
          <w:pgMar w:left="300" w:top="698" w:right="3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32.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3580" w:type="dxa"/>
            <w:vAlign w:val="bottom"/>
            <w:shd w:val="clear" w:color="auto" w:fill="CCEEFF"/>
          </w:tcPr>
          <w:p>
            <w:pPr>
              <w:ind w:left="680"/>
              <w:spacing w:after="0"/>
              <w:rPr>
                <w:sz w:val="20"/>
                <w:szCs w:val="20"/>
                <w:color w:val="auto"/>
              </w:rPr>
            </w:pPr>
            <w:r>
              <w:rPr>
                <w:rFonts w:ascii="Arial" w:cs="Arial" w:eastAsia="Arial" w:hAnsi="Arial"/>
                <w:sz w:val="13"/>
                <w:szCs w:val="13"/>
                <w:b w:val="1"/>
                <w:bCs w:val="1"/>
                <w:color w:val="auto"/>
              </w:rPr>
              <w:t>Registered Office</w:t>
            </w:r>
          </w:p>
        </w:tc>
        <w:tc>
          <w:tcPr>
            <w:tcW w:w="192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Nature of business</w:t>
            </w:r>
          </w:p>
        </w:tc>
        <w:tc>
          <w:tcPr>
            <w:tcW w:w="236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Proportion held by</w:t>
            </w:r>
          </w:p>
        </w:tc>
      </w:tr>
      <w:tr>
        <w:trPr>
          <w:trHeight w:val="170"/>
        </w:trPr>
        <w:tc>
          <w:tcPr>
            <w:tcW w:w="3400" w:type="dxa"/>
            <w:vAlign w:val="bottom"/>
            <w:tcBorders>
              <w:bottom w:val="single" w:sz="8" w:color="auto"/>
            </w:tcBorders>
            <w:shd w:val="clear" w:color="auto" w:fill="CCEEFF"/>
          </w:tcPr>
          <w:p>
            <w:pPr>
              <w:spacing w:after="0"/>
              <w:rPr>
                <w:sz w:val="14"/>
                <w:szCs w:val="14"/>
                <w:color w:val="auto"/>
              </w:rPr>
            </w:pPr>
          </w:p>
        </w:tc>
        <w:tc>
          <w:tcPr>
            <w:tcW w:w="3580" w:type="dxa"/>
            <w:vAlign w:val="bottom"/>
            <w:tcBorders>
              <w:bottom w:val="single" w:sz="8" w:color="auto"/>
            </w:tcBorders>
            <w:shd w:val="clear" w:color="auto" w:fill="CCEEFF"/>
          </w:tcPr>
          <w:p>
            <w:pPr>
              <w:spacing w:after="0"/>
              <w:rPr>
                <w:sz w:val="14"/>
                <w:szCs w:val="14"/>
                <w:color w:val="auto"/>
              </w:rPr>
            </w:pPr>
          </w:p>
        </w:tc>
        <w:tc>
          <w:tcPr>
            <w:tcW w:w="1920" w:type="dxa"/>
            <w:vAlign w:val="bottom"/>
            <w:tcBorders>
              <w:bottom w:val="single" w:sz="8" w:color="auto"/>
            </w:tcBorders>
            <w:shd w:val="clear" w:color="auto" w:fill="CCEEFF"/>
          </w:tcPr>
          <w:p>
            <w:pPr>
              <w:spacing w:after="0"/>
              <w:rPr>
                <w:sz w:val="14"/>
                <w:szCs w:val="14"/>
                <w:color w:val="auto"/>
              </w:rPr>
            </w:pPr>
          </w:p>
        </w:tc>
        <w:tc>
          <w:tcPr>
            <w:tcW w:w="23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3"/>
                <w:szCs w:val="13"/>
                <w:b w:val="1"/>
                <w:bCs w:val="1"/>
                <w:color w:val="auto"/>
              </w:rPr>
              <w:t>Group</w:t>
            </w:r>
          </w:p>
        </w:tc>
      </w:tr>
      <w:tr>
        <w:trPr>
          <w:trHeight w:val="118"/>
        </w:trPr>
        <w:tc>
          <w:tcPr>
            <w:tcW w:w="3400" w:type="dxa"/>
            <w:vAlign w:val="bottom"/>
          </w:tcPr>
          <w:p>
            <w:pPr>
              <w:ind w:left="20"/>
              <w:spacing w:after="0" w:line="118" w:lineRule="exact"/>
              <w:rPr>
                <w:sz w:val="20"/>
                <w:szCs w:val="20"/>
                <w:color w:val="auto"/>
              </w:rPr>
            </w:pPr>
            <w:r>
              <w:rPr>
                <w:rFonts w:ascii="Arial" w:cs="Arial" w:eastAsia="Arial" w:hAnsi="Arial"/>
                <w:sz w:val="13"/>
                <w:szCs w:val="13"/>
                <w:color w:val="auto"/>
              </w:rPr>
              <w:t>ICON Global Treasury Unlimited Company</w:t>
            </w:r>
          </w:p>
        </w:tc>
        <w:tc>
          <w:tcPr>
            <w:tcW w:w="3580" w:type="dxa"/>
            <w:vAlign w:val="bottom"/>
          </w:tcPr>
          <w:p>
            <w:pPr>
              <w:ind w:left="680"/>
              <w:spacing w:after="0" w:line="118" w:lineRule="exact"/>
              <w:rPr>
                <w:sz w:val="20"/>
                <w:szCs w:val="20"/>
                <w:color w:val="auto"/>
              </w:rPr>
            </w:pPr>
            <w:r>
              <w:rPr>
                <w:rFonts w:ascii="Arial" w:cs="Arial" w:eastAsia="Arial" w:hAnsi="Arial"/>
                <w:sz w:val="13"/>
                <w:szCs w:val="13"/>
                <w:color w:val="auto"/>
              </w:rPr>
              <w:t>South County Business Park,</w:t>
            </w:r>
          </w:p>
        </w:tc>
        <w:tc>
          <w:tcPr>
            <w:tcW w:w="1920" w:type="dxa"/>
            <w:vAlign w:val="bottom"/>
          </w:tcPr>
          <w:p>
            <w:pPr>
              <w:ind w:left="200"/>
              <w:spacing w:after="0" w:line="118" w:lineRule="exact"/>
              <w:rPr>
                <w:sz w:val="20"/>
                <w:szCs w:val="20"/>
                <w:color w:val="auto"/>
              </w:rPr>
            </w:pPr>
            <w:r>
              <w:rPr>
                <w:rFonts w:ascii="Arial" w:cs="Arial" w:eastAsia="Arial" w:hAnsi="Arial"/>
                <w:sz w:val="13"/>
                <w:szCs w:val="13"/>
                <w:color w:val="auto"/>
              </w:rPr>
              <w:t>Investment holding and</w:t>
            </w:r>
          </w:p>
        </w:tc>
        <w:tc>
          <w:tcPr>
            <w:tcW w:w="2360" w:type="dxa"/>
            <w:vAlign w:val="bottom"/>
          </w:tcPr>
          <w:p>
            <w:pPr>
              <w:ind w:left="120"/>
              <w:spacing w:after="0" w:line="118" w:lineRule="exact"/>
              <w:rPr>
                <w:sz w:val="20"/>
                <w:szCs w:val="20"/>
                <w:color w:val="auto"/>
              </w:rPr>
            </w:pPr>
            <w:r>
              <w:rPr>
                <w:rFonts w:ascii="Arial" w:cs="Arial" w:eastAsia="Arial" w:hAnsi="Arial"/>
                <w:sz w:val="13"/>
                <w:szCs w:val="13"/>
                <w:color w:val="auto"/>
              </w:rPr>
              <w:t>100%</w:t>
            </w:r>
          </w:p>
        </w:tc>
      </w:tr>
      <w:tr>
        <w:trPr>
          <w:trHeight w:val="127"/>
        </w:trPr>
        <w:tc>
          <w:tcPr>
            <w:tcW w:w="3400" w:type="dxa"/>
            <w:vAlign w:val="bottom"/>
          </w:tcPr>
          <w:p>
            <w:pPr>
              <w:spacing w:after="0"/>
              <w:rPr>
                <w:sz w:val="11"/>
                <w:szCs w:val="11"/>
                <w:color w:val="auto"/>
              </w:rPr>
            </w:pPr>
          </w:p>
        </w:tc>
        <w:tc>
          <w:tcPr>
            <w:tcW w:w="3580" w:type="dxa"/>
            <w:vAlign w:val="bottom"/>
          </w:tcPr>
          <w:p>
            <w:pPr>
              <w:ind w:left="680"/>
              <w:spacing w:after="0" w:line="128" w:lineRule="exact"/>
              <w:rPr>
                <w:sz w:val="20"/>
                <w:szCs w:val="20"/>
                <w:color w:val="auto"/>
              </w:rPr>
            </w:pPr>
            <w:r>
              <w:rPr>
                <w:rFonts w:ascii="Arial" w:cs="Arial" w:eastAsia="Arial" w:hAnsi="Arial"/>
                <w:sz w:val="13"/>
                <w:szCs w:val="13"/>
                <w:color w:val="auto"/>
              </w:rPr>
              <w:t>Leopardstown,</w:t>
            </w:r>
          </w:p>
        </w:tc>
        <w:tc>
          <w:tcPr>
            <w:tcW w:w="1920" w:type="dxa"/>
            <w:vAlign w:val="bottom"/>
          </w:tcPr>
          <w:p>
            <w:pPr>
              <w:ind w:left="200"/>
              <w:spacing w:after="0" w:line="128" w:lineRule="exact"/>
              <w:rPr>
                <w:sz w:val="20"/>
                <w:szCs w:val="20"/>
                <w:color w:val="auto"/>
              </w:rPr>
            </w:pPr>
            <w:r>
              <w:rPr>
                <w:rFonts w:ascii="Arial" w:cs="Arial" w:eastAsia="Arial" w:hAnsi="Arial"/>
                <w:sz w:val="13"/>
                <w:szCs w:val="13"/>
                <w:color w:val="auto"/>
              </w:rPr>
              <w:t>financing company</w:t>
            </w:r>
          </w:p>
        </w:tc>
        <w:tc>
          <w:tcPr>
            <w:tcW w:w="2360" w:type="dxa"/>
            <w:vAlign w:val="bottom"/>
          </w:tcPr>
          <w:p>
            <w:pPr>
              <w:spacing w:after="0"/>
              <w:rPr>
                <w:sz w:val="11"/>
                <w:szCs w:val="11"/>
                <w:color w:val="auto"/>
              </w:rPr>
            </w:pPr>
          </w:p>
        </w:tc>
      </w:tr>
      <w:tr>
        <w:trPr>
          <w:trHeight w:val="127"/>
        </w:trPr>
        <w:tc>
          <w:tcPr>
            <w:tcW w:w="3400" w:type="dxa"/>
            <w:vAlign w:val="bottom"/>
          </w:tcPr>
          <w:p>
            <w:pPr>
              <w:spacing w:after="0"/>
              <w:rPr>
                <w:sz w:val="11"/>
                <w:szCs w:val="11"/>
                <w:color w:val="auto"/>
              </w:rPr>
            </w:pPr>
          </w:p>
        </w:tc>
        <w:tc>
          <w:tcPr>
            <w:tcW w:w="3580" w:type="dxa"/>
            <w:vAlign w:val="bottom"/>
          </w:tcPr>
          <w:p>
            <w:pPr>
              <w:ind w:left="680"/>
              <w:spacing w:after="0" w:line="128" w:lineRule="exact"/>
              <w:rPr>
                <w:sz w:val="20"/>
                <w:szCs w:val="20"/>
                <w:color w:val="auto"/>
              </w:rPr>
            </w:pPr>
            <w:r>
              <w:rPr>
                <w:rFonts w:ascii="Arial" w:cs="Arial" w:eastAsia="Arial" w:hAnsi="Arial"/>
                <w:sz w:val="13"/>
                <w:szCs w:val="13"/>
                <w:color w:val="auto"/>
              </w:rPr>
              <w:t>Dublin 18,</w:t>
            </w:r>
          </w:p>
        </w:tc>
        <w:tc>
          <w:tcPr>
            <w:tcW w:w="192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168"/>
        </w:trPr>
        <w:tc>
          <w:tcPr>
            <w:tcW w:w="3400" w:type="dxa"/>
            <w:vAlign w:val="bottom"/>
          </w:tcPr>
          <w:p>
            <w:pPr>
              <w:spacing w:after="0"/>
              <w:rPr>
                <w:sz w:val="14"/>
                <w:szCs w:val="14"/>
                <w:color w:val="auto"/>
              </w:rPr>
            </w:pPr>
          </w:p>
        </w:tc>
        <w:tc>
          <w:tcPr>
            <w:tcW w:w="3580" w:type="dxa"/>
            <w:vAlign w:val="bottom"/>
          </w:tcPr>
          <w:p>
            <w:pPr>
              <w:ind w:left="680"/>
              <w:spacing w:after="0"/>
              <w:rPr>
                <w:sz w:val="20"/>
                <w:szCs w:val="20"/>
                <w:color w:val="auto"/>
              </w:rPr>
            </w:pPr>
            <w:r>
              <w:rPr>
                <w:rFonts w:ascii="Arial" w:cs="Arial" w:eastAsia="Arial" w:hAnsi="Arial"/>
                <w:sz w:val="13"/>
                <w:szCs w:val="13"/>
                <w:color w:val="auto"/>
              </w:rPr>
              <w:t>Republic of Ireland</w:t>
            </w:r>
          </w:p>
        </w:tc>
        <w:tc>
          <w:tcPr>
            <w:tcW w:w="192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29"/>
        </w:trPr>
        <w:tc>
          <w:tcPr>
            <w:tcW w:w="34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PRA Clinical Limited</w:t>
            </w:r>
          </w:p>
        </w:tc>
        <w:tc>
          <w:tcPr>
            <w:tcW w:w="3580" w:type="dxa"/>
            <w:vAlign w:val="bottom"/>
            <w:shd w:val="clear" w:color="auto" w:fill="CCEEFF"/>
          </w:tcPr>
          <w:p>
            <w:pPr>
              <w:ind w:left="680"/>
              <w:spacing w:after="0" w:line="129" w:lineRule="exact"/>
              <w:rPr>
                <w:sz w:val="20"/>
                <w:szCs w:val="20"/>
                <w:color w:val="auto"/>
              </w:rPr>
            </w:pPr>
            <w:r>
              <w:rPr>
                <w:rFonts w:ascii="Arial" w:cs="Arial" w:eastAsia="Arial" w:hAnsi="Arial"/>
                <w:sz w:val="13"/>
                <w:szCs w:val="13"/>
                <w:color w:val="auto"/>
              </w:rPr>
              <w:t>South County Business Park,</w:t>
            </w:r>
          </w:p>
        </w:tc>
        <w:tc>
          <w:tcPr>
            <w:tcW w:w="192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Clinical research services</w:t>
            </w:r>
          </w:p>
        </w:tc>
        <w:tc>
          <w:tcPr>
            <w:tcW w:w="2360" w:type="dxa"/>
            <w:vAlign w:val="bottom"/>
            <w:shd w:val="clear" w:color="auto" w:fill="CCEEFF"/>
          </w:tcPr>
          <w:p>
            <w:pPr>
              <w:ind w:left="1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400" w:type="dxa"/>
            <w:vAlign w:val="bottom"/>
            <w:shd w:val="clear" w:color="auto" w:fill="CCEEFF"/>
          </w:tcPr>
          <w:p>
            <w:pPr>
              <w:spacing w:after="0"/>
              <w:rPr>
                <w:sz w:val="11"/>
                <w:szCs w:val="11"/>
                <w:color w:val="auto"/>
              </w:rPr>
            </w:pPr>
          </w:p>
        </w:tc>
        <w:tc>
          <w:tcPr>
            <w:tcW w:w="3580" w:type="dxa"/>
            <w:vAlign w:val="bottom"/>
            <w:shd w:val="clear" w:color="auto" w:fill="CCEEFF"/>
          </w:tcPr>
          <w:p>
            <w:pPr>
              <w:ind w:left="680"/>
              <w:spacing w:after="0" w:line="128" w:lineRule="exact"/>
              <w:rPr>
                <w:sz w:val="20"/>
                <w:szCs w:val="20"/>
                <w:color w:val="auto"/>
              </w:rPr>
            </w:pPr>
            <w:r>
              <w:rPr>
                <w:rFonts w:ascii="Arial" w:cs="Arial" w:eastAsia="Arial" w:hAnsi="Arial"/>
                <w:sz w:val="13"/>
                <w:szCs w:val="13"/>
                <w:color w:val="auto"/>
              </w:rPr>
              <w:t>Leopardstown,</w:t>
            </w:r>
          </w:p>
        </w:tc>
        <w:tc>
          <w:tcPr>
            <w:tcW w:w="192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r>
      <w:tr>
        <w:trPr>
          <w:trHeight w:val="127"/>
        </w:trPr>
        <w:tc>
          <w:tcPr>
            <w:tcW w:w="3400" w:type="dxa"/>
            <w:vAlign w:val="bottom"/>
            <w:shd w:val="clear" w:color="auto" w:fill="CCEEFF"/>
          </w:tcPr>
          <w:p>
            <w:pPr>
              <w:spacing w:after="0"/>
              <w:rPr>
                <w:sz w:val="11"/>
                <w:szCs w:val="11"/>
                <w:color w:val="auto"/>
              </w:rPr>
            </w:pPr>
          </w:p>
        </w:tc>
        <w:tc>
          <w:tcPr>
            <w:tcW w:w="3580" w:type="dxa"/>
            <w:vAlign w:val="bottom"/>
            <w:shd w:val="clear" w:color="auto" w:fill="CCEEFF"/>
          </w:tcPr>
          <w:p>
            <w:pPr>
              <w:ind w:left="680"/>
              <w:spacing w:after="0" w:line="128" w:lineRule="exact"/>
              <w:rPr>
                <w:sz w:val="20"/>
                <w:szCs w:val="20"/>
                <w:color w:val="auto"/>
              </w:rPr>
            </w:pPr>
            <w:r>
              <w:rPr>
                <w:rFonts w:ascii="Arial" w:cs="Arial" w:eastAsia="Arial" w:hAnsi="Arial"/>
                <w:sz w:val="13"/>
                <w:szCs w:val="13"/>
                <w:color w:val="auto"/>
              </w:rPr>
              <w:t>Dublin 18</w:t>
            </w:r>
          </w:p>
        </w:tc>
        <w:tc>
          <w:tcPr>
            <w:tcW w:w="192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r>
      <w:tr>
        <w:trPr>
          <w:trHeight w:val="170"/>
        </w:trPr>
        <w:tc>
          <w:tcPr>
            <w:tcW w:w="3400" w:type="dxa"/>
            <w:vAlign w:val="bottom"/>
            <w:shd w:val="clear" w:color="auto" w:fill="CCEEFF"/>
          </w:tcPr>
          <w:p>
            <w:pPr>
              <w:spacing w:after="0"/>
              <w:rPr>
                <w:sz w:val="14"/>
                <w:szCs w:val="14"/>
                <w:color w:val="auto"/>
              </w:rPr>
            </w:pPr>
          </w:p>
        </w:tc>
        <w:tc>
          <w:tcPr>
            <w:tcW w:w="3580" w:type="dxa"/>
            <w:vAlign w:val="bottom"/>
            <w:shd w:val="clear" w:color="auto" w:fill="CCEEFF"/>
          </w:tcPr>
          <w:p>
            <w:pPr>
              <w:ind w:left="680"/>
              <w:spacing w:after="0"/>
              <w:rPr>
                <w:sz w:val="20"/>
                <w:szCs w:val="20"/>
                <w:color w:val="auto"/>
              </w:rPr>
            </w:pPr>
            <w:r>
              <w:rPr>
                <w:rFonts w:ascii="Arial" w:cs="Arial" w:eastAsia="Arial" w:hAnsi="Arial"/>
                <w:sz w:val="13"/>
                <w:szCs w:val="13"/>
                <w:color w:val="auto"/>
              </w:rPr>
              <w:t>Republic of Ireland</w:t>
            </w:r>
          </w:p>
        </w:tc>
        <w:tc>
          <w:tcPr>
            <w:tcW w:w="192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r>
      <w:tr>
        <w:trPr>
          <w:trHeight w:val="127"/>
        </w:trPr>
        <w:tc>
          <w:tcPr>
            <w:tcW w:w="3400" w:type="dxa"/>
            <w:vAlign w:val="bottom"/>
          </w:tcPr>
          <w:p>
            <w:pPr>
              <w:ind w:left="20"/>
              <w:spacing w:after="0" w:line="128" w:lineRule="exact"/>
              <w:rPr>
                <w:sz w:val="20"/>
                <w:szCs w:val="20"/>
                <w:color w:val="auto"/>
              </w:rPr>
            </w:pPr>
            <w:r>
              <w:rPr>
                <w:rFonts w:ascii="Arial" w:cs="Arial" w:eastAsia="Arial" w:hAnsi="Arial"/>
                <w:sz w:val="13"/>
                <w:szCs w:val="13"/>
                <w:color w:val="auto"/>
              </w:rPr>
              <w:t>ICON Clinical Research Israel LTD.*****</w:t>
            </w:r>
          </w:p>
        </w:tc>
        <w:tc>
          <w:tcPr>
            <w:tcW w:w="3580" w:type="dxa"/>
            <w:vAlign w:val="bottom"/>
          </w:tcPr>
          <w:p>
            <w:pPr>
              <w:ind w:left="680"/>
              <w:spacing w:after="0" w:line="128" w:lineRule="exact"/>
              <w:rPr>
                <w:sz w:val="20"/>
                <w:szCs w:val="20"/>
                <w:color w:val="auto"/>
              </w:rPr>
            </w:pPr>
            <w:r>
              <w:rPr>
                <w:rFonts w:ascii="Arial" w:cs="Arial" w:eastAsia="Arial" w:hAnsi="Arial"/>
                <w:sz w:val="13"/>
                <w:szCs w:val="13"/>
                <w:color w:val="auto"/>
              </w:rPr>
              <w:t>6 Haba'al Shem Tov st.,</w:t>
            </w:r>
          </w:p>
        </w:tc>
        <w:tc>
          <w:tcPr>
            <w:tcW w:w="1920" w:type="dxa"/>
            <w:vAlign w:val="bottom"/>
          </w:tcPr>
          <w:p>
            <w:pPr>
              <w:ind w:left="200"/>
              <w:spacing w:after="0" w:line="128" w:lineRule="exact"/>
              <w:rPr>
                <w:sz w:val="20"/>
                <w:szCs w:val="20"/>
                <w:color w:val="auto"/>
              </w:rPr>
            </w:pPr>
            <w:r>
              <w:rPr>
                <w:rFonts w:ascii="Arial" w:cs="Arial" w:eastAsia="Arial" w:hAnsi="Arial"/>
                <w:sz w:val="13"/>
                <w:szCs w:val="13"/>
                <w:color w:val="auto"/>
              </w:rPr>
              <w:t>Clinical research services</w:t>
            </w:r>
          </w:p>
        </w:tc>
        <w:tc>
          <w:tcPr>
            <w:tcW w:w="2360" w:type="dxa"/>
            <w:vAlign w:val="bottom"/>
          </w:tcPr>
          <w:p>
            <w:pPr>
              <w:ind w:left="1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400" w:type="dxa"/>
            <w:vAlign w:val="bottom"/>
          </w:tcPr>
          <w:p>
            <w:pPr>
              <w:spacing w:after="0"/>
              <w:rPr>
                <w:sz w:val="11"/>
                <w:szCs w:val="11"/>
                <w:color w:val="auto"/>
              </w:rPr>
            </w:pPr>
          </w:p>
        </w:tc>
        <w:tc>
          <w:tcPr>
            <w:tcW w:w="3580" w:type="dxa"/>
            <w:vAlign w:val="bottom"/>
          </w:tcPr>
          <w:p>
            <w:pPr>
              <w:ind w:left="680"/>
              <w:spacing w:after="0" w:line="128" w:lineRule="exact"/>
              <w:rPr>
                <w:sz w:val="20"/>
                <w:szCs w:val="20"/>
                <w:color w:val="auto"/>
              </w:rPr>
            </w:pPr>
            <w:r>
              <w:rPr>
                <w:rFonts w:ascii="Arial" w:cs="Arial" w:eastAsia="Arial" w:hAnsi="Arial"/>
                <w:sz w:val="13"/>
                <w:szCs w:val="13"/>
                <w:color w:val="auto"/>
              </w:rPr>
              <w:t>North Industrial Area,</w:t>
            </w:r>
          </w:p>
        </w:tc>
        <w:tc>
          <w:tcPr>
            <w:tcW w:w="192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127"/>
        </w:trPr>
        <w:tc>
          <w:tcPr>
            <w:tcW w:w="3400" w:type="dxa"/>
            <w:vAlign w:val="bottom"/>
          </w:tcPr>
          <w:p>
            <w:pPr>
              <w:spacing w:after="0"/>
              <w:rPr>
                <w:sz w:val="11"/>
                <w:szCs w:val="11"/>
                <w:color w:val="auto"/>
              </w:rPr>
            </w:pPr>
          </w:p>
        </w:tc>
        <w:tc>
          <w:tcPr>
            <w:tcW w:w="3580" w:type="dxa"/>
            <w:vAlign w:val="bottom"/>
          </w:tcPr>
          <w:p>
            <w:pPr>
              <w:ind w:left="680"/>
              <w:spacing w:after="0" w:line="128" w:lineRule="exact"/>
              <w:rPr>
                <w:sz w:val="20"/>
                <w:szCs w:val="20"/>
                <w:color w:val="auto"/>
              </w:rPr>
            </w:pPr>
            <w:r>
              <w:rPr>
                <w:rFonts w:ascii="Arial" w:cs="Arial" w:eastAsia="Arial" w:hAnsi="Arial"/>
                <w:sz w:val="13"/>
                <w:szCs w:val="13"/>
                <w:color w:val="auto"/>
              </w:rPr>
              <w:t>Lod,</w:t>
            </w:r>
          </w:p>
        </w:tc>
        <w:tc>
          <w:tcPr>
            <w:tcW w:w="192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168"/>
        </w:trPr>
        <w:tc>
          <w:tcPr>
            <w:tcW w:w="3400" w:type="dxa"/>
            <w:vAlign w:val="bottom"/>
          </w:tcPr>
          <w:p>
            <w:pPr>
              <w:spacing w:after="0"/>
              <w:rPr>
                <w:sz w:val="14"/>
                <w:szCs w:val="14"/>
                <w:color w:val="auto"/>
              </w:rPr>
            </w:pPr>
          </w:p>
        </w:tc>
        <w:tc>
          <w:tcPr>
            <w:tcW w:w="3580" w:type="dxa"/>
            <w:vAlign w:val="bottom"/>
          </w:tcPr>
          <w:p>
            <w:pPr>
              <w:ind w:left="680"/>
              <w:spacing w:after="0"/>
              <w:rPr>
                <w:sz w:val="20"/>
                <w:szCs w:val="20"/>
                <w:color w:val="auto"/>
              </w:rPr>
            </w:pPr>
            <w:r>
              <w:rPr>
                <w:rFonts w:ascii="Arial" w:cs="Arial" w:eastAsia="Arial" w:hAnsi="Arial"/>
                <w:sz w:val="13"/>
                <w:szCs w:val="13"/>
                <w:color w:val="auto"/>
              </w:rPr>
              <w:t>Israel, 7128906</w:t>
            </w:r>
          </w:p>
        </w:tc>
        <w:tc>
          <w:tcPr>
            <w:tcW w:w="192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29"/>
        </w:trPr>
        <w:tc>
          <w:tcPr>
            <w:tcW w:w="34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Pharmaceutical Research Associates Israel Ltd.</w:t>
            </w:r>
          </w:p>
        </w:tc>
        <w:tc>
          <w:tcPr>
            <w:tcW w:w="3580" w:type="dxa"/>
            <w:vAlign w:val="bottom"/>
            <w:shd w:val="clear" w:color="auto" w:fill="CCEEFF"/>
          </w:tcPr>
          <w:p>
            <w:pPr>
              <w:ind w:left="680"/>
              <w:spacing w:after="0" w:line="129" w:lineRule="exact"/>
              <w:rPr>
                <w:sz w:val="20"/>
                <w:szCs w:val="20"/>
                <w:color w:val="auto"/>
              </w:rPr>
            </w:pPr>
            <w:r>
              <w:rPr>
                <w:rFonts w:ascii="Arial" w:cs="Arial" w:eastAsia="Arial" w:hAnsi="Arial"/>
                <w:sz w:val="13"/>
                <w:szCs w:val="13"/>
                <w:color w:val="auto"/>
              </w:rPr>
              <w:t>Building E, 13th Floor</w:t>
            </w:r>
          </w:p>
        </w:tc>
        <w:tc>
          <w:tcPr>
            <w:tcW w:w="192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Clinical research services</w:t>
            </w:r>
          </w:p>
        </w:tc>
        <w:tc>
          <w:tcPr>
            <w:tcW w:w="2360" w:type="dxa"/>
            <w:vAlign w:val="bottom"/>
            <w:shd w:val="clear" w:color="auto" w:fill="CCEEFF"/>
          </w:tcPr>
          <w:p>
            <w:pPr>
              <w:ind w:left="1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400" w:type="dxa"/>
            <w:vAlign w:val="bottom"/>
            <w:shd w:val="clear" w:color="auto" w:fill="CCEEFF"/>
          </w:tcPr>
          <w:p>
            <w:pPr>
              <w:spacing w:after="0"/>
              <w:rPr>
                <w:sz w:val="11"/>
                <w:szCs w:val="11"/>
                <w:color w:val="auto"/>
              </w:rPr>
            </w:pPr>
          </w:p>
        </w:tc>
        <w:tc>
          <w:tcPr>
            <w:tcW w:w="3580" w:type="dxa"/>
            <w:vAlign w:val="bottom"/>
            <w:shd w:val="clear" w:color="auto" w:fill="CCEEFF"/>
          </w:tcPr>
          <w:p>
            <w:pPr>
              <w:ind w:left="680"/>
              <w:spacing w:after="0" w:line="128" w:lineRule="exact"/>
              <w:rPr>
                <w:sz w:val="20"/>
                <w:szCs w:val="20"/>
                <w:color w:val="auto"/>
              </w:rPr>
            </w:pPr>
            <w:r>
              <w:rPr>
                <w:rFonts w:ascii="Arial" w:cs="Arial" w:eastAsia="Arial" w:hAnsi="Arial"/>
                <w:sz w:val="13"/>
                <w:szCs w:val="13"/>
                <w:color w:val="auto"/>
              </w:rPr>
              <w:t>4 Haharash Street</w:t>
            </w:r>
          </w:p>
        </w:tc>
        <w:tc>
          <w:tcPr>
            <w:tcW w:w="192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r>
      <w:tr>
        <w:trPr>
          <w:trHeight w:val="170"/>
        </w:trPr>
        <w:tc>
          <w:tcPr>
            <w:tcW w:w="3400" w:type="dxa"/>
            <w:vAlign w:val="bottom"/>
            <w:shd w:val="clear" w:color="auto" w:fill="CCEEFF"/>
          </w:tcPr>
          <w:p>
            <w:pPr>
              <w:spacing w:after="0"/>
              <w:rPr>
                <w:sz w:val="14"/>
                <w:szCs w:val="14"/>
                <w:color w:val="auto"/>
              </w:rPr>
            </w:pPr>
          </w:p>
        </w:tc>
        <w:tc>
          <w:tcPr>
            <w:tcW w:w="3580" w:type="dxa"/>
            <w:vAlign w:val="bottom"/>
            <w:shd w:val="clear" w:color="auto" w:fill="CCEEFF"/>
          </w:tcPr>
          <w:p>
            <w:pPr>
              <w:ind w:left="680"/>
              <w:spacing w:after="0"/>
              <w:rPr>
                <w:sz w:val="20"/>
                <w:szCs w:val="20"/>
                <w:color w:val="auto"/>
              </w:rPr>
            </w:pPr>
            <w:r>
              <w:rPr>
                <w:rFonts w:ascii="Arial" w:cs="Arial" w:eastAsia="Arial" w:hAnsi="Arial"/>
                <w:sz w:val="13"/>
                <w:szCs w:val="13"/>
                <w:color w:val="auto"/>
              </w:rPr>
              <w:t>Hod Hasharon 4524402 Israel</w:t>
            </w:r>
          </w:p>
        </w:tc>
        <w:tc>
          <w:tcPr>
            <w:tcW w:w="192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r>
      <w:tr>
        <w:trPr>
          <w:trHeight w:val="127"/>
        </w:trPr>
        <w:tc>
          <w:tcPr>
            <w:tcW w:w="3400" w:type="dxa"/>
            <w:vAlign w:val="bottom"/>
          </w:tcPr>
          <w:p>
            <w:pPr>
              <w:ind w:left="20"/>
              <w:spacing w:after="0" w:line="128" w:lineRule="exact"/>
              <w:rPr>
                <w:sz w:val="20"/>
                <w:szCs w:val="20"/>
                <w:color w:val="auto"/>
              </w:rPr>
            </w:pPr>
            <w:r>
              <w:rPr>
                <w:rFonts w:ascii="Arial" w:cs="Arial" w:eastAsia="Arial" w:hAnsi="Arial"/>
                <w:sz w:val="13"/>
                <w:szCs w:val="13"/>
                <w:color w:val="auto"/>
              </w:rPr>
              <w:t>Pharmaceutical Research Associates Italy S.r.l.</w:t>
            </w:r>
          </w:p>
        </w:tc>
        <w:tc>
          <w:tcPr>
            <w:tcW w:w="3580" w:type="dxa"/>
            <w:vAlign w:val="bottom"/>
          </w:tcPr>
          <w:p>
            <w:pPr>
              <w:ind w:left="680"/>
              <w:spacing w:after="0" w:line="128" w:lineRule="exact"/>
              <w:rPr>
                <w:sz w:val="20"/>
                <w:szCs w:val="20"/>
                <w:color w:val="auto"/>
              </w:rPr>
            </w:pPr>
            <w:r>
              <w:rPr>
                <w:rFonts w:ascii="Arial" w:cs="Arial" w:eastAsia="Arial" w:hAnsi="Arial"/>
                <w:sz w:val="13"/>
                <w:szCs w:val="13"/>
                <w:color w:val="auto"/>
              </w:rPr>
              <w:t>Via Borgogna 8</w:t>
            </w:r>
          </w:p>
        </w:tc>
        <w:tc>
          <w:tcPr>
            <w:tcW w:w="1920" w:type="dxa"/>
            <w:vAlign w:val="bottom"/>
          </w:tcPr>
          <w:p>
            <w:pPr>
              <w:ind w:left="200"/>
              <w:spacing w:after="0" w:line="128" w:lineRule="exact"/>
              <w:rPr>
                <w:sz w:val="20"/>
                <w:szCs w:val="20"/>
                <w:color w:val="auto"/>
              </w:rPr>
            </w:pPr>
            <w:r>
              <w:rPr>
                <w:rFonts w:ascii="Arial" w:cs="Arial" w:eastAsia="Arial" w:hAnsi="Arial"/>
                <w:sz w:val="13"/>
                <w:szCs w:val="13"/>
                <w:color w:val="auto"/>
              </w:rPr>
              <w:t>Clinical research services</w:t>
            </w:r>
          </w:p>
        </w:tc>
        <w:tc>
          <w:tcPr>
            <w:tcW w:w="2360" w:type="dxa"/>
            <w:vAlign w:val="bottom"/>
          </w:tcPr>
          <w:p>
            <w:pPr>
              <w:ind w:left="120"/>
              <w:spacing w:after="0" w:line="128" w:lineRule="exact"/>
              <w:rPr>
                <w:sz w:val="20"/>
                <w:szCs w:val="20"/>
                <w:color w:val="auto"/>
              </w:rPr>
            </w:pPr>
            <w:r>
              <w:rPr>
                <w:rFonts w:ascii="Arial" w:cs="Arial" w:eastAsia="Arial" w:hAnsi="Arial"/>
                <w:sz w:val="13"/>
                <w:szCs w:val="13"/>
                <w:color w:val="auto"/>
              </w:rPr>
              <w:t>100%</w:t>
            </w:r>
          </w:p>
        </w:tc>
      </w:tr>
      <w:tr>
        <w:trPr>
          <w:trHeight w:val="168"/>
        </w:trPr>
        <w:tc>
          <w:tcPr>
            <w:tcW w:w="3400" w:type="dxa"/>
            <w:vAlign w:val="bottom"/>
          </w:tcPr>
          <w:p>
            <w:pPr>
              <w:spacing w:after="0"/>
              <w:rPr>
                <w:sz w:val="14"/>
                <w:szCs w:val="14"/>
                <w:color w:val="auto"/>
              </w:rPr>
            </w:pPr>
          </w:p>
        </w:tc>
        <w:tc>
          <w:tcPr>
            <w:tcW w:w="3580" w:type="dxa"/>
            <w:vAlign w:val="bottom"/>
          </w:tcPr>
          <w:p>
            <w:pPr>
              <w:ind w:left="680"/>
              <w:spacing w:after="0"/>
              <w:rPr>
                <w:sz w:val="20"/>
                <w:szCs w:val="20"/>
                <w:color w:val="auto"/>
              </w:rPr>
            </w:pPr>
            <w:r>
              <w:rPr>
                <w:rFonts w:ascii="Arial" w:cs="Arial" w:eastAsia="Arial" w:hAnsi="Arial"/>
                <w:sz w:val="13"/>
                <w:szCs w:val="13"/>
                <w:color w:val="auto"/>
              </w:rPr>
              <w:t>20122 Milan, Italy</w:t>
            </w:r>
          </w:p>
        </w:tc>
        <w:tc>
          <w:tcPr>
            <w:tcW w:w="192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29"/>
        </w:trPr>
        <w:tc>
          <w:tcPr>
            <w:tcW w:w="34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PRA Development Center KK</w:t>
            </w:r>
          </w:p>
        </w:tc>
        <w:tc>
          <w:tcPr>
            <w:tcW w:w="3580" w:type="dxa"/>
            <w:vAlign w:val="bottom"/>
            <w:shd w:val="clear" w:color="auto" w:fill="CCEEFF"/>
          </w:tcPr>
          <w:p>
            <w:pPr>
              <w:ind w:left="680"/>
              <w:spacing w:after="0" w:line="129" w:lineRule="exact"/>
              <w:rPr>
                <w:sz w:val="20"/>
                <w:szCs w:val="20"/>
                <w:color w:val="auto"/>
              </w:rPr>
            </w:pPr>
            <w:r>
              <w:rPr>
                <w:rFonts w:ascii="Arial" w:cs="Arial" w:eastAsia="Arial" w:hAnsi="Arial"/>
                <w:sz w:val="13"/>
                <w:szCs w:val="13"/>
                <w:color w:val="auto"/>
              </w:rPr>
              <w:t>1-3 Kyutaro-machi 4-chome,</w:t>
            </w:r>
          </w:p>
        </w:tc>
        <w:tc>
          <w:tcPr>
            <w:tcW w:w="192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Clinical research services</w:t>
            </w:r>
          </w:p>
        </w:tc>
        <w:tc>
          <w:tcPr>
            <w:tcW w:w="2360" w:type="dxa"/>
            <w:vAlign w:val="bottom"/>
            <w:shd w:val="clear" w:color="auto" w:fill="CCEEFF"/>
          </w:tcPr>
          <w:p>
            <w:pPr>
              <w:ind w:left="120"/>
              <w:spacing w:after="0" w:line="129" w:lineRule="exact"/>
              <w:rPr>
                <w:sz w:val="20"/>
                <w:szCs w:val="20"/>
                <w:color w:val="auto"/>
              </w:rPr>
            </w:pPr>
            <w:r>
              <w:rPr>
                <w:rFonts w:ascii="Arial" w:cs="Arial" w:eastAsia="Arial" w:hAnsi="Arial"/>
                <w:sz w:val="13"/>
                <w:szCs w:val="13"/>
                <w:color w:val="auto"/>
              </w:rPr>
              <w:t>100%</w:t>
            </w:r>
          </w:p>
        </w:tc>
      </w:tr>
      <w:tr>
        <w:trPr>
          <w:trHeight w:val="170"/>
        </w:trPr>
        <w:tc>
          <w:tcPr>
            <w:tcW w:w="3400" w:type="dxa"/>
            <w:vAlign w:val="bottom"/>
            <w:shd w:val="clear" w:color="auto" w:fill="CCEEFF"/>
          </w:tcPr>
          <w:p>
            <w:pPr>
              <w:spacing w:after="0"/>
              <w:rPr>
                <w:sz w:val="14"/>
                <w:szCs w:val="14"/>
                <w:color w:val="auto"/>
              </w:rPr>
            </w:pPr>
          </w:p>
        </w:tc>
        <w:tc>
          <w:tcPr>
            <w:tcW w:w="3580" w:type="dxa"/>
            <w:vAlign w:val="bottom"/>
            <w:shd w:val="clear" w:color="auto" w:fill="CCEEFF"/>
          </w:tcPr>
          <w:p>
            <w:pPr>
              <w:ind w:left="680"/>
              <w:spacing w:after="0"/>
              <w:rPr>
                <w:sz w:val="20"/>
                <w:szCs w:val="20"/>
                <w:color w:val="auto"/>
              </w:rPr>
            </w:pPr>
            <w:r>
              <w:rPr>
                <w:rFonts w:ascii="Arial" w:cs="Arial" w:eastAsia="Arial" w:hAnsi="Arial"/>
                <w:sz w:val="13"/>
                <w:szCs w:val="13"/>
                <w:color w:val="auto"/>
              </w:rPr>
              <w:t>Chuo-ku, Osaka 541-0056 Japan</w:t>
            </w:r>
          </w:p>
        </w:tc>
        <w:tc>
          <w:tcPr>
            <w:tcW w:w="192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r>
      <w:tr>
        <w:trPr>
          <w:trHeight w:val="127"/>
        </w:trPr>
        <w:tc>
          <w:tcPr>
            <w:tcW w:w="3400" w:type="dxa"/>
            <w:vAlign w:val="bottom"/>
          </w:tcPr>
          <w:p>
            <w:pPr>
              <w:ind w:left="20"/>
              <w:spacing w:after="0" w:line="128" w:lineRule="exact"/>
              <w:rPr>
                <w:sz w:val="20"/>
                <w:szCs w:val="20"/>
                <w:color w:val="auto"/>
              </w:rPr>
            </w:pPr>
            <w:r>
              <w:rPr>
                <w:rFonts w:ascii="Arial" w:cs="Arial" w:eastAsia="Arial" w:hAnsi="Arial"/>
                <w:sz w:val="13"/>
                <w:szCs w:val="13"/>
                <w:color w:val="auto"/>
              </w:rPr>
              <w:t>PRA Health Sciences KK</w:t>
            </w:r>
          </w:p>
        </w:tc>
        <w:tc>
          <w:tcPr>
            <w:tcW w:w="3580" w:type="dxa"/>
            <w:vAlign w:val="bottom"/>
          </w:tcPr>
          <w:p>
            <w:pPr>
              <w:ind w:left="680"/>
              <w:spacing w:after="0" w:line="128" w:lineRule="exact"/>
              <w:rPr>
                <w:sz w:val="20"/>
                <w:szCs w:val="20"/>
                <w:color w:val="auto"/>
              </w:rPr>
            </w:pPr>
            <w:r>
              <w:rPr>
                <w:rFonts w:ascii="Arial" w:cs="Arial" w:eastAsia="Arial" w:hAnsi="Arial"/>
                <w:sz w:val="13"/>
                <w:szCs w:val="13"/>
                <w:color w:val="auto"/>
              </w:rPr>
              <w:t>1-3 Kyutaro-machi 4-chome,</w:t>
            </w:r>
          </w:p>
        </w:tc>
        <w:tc>
          <w:tcPr>
            <w:tcW w:w="1920" w:type="dxa"/>
            <w:vAlign w:val="bottom"/>
          </w:tcPr>
          <w:p>
            <w:pPr>
              <w:ind w:left="200"/>
              <w:spacing w:after="0" w:line="128" w:lineRule="exact"/>
              <w:rPr>
                <w:sz w:val="20"/>
                <w:szCs w:val="20"/>
                <w:color w:val="auto"/>
              </w:rPr>
            </w:pPr>
            <w:r>
              <w:rPr>
                <w:rFonts w:ascii="Arial" w:cs="Arial" w:eastAsia="Arial" w:hAnsi="Arial"/>
                <w:sz w:val="13"/>
                <w:szCs w:val="13"/>
                <w:color w:val="auto"/>
              </w:rPr>
              <w:t>Clinical research services</w:t>
            </w:r>
          </w:p>
        </w:tc>
        <w:tc>
          <w:tcPr>
            <w:tcW w:w="2360" w:type="dxa"/>
            <w:vAlign w:val="bottom"/>
          </w:tcPr>
          <w:p>
            <w:pPr>
              <w:ind w:left="120"/>
              <w:spacing w:after="0" w:line="128" w:lineRule="exact"/>
              <w:rPr>
                <w:sz w:val="20"/>
                <w:szCs w:val="20"/>
                <w:color w:val="auto"/>
              </w:rPr>
            </w:pPr>
            <w:r>
              <w:rPr>
                <w:rFonts w:ascii="Arial" w:cs="Arial" w:eastAsia="Arial" w:hAnsi="Arial"/>
                <w:sz w:val="13"/>
                <w:szCs w:val="13"/>
                <w:color w:val="auto"/>
              </w:rPr>
              <w:t>100%</w:t>
            </w:r>
          </w:p>
        </w:tc>
      </w:tr>
      <w:tr>
        <w:trPr>
          <w:trHeight w:val="168"/>
        </w:trPr>
        <w:tc>
          <w:tcPr>
            <w:tcW w:w="3400" w:type="dxa"/>
            <w:vAlign w:val="bottom"/>
          </w:tcPr>
          <w:p>
            <w:pPr>
              <w:spacing w:after="0"/>
              <w:rPr>
                <w:sz w:val="14"/>
                <w:szCs w:val="14"/>
                <w:color w:val="auto"/>
              </w:rPr>
            </w:pPr>
          </w:p>
        </w:tc>
        <w:tc>
          <w:tcPr>
            <w:tcW w:w="3580" w:type="dxa"/>
            <w:vAlign w:val="bottom"/>
          </w:tcPr>
          <w:p>
            <w:pPr>
              <w:ind w:left="680"/>
              <w:spacing w:after="0"/>
              <w:rPr>
                <w:sz w:val="20"/>
                <w:szCs w:val="20"/>
                <w:color w:val="auto"/>
              </w:rPr>
            </w:pPr>
            <w:r>
              <w:rPr>
                <w:rFonts w:ascii="Arial" w:cs="Arial" w:eastAsia="Arial" w:hAnsi="Arial"/>
                <w:sz w:val="13"/>
                <w:szCs w:val="13"/>
                <w:color w:val="auto"/>
              </w:rPr>
              <w:t>Chuo-ku, Osaka 541-0056 Japan</w:t>
            </w:r>
          </w:p>
        </w:tc>
        <w:tc>
          <w:tcPr>
            <w:tcW w:w="192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29"/>
        </w:trPr>
        <w:tc>
          <w:tcPr>
            <w:tcW w:w="34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Japan K.K.</w:t>
            </w:r>
          </w:p>
        </w:tc>
        <w:tc>
          <w:tcPr>
            <w:tcW w:w="3580" w:type="dxa"/>
            <w:vAlign w:val="bottom"/>
            <w:shd w:val="clear" w:color="auto" w:fill="CCEEFF"/>
          </w:tcPr>
          <w:p>
            <w:pPr>
              <w:ind w:left="680"/>
              <w:spacing w:after="0" w:line="129" w:lineRule="exact"/>
              <w:rPr>
                <w:sz w:val="20"/>
                <w:szCs w:val="20"/>
                <w:color w:val="auto"/>
              </w:rPr>
            </w:pPr>
            <w:r>
              <w:rPr>
                <w:rFonts w:ascii="Arial" w:cs="Arial" w:eastAsia="Arial" w:hAnsi="Arial"/>
                <w:sz w:val="13"/>
                <w:szCs w:val="13"/>
                <w:color w:val="auto"/>
              </w:rPr>
              <w:t>4-3-9 Toranomon,</w:t>
            </w:r>
          </w:p>
        </w:tc>
        <w:tc>
          <w:tcPr>
            <w:tcW w:w="192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Clinical research services</w:t>
            </w:r>
          </w:p>
        </w:tc>
        <w:tc>
          <w:tcPr>
            <w:tcW w:w="2360" w:type="dxa"/>
            <w:vAlign w:val="bottom"/>
            <w:shd w:val="clear" w:color="auto" w:fill="CCEEFF"/>
          </w:tcPr>
          <w:p>
            <w:pPr>
              <w:ind w:left="1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400" w:type="dxa"/>
            <w:vAlign w:val="bottom"/>
            <w:shd w:val="clear" w:color="auto" w:fill="CCEEFF"/>
          </w:tcPr>
          <w:p>
            <w:pPr>
              <w:spacing w:after="0"/>
              <w:rPr>
                <w:sz w:val="11"/>
                <w:szCs w:val="11"/>
                <w:color w:val="auto"/>
              </w:rPr>
            </w:pPr>
          </w:p>
        </w:tc>
        <w:tc>
          <w:tcPr>
            <w:tcW w:w="3580" w:type="dxa"/>
            <w:vAlign w:val="bottom"/>
            <w:shd w:val="clear" w:color="auto" w:fill="CCEEFF"/>
          </w:tcPr>
          <w:p>
            <w:pPr>
              <w:ind w:left="680"/>
              <w:spacing w:after="0" w:line="128" w:lineRule="exact"/>
              <w:rPr>
                <w:sz w:val="20"/>
                <w:szCs w:val="20"/>
                <w:color w:val="auto"/>
              </w:rPr>
            </w:pPr>
            <w:r>
              <w:rPr>
                <w:rFonts w:ascii="Arial" w:cs="Arial" w:eastAsia="Arial" w:hAnsi="Arial"/>
                <w:sz w:val="13"/>
                <w:szCs w:val="13"/>
                <w:color w:val="auto"/>
              </w:rPr>
              <w:t>Minato-ku</w:t>
            </w:r>
          </w:p>
        </w:tc>
        <w:tc>
          <w:tcPr>
            <w:tcW w:w="192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r>
      <w:tr>
        <w:trPr>
          <w:trHeight w:val="127"/>
        </w:trPr>
        <w:tc>
          <w:tcPr>
            <w:tcW w:w="3400" w:type="dxa"/>
            <w:vAlign w:val="bottom"/>
            <w:shd w:val="clear" w:color="auto" w:fill="CCEEFF"/>
          </w:tcPr>
          <w:p>
            <w:pPr>
              <w:spacing w:after="0"/>
              <w:rPr>
                <w:sz w:val="11"/>
                <w:szCs w:val="11"/>
                <w:color w:val="auto"/>
              </w:rPr>
            </w:pPr>
          </w:p>
        </w:tc>
        <w:tc>
          <w:tcPr>
            <w:tcW w:w="3580" w:type="dxa"/>
            <w:vAlign w:val="bottom"/>
            <w:shd w:val="clear" w:color="auto" w:fill="CCEEFF"/>
          </w:tcPr>
          <w:p>
            <w:pPr>
              <w:ind w:left="680"/>
              <w:spacing w:after="0" w:line="128" w:lineRule="exact"/>
              <w:rPr>
                <w:sz w:val="20"/>
                <w:szCs w:val="20"/>
                <w:color w:val="auto"/>
              </w:rPr>
            </w:pPr>
            <w:r>
              <w:rPr>
                <w:rFonts w:ascii="Arial" w:cs="Arial" w:eastAsia="Arial" w:hAnsi="Arial"/>
                <w:sz w:val="13"/>
                <w:szCs w:val="13"/>
                <w:color w:val="auto"/>
              </w:rPr>
              <w:t>Tokyo,</w:t>
            </w:r>
          </w:p>
        </w:tc>
        <w:tc>
          <w:tcPr>
            <w:tcW w:w="192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r>
      <w:tr>
        <w:trPr>
          <w:trHeight w:val="170"/>
        </w:trPr>
        <w:tc>
          <w:tcPr>
            <w:tcW w:w="3400" w:type="dxa"/>
            <w:vAlign w:val="bottom"/>
            <w:shd w:val="clear" w:color="auto" w:fill="CCEEFF"/>
          </w:tcPr>
          <w:p>
            <w:pPr>
              <w:spacing w:after="0"/>
              <w:rPr>
                <w:sz w:val="14"/>
                <w:szCs w:val="14"/>
                <w:color w:val="auto"/>
              </w:rPr>
            </w:pPr>
          </w:p>
        </w:tc>
        <w:tc>
          <w:tcPr>
            <w:tcW w:w="3580" w:type="dxa"/>
            <w:vAlign w:val="bottom"/>
            <w:shd w:val="clear" w:color="auto" w:fill="CCEEFF"/>
          </w:tcPr>
          <w:p>
            <w:pPr>
              <w:ind w:left="680"/>
              <w:spacing w:after="0"/>
              <w:rPr>
                <w:sz w:val="20"/>
                <w:szCs w:val="20"/>
                <w:color w:val="auto"/>
              </w:rPr>
            </w:pPr>
            <w:r>
              <w:rPr>
                <w:rFonts w:ascii="Arial" w:cs="Arial" w:eastAsia="Arial" w:hAnsi="Arial"/>
                <w:sz w:val="13"/>
                <w:szCs w:val="13"/>
                <w:color w:val="auto"/>
              </w:rPr>
              <w:t>Japan</w:t>
            </w:r>
          </w:p>
        </w:tc>
        <w:tc>
          <w:tcPr>
            <w:tcW w:w="192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r>
      <w:tr>
        <w:trPr>
          <w:trHeight w:val="127"/>
        </w:trPr>
        <w:tc>
          <w:tcPr>
            <w:tcW w:w="3400" w:type="dxa"/>
            <w:vAlign w:val="bottom"/>
          </w:tcPr>
          <w:p>
            <w:pPr>
              <w:ind w:left="20"/>
              <w:spacing w:after="0" w:line="128" w:lineRule="exact"/>
              <w:rPr>
                <w:sz w:val="20"/>
                <w:szCs w:val="20"/>
                <w:color w:val="auto"/>
              </w:rPr>
            </w:pPr>
            <w:r>
              <w:rPr>
                <w:rFonts w:ascii="Arial" w:cs="Arial" w:eastAsia="Arial" w:hAnsi="Arial"/>
                <w:sz w:val="13"/>
                <w:szCs w:val="13"/>
                <w:color w:val="auto"/>
              </w:rPr>
              <w:t>ICON Investments Limited</w:t>
            </w:r>
          </w:p>
        </w:tc>
        <w:tc>
          <w:tcPr>
            <w:tcW w:w="3580" w:type="dxa"/>
            <w:vAlign w:val="bottom"/>
          </w:tcPr>
          <w:p>
            <w:pPr>
              <w:ind w:left="680"/>
              <w:spacing w:after="0" w:line="128" w:lineRule="exact"/>
              <w:rPr>
                <w:sz w:val="20"/>
                <w:szCs w:val="20"/>
                <w:color w:val="auto"/>
              </w:rPr>
            </w:pPr>
            <w:r>
              <w:rPr>
                <w:rFonts w:ascii="Arial" w:cs="Arial" w:eastAsia="Arial" w:hAnsi="Arial"/>
                <w:sz w:val="13"/>
                <w:szCs w:val="13"/>
                <w:color w:val="auto"/>
              </w:rPr>
              <w:t>22 Grenville Street</w:t>
            </w:r>
          </w:p>
        </w:tc>
        <w:tc>
          <w:tcPr>
            <w:tcW w:w="1920" w:type="dxa"/>
            <w:vAlign w:val="bottom"/>
          </w:tcPr>
          <w:p>
            <w:pPr>
              <w:ind w:left="200"/>
              <w:spacing w:after="0" w:line="128" w:lineRule="exact"/>
              <w:rPr>
                <w:sz w:val="20"/>
                <w:szCs w:val="20"/>
                <w:color w:val="auto"/>
              </w:rPr>
            </w:pPr>
            <w:r>
              <w:rPr>
                <w:rFonts w:ascii="Arial" w:cs="Arial" w:eastAsia="Arial" w:hAnsi="Arial"/>
                <w:sz w:val="13"/>
                <w:szCs w:val="13"/>
                <w:color w:val="auto"/>
              </w:rPr>
              <w:t>Investment holding company</w:t>
            </w:r>
          </w:p>
        </w:tc>
        <w:tc>
          <w:tcPr>
            <w:tcW w:w="2360" w:type="dxa"/>
            <w:vAlign w:val="bottom"/>
          </w:tcPr>
          <w:p>
            <w:pPr>
              <w:ind w:left="1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400" w:type="dxa"/>
            <w:vAlign w:val="bottom"/>
          </w:tcPr>
          <w:p>
            <w:pPr>
              <w:spacing w:after="0"/>
              <w:rPr>
                <w:sz w:val="11"/>
                <w:szCs w:val="11"/>
                <w:color w:val="auto"/>
              </w:rPr>
            </w:pPr>
          </w:p>
        </w:tc>
        <w:tc>
          <w:tcPr>
            <w:tcW w:w="3580" w:type="dxa"/>
            <w:vAlign w:val="bottom"/>
          </w:tcPr>
          <w:p>
            <w:pPr>
              <w:ind w:left="680"/>
              <w:spacing w:after="0" w:line="128" w:lineRule="exact"/>
              <w:rPr>
                <w:sz w:val="20"/>
                <w:szCs w:val="20"/>
                <w:color w:val="auto"/>
              </w:rPr>
            </w:pPr>
            <w:r>
              <w:rPr>
                <w:rFonts w:ascii="Arial" w:cs="Arial" w:eastAsia="Arial" w:hAnsi="Arial"/>
                <w:sz w:val="13"/>
                <w:szCs w:val="13"/>
                <w:color w:val="auto"/>
              </w:rPr>
              <w:t>St Helier</w:t>
            </w:r>
          </w:p>
        </w:tc>
        <w:tc>
          <w:tcPr>
            <w:tcW w:w="192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127"/>
        </w:trPr>
        <w:tc>
          <w:tcPr>
            <w:tcW w:w="3400" w:type="dxa"/>
            <w:vAlign w:val="bottom"/>
          </w:tcPr>
          <w:p>
            <w:pPr>
              <w:spacing w:after="0"/>
              <w:rPr>
                <w:sz w:val="11"/>
                <w:szCs w:val="11"/>
                <w:color w:val="auto"/>
              </w:rPr>
            </w:pPr>
          </w:p>
        </w:tc>
        <w:tc>
          <w:tcPr>
            <w:tcW w:w="3580" w:type="dxa"/>
            <w:vAlign w:val="bottom"/>
          </w:tcPr>
          <w:p>
            <w:pPr>
              <w:ind w:left="680"/>
              <w:spacing w:after="0" w:line="128" w:lineRule="exact"/>
              <w:rPr>
                <w:sz w:val="20"/>
                <w:szCs w:val="20"/>
                <w:color w:val="auto"/>
              </w:rPr>
            </w:pPr>
            <w:r>
              <w:rPr>
                <w:rFonts w:ascii="Arial" w:cs="Arial" w:eastAsia="Arial" w:hAnsi="Arial"/>
                <w:sz w:val="13"/>
                <w:szCs w:val="13"/>
                <w:color w:val="auto"/>
              </w:rPr>
              <w:t>JE4 8PX</w:t>
            </w:r>
          </w:p>
        </w:tc>
        <w:tc>
          <w:tcPr>
            <w:tcW w:w="192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168"/>
        </w:trPr>
        <w:tc>
          <w:tcPr>
            <w:tcW w:w="3400" w:type="dxa"/>
            <w:vAlign w:val="bottom"/>
          </w:tcPr>
          <w:p>
            <w:pPr>
              <w:spacing w:after="0"/>
              <w:rPr>
                <w:sz w:val="14"/>
                <w:szCs w:val="14"/>
                <w:color w:val="auto"/>
              </w:rPr>
            </w:pPr>
          </w:p>
        </w:tc>
        <w:tc>
          <w:tcPr>
            <w:tcW w:w="3580" w:type="dxa"/>
            <w:vAlign w:val="bottom"/>
          </w:tcPr>
          <w:p>
            <w:pPr>
              <w:ind w:left="680"/>
              <w:spacing w:after="0"/>
              <w:rPr>
                <w:sz w:val="20"/>
                <w:szCs w:val="20"/>
                <w:color w:val="auto"/>
              </w:rPr>
            </w:pPr>
            <w:r>
              <w:rPr>
                <w:rFonts w:ascii="Arial" w:cs="Arial" w:eastAsia="Arial" w:hAnsi="Arial"/>
                <w:sz w:val="13"/>
                <w:szCs w:val="13"/>
                <w:color w:val="auto"/>
              </w:rPr>
              <w:t>Jersey</w:t>
            </w:r>
          </w:p>
        </w:tc>
        <w:tc>
          <w:tcPr>
            <w:tcW w:w="192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29"/>
        </w:trPr>
        <w:tc>
          <w:tcPr>
            <w:tcW w:w="34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PRA Health Sciences Kenya Limited</w:t>
            </w:r>
          </w:p>
        </w:tc>
        <w:tc>
          <w:tcPr>
            <w:tcW w:w="3580" w:type="dxa"/>
            <w:vAlign w:val="bottom"/>
            <w:shd w:val="clear" w:color="auto" w:fill="CCEEFF"/>
          </w:tcPr>
          <w:p>
            <w:pPr>
              <w:ind w:left="680"/>
              <w:spacing w:after="0" w:line="129" w:lineRule="exact"/>
              <w:rPr>
                <w:sz w:val="20"/>
                <w:szCs w:val="20"/>
                <w:color w:val="auto"/>
              </w:rPr>
            </w:pPr>
            <w:r>
              <w:rPr>
                <w:rFonts w:ascii="Arial" w:cs="Arial" w:eastAsia="Arial" w:hAnsi="Arial"/>
                <w:sz w:val="13"/>
                <w:szCs w:val="13"/>
                <w:color w:val="auto"/>
              </w:rPr>
              <w:t>LR No. 1870/1/176, ALN House,</w:t>
            </w:r>
          </w:p>
        </w:tc>
        <w:tc>
          <w:tcPr>
            <w:tcW w:w="192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Clinical research services</w:t>
            </w:r>
          </w:p>
        </w:tc>
        <w:tc>
          <w:tcPr>
            <w:tcW w:w="2360" w:type="dxa"/>
            <w:vAlign w:val="bottom"/>
            <w:shd w:val="clear" w:color="auto" w:fill="CCEEFF"/>
          </w:tcPr>
          <w:p>
            <w:pPr>
              <w:ind w:left="1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400" w:type="dxa"/>
            <w:vAlign w:val="bottom"/>
            <w:shd w:val="clear" w:color="auto" w:fill="CCEEFF"/>
          </w:tcPr>
          <w:p>
            <w:pPr>
              <w:spacing w:after="0"/>
              <w:rPr>
                <w:sz w:val="11"/>
                <w:szCs w:val="11"/>
                <w:color w:val="auto"/>
              </w:rPr>
            </w:pPr>
          </w:p>
        </w:tc>
        <w:tc>
          <w:tcPr>
            <w:tcW w:w="3580" w:type="dxa"/>
            <w:vAlign w:val="bottom"/>
            <w:shd w:val="clear" w:color="auto" w:fill="CCEEFF"/>
          </w:tcPr>
          <w:p>
            <w:pPr>
              <w:ind w:left="680"/>
              <w:spacing w:after="0" w:line="128" w:lineRule="exact"/>
              <w:rPr>
                <w:sz w:val="20"/>
                <w:szCs w:val="20"/>
                <w:color w:val="auto"/>
              </w:rPr>
            </w:pPr>
            <w:r>
              <w:rPr>
                <w:rFonts w:ascii="Arial" w:cs="Arial" w:eastAsia="Arial" w:hAnsi="Arial"/>
                <w:sz w:val="13"/>
                <w:szCs w:val="13"/>
                <w:color w:val="auto"/>
              </w:rPr>
              <w:t>Eldama Ravine Close,</w:t>
            </w:r>
          </w:p>
        </w:tc>
        <w:tc>
          <w:tcPr>
            <w:tcW w:w="192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r>
      <w:tr>
        <w:trPr>
          <w:trHeight w:val="127"/>
        </w:trPr>
        <w:tc>
          <w:tcPr>
            <w:tcW w:w="3400" w:type="dxa"/>
            <w:vAlign w:val="bottom"/>
            <w:shd w:val="clear" w:color="auto" w:fill="CCEEFF"/>
          </w:tcPr>
          <w:p>
            <w:pPr>
              <w:spacing w:after="0"/>
              <w:rPr>
                <w:sz w:val="11"/>
                <w:szCs w:val="11"/>
                <w:color w:val="auto"/>
              </w:rPr>
            </w:pPr>
          </w:p>
        </w:tc>
        <w:tc>
          <w:tcPr>
            <w:tcW w:w="3580" w:type="dxa"/>
            <w:vAlign w:val="bottom"/>
            <w:shd w:val="clear" w:color="auto" w:fill="CCEEFF"/>
          </w:tcPr>
          <w:p>
            <w:pPr>
              <w:ind w:left="680"/>
              <w:spacing w:after="0" w:line="128" w:lineRule="exact"/>
              <w:rPr>
                <w:sz w:val="20"/>
                <w:szCs w:val="20"/>
                <w:color w:val="auto"/>
              </w:rPr>
            </w:pPr>
            <w:r>
              <w:rPr>
                <w:rFonts w:ascii="Arial" w:cs="Arial" w:eastAsia="Arial" w:hAnsi="Arial"/>
                <w:sz w:val="13"/>
                <w:szCs w:val="13"/>
                <w:color w:val="auto"/>
              </w:rPr>
              <w:t>off Eldama Ravine Road, Westlands</w:t>
            </w:r>
          </w:p>
        </w:tc>
        <w:tc>
          <w:tcPr>
            <w:tcW w:w="192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r>
      <w:tr>
        <w:trPr>
          <w:trHeight w:val="170"/>
        </w:trPr>
        <w:tc>
          <w:tcPr>
            <w:tcW w:w="3400" w:type="dxa"/>
            <w:vAlign w:val="bottom"/>
            <w:shd w:val="clear" w:color="auto" w:fill="CCEEFF"/>
          </w:tcPr>
          <w:p>
            <w:pPr>
              <w:spacing w:after="0"/>
              <w:rPr>
                <w:sz w:val="14"/>
                <w:szCs w:val="14"/>
                <w:color w:val="auto"/>
              </w:rPr>
            </w:pPr>
          </w:p>
        </w:tc>
        <w:tc>
          <w:tcPr>
            <w:tcW w:w="3580" w:type="dxa"/>
            <w:vAlign w:val="bottom"/>
            <w:shd w:val="clear" w:color="auto" w:fill="CCEEFF"/>
          </w:tcPr>
          <w:p>
            <w:pPr>
              <w:ind w:left="680"/>
              <w:spacing w:after="0"/>
              <w:rPr>
                <w:sz w:val="20"/>
                <w:szCs w:val="20"/>
                <w:color w:val="auto"/>
              </w:rPr>
            </w:pPr>
            <w:r>
              <w:rPr>
                <w:rFonts w:ascii="Arial" w:cs="Arial" w:eastAsia="Arial" w:hAnsi="Arial"/>
                <w:sz w:val="13"/>
                <w:szCs w:val="13"/>
                <w:color w:val="auto"/>
              </w:rPr>
              <w:t>PO Box 764, Sarit Centre, Nairobi, Kenya 00606</w:t>
            </w:r>
          </w:p>
        </w:tc>
        <w:tc>
          <w:tcPr>
            <w:tcW w:w="192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r>
      <w:tr>
        <w:trPr>
          <w:trHeight w:val="127"/>
        </w:trPr>
        <w:tc>
          <w:tcPr>
            <w:tcW w:w="3400" w:type="dxa"/>
            <w:vAlign w:val="bottom"/>
          </w:tcPr>
          <w:p>
            <w:pPr>
              <w:ind w:left="20"/>
              <w:spacing w:after="0" w:line="128" w:lineRule="exact"/>
              <w:rPr>
                <w:sz w:val="20"/>
                <w:szCs w:val="20"/>
                <w:color w:val="auto"/>
              </w:rPr>
            </w:pPr>
            <w:r>
              <w:rPr>
                <w:rFonts w:ascii="Arial" w:cs="Arial" w:eastAsia="Arial" w:hAnsi="Arial"/>
                <w:sz w:val="13"/>
                <w:szCs w:val="13"/>
                <w:color w:val="auto"/>
              </w:rPr>
              <w:t>RPS Latvia SIA</w:t>
            </w:r>
          </w:p>
        </w:tc>
        <w:tc>
          <w:tcPr>
            <w:tcW w:w="3580" w:type="dxa"/>
            <w:vAlign w:val="bottom"/>
          </w:tcPr>
          <w:p>
            <w:pPr>
              <w:ind w:left="680"/>
              <w:spacing w:after="0" w:line="128" w:lineRule="exact"/>
              <w:rPr>
                <w:sz w:val="20"/>
                <w:szCs w:val="20"/>
                <w:color w:val="auto"/>
              </w:rPr>
            </w:pPr>
            <w:r>
              <w:rPr>
                <w:rFonts w:ascii="Arial" w:cs="Arial" w:eastAsia="Arial" w:hAnsi="Arial"/>
                <w:sz w:val="13"/>
                <w:szCs w:val="13"/>
                <w:color w:val="auto"/>
              </w:rPr>
              <w:t>Blaumaņa iela 22</w:t>
            </w:r>
          </w:p>
        </w:tc>
        <w:tc>
          <w:tcPr>
            <w:tcW w:w="1920" w:type="dxa"/>
            <w:vAlign w:val="bottom"/>
          </w:tcPr>
          <w:p>
            <w:pPr>
              <w:ind w:left="200"/>
              <w:spacing w:after="0" w:line="128" w:lineRule="exact"/>
              <w:rPr>
                <w:sz w:val="20"/>
                <w:szCs w:val="20"/>
                <w:color w:val="auto"/>
              </w:rPr>
            </w:pPr>
            <w:r>
              <w:rPr>
                <w:rFonts w:ascii="Arial" w:cs="Arial" w:eastAsia="Arial" w:hAnsi="Arial"/>
                <w:sz w:val="13"/>
                <w:szCs w:val="13"/>
                <w:color w:val="auto"/>
              </w:rPr>
              <w:t>Clinical research services</w:t>
            </w:r>
          </w:p>
        </w:tc>
        <w:tc>
          <w:tcPr>
            <w:tcW w:w="2360" w:type="dxa"/>
            <w:vAlign w:val="bottom"/>
          </w:tcPr>
          <w:p>
            <w:pPr>
              <w:ind w:left="120"/>
              <w:spacing w:after="0" w:line="128" w:lineRule="exact"/>
              <w:rPr>
                <w:sz w:val="20"/>
                <w:szCs w:val="20"/>
                <w:color w:val="auto"/>
              </w:rPr>
            </w:pPr>
            <w:r>
              <w:rPr>
                <w:rFonts w:ascii="Arial" w:cs="Arial" w:eastAsia="Arial" w:hAnsi="Arial"/>
                <w:sz w:val="13"/>
                <w:szCs w:val="13"/>
                <w:color w:val="auto"/>
              </w:rPr>
              <w:t>100%</w:t>
            </w:r>
          </w:p>
        </w:tc>
      </w:tr>
      <w:tr>
        <w:trPr>
          <w:trHeight w:val="168"/>
        </w:trPr>
        <w:tc>
          <w:tcPr>
            <w:tcW w:w="3400" w:type="dxa"/>
            <w:vAlign w:val="bottom"/>
          </w:tcPr>
          <w:p>
            <w:pPr>
              <w:spacing w:after="0"/>
              <w:rPr>
                <w:sz w:val="14"/>
                <w:szCs w:val="14"/>
                <w:color w:val="auto"/>
              </w:rPr>
            </w:pPr>
          </w:p>
        </w:tc>
        <w:tc>
          <w:tcPr>
            <w:tcW w:w="3580" w:type="dxa"/>
            <w:vAlign w:val="bottom"/>
          </w:tcPr>
          <w:p>
            <w:pPr>
              <w:ind w:left="680"/>
              <w:spacing w:after="0"/>
              <w:rPr>
                <w:sz w:val="20"/>
                <w:szCs w:val="20"/>
                <w:color w:val="auto"/>
              </w:rPr>
            </w:pPr>
            <w:r>
              <w:rPr>
                <w:rFonts w:ascii="Arial" w:cs="Arial" w:eastAsia="Arial" w:hAnsi="Arial"/>
                <w:sz w:val="13"/>
                <w:szCs w:val="13"/>
                <w:color w:val="auto"/>
              </w:rPr>
              <w:t>1011 Riga, Latvia</w:t>
            </w:r>
          </w:p>
        </w:tc>
        <w:tc>
          <w:tcPr>
            <w:tcW w:w="192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29"/>
        </w:trPr>
        <w:tc>
          <w:tcPr>
            <w:tcW w:w="34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UAB RPS Lithuania</w:t>
            </w:r>
          </w:p>
        </w:tc>
        <w:tc>
          <w:tcPr>
            <w:tcW w:w="3580" w:type="dxa"/>
            <w:vAlign w:val="bottom"/>
            <w:shd w:val="clear" w:color="auto" w:fill="CCEEFF"/>
          </w:tcPr>
          <w:p>
            <w:pPr>
              <w:ind w:left="680"/>
              <w:spacing w:after="0" w:line="129" w:lineRule="exact"/>
              <w:rPr>
                <w:sz w:val="20"/>
                <w:szCs w:val="20"/>
                <w:color w:val="auto"/>
              </w:rPr>
            </w:pPr>
            <w:r>
              <w:rPr>
                <w:rFonts w:ascii="Arial" w:cs="Arial" w:eastAsia="Arial" w:hAnsi="Arial"/>
                <w:sz w:val="13"/>
                <w:szCs w:val="13"/>
                <w:color w:val="auto"/>
              </w:rPr>
              <w:t>Upês street 21,</w:t>
            </w:r>
          </w:p>
        </w:tc>
        <w:tc>
          <w:tcPr>
            <w:tcW w:w="192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Clinical research services</w:t>
            </w:r>
          </w:p>
        </w:tc>
        <w:tc>
          <w:tcPr>
            <w:tcW w:w="2360" w:type="dxa"/>
            <w:vAlign w:val="bottom"/>
            <w:shd w:val="clear" w:color="auto" w:fill="CCEEFF"/>
          </w:tcPr>
          <w:p>
            <w:pPr>
              <w:ind w:left="120"/>
              <w:spacing w:after="0" w:line="129" w:lineRule="exact"/>
              <w:rPr>
                <w:sz w:val="20"/>
                <w:szCs w:val="20"/>
                <w:color w:val="auto"/>
              </w:rPr>
            </w:pPr>
            <w:r>
              <w:rPr>
                <w:rFonts w:ascii="Arial" w:cs="Arial" w:eastAsia="Arial" w:hAnsi="Arial"/>
                <w:sz w:val="13"/>
                <w:szCs w:val="13"/>
                <w:color w:val="auto"/>
              </w:rPr>
              <w:t>100%</w:t>
            </w:r>
          </w:p>
        </w:tc>
      </w:tr>
      <w:tr>
        <w:trPr>
          <w:trHeight w:val="170"/>
        </w:trPr>
        <w:tc>
          <w:tcPr>
            <w:tcW w:w="3400" w:type="dxa"/>
            <w:vAlign w:val="bottom"/>
            <w:shd w:val="clear" w:color="auto" w:fill="CCEEFF"/>
          </w:tcPr>
          <w:p>
            <w:pPr>
              <w:spacing w:after="0"/>
              <w:rPr>
                <w:sz w:val="14"/>
                <w:szCs w:val="14"/>
                <w:color w:val="auto"/>
              </w:rPr>
            </w:pPr>
          </w:p>
        </w:tc>
        <w:tc>
          <w:tcPr>
            <w:tcW w:w="3580" w:type="dxa"/>
            <w:vAlign w:val="bottom"/>
            <w:shd w:val="clear" w:color="auto" w:fill="CCEEFF"/>
          </w:tcPr>
          <w:p>
            <w:pPr>
              <w:ind w:left="680"/>
              <w:spacing w:after="0"/>
              <w:rPr>
                <w:sz w:val="20"/>
                <w:szCs w:val="20"/>
                <w:color w:val="auto"/>
              </w:rPr>
            </w:pPr>
            <w:r>
              <w:rPr>
                <w:rFonts w:ascii="Arial" w:cs="Arial" w:eastAsia="Arial" w:hAnsi="Arial"/>
                <w:sz w:val="13"/>
                <w:szCs w:val="13"/>
                <w:color w:val="auto"/>
              </w:rPr>
              <w:t>LT-08128 Vilnius, Lithuania</w:t>
            </w:r>
          </w:p>
        </w:tc>
        <w:tc>
          <w:tcPr>
            <w:tcW w:w="192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r>
    </w:tbl>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124</w:t>
      </w:r>
    </w:p>
    <w:p>
      <w:pPr>
        <w:sectPr>
          <w:pgSz w:w="11900" w:h="16838" w:orient="portrait"/>
          <w:cols w:equalWidth="0" w:num="1">
            <w:col w:w="11260"/>
          </w:cols>
          <w:pgMar w:left="300" w:top="698" w:right="3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32.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2960" w:type="dxa"/>
            <w:vAlign w:val="bottom"/>
            <w:shd w:val="clear" w:color="auto" w:fill="CCEEFF"/>
          </w:tcPr>
          <w:p>
            <w:pPr>
              <w:ind w:left="220"/>
              <w:spacing w:after="0"/>
              <w:rPr>
                <w:sz w:val="20"/>
                <w:szCs w:val="20"/>
                <w:color w:val="auto"/>
              </w:rPr>
            </w:pPr>
            <w:r>
              <w:rPr>
                <w:rFonts w:ascii="Arial" w:cs="Arial" w:eastAsia="Arial" w:hAnsi="Arial"/>
                <w:sz w:val="13"/>
                <w:szCs w:val="13"/>
                <w:b w:val="1"/>
                <w:bCs w:val="1"/>
                <w:color w:val="auto"/>
              </w:rPr>
              <w:t>Registered Office</w:t>
            </w:r>
          </w:p>
        </w:tc>
        <w:tc>
          <w:tcPr>
            <w:tcW w:w="2000" w:type="dxa"/>
            <w:vAlign w:val="bottom"/>
            <w:shd w:val="clear" w:color="auto" w:fill="CCEEFF"/>
          </w:tcPr>
          <w:p>
            <w:pPr>
              <w:ind w:left="360"/>
              <w:spacing w:after="0"/>
              <w:rPr>
                <w:sz w:val="20"/>
                <w:szCs w:val="20"/>
                <w:color w:val="auto"/>
              </w:rPr>
            </w:pPr>
            <w:r>
              <w:rPr>
                <w:rFonts w:ascii="Arial" w:cs="Arial" w:eastAsia="Arial" w:hAnsi="Arial"/>
                <w:sz w:val="13"/>
                <w:szCs w:val="13"/>
                <w:b w:val="1"/>
                <w:bCs w:val="1"/>
                <w:color w:val="auto"/>
              </w:rPr>
              <w:t>Nature of business</w:t>
            </w:r>
          </w:p>
        </w:tc>
        <w:tc>
          <w:tcPr>
            <w:tcW w:w="244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Proportion held by</w:t>
            </w:r>
          </w:p>
        </w:tc>
      </w:tr>
      <w:tr>
        <w:trPr>
          <w:trHeight w:val="170"/>
        </w:trPr>
        <w:tc>
          <w:tcPr>
            <w:tcW w:w="3860" w:type="dxa"/>
            <w:vAlign w:val="bottom"/>
            <w:tcBorders>
              <w:bottom w:val="single" w:sz="8" w:color="auto"/>
            </w:tcBorders>
            <w:shd w:val="clear" w:color="auto" w:fill="CCEEFF"/>
          </w:tcPr>
          <w:p>
            <w:pPr>
              <w:spacing w:after="0"/>
              <w:rPr>
                <w:sz w:val="14"/>
                <w:szCs w:val="14"/>
                <w:color w:val="auto"/>
              </w:rPr>
            </w:pPr>
          </w:p>
        </w:tc>
        <w:tc>
          <w:tcPr>
            <w:tcW w:w="2960" w:type="dxa"/>
            <w:vAlign w:val="bottom"/>
            <w:tcBorders>
              <w:bottom w:val="single" w:sz="8" w:color="auto"/>
            </w:tcBorders>
            <w:shd w:val="clear" w:color="auto" w:fill="CCEEFF"/>
          </w:tcPr>
          <w:p>
            <w:pPr>
              <w:spacing w:after="0"/>
              <w:rPr>
                <w:sz w:val="14"/>
                <w:szCs w:val="14"/>
                <w:color w:val="auto"/>
              </w:rPr>
            </w:pPr>
          </w:p>
        </w:tc>
        <w:tc>
          <w:tcPr>
            <w:tcW w:w="2000" w:type="dxa"/>
            <w:vAlign w:val="bottom"/>
            <w:tcBorders>
              <w:bottom w:val="single" w:sz="8" w:color="auto"/>
            </w:tcBorders>
            <w:shd w:val="clear" w:color="auto" w:fill="CCEEFF"/>
          </w:tcPr>
          <w:p>
            <w:pPr>
              <w:spacing w:after="0"/>
              <w:rPr>
                <w:sz w:val="14"/>
                <w:szCs w:val="14"/>
                <w:color w:val="auto"/>
              </w:rPr>
            </w:pPr>
          </w:p>
        </w:tc>
        <w:tc>
          <w:tcPr>
            <w:tcW w:w="24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3"/>
                <w:szCs w:val="13"/>
                <w:b w:val="1"/>
                <w:bCs w:val="1"/>
                <w:color w:val="auto"/>
              </w:rPr>
              <w:t>Group</w:t>
            </w:r>
          </w:p>
        </w:tc>
      </w:tr>
      <w:tr>
        <w:trPr>
          <w:trHeight w:val="118"/>
        </w:trPr>
        <w:tc>
          <w:tcPr>
            <w:tcW w:w="3860" w:type="dxa"/>
            <w:vAlign w:val="bottom"/>
          </w:tcPr>
          <w:p>
            <w:pPr>
              <w:ind w:left="20"/>
              <w:spacing w:after="0" w:line="118" w:lineRule="exact"/>
              <w:rPr>
                <w:sz w:val="20"/>
                <w:szCs w:val="20"/>
                <w:color w:val="auto"/>
              </w:rPr>
            </w:pPr>
            <w:r>
              <w:rPr>
                <w:rFonts w:ascii="Arial" w:cs="Arial" w:eastAsia="Arial" w:hAnsi="Arial"/>
                <w:sz w:val="13"/>
                <w:szCs w:val="13"/>
                <w:color w:val="auto"/>
              </w:rPr>
              <w:t>ICON Luxembourg S.à r.l.</w:t>
            </w:r>
          </w:p>
        </w:tc>
        <w:tc>
          <w:tcPr>
            <w:tcW w:w="2960" w:type="dxa"/>
            <w:vAlign w:val="bottom"/>
          </w:tcPr>
          <w:p>
            <w:pPr>
              <w:ind w:left="220"/>
              <w:spacing w:after="0" w:line="118" w:lineRule="exact"/>
              <w:rPr>
                <w:sz w:val="20"/>
                <w:szCs w:val="20"/>
                <w:color w:val="auto"/>
              </w:rPr>
            </w:pPr>
            <w:r>
              <w:rPr>
                <w:rFonts w:ascii="Arial" w:cs="Arial" w:eastAsia="Arial" w:hAnsi="Arial"/>
                <w:sz w:val="13"/>
                <w:szCs w:val="13"/>
                <w:color w:val="auto"/>
              </w:rPr>
              <w:t>61, rue de Rollingergrund</w:t>
            </w:r>
          </w:p>
        </w:tc>
        <w:tc>
          <w:tcPr>
            <w:tcW w:w="2000" w:type="dxa"/>
            <w:vAlign w:val="bottom"/>
          </w:tcPr>
          <w:p>
            <w:pPr>
              <w:ind w:left="360"/>
              <w:spacing w:after="0" w:line="11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18" w:lineRule="exact"/>
              <w:rPr>
                <w:sz w:val="20"/>
                <w:szCs w:val="20"/>
                <w:color w:val="auto"/>
              </w:rPr>
            </w:pPr>
            <w:r>
              <w:rPr>
                <w:rFonts w:ascii="Arial" w:cs="Arial" w:eastAsia="Arial" w:hAnsi="Arial"/>
                <w:sz w:val="13"/>
                <w:szCs w:val="13"/>
                <w:color w:val="auto"/>
              </w:rPr>
              <w:t>100%</w:t>
            </w:r>
          </w:p>
        </w:tc>
      </w:tr>
      <w:tr>
        <w:trPr>
          <w:trHeight w:val="168"/>
        </w:trPr>
        <w:tc>
          <w:tcPr>
            <w:tcW w:w="3860" w:type="dxa"/>
            <w:vAlign w:val="bottom"/>
          </w:tcPr>
          <w:p>
            <w:pPr>
              <w:spacing w:after="0"/>
              <w:rPr>
                <w:sz w:val="14"/>
                <w:szCs w:val="14"/>
                <w:color w:val="auto"/>
              </w:rPr>
            </w:pPr>
          </w:p>
        </w:tc>
        <w:tc>
          <w:tcPr>
            <w:tcW w:w="2960" w:type="dxa"/>
            <w:vAlign w:val="bottom"/>
          </w:tcPr>
          <w:p>
            <w:pPr>
              <w:ind w:left="220"/>
              <w:spacing w:after="0"/>
              <w:rPr>
                <w:sz w:val="20"/>
                <w:szCs w:val="20"/>
                <w:color w:val="auto"/>
              </w:rPr>
            </w:pPr>
            <w:r>
              <w:rPr>
                <w:rFonts w:ascii="Arial" w:cs="Arial" w:eastAsia="Arial" w:hAnsi="Arial"/>
                <w:sz w:val="13"/>
                <w:szCs w:val="13"/>
                <w:color w:val="auto"/>
              </w:rPr>
              <w:t>L-2440 Luxembourg</w:t>
            </w:r>
          </w:p>
        </w:tc>
        <w:tc>
          <w:tcPr>
            <w:tcW w:w="200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8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CRO Malaysia SDN. BHD.</w:t>
            </w:r>
          </w:p>
        </w:tc>
        <w:tc>
          <w:tcPr>
            <w:tcW w:w="2960" w:type="dxa"/>
            <w:vAlign w:val="bottom"/>
            <w:shd w:val="clear" w:color="auto" w:fill="CCEEFF"/>
          </w:tcPr>
          <w:p>
            <w:pPr>
              <w:ind w:left="220"/>
              <w:spacing w:after="0" w:line="129" w:lineRule="exact"/>
              <w:rPr>
                <w:sz w:val="20"/>
                <w:szCs w:val="20"/>
                <w:color w:val="auto"/>
              </w:rPr>
            </w:pPr>
            <w:r>
              <w:rPr>
                <w:rFonts w:ascii="Arial" w:cs="Arial" w:eastAsia="Arial" w:hAnsi="Arial"/>
                <w:sz w:val="13"/>
                <w:szCs w:val="13"/>
                <w:color w:val="auto"/>
              </w:rPr>
              <w:t>Level 11,</w:t>
            </w:r>
          </w:p>
        </w:tc>
        <w:tc>
          <w:tcPr>
            <w:tcW w:w="2000" w:type="dxa"/>
            <w:vAlign w:val="bottom"/>
            <w:shd w:val="clear" w:color="auto" w:fill="CCEEFF"/>
          </w:tcPr>
          <w:p>
            <w:pPr>
              <w:ind w:left="36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860" w:type="dxa"/>
            <w:vAlign w:val="bottom"/>
            <w:shd w:val="clear" w:color="auto" w:fill="CCEEFF"/>
          </w:tcPr>
          <w:p>
            <w:pPr>
              <w:spacing w:after="0"/>
              <w:rPr>
                <w:sz w:val="11"/>
                <w:szCs w:val="11"/>
                <w:color w:val="auto"/>
              </w:rPr>
            </w:pPr>
          </w:p>
        </w:tc>
        <w:tc>
          <w:tcPr>
            <w:tcW w:w="2960" w:type="dxa"/>
            <w:vAlign w:val="bottom"/>
            <w:shd w:val="clear" w:color="auto" w:fill="CCEEFF"/>
          </w:tcPr>
          <w:p>
            <w:pPr>
              <w:ind w:left="220"/>
              <w:spacing w:after="0" w:line="128" w:lineRule="exact"/>
              <w:rPr>
                <w:sz w:val="20"/>
                <w:szCs w:val="20"/>
                <w:color w:val="auto"/>
              </w:rPr>
            </w:pPr>
            <w:r>
              <w:rPr>
                <w:rFonts w:ascii="Arial" w:cs="Arial" w:eastAsia="Arial" w:hAnsi="Arial"/>
                <w:sz w:val="13"/>
                <w:szCs w:val="13"/>
                <w:color w:val="auto"/>
              </w:rPr>
              <w:t>1 Sentral,</w:t>
            </w:r>
          </w:p>
        </w:tc>
        <w:tc>
          <w:tcPr>
            <w:tcW w:w="20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860" w:type="dxa"/>
            <w:vAlign w:val="bottom"/>
            <w:shd w:val="clear" w:color="auto" w:fill="CCEEFF"/>
          </w:tcPr>
          <w:p>
            <w:pPr>
              <w:spacing w:after="0"/>
              <w:rPr>
                <w:sz w:val="11"/>
                <w:szCs w:val="11"/>
                <w:color w:val="auto"/>
              </w:rPr>
            </w:pPr>
          </w:p>
        </w:tc>
        <w:tc>
          <w:tcPr>
            <w:tcW w:w="2960" w:type="dxa"/>
            <w:vAlign w:val="bottom"/>
            <w:shd w:val="clear" w:color="auto" w:fill="CCEEFF"/>
          </w:tcPr>
          <w:p>
            <w:pPr>
              <w:ind w:left="220"/>
              <w:spacing w:after="0" w:line="128" w:lineRule="exact"/>
              <w:rPr>
                <w:sz w:val="20"/>
                <w:szCs w:val="20"/>
                <w:color w:val="auto"/>
              </w:rPr>
            </w:pPr>
            <w:r>
              <w:rPr>
                <w:rFonts w:ascii="Arial" w:cs="Arial" w:eastAsia="Arial" w:hAnsi="Arial"/>
                <w:sz w:val="13"/>
                <w:szCs w:val="13"/>
                <w:color w:val="auto"/>
              </w:rPr>
              <w:t>Jalan Rakyat ,</w:t>
            </w:r>
          </w:p>
        </w:tc>
        <w:tc>
          <w:tcPr>
            <w:tcW w:w="20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860" w:type="dxa"/>
            <w:vAlign w:val="bottom"/>
            <w:shd w:val="clear" w:color="auto" w:fill="CCEEFF"/>
          </w:tcPr>
          <w:p>
            <w:pPr>
              <w:spacing w:after="0"/>
              <w:rPr>
                <w:sz w:val="11"/>
                <w:szCs w:val="11"/>
                <w:color w:val="auto"/>
              </w:rPr>
            </w:pPr>
          </w:p>
        </w:tc>
        <w:tc>
          <w:tcPr>
            <w:tcW w:w="2960" w:type="dxa"/>
            <w:vAlign w:val="bottom"/>
            <w:shd w:val="clear" w:color="auto" w:fill="CCEEFF"/>
          </w:tcPr>
          <w:p>
            <w:pPr>
              <w:ind w:left="220"/>
              <w:spacing w:after="0" w:line="128" w:lineRule="exact"/>
              <w:rPr>
                <w:sz w:val="20"/>
                <w:szCs w:val="20"/>
                <w:color w:val="auto"/>
              </w:rPr>
            </w:pPr>
            <w:r>
              <w:rPr>
                <w:rFonts w:ascii="Arial" w:cs="Arial" w:eastAsia="Arial" w:hAnsi="Arial"/>
                <w:sz w:val="13"/>
                <w:szCs w:val="13"/>
                <w:color w:val="auto"/>
              </w:rPr>
              <w:t>Kuala Lumpur Sentral,</w:t>
            </w:r>
          </w:p>
        </w:tc>
        <w:tc>
          <w:tcPr>
            <w:tcW w:w="20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860" w:type="dxa"/>
            <w:vAlign w:val="bottom"/>
            <w:shd w:val="clear" w:color="auto" w:fill="CCEEFF"/>
          </w:tcPr>
          <w:p>
            <w:pPr>
              <w:spacing w:after="0"/>
              <w:rPr>
                <w:sz w:val="11"/>
                <w:szCs w:val="11"/>
                <w:color w:val="auto"/>
              </w:rPr>
            </w:pPr>
          </w:p>
        </w:tc>
        <w:tc>
          <w:tcPr>
            <w:tcW w:w="2960" w:type="dxa"/>
            <w:vAlign w:val="bottom"/>
            <w:shd w:val="clear" w:color="auto" w:fill="CCEEFF"/>
          </w:tcPr>
          <w:p>
            <w:pPr>
              <w:ind w:left="220"/>
              <w:spacing w:after="0" w:line="128" w:lineRule="exact"/>
              <w:rPr>
                <w:sz w:val="20"/>
                <w:szCs w:val="20"/>
                <w:color w:val="auto"/>
              </w:rPr>
            </w:pPr>
            <w:r>
              <w:rPr>
                <w:rFonts w:ascii="Arial" w:cs="Arial" w:eastAsia="Arial" w:hAnsi="Arial"/>
                <w:sz w:val="13"/>
                <w:szCs w:val="13"/>
                <w:color w:val="auto"/>
              </w:rPr>
              <w:t>50470 Kuala Lumpur,</w:t>
            </w:r>
          </w:p>
        </w:tc>
        <w:tc>
          <w:tcPr>
            <w:tcW w:w="20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3860" w:type="dxa"/>
            <w:vAlign w:val="bottom"/>
            <w:shd w:val="clear" w:color="auto" w:fill="CCEEFF"/>
          </w:tcPr>
          <w:p>
            <w:pPr>
              <w:spacing w:after="0"/>
              <w:rPr>
                <w:sz w:val="14"/>
                <w:szCs w:val="14"/>
                <w:color w:val="auto"/>
              </w:rPr>
            </w:pPr>
          </w:p>
        </w:tc>
        <w:tc>
          <w:tcPr>
            <w:tcW w:w="29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Malaysia</w:t>
            </w:r>
          </w:p>
        </w:tc>
        <w:tc>
          <w:tcPr>
            <w:tcW w:w="200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3860" w:type="dxa"/>
            <w:vAlign w:val="bottom"/>
          </w:tcPr>
          <w:p>
            <w:pPr>
              <w:ind w:left="20"/>
              <w:spacing w:after="0" w:line="128" w:lineRule="exact"/>
              <w:rPr>
                <w:sz w:val="20"/>
                <w:szCs w:val="20"/>
                <w:color w:val="auto"/>
              </w:rPr>
            </w:pPr>
            <w:r>
              <w:rPr>
                <w:rFonts w:ascii="Arial" w:cs="Arial" w:eastAsia="Arial" w:hAnsi="Arial"/>
                <w:sz w:val="13"/>
                <w:szCs w:val="13"/>
                <w:color w:val="auto"/>
              </w:rPr>
              <w:t>RPS Malaysia Sdn. Bhd.</w:t>
            </w:r>
          </w:p>
        </w:tc>
        <w:tc>
          <w:tcPr>
            <w:tcW w:w="2960" w:type="dxa"/>
            <w:vAlign w:val="bottom"/>
          </w:tcPr>
          <w:p>
            <w:pPr>
              <w:ind w:left="220"/>
              <w:spacing w:after="0" w:line="128" w:lineRule="exact"/>
              <w:rPr>
                <w:sz w:val="20"/>
                <w:szCs w:val="20"/>
                <w:color w:val="auto"/>
              </w:rPr>
            </w:pPr>
            <w:r>
              <w:rPr>
                <w:rFonts w:ascii="Arial" w:cs="Arial" w:eastAsia="Arial" w:hAnsi="Arial"/>
                <w:sz w:val="13"/>
                <w:szCs w:val="13"/>
                <w:color w:val="auto"/>
              </w:rPr>
              <w:t>10th Floor, Menara Hap Seng</w:t>
            </w:r>
          </w:p>
        </w:tc>
        <w:tc>
          <w:tcPr>
            <w:tcW w:w="2000" w:type="dxa"/>
            <w:vAlign w:val="bottom"/>
          </w:tcPr>
          <w:p>
            <w:pPr>
              <w:ind w:left="36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860" w:type="dxa"/>
            <w:vAlign w:val="bottom"/>
          </w:tcPr>
          <w:p>
            <w:pPr>
              <w:spacing w:after="0"/>
              <w:rPr>
                <w:sz w:val="11"/>
                <w:szCs w:val="11"/>
                <w:color w:val="auto"/>
              </w:rPr>
            </w:pPr>
          </w:p>
        </w:tc>
        <w:tc>
          <w:tcPr>
            <w:tcW w:w="2960" w:type="dxa"/>
            <w:vAlign w:val="bottom"/>
          </w:tcPr>
          <w:p>
            <w:pPr>
              <w:ind w:left="220"/>
              <w:spacing w:after="0" w:line="128" w:lineRule="exact"/>
              <w:rPr>
                <w:sz w:val="20"/>
                <w:szCs w:val="20"/>
                <w:color w:val="auto"/>
              </w:rPr>
            </w:pPr>
            <w:r>
              <w:rPr>
                <w:rFonts w:ascii="Arial" w:cs="Arial" w:eastAsia="Arial" w:hAnsi="Arial"/>
                <w:sz w:val="13"/>
                <w:szCs w:val="13"/>
                <w:color w:val="auto"/>
              </w:rPr>
              <w:t>No. 1 &amp; 3, Jalan P Ramlee</w:t>
            </w:r>
          </w:p>
        </w:tc>
        <w:tc>
          <w:tcPr>
            <w:tcW w:w="200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3860" w:type="dxa"/>
            <w:vAlign w:val="bottom"/>
          </w:tcPr>
          <w:p>
            <w:pPr>
              <w:spacing w:after="0"/>
              <w:rPr>
                <w:sz w:val="14"/>
                <w:szCs w:val="14"/>
                <w:color w:val="auto"/>
              </w:rPr>
            </w:pPr>
          </w:p>
        </w:tc>
        <w:tc>
          <w:tcPr>
            <w:tcW w:w="2960" w:type="dxa"/>
            <w:vAlign w:val="bottom"/>
          </w:tcPr>
          <w:p>
            <w:pPr>
              <w:ind w:left="220"/>
              <w:spacing w:after="0"/>
              <w:rPr>
                <w:sz w:val="20"/>
                <w:szCs w:val="20"/>
                <w:color w:val="auto"/>
              </w:rPr>
            </w:pPr>
            <w:r>
              <w:rPr>
                <w:rFonts w:ascii="Arial" w:cs="Arial" w:eastAsia="Arial" w:hAnsi="Arial"/>
                <w:sz w:val="13"/>
                <w:szCs w:val="13"/>
                <w:color w:val="auto"/>
              </w:rPr>
              <w:t>50250 Kuala Lumpur, Malaysia</w:t>
            </w:r>
          </w:p>
        </w:tc>
        <w:tc>
          <w:tcPr>
            <w:tcW w:w="200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8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Clinical Research México, S.A. de C.V.</w:t>
            </w:r>
          </w:p>
        </w:tc>
        <w:tc>
          <w:tcPr>
            <w:tcW w:w="2960" w:type="dxa"/>
            <w:vAlign w:val="bottom"/>
            <w:shd w:val="clear" w:color="auto" w:fill="CCEEFF"/>
          </w:tcPr>
          <w:p>
            <w:pPr>
              <w:ind w:left="220"/>
              <w:spacing w:after="0" w:line="129" w:lineRule="exact"/>
              <w:rPr>
                <w:sz w:val="20"/>
                <w:szCs w:val="20"/>
                <w:color w:val="auto"/>
              </w:rPr>
            </w:pPr>
            <w:r>
              <w:rPr>
                <w:rFonts w:ascii="Arial" w:cs="Arial" w:eastAsia="Arial" w:hAnsi="Arial"/>
                <w:sz w:val="13"/>
                <w:szCs w:val="13"/>
                <w:color w:val="auto"/>
              </w:rPr>
              <w:t>Av. Barranca del Muerto 329 3rd Floor,</w:t>
            </w:r>
          </w:p>
        </w:tc>
        <w:tc>
          <w:tcPr>
            <w:tcW w:w="2000" w:type="dxa"/>
            <w:vAlign w:val="bottom"/>
            <w:shd w:val="clear" w:color="auto" w:fill="CCEEFF"/>
          </w:tcPr>
          <w:p>
            <w:pPr>
              <w:ind w:left="36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860" w:type="dxa"/>
            <w:vAlign w:val="bottom"/>
            <w:shd w:val="clear" w:color="auto" w:fill="CCEEFF"/>
          </w:tcPr>
          <w:p>
            <w:pPr>
              <w:spacing w:after="0"/>
              <w:rPr>
                <w:sz w:val="11"/>
                <w:szCs w:val="11"/>
                <w:color w:val="auto"/>
              </w:rPr>
            </w:pPr>
          </w:p>
        </w:tc>
        <w:tc>
          <w:tcPr>
            <w:tcW w:w="2960" w:type="dxa"/>
            <w:vAlign w:val="bottom"/>
            <w:shd w:val="clear" w:color="auto" w:fill="CCEEFF"/>
          </w:tcPr>
          <w:p>
            <w:pPr>
              <w:ind w:left="220"/>
              <w:spacing w:after="0" w:line="128" w:lineRule="exact"/>
              <w:rPr>
                <w:sz w:val="20"/>
                <w:szCs w:val="20"/>
                <w:color w:val="auto"/>
              </w:rPr>
            </w:pPr>
            <w:r>
              <w:rPr>
                <w:rFonts w:ascii="Arial" w:cs="Arial" w:eastAsia="Arial" w:hAnsi="Arial"/>
                <w:sz w:val="13"/>
                <w:szCs w:val="13"/>
                <w:color w:val="auto"/>
              </w:rPr>
              <w:t>Col. San Jose Insugentes,</w:t>
            </w:r>
          </w:p>
        </w:tc>
        <w:tc>
          <w:tcPr>
            <w:tcW w:w="20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3860" w:type="dxa"/>
            <w:vAlign w:val="bottom"/>
            <w:shd w:val="clear" w:color="auto" w:fill="CCEEFF"/>
          </w:tcPr>
          <w:p>
            <w:pPr>
              <w:spacing w:after="0"/>
              <w:rPr>
                <w:sz w:val="14"/>
                <w:szCs w:val="14"/>
                <w:color w:val="auto"/>
              </w:rPr>
            </w:pPr>
          </w:p>
        </w:tc>
        <w:tc>
          <w:tcPr>
            <w:tcW w:w="29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03900 Mexico D.F.</w:t>
            </w:r>
          </w:p>
        </w:tc>
        <w:tc>
          <w:tcPr>
            <w:tcW w:w="200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3860" w:type="dxa"/>
            <w:vAlign w:val="bottom"/>
          </w:tcPr>
          <w:p>
            <w:pPr>
              <w:ind w:left="20"/>
              <w:spacing w:after="0" w:line="128" w:lineRule="exact"/>
              <w:rPr>
                <w:sz w:val="20"/>
                <w:szCs w:val="20"/>
                <w:color w:val="auto"/>
              </w:rPr>
            </w:pPr>
            <w:r>
              <w:rPr>
                <w:rFonts w:ascii="Arial" w:cs="Arial" w:eastAsia="Arial" w:hAnsi="Arial"/>
                <w:sz w:val="13"/>
                <w:szCs w:val="13"/>
                <w:color w:val="auto"/>
              </w:rPr>
              <w:t>Pharmaceutical Research Associates Mexico S. de R.L. de C. V.</w:t>
            </w:r>
          </w:p>
        </w:tc>
        <w:tc>
          <w:tcPr>
            <w:tcW w:w="2960" w:type="dxa"/>
            <w:vAlign w:val="bottom"/>
          </w:tcPr>
          <w:p>
            <w:pPr>
              <w:ind w:left="220"/>
              <w:spacing w:after="0" w:line="128" w:lineRule="exact"/>
              <w:rPr>
                <w:sz w:val="20"/>
                <w:szCs w:val="20"/>
                <w:color w:val="auto"/>
              </w:rPr>
            </w:pPr>
            <w:r>
              <w:rPr>
                <w:rFonts w:ascii="Arial" w:cs="Arial" w:eastAsia="Arial" w:hAnsi="Arial"/>
                <w:sz w:val="13"/>
                <w:szCs w:val="13"/>
                <w:color w:val="auto"/>
              </w:rPr>
              <w:t>Ave. Insurgentes Sur No. 1602, Desp. 503</w:t>
            </w:r>
          </w:p>
        </w:tc>
        <w:tc>
          <w:tcPr>
            <w:tcW w:w="2000" w:type="dxa"/>
            <w:vAlign w:val="bottom"/>
          </w:tcPr>
          <w:p>
            <w:pPr>
              <w:ind w:left="36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860" w:type="dxa"/>
            <w:vAlign w:val="bottom"/>
          </w:tcPr>
          <w:p>
            <w:pPr>
              <w:spacing w:after="0"/>
              <w:rPr>
                <w:sz w:val="11"/>
                <w:szCs w:val="11"/>
                <w:color w:val="auto"/>
              </w:rPr>
            </w:pPr>
          </w:p>
        </w:tc>
        <w:tc>
          <w:tcPr>
            <w:tcW w:w="2960" w:type="dxa"/>
            <w:vAlign w:val="bottom"/>
          </w:tcPr>
          <w:p>
            <w:pPr>
              <w:ind w:left="220"/>
              <w:spacing w:after="0" w:line="128" w:lineRule="exact"/>
              <w:rPr>
                <w:sz w:val="20"/>
                <w:szCs w:val="20"/>
                <w:color w:val="auto"/>
              </w:rPr>
            </w:pPr>
            <w:r>
              <w:rPr>
                <w:rFonts w:ascii="Arial" w:cs="Arial" w:eastAsia="Arial" w:hAnsi="Arial"/>
                <w:sz w:val="13"/>
                <w:szCs w:val="13"/>
                <w:color w:val="auto"/>
              </w:rPr>
              <w:t>Col. Credito Constructor Mexico</w:t>
            </w:r>
          </w:p>
        </w:tc>
        <w:tc>
          <w:tcPr>
            <w:tcW w:w="200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860" w:type="dxa"/>
            <w:vAlign w:val="bottom"/>
          </w:tcPr>
          <w:p>
            <w:pPr>
              <w:spacing w:after="0"/>
              <w:rPr>
                <w:sz w:val="11"/>
                <w:szCs w:val="11"/>
                <w:color w:val="auto"/>
              </w:rPr>
            </w:pPr>
          </w:p>
        </w:tc>
        <w:tc>
          <w:tcPr>
            <w:tcW w:w="2960" w:type="dxa"/>
            <w:vAlign w:val="bottom"/>
          </w:tcPr>
          <w:p>
            <w:pPr>
              <w:ind w:left="220"/>
              <w:spacing w:after="0" w:line="128" w:lineRule="exact"/>
              <w:rPr>
                <w:sz w:val="20"/>
                <w:szCs w:val="20"/>
                <w:color w:val="auto"/>
              </w:rPr>
            </w:pPr>
            <w:r>
              <w:rPr>
                <w:rFonts w:ascii="Arial" w:cs="Arial" w:eastAsia="Arial" w:hAnsi="Arial"/>
                <w:sz w:val="13"/>
                <w:szCs w:val="13"/>
                <w:color w:val="auto"/>
              </w:rPr>
              <w:t>Benito Juarez, Distrito Federal</w:t>
            </w:r>
          </w:p>
        </w:tc>
        <w:tc>
          <w:tcPr>
            <w:tcW w:w="200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3860" w:type="dxa"/>
            <w:vAlign w:val="bottom"/>
          </w:tcPr>
          <w:p>
            <w:pPr>
              <w:spacing w:after="0"/>
              <w:rPr>
                <w:sz w:val="14"/>
                <w:szCs w:val="14"/>
                <w:color w:val="auto"/>
              </w:rPr>
            </w:pPr>
          </w:p>
        </w:tc>
        <w:tc>
          <w:tcPr>
            <w:tcW w:w="2960" w:type="dxa"/>
            <w:vAlign w:val="bottom"/>
          </w:tcPr>
          <w:p>
            <w:pPr>
              <w:ind w:left="220"/>
              <w:spacing w:after="0"/>
              <w:rPr>
                <w:sz w:val="20"/>
                <w:szCs w:val="20"/>
                <w:color w:val="auto"/>
              </w:rPr>
            </w:pPr>
            <w:r>
              <w:rPr>
                <w:rFonts w:ascii="Arial" w:cs="Arial" w:eastAsia="Arial" w:hAnsi="Arial"/>
                <w:sz w:val="13"/>
                <w:szCs w:val="13"/>
                <w:color w:val="auto"/>
              </w:rPr>
              <w:t>C.P. 03940 Mexico</w:t>
            </w:r>
          </w:p>
        </w:tc>
        <w:tc>
          <w:tcPr>
            <w:tcW w:w="200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8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RPS Research México, S. de R.L. de C.V.</w:t>
            </w:r>
          </w:p>
        </w:tc>
        <w:tc>
          <w:tcPr>
            <w:tcW w:w="2960" w:type="dxa"/>
            <w:vAlign w:val="bottom"/>
            <w:shd w:val="clear" w:color="auto" w:fill="CCEEFF"/>
          </w:tcPr>
          <w:p>
            <w:pPr>
              <w:ind w:left="220"/>
              <w:spacing w:after="0" w:line="129" w:lineRule="exact"/>
              <w:rPr>
                <w:sz w:val="20"/>
                <w:szCs w:val="20"/>
                <w:color w:val="auto"/>
              </w:rPr>
            </w:pPr>
            <w:r>
              <w:rPr>
                <w:rFonts w:ascii="Arial" w:cs="Arial" w:eastAsia="Arial" w:hAnsi="Arial"/>
                <w:sz w:val="13"/>
                <w:szCs w:val="13"/>
                <w:color w:val="auto"/>
              </w:rPr>
              <w:t>Ave. Insurgentes Sur No. 1602, Desp. 502</w:t>
            </w:r>
          </w:p>
        </w:tc>
        <w:tc>
          <w:tcPr>
            <w:tcW w:w="2000" w:type="dxa"/>
            <w:vAlign w:val="bottom"/>
            <w:shd w:val="clear" w:color="auto" w:fill="CCEEFF"/>
          </w:tcPr>
          <w:p>
            <w:pPr>
              <w:ind w:left="36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860" w:type="dxa"/>
            <w:vAlign w:val="bottom"/>
            <w:shd w:val="clear" w:color="auto" w:fill="CCEEFF"/>
          </w:tcPr>
          <w:p>
            <w:pPr>
              <w:spacing w:after="0"/>
              <w:rPr>
                <w:sz w:val="11"/>
                <w:szCs w:val="11"/>
                <w:color w:val="auto"/>
              </w:rPr>
            </w:pPr>
          </w:p>
        </w:tc>
        <w:tc>
          <w:tcPr>
            <w:tcW w:w="2960" w:type="dxa"/>
            <w:vAlign w:val="bottom"/>
            <w:shd w:val="clear" w:color="auto" w:fill="CCEEFF"/>
          </w:tcPr>
          <w:p>
            <w:pPr>
              <w:ind w:left="220"/>
              <w:spacing w:after="0" w:line="128" w:lineRule="exact"/>
              <w:rPr>
                <w:sz w:val="20"/>
                <w:szCs w:val="20"/>
                <w:color w:val="auto"/>
              </w:rPr>
            </w:pPr>
            <w:r>
              <w:rPr>
                <w:rFonts w:ascii="Arial" w:cs="Arial" w:eastAsia="Arial" w:hAnsi="Arial"/>
                <w:sz w:val="13"/>
                <w:szCs w:val="13"/>
                <w:color w:val="auto"/>
              </w:rPr>
              <w:t>Col. Credito Constructor Mexico</w:t>
            </w:r>
          </w:p>
        </w:tc>
        <w:tc>
          <w:tcPr>
            <w:tcW w:w="20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860" w:type="dxa"/>
            <w:vAlign w:val="bottom"/>
            <w:shd w:val="clear" w:color="auto" w:fill="CCEEFF"/>
          </w:tcPr>
          <w:p>
            <w:pPr>
              <w:spacing w:after="0"/>
              <w:rPr>
                <w:sz w:val="11"/>
                <w:szCs w:val="11"/>
                <w:color w:val="auto"/>
              </w:rPr>
            </w:pPr>
          </w:p>
        </w:tc>
        <w:tc>
          <w:tcPr>
            <w:tcW w:w="2960" w:type="dxa"/>
            <w:vAlign w:val="bottom"/>
            <w:shd w:val="clear" w:color="auto" w:fill="CCEEFF"/>
          </w:tcPr>
          <w:p>
            <w:pPr>
              <w:ind w:left="220"/>
              <w:spacing w:after="0" w:line="128" w:lineRule="exact"/>
              <w:rPr>
                <w:sz w:val="20"/>
                <w:szCs w:val="20"/>
                <w:color w:val="auto"/>
              </w:rPr>
            </w:pPr>
            <w:r>
              <w:rPr>
                <w:rFonts w:ascii="Arial" w:cs="Arial" w:eastAsia="Arial" w:hAnsi="Arial"/>
                <w:sz w:val="13"/>
                <w:szCs w:val="13"/>
                <w:color w:val="auto"/>
              </w:rPr>
              <w:t>Benito Juarez, Distrito Federal</w:t>
            </w:r>
          </w:p>
        </w:tc>
        <w:tc>
          <w:tcPr>
            <w:tcW w:w="20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3860" w:type="dxa"/>
            <w:vAlign w:val="bottom"/>
            <w:shd w:val="clear" w:color="auto" w:fill="CCEEFF"/>
          </w:tcPr>
          <w:p>
            <w:pPr>
              <w:spacing w:after="0"/>
              <w:rPr>
                <w:sz w:val="14"/>
                <w:szCs w:val="14"/>
                <w:color w:val="auto"/>
              </w:rPr>
            </w:pPr>
          </w:p>
        </w:tc>
        <w:tc>
          <w:tcPr>
            <w:tcW w:w="29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C.P. 03940 Mexico</w:t>
            </w:r>
          </w:p>
        </w:tc>
        <w:tc>
          <w:tcPr>
            <w:tcW w:w="200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3860" w:type="dxa"/>
            <w:vAlign w:val="bottom"/>
          </w:tcPr>
          <w:p>
            <w:pPr>
              <w:ind w:left="20"/>
              <w:spacing w:after="0" w:line="128" w:lineRule="exact"/>
              <w:rPr>
                <w:sz w:val="20"/>
                <w:szCs w:val="20"/>
                <w:color w:val="auto"/>
              </w:rPr>
            </w:pPr>
            <w:r>
              <w:rPr>
                <w:rFonts w:ascii="Arial" w:cs="Arial" w:eastAsia="Arial" w:hAnsi="Arial"/>
                <w:sz w:val="13"/>
                <w:szCs w:val="13"/>
                <w:color w:val="auto"/>
              </w:rPr>
              <w:t>RPS Research Servicios, S. de R.L. de C.V.</w:t>
            </w:r>
          </w:p>
        </w:tc>
        <w:tc>
          <w:tcPr>
            <w:tcW w:w="2960" w:type="dxa"/>
            <w:vAlign w:val="bottom"/>
          </w:tcPr>
          <w:p>
            <w:pPr>
              <w:ind w:left="220"/>
              <w:spacing w:after="0" w:line="128" w:lineRule="exact"/>
              <w:rPr>
                <w:sz w:val="20"/>
                <w:szCs w:val="20"/>
                <w:color w:val="auto"/>
              </w:rPr>
            </w:pPr>
            <w:r>
              <w:rPr>
                <w:rFonts w:ascii="Arial" w:cs="Arial" w:eastAsia="Arial" w:hAnsi="Arial"/>
                <w:sz w:val="13"/>
                <w:szCs w:val="13"/>
                <w:color w:val="auto"/>
              </w:rPr>
              <w:t>Ave. Insurgentes Sur No. 1602, Desp. 502</w:t>
            </w:r>
          </w:p>
        </w:tc>
        <w:tc>
          <w:tcPr>
            <w:tcW w:w="2000" w:type="dxa"/>
            <w:vAlign w:val="bottom"/>
          </w:tcPr>
          <w:p>
            <w:pPr>
              <w:ind w:left="36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860" w:type="dxa"/>
            <w:vAlign w:val="bottom"/>
          </w:tcPr>
          <w:p>
            <w:pPr>
              <w:spacing w:after="0"/>
              <w:rPr>
                <w:sz w:val="11"/>
                <w:szCs w:val="11"/>
                <w:color w:val="auto"/>
              </w:rPr>
            </w:pPr>
          </w:p>
        </w:tc>
        <w:tc>
          <w:tcPr>
            <w:tcW w:w="2960" w:type="dxa"/>
            <w:vAlign w:val="bottom"/>
          </w:tcPr>
          <w:p>
            <w:pPr>
              <w:ind w:left="220"/>
              <w:spacing w:after="0" w:line="128" w:lineRule="exact"/>
              <w:rPr>
                <w:sz w:val="20"/>
                <w:szCs w:val="20"/>
                <w:color w:val="auto"/>
              </w:rPr>
            </w:pPr>
            <w:r>
              <w:rPr>
                <w:rFonts w:ascii="Arial" w:cs="Arial" w:eastAsia="Arial" w:hAnsi="Arial"/>
                <w:sz w:val="13"/>
                <w:szCs w:val="13"/>
                <w:color w:val="auto"/>
              </w:rPr>
              <w:t>Col. Credito Constructor Mexico</w:t>
            </w:r>
          </w:p>
        </w:tc>
        <w:tc>
          <w:tcPr>
            <w:tcW w:w="200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860" w:type="dxa"/>
            <w:vAlign w:val="bottom"/>
          </w:tcPr>
          <w:p>
            <w:pPr>
              <w:spacing w:after="0"/>
              <w:rPr>
                <w:sz w:val="11"/>
                <w:szCs w:val="11"/>
                <w:color w:val="auto"/>
              </w:rPr>
            </w:pPr>
          </w:p>
        </w:tc>
        <w:tc>
          <w:tcPr>
            <w:tcW w:w="2960" w:type="dxa"/>
            <w:vAlign w:val="bottom"/>
          </w:tcPr>
          <w:p>
            <w:pPr>
              <w:ind w:left="220"/>
              <w:spacing w:after="0" w:line="128" w:lineRule="exact"/>
              <w:rPr>
                <w:sz w:val="20"/>
                <w:szCs w:val="20"/>
                <w:color w:val="auto"/>
              </w:rPr>
            </w:pPr>
            <w:r>
              <w:rPr>
                <w:rFonts w:ascii="Arial" w:cs="Arial" w:eastAsia="Arial" w:hAnsi="Arial"/>
                <w:sz w:val="13"/>
                <w:szCs w:val="13"/>
                <w:color w:val="auto"/>
              </w:rPr>
              <w:t>Benito Juarez, Distrito Federal</w:t>
            </w:r>
          </w:p>
        </w:tc>
        <w:tc>
          <w:tcPr>
            <w:tcW w:w="200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3860" w:type="dxa"/>
            <w:vAlign w:val="bottom"/>
          </w:tcPr>
          <w:p>
            <w:pPr>
              <w:spacing w:after="0"/>
              <w:rPr>
                <w:sz w:val="14"/>
                <w:szCs w:val="14"/>
                <w:color w:val="auto"/>
              </w:rPr>
            </w:pPr>
          </w:p>
        </w:tc>
        <w:tc>
          <w:tcPr>
            <w:tcW w:w="2960" w:type="dxa"/>
            <w:vAlign w:val="bottom"/>
          </w:tcPr>
          <w:p>
            <w:pPr>
              <w:ind w:left="220"/>
              <w:spacing w:after="0"/>
              <w:rPr>
                <w:sz w:val="20"/>
                <w:szCs w:val="20"/>
                <w:color w:val="auto"/>
              </w:rPr>
            </w:pPr>
            <w:r>
              <w:rPr>
                <w:rFonts w:ascii="Arial" w:cs="Arial" w:eastAsia="Arial" w:hAnsi="Arial"/>
                <w:sz w:val="13"/>
                <w:szCs w:val="13"/>
                <w:color w:val="auto"/>
              </w:rPr>
              <w:t>C.P. 03940 Mexico</w:t>
            </w:r>
          </w:p>
        </w:tc>
        <w:tc>
          <w:tcPr>
            <w:tcW w:w="200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8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DOCS Insourcing B.V.</w:t>
            </w:r>
          </w:p>
        </w:tc>
        <w:tc>
          <w:tcPr>
            <w:tcW w:w="2960" w:type="dxa"/>
            <w:vAlign w:val="bottom"/>
            <w:shd w:val="clear" w:color="auto" w:fill="CCEEFF"/>
          </w:tcPr>
          <w:p>
            <w:pPr>
              <w:ind w:left="220"/>
              <w:spacing w:after="0" w:line="129" w:lineRule="exact"/>
              <w:rPr>
                <w:sz w:val="20"/>
                <w:szCs w:val="20"/>
                <w:color w:val="auto"/>
              </w:rPr>
            </w:pPr>
            <w:r>
              <w:rPr>
                <w:rFonts w:ascii="Arial" w:cs="Arial" w:eastAsia="Arial" w:hAnsi="Arial"/>
                <w:sz w:val="13"/>
                <w:szCs w:val="13"/>
                <w:color w:val="auto"/>
              </w:rPr>
              <w:t>Boeing Avenue 62-68,</w:t>
            </w:r>
          </w:p>
        </w:tc>
        <w:tc>
          <w:tcPr>
            <w:tcW w:w="2000" w:type="dxa"/>
            <w:vAlign w:val="bottom"/>
            <w:shd w:val="clear" w:color="auto" w:fill="CCEEFF"/>
          </w:tcPr>
          <w:p>
            <w:pPr>
              <w:ind w:left="36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860" w:type="dxa"/>
            <w:vAlign w:val="bottom"/>
            <w:shd w:val="clear" w:color="auto" w:fill="CCEEFF"/>
          </w:tcPr>
          <w:p>
            <w:pPr>
              <w:spacing w:after="0"/>
              <w:rPr>
                <w:sz w:val="11"/>
                <w:szCs w:val="11"/>
                <w:color w:val="auto"/>
              </w:rPr>
            </w:pPr>
          </w:p>
        </w:tc>
        <w:tc>
          <w:tcPr>
            <w:tcW w:w="2960" w:type="dxa"/>
            <w:vAlign w:val="bottom"/>
            <w:shd w:val="clear" w:color="auto" w:fill="CCEEFF"/>
          </w:tcPr>
          <w:p>
            <w:pPr>
              <w:ind w:left="220"/>
              <w:spacing w:after="0" w:line="128" w:lineRule="exact"/>
              <w:rPr>
                <w:sz w:val="20"/>
                <w:szCs w:val="20"/>
                <w:color w:val="auto"/>
              </w:rPr>
            </w:pPr>
            <w:r>
              <w:rPr>
                <w:rFonts w:ascii="Arial" w:cs="Arial" w:eastAsia="Arial" w:hAnsi="Arial"/>
                <w:sz w:val="13"/>
                <w:szCs w:val="13"/>
                <w:color w:val="auto"/>
              </w:rPr>
              <w:t>1119PE Schiphol-Rijk,</w:t>
            </w:r>
          </w:p>
        </w:tc>
        <w:tc>
          <w:tcPr>
            <w:tcW w:w="20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3860" w:type="dxa"/>
            <w:vAlign w:val="bottom"/>
            <w:shd w:val="clear" w:color="auto" w:fill="CCEEFF"/>
          </w:tcPr>
          <w:p>
            <w:pPr>
              <w:spacing w:after="0"/>
              <w:rPr>
                <w:sz w:val="14"/>
                <w:szCs w:val="14"/>
                <w:color w:val="auto"/>
              </w:rPr>
            </w:pPr>
          </w:p>
        </w:tc>
        <w:tc>
          <w:tcPr>
            <w:tcW w:w="29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The Netherlands</w:t>
            </w:r>
          </w:p>
        </w:tc>
        <w:tc>
          <w:tcPr>
            <w:tcW w:w="200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3860" w:type="dxa"/>
            <w:vAlign w:val="bottom"/>
          </w:tcPr>
          <w:p>
            <w:pPr>
              <w:ind w:left="20"/>
              <w:spacing w:after="0" w:line="128" w:lineRule="exact"/>
              <w:rPr>
                <w:sz w:val="20"/>
                <w:szCs w:val="20"/>
                <w:color w:val="auto"/>
              </w:rPr>
            </w:pPr>
            <w:r>
              <w:rPr>
                <w:rFonts w:ascii="Arial" w:cs="Arial" w:eastAsia="Arial" w:hAnsi="Arial"/>
                <w:sz w:val="13"/>
                <w:szCs w:val="13"/>
                <w:color w:val="auto"/>
              </w:rPr>
              <w:t>DOCS International B.V.</w:t>
            </w:r>
          </w:p>
        </w:tc>
        <w:tc>
          <w:tcPr>
            <w:tcW w:w="2960" w:type="dxa"/>
            <w:vAlign w:val="bottom"/>
          </w:tcPr>
          <w:p>
            <w:pPr>
              <w:ind w:left="220"/>
              <w:spacing w:after="0" w:line="128" w:lineRule="exact"/>
              <w:rPr>
                <w:sz w:val="20"/>
                <w:szCs w:val="20"/>
                <w:color w:val="auto"/>
              </w:rPr>
            </w:pPr>
            <w:r>
              <w:rPr>
                <w:rFonts w:ascii="Arial" w:cs="Arial" w:eastAsia="Arial" w:hAnsi="Arial"/>
                <w:sz w:val="13"/>
                <w:szCs w:val="13"/>
                <w:color w:val="auto"/>
              </w:rPr>
              <w:t>Boeing Avenue 62-68,</w:t>
            </w:r>
          </w:p>
        </w:tc>
        <w:tc>
          <w:tcPr>
            <w:tcW w:w="2000" w:type="dxa"/>
            <w:vAlign w:val="bottom"/>
          </w:tcPr>
          <w:p>
            <w:pPr>
              <w:ind w:left="36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860" w:type="dxa"/>
            <w:vAlign w:val="bottom"/>
          </w:tcPr>
          <w:p>
            <w:pPr>
              <w:spacing w:after="0"/>
              <w:rPr>
                <w:sz w:val="11"/>
                <w:szCs w:val="11"/>
                <w:color w:val="auto"/>
              </w:rPr>
            </w:pPr>
          </w:p>
        </w:tc>
        <w:tc>
          <w:tcPr>
            <w:tcW w:w="2960" w:type="dxa"/>
            <w:vAlign w:val="bottom"/>
          </w:tcPr>
          <w:p>
            <w:pPr>
              <w:ind w:left="220"/>
              <w:spacing w:after="0" w:line="128" w:lineRule="exact"/>
              <w:rPr>
                <w:sz w:val="20"/>
                <w:szCs w:val="20"/>
                <w:color w:val="auto"/>
              </w:rPr>
            </w:pPr>
            <w:r>
              <w:rPr>
                <w:rFonts w:ascii="Arial" w:cs="Arial" w:eastAsia="Arial" w:hAnsi="Arial"/>
                <w:sz w:val="13"/>
                <w:szCs w:val="13"/>
                <w:color w:val="auto"/>
              </w:rPr>
              <w:t>1119PE Schiphol-Rijk,</w:t>
            </w:r>
          </w:p>
        </w:tc>
        <w:tc>
          <w:tcPr>
            <w:tcW w:w="200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3860" w:type="dxa"/>
            <w:vAlign w:val="bottom"/>
          </w:tcPr>
          <w:p>
            <w:pPr>
              <w:spacing w:after="0"/>
              <w:rPr>
                <w:sz w:val="14"/>
                <w:szCs w:val="14"/>
                <w:color w:val="auto"/>
              </w:rPr>
            </w:pPr>
          </w:p>
        </w:tc>
        <w:tc>
          <w:tcPr>
            <w:tcW w:w="2960" w:type="dxa"/>
            <w:vAlign w:val="bottom"/>
          </w:tcPr>
          <w:p>
            <w:pPr>
              <w:ind w:left="220"/>
              <w:spacing w:after="0"/>
              <w:rPr>
                <w:sz w:val="20"/>
                <w:szCs w:val="20"/>
                <w:color w:val="auto"/>
              </w:rPr>
            </w:pPr>
            <w:r>
              <w:rPr>
                <w:rFonts w:ascii="Arial" w:cs="Arial" w:eastAsia="Arial" w:hAnsi="Arial"/>
                <w:sz w:val="13"/>
                <w:szCs w:val="13"/>
                <w:color w:val="auto"/>
              </w:rPr>
              <w:t>The Netherlands</w:t>
            </w:r>
          </w:p>
        </w:tc>
        <w:tc>
          <w:tcPr>
            <w:tcW w:w="200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8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Contracting Solutions Holdings B.V.</w:t>
            </w:r>
          </w:p>
        </w:tc>
        <w:tc>
          <w:tcPr>
            <w:tcW w:w="2960" w:type="dxa"/>
            <w:vAlign w:val="bottom"/>
            <w:shd w:val="clear" w:color="auto" w:fill="CCEEFF"/>
          </w:tcPr>
          <w:p>
            <w:pPr>
              <w:ind w:left="220"/>
              <w:spacing w:after="0" w:line="129" w:lineRule="exact"/>
              <w:rPr>
                <w:sz w:val="20"/>
                <w:szCs w:val="20"/>
                <w:color w:val="auto"/>
              </w:rPr>
            </w:pPr>
            <w:r>
              <w:rPr>
                <w:rFonts w:ascii="Arial" w:cs="Arial" w:eastAsia="Arial" w:hAnsi="Arial"/>
                <w:sz w:val="13"/>
                <w:szCs w:val="13"/>
                <w:color w:val="auto"/>
              </w:rPr>
              <w:t>Boeing Avenue 62-68,</w:t>
            </w:r>
          </w:p>
        </w:tc>
        <w:tc>
          <w:tcPr>
            <w:tcW w:w="2000" w:type="dxa"/>
            <w:vAlign w:val="bottom"/>
            <w:shd w:val="clear" w:color="auto" w:fill="CCEEFF"/>
          </w:tcPr>
          <w:p>
            <w:pPr>
              <w:ind w:left="36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860" w:type="dxa"/>
            <w:vAlign w:val="bottom"/>
            <w:shd w:val="clear" w:color="auto" w:fill="CCEEFF"/>
          </w:tcPr>
          <w:p>
            <w:pPr>
              <w:spacing w:after="0"/>
              <w:rPr>
                <w:sz w:val="11"/>
                <w:szCs w:val="11"/>
                <w:color w:val="auto"/>
              </w:rPr>
            </w:pPr>
          </w:p>
        </w:tc>
        <w:tc>
          <w:tcPr>
            <w:tcW w:w="2960" w:type="dxa"/>
            <w:vAlign w:val="bottom"/>
            <w:shd w:val="clear" w:color="auto" w:fill="CCEEFF"/>
          </w:tcPr>
          <w:p>
            <w:pPr>
              <w:ind w:left="220"/>
              <w:spacing w:after="0" w:line="128" w:lineRule="exact"/>
              <w:rPr>
                <w:sz w:val="20"/>
                <w:szCs w:val="20"/>
                <w:color w:val="auto"/>
              </w:rPr>
            </w:pPr>
            <w:r>
              <w:rPr>
                <w:rFonts w:ascii="Arial" w:cs="Arial" w:eastAsia="Arial" w:hAnsi="Arial"/>
                <w:sz w:val="13"/>
                <w:szCs w:val="13"/>
                <w:color w:val="auto"/>
              </w:rPr>
              <w:t>1119PE Schiphol-Rijk,</w:t>
            </w:r>
          </w:p>
        </w:tc>
        <w:tc>
          <w:tcPr>
            <w:tcW w:w="20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3860" w:type="dxa"/>
            <w:vAlign w:val="bottom"/>
            <w:shd w:val="clear" w:color="auto" w:fill="CCEEFF"/>
          </w:tcPr>
          <w:p>
            <w:pPr>
              <w:spacing w:after="0"/>
              <w:rPr>
                <w:sz w:val="14"/>
                <w:szCs w:val="14"/>
                <w:color w:val="auto"/>
              </w:rPr>
            </w:pPr>
          </w:p>
        </w:tc>
        <w:tc>
          <w:tcPr>
            <w:tcW w:w="29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The Netherlands</w:t>
            </w:r>
          </w:p>
        </w:tc>
        <w:tc>
          <w:tcPr>
            <w:tcW w:w="200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3860" w:type="dxa"/>
            <w:vAlign w:val="bottom"/>
          </w:tcPr>
          <w:p>
            <w:pPr>
              <w:ind w:left="20"/>
              <w:spacing w:after="0" w:line="128" w:lineRule="exact"/>
              <w:rPr>
                <w:sz w:val="20"/>
                <w:szCs w:val="20"/>
                <w:color w:val="auto"/>
              </w:rPr>
            </w:pPr>
            <w:r>
              <w:rPr>
                <w:rFonts w:ascii="Arial" w:cs="Arial" w:eastAsia="Arial" w:hAnsi="Arial"/>
                <w:sz w:val="13"/>
                <w:szCs w:val="13"/>
                <w:color w:val="auto"/>
              </w:rPr>
              <w:t>Pharmaceutical Research Associates Group B.V.</w:t>
            </w:r>
          </w:p>
        </w:tc>
        <w:tc>
          <w:tcPr>
            <w:tcW w:w="2960" w:type="dxa"/>
            <w:vAlign w:val="bottom"/>
          </w:tcPr>
          <w:p>
            <w:pPr>
              <w:ind w:left="220"/>
              <w:spacing w:after="0" w:line="128" w:lineRule="exact"/>
              <w:rPr>
                <w:sz w:val="20"/>
                <w:szCs w:val="20"/>
                <w:color w:val="auto"/>
              </w:rPr>
            </w:pPr>
            <w:r>
              <w:rPr>
                <w:rFonts w:ascii="Arial" w:cs="Arial" w:eastAsia="Arial" w:hAnsi="Arial"/>
                <w:sz w:val="13"/>
                <w:szCs w:val="13"/>
                <w:color w:val="auto"/>
              </w:rPr>
              <w:t>Van Swietenlaan 6</w:t>
            </w:r>
          </w:p>
        </w:tc>
        <w:tc>
          <w:tcPr>
            <w:tcW w:w="2000" w:type="dxa"/>
            <w:vAlign w:val="bottom"/>
          </w:tcPr>
          <w:p>
            <w:pPr>
              <w:ind w:left="36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860" w:type="dxa"/>
            <w:vAlign w:val="bottom"/>
          </w:tcPr>
          <w:p>
            <w:pPr>
              <w:spacing w:after="0"/>
              <w:rPr>
                <w:sz w:val="11"/>
                <w:szCs w:val="11"/>
                <w:color w:val="auto"/>
              </w:rPr>
            </w:pPr>
          </w:p>
        </w:tc>
        <w:tc>
          <w:tcPr>
            <w:tcW w:w="2960" w:type="dxa"/>
            <w:vAlign w:val="bottom"/>
          </w:tcPr>
          <w:p>
            <w:pPr>
              <w:ind w:left="220"/>
              <w:spacing w:after="0" w:line="128" w:lineRule="exact"/>
              <w:rPr>
                <w:sz w:val="20"/>
                <w:szCs w:val="20"/>
                <w:color w:val="auto"/>
              </w:rPr>
            </w:pPr>
            <w:r>
              <w:rPr>
                <w:rFonts w:ascii="Arial" w:cs="Arial" w:eastAsia="Arial" w:hAnsi="Arial"/>
                <w:sz w:val="13"/>
                <w:szCs w:val="13"/>
                <w:color w:val="auto"/>
              </w:rPr>
              <w:t>9728 NZ, Groningen</w:t>
            </w:r>
          </w:p>
        </w:tc>
        <w:tc>
          <w:tcPr>
            <w:tcW w:w="200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3860" w:type="dxa"/>
            <w:vAlign w:val="bottom"/>
          </w:tcPr>
          <w:p>
            <w:pPr>
              <w:spacing w:after="0"/>
              <w:rPr>
                <w:sz w:val="14"/>
                <w:szCs w:val="14"/>
                <w:color w:val="auto"/>
              </w:rPr>
            </w:pPr>
          </w:p>
        </w:tc>
        <w:tc>
          <w:tcPr>
            <w:tcW w:w="2960" w:type="dxa"/>
            <w:vAlign w:val="bottom"/>
          </w:tcPr>
          <w:p>
            <w:pPr>
              <w:ind w:left="220"/>
              <w:spacing w:after="0"/>
              <w:rPr>
                <w:sz w:val="20"/>
                <w:szCs w:val="20"/>
                <w:color w:val="auto"/>
              </w:rPr>
            </w:pPr>
            <w:r>
              <w:rPr>
                <w:rFonts w:ascii="Arial" w:cs="Arial" w:eastAsia="Arial" w:hAnsi="Arial"/>
                <w:sz w:val="13"/>
                <w:szCs w:val="13"/>
                <w:color w:val="auto"/>
              </w:rPr>
              <w:t>The Netherlands</w:t>
            </w:r>
          </w:p>
        </w:tc>
        <w:tc>
          <w:tcPr>
            <w:tcW w:w="200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8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Pharmaceutical Research Associates Holdings B.V.</w:t>
            </w:r>
          </w:p>
        </w:tc>
        <w:tc>
          <w:tcPr>
            <w:tcW w:w="2960" w:type="dxa"/>
            <w:vAlign w:val="bottom"/>
            <w:shd w:val="clear" w:color="auto" w:fill="CCEEFF"/>
          </w:tcPr>
          <w:p>
            <w:pPr>
              <w:ind w:left="220"/>
              <w:spacing w:after="0" w:line="129" w:lineRule="exact"/>
              <w:rPr>
                <w:sz w:val="20"/>
                <w:szCs w:val="20"/>
                <w:color w:val="auto"/>
              </w:rPr>
            </w:pPr>
            <w:r>
              <w:rPr>
                <w:rFonts w:ascii="Arial" w:cs="Arial" w:eastAsia="Arial" w:hAnsi="Arial"/>
                <w:sz w:val="13"/>
                <w:szCs w:val="13"/>
                <w:color w:val="auto"/>
              </w:rPr>
              <w:t>Van Swietenlaan 6</w:t>
            </w:r>
          </w:p>
        </w:tc>
        <w:tc>
          <w:tcPr>
            <w:tcW w:w="2000" w:type="dxa"/>
            <w:vAlign w:val="bottom"/>
            <w:shd w:val="clear" w:color="auto" w:fill="CCEEFF"/>
          </w:tcPr>
          <w:p>
            <w:pPr>
              <w:ind w:left="36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860" w:type="dxa"/>
            <w:vAlign w:val="bottom"/>
            <w:shd w:val="clear" w:color="auto" w:fill="CCEEFF"/>
          </w:tcPr>
          <w:p>
            <w:pPr>
              <w:spacing w:after="0"/>
              <w:rPr>
                <w:sz w:val="11"/>
                <w:szCs w:val="11"/>
                <w:color w:val="auto"/>
              </w:rPr>
            </w:pPr>
          </w:p>
        </w:tc>
        <w:tc>
          <w:tcPr>
            <w:tcW w:w="2960" w:type="dxa"/>
            <w:vAlign w:val="bottom"/>
            <w:shd w:val="clear" w:color="auto" w:fill="CCEEFF"/>
          </w:tcPr>
          <w:p>
            <w:pPr>
              <w:ind w:left="220"/>
              <w:spacing w:after="0" w:line="128" w:lineRule="exact"/>
              <w:rPr>
                <w:sz w:val="20"/>
                <w:szCs w:val="20"/>
                <w:color w:val="auto"/>
              </w:rPr>
            </w:pPr>
            <w:r>
              <w:rPr>
                <w:rFonts w:ascii="Arial" w:cs="Arial" w:eastAsia="Arial" w:hAnsi="Arial"/>
                <w:sz w:val="13"/>
                <w:szCs w:val="13"/>
                <w:color w:val="auto"/>
              </w:rPr>
              <w:t>9728 NZ, Groningen</w:t>
            </w:r>
          </w:p>
        </w:tc>
        <w:tc>
          <w:tcPr>
            <w:tcW w:w="20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3860" w:type="dxa"/>
            <w:vAlign w:val="bottom"/>
            <w:shd w:val="clear" w:color="auto" w:fill="CCEEFF"/>
          </w:tcPr>
          <w:p>
            <w:pPr>
              <w:spacing w:after="0"/>
              <w:rPr>
                <w:sz w:val="14"/>
                <w:szCs w:val="14"/>
                <w:color w:val="auto"/>
              </w:rPr>
            </w:pPr>
          </w:p>
        </w:tc>
        <w:tc>
          <w:tcPr>
            <w:tcW w:w="29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The Netherlands</w:t>
            </w:r>
          </w:p>
        </w:tc>
        <w:tc>
          <w:tcPr>
            <w:tcW w:w="200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3860" w:type="dxa"/>
            <w:vAlign w:val="bottom"/>
          </w:tcPr>
          <w:p>
            <w:pPr>
              <w:ind w:left="20"/>
              <w:spacing w:after="0" w:line="128" w:lineRule="exact"/>
              <w:rPr>
                <w:sz w:val="20"/>
                <w:szCs w:val="20"/>
                <w:color w:val="auto"/>
              </w:rPr>
            </w:pPr>
            <w:r>
              <w:rPr>
                <w:rFonts w:ascii="Arial" w:cs="Arial" w:eastAsia="Arial" w:hAnsi="Arial"/>
                <w:sz w:val="13"/>
                <w:szCs w:val="13"/>
                <w:color w:val="auto"/>
              </w:rPr>
              <w:t>Pharmaceutical Research Associates Metaholdings B.V.</w:t>
            </w:r>
          </w:p>
        </w:tc>
        <w:tc>
          <w:tcPr>
            <w:tcW w:w="2960" w:type="dxa"/>
            <w:vAlign w:val="bottom"/>
          </w:tcPr>
          <w:p>
            <w:pPr>
              <w:ind w:left="220"/>
              <w:spacing w:after="0" w:line="128" w:lineRule="exact"/>
              <w:rPr>
                <w:sz w:val="20"/>
                <w:szCs w:val="20"/>
                <w:color w:val="auto"/>
              </w:rPr>
            </w:pPr>
            <w:r>
              <w:rPr>
                <w:rFonts w:ascii="Arial" w:cs="Arial" w:eastAsia="Arial" w:hAnsi="Arial"/>
                <w:sz w:val="13"/>
                <w:szCs w:val="13"/>
                <w:color w:val="auto"/>
              </w:rPr>
              <w:t>Van Swietenlaan 6</w:t>
            </w:r>
          </w:p>
        </w:tc>
        <w:tc>
          <w:tcPr>
            <w:tcW w:w="2000" w:type="dxa"/>
            <w:vAlign w:val="bottom"/>
          </w:tcPr>
          <w:p>
            <w:pPr>
              <w:ind w:left="36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860" w:type="dxa"/>
            <w:vAlign w:val="bottom"/>
          </w:tcPr>
          <w:p>
            <w:pPr>
              <w:spacing w:after="0"/>
              <w:rPr>
                <w:sz w:val="11"/>
                <w:szCs w:val="11"/>
                <w:color w:val="auto"/>
              </w:rPr>
            </w:pPr>
          </w:p>
        </w:tc>
        <w:tc>
          <w:tcPr>
            <w:tcW w:w="2960" w:type="dxa"/>
            <w:vAlign w:val="bottom"/>
          </w:tcPr>
          <w:p>
            <w:pPr>
              <w:ind w:left="220"/>
              <w:spacing w:after="0" w:line="128" w:lineRule="exact"/>
              <w:rPr>
                <w:sz w:val="20"/>
                <w:szCs w:val="20"/>
                <w:color w:val="auto"/>
              </w:rPr>
            </w:pPr>
            <w:r>
              <w:rPr>
                <w:rFonts w:ascii="Arial" w:cs="Arial" w:eastAsia="Arial" w:hAnsi="Arial"/>
                <w:sz w:val="13"/>
                <w:szCs w:val="13"/>
                <w:color w:val="auto"/>
              </w:rPr>
              <w:t>9728 NZ, Groningen</w:t>
            </w:r>
          </w:p>
        </w:tc>
        <w:tc>
          <w:tcPr>
            <w:tcW w:w="200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3860" w:type="dxa"/>
            <w:vAlign w:val="bottom"/>
          </w:tcPr>
          <w:p>
            <w:pPr>
              <w:spacing w:after="0"/>
              <w:rPr>
                <w:sz w:val="14"/>
                <w:szCs w:val="14"/>
                <w:color w:val="auto"/>
              </w:rPr>
            </w:pPr>
          </w:p>
        </w:tc>
        <w:tc>
          <w:tcPr>
            <w:tcW w:w="2960" w:type="dxa"/>
            <w:vAlign w:val="bottom"/>
          </w:tcPr>
          <w:p>
            <w:pPr>
              <w:ind w:left="220"/>
              <w:spacing w:after="0"/>
              <w:rPr>
                <w:sz w:val="20"/>
                <w:szCs w:val="20"/>
                <w:color w:val="auto"/>
              </w:rPr>
            </w:pPr>
            <w:r>
              <w:rPr>
                <w:rFonts w:ascii="Arial" w:cs="Arial" w:eastAsia="Arial" w:hAnsi="Arial"/>
                <w:sz w:val="13"/>
                <w:szCs w:val="13"/>
                <w:color w:val="auto"/>
              </w:rPr>
              <w:t>The Netherlands</w:t>
            </w:r>
          </w:p>
        </w:tc>
        <w:tc>
          <w:tcPr>
            <w:tcW w:w="200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8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PRA International B.V.</w:t>
            </w:r>
          </w:p>
        </w:tc>
        <w:tc>
          <w:tcPr>
            <w:tcW w:w="2960" w:type="dxa"/>
            <w:vAlign w:val="bottom"/>
            <w:shd w:val="clear" w:color="auto" w:fill="CCEEFF"/>
          </w:tcPr>
          <w:p>
            <w:pPr>
              <w:ind w:left="220"/>
              <w:spacing w:after="0" w:line="129" w:lineRule="exact"/>
              <w:rPr>
                <w:sz w:val="20"/>
                <w:szCs w:val="20"/>
                <w:color w:val="auto"/>
              </w:rPr>
            </w:pPr>
            <w:r>
              <w:rPr>
                <w:rFonts w:ascii="Arial" w:cs="Arial" w:eastAsia="Arial" w:hAnsi="Arial"/>
                <w:sz w:val="13"/>
                <w:szCs w:val="13"/>
                <w:color w:val="auto"/>
              </w:rPr>
              <w:t>Van Swietenlaan 6</w:t>
            </w:r>
          </w:p>
        </w:tc>
        <w:tc>
          <w:tcPr>
            <w:tcW w:w="2000" w:type="dxa"/>
            <w:vAlign w:val="bottom"/>
            <w:shd w:val="clear" w:color="auto" w:fill="CCEEFF"/>
          </w:tcPr>
          <w:p>
            <w:pPr>
              <w:ind w:left="36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860" w:type="dxa"/>
            <w:vAlign w:val="bottom"/>
            <w:shd w:val="clear" w:color="auto" w:fill="CCEEFF"/>
          </w:tcPr>
          <w:p>
            <w:pPr>
              <w:spacing w:after="0"/>
              <w:rPr>
                <w:sz w:val="11"/>
                <w:szCs w:val="11"/>
                <w:color w:val="auto"/>
              </w:rPr>
            </w:pPr>
          </w:p>
        </w:tc>
        <w:tc>
          <w:tcPr>
            <w:tcW w:w="2960" w:type="dxa"/>
            <w:vAlign w:val="bottom"/>
            <w:shd w:val="clear" w:color="auto" w:fill="CCEEFF"/>
          </w:tcPr>
          <w:p>
            <w:pPr>
              <w:ind w:left="220"/>
              <w:spacing w:after="0" w:line="128" w:lineRule="exact"/>
              <w:rPr>
                <w:sz w:val="20"/>
                <w:szCs w:val="20"/>
                <w:color w:val="auto"/>
              </w:rPr>
            </w:pPr>
            <w:r>
              <w:rPr>
                <w:rFonts w:ascii="Arial" w:cs="Arial" w:eastAsia="Arial" w:hAnsi="Arial"/>
                <w:sz w:val="13"/>
                <w:szCs w:val="13"/>
                <w:color w:val="auto"/>
              </w:rPr>
              <w:t>9728 NZ, Groningen</w:t>
            </w:r>
          </w:p>
        </w:tc>
        <w:tc>
          <w:tcPr>
            <w:tcW w:w="20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3860" w:type="dxa"/>
            <w:vAlign w:val="bottom"/>
            <w:shd w:val="clear" w:color="auto" w:fill="CCEEFF"/>
          </w:tcPr>
          <w:p>
            <w:pPr>
              <w:spacing w:after="0"/>
              <w:rPr>
                <w:sz w:val="14"/>
                <w:szCs w:val="14"/>
                <w:color w:val="auto"/>
              </w:rPr>
            </w:pPr>
          </w:p>
        </w:tc>
        <w:tc>
          <w:tcPr>
            <w:tcW w:w="29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The Netherlands</w:t>
            </w:r>
          </w:p>
        </w:tc>
        <w:tc>
          <w:tcPr>
            <w:tcW w:w="200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bl>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125</w:t>
      </w:r>
    </w:p>
    <w:p>
      <w:pPr>
        <w:sectPr>
          <w:pgSz w:w="11900" w:h="16838" w:orient="portrait"/>
          <w:cols w:equalWidth="0" w:num="1">
            <w:col w:w="11260"/>
          </w:cols>
          <w:pgMar w:left="300" w:top="698" w:right="3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32.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3280" w:type="dxa"/>
            <w:vAlign w:val="bottom"/>
            <w:shd w:val="clear" w:color="auto" w:fill="CCEEFF"/>
          </w:tcPr>
          <w:p>
            <w:pPr>
              <w:ind w:left="360"/>
              <w:spacing w:after="0"/>
              <w:rPr>
                <w:sz w:val="20"/>
                <w:szCs w:val="20"/>
                <w:color w:val="auto"/>
              </w:rPr>
            </w:pPr>
            <w:r>
              <w:rPr>
                <w:rFonts w:ascii="Arial" w:cs="Arial" w:eastAsia="Arial" w:hAnsi="Arial"/>
                <w:sz w:val="13"/>
                <w:szCs w:val="13"/>
                <w:b w:val="1"/>
                <w:bCs w:val="1"/>
                <w:color w:val="auto"/>
              </w:rPr>
              <w:t>Registered Office</w:t>
            </w:r>
          </w:p>
        </w:tc>
        <w:tc>
          <w:tcPr>
            <w:tcW w:w="182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Nature of business</w:t>
            </w:r>
          </w:p>
        </w:tc>
        <w:tc>
          <w:tcPr>
            <w:tcW w:w="244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Proportion held by</w:t>
            </w:r>
          </w:p>
        </w:tc>
      </w:tr>
      <w:tr>
        <w:trPr>
          <w:trHeight w:val="170"/>
        </w:trPr>
        <w:tc>
          <w:tcPr>
            <w:tcW w:w="3720" w:type="dxa"/>
            <w:vAlign w:val="bottom"/>
            <w:tcBorders>
              <w:bottom w:val="single" w:sz="8" w:color="auto"/>
            </w:tcBorders>
            <w:shd w:val="clear" w:color="auto" w:fill="CCEEFF"/>
          </w:tcPr>
          <w:p>
            <w:pPr>
              <w:spacing w:after="0"/>
              <w:rPr>
                <w:sz w:val="14"/>
                <w:szCs w:val="14"/>
                <w:color w:val="auto"/>
              </w:rPr>
            </w:pPr>
          </w:p>
        </w:tc>
        <w:tc>
          <w:tcPr>
            <w:tcW w:w="3280" w:type="dxa"/>
            <w:vAlign w:val="bottom"/>
            <w:tcBorders>
              <w:bottom w:val="single" w:sz="8" w:color="auto"/>
            </w:tcBorders>
            <w:shd w:val="clear" w:color="auto" w:fill="CCEEFF"/>
          </w:tcPr>
          <w:p>
            <w:pPr>
              <w:spacing w:after="0"/>
              <w:rPr>
                <w:sz w:val="14"/>
                <w:szCs w:val="14"/>
                <w:color w:val="auto"/>
              </w:rPr>
            </w:pPr>
          </w:p>
        </w:tc>
        <w:tc>
          <w:tcPr>
            <w:tcW w:w="1820" w:type="dxa"/>
            <w:vAlign w:val="bottom"/>
            <w:tcBorders>
              <w:bottom w:val="single" w:sz="8" w:color="auto"/>
            </w:tcBorders>
            <w:shd w:val="clear" w:color="auto" w:fill="CCEEFF"/>
          </w:tcPr>
          <w:p>
            <w:pPr>
              <w:spacing w:after="0"/>
              <w:rPr>
                <w:sz w:val="14"/>
                <w:szCs w:val="14"/>
                <w:color w:val="auto"/>
              </w:rPr>
            </w:pPr>
          </w:p>
        </w:tc>
        <w:tc>
          <w:tcPr>
            <w:tcW w:w="24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3"/>
                <w:szCs w:val="13"/>
                <w:b w:val="1"/>
                <w:bCs w:val="1"/>
                <w:color w:val="auto"/>
              </w:rPr>
              <w:t>Group</w:t>
            </w:r>
          </w:p>
        </w:tc>
      </w:tr>
      <w:tr>
        <w:trPr>
          <w:trHeight w:val="118"/>
        </w:trPr>
        <w:tc>
          <w:tcPr>
            <w:tcW w:w="3720" w:type="dxa"/>
            <w:vAlign w:val="bottom"/>
          </w:tcPr>
          <w:p>
            <w:pPr>
              <w:ind w:left="20"/>
              <w:spacing w:after="0" w:line="118" w:lineRule="exact"/>
              <w:rPr>
                <w:sz w:val="20"/>
                <w:szCs w:val="20"/>
                <w:color w:val="auto"/>
              </w:rPr>
            </w:pPr>
            <w:r>
              <w:rPr>
                <w:rFonts w:ascii="Arial" w:cs="Arial" w:eastAsia="Arial" w:hAnsi="Arial"/>
                <w:sz w:val="13"/>
                <w:szCs w:val="13"/>
                <w:color w:val="auto"/>
              </w:rPr>
              <w:t>PRA International Operations B.V.</w:t>
            </w:r>
          </w:p>
        </w:tc>
        <w:tc>
          <w:tcPr>
            <w:tcW w:w="3280" w:type="dxa"/>
            <w:vAlign w:val="bottom"/>
          </w:tcPr>
          <w:p>
            <w:pPr>
              <w:ind w:left="360"/>
              <w:spacing w:after="0" w:line="118" w:lineRule="exact"/>
              <w:rPr>
                <w:sz w:val="20"/>
                <w:szCs w:val="20"/>
                <w:color w:val="auto"/>
              </w:rPr>
            </w:pPr>
            <w:r>
              <w:rPr>
                <w:rFonts w:ascii="Arial" w:cs="Arial" w:eastAsia="Arial" w:hAnsi="Arial"/>
                <w:sz w:val="13"/>
                <w:szCs w:val="13"/>
                <w:color w:val="auto"/>
              </w:rPr>
              <w:t>Van Swietenlaan 6</w:t>
            </w:r>
          </w:p>
        </w:tc>
        <w:tc>
          <w:tcPr>
            <w:tcW w:w="1820" w:type="dxa"/>
            <w:vAlign w:val="bottom"/>
          </w:tcPr>
          <w:p>
            <w:pPr>
              <w:ind w:left="180"/>
              <w:spacing w:after="0" w:line="11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18" w:lineRule="exact"/>
              <w:rPr>
                <w:sz w:val="20"/>
                <w:szCs w:val="20"/>
                <w:color w:val="auto"/>
              </w:rPr>
            </w:pPr>
            <w:r>
              <w:rPr>
                <w:rFonts w:ascii="Arial" w:cs="Arial" w:eastAsia="Arial" w:hAnsi="Arial"/>
                <w:sz w:val="13"/>
                <w:szCs w:val="13"/>
                <w:color w:val="auto"/>
              </w:rPr>
              <w:t>100%</w:t>
            </w:r>
          </w:p>
        </w:tc>
      </w:tr>
      <w:tr>
        <w:trPr>
          <w:trHeight w:val="127"/>
        </w:trPr>
        <w:tc>
          <w:tcPr>
            <w:tcW w:w="3720" w:type="dxa"/>
            <w:vAlign w:val="bottom"/>
          </w:tcPr>
          <w:p>
            <w:pPr>
              <w:spacing w:after="0"/>
              <w:rPr>
                <w:sz w:val="11"/>
                <w:szCs w:val="11"/>
                <w:color w:val="auto"/>
              </w:rPr>
            </w:pPr>
          </w:p>
        </w:tc>
        <w:tc>
          <w:tcPr>
            <w:tcW w:w="3280" w:type="dxa"/>
            <w:vAlign w:val="bottom"/>
          </w:tcPr>
          <w:p>
            <w:pPr>
              <w:ind w:left="360"/>
              <w:spacing w:after="0" w:line="128" w:lineRule="exact"/>
              <w:rPr>
                <w:sz w:val="20"/>
                <w:szCs w:val="20"/>
                <w:color w:val="auto"/>
              </w:rPr>
            </w:pPr>
            <w:r>
              <w:rPr>
                <w:rFonts w:ascii="Arial" w:cs="Arial" w:eastAsia="Arial" w:hAnsi="Arial"/>
                <w:sz w:val="13"/>
                <w:szCs w:val="13"/>
                <w:color w:val="auto"/>
              </w:rPr>
              <w:t>9728 NZ, Groningen</w:t>
            </w:r>
          </w:p>
        </w:tc>
        <w:tc>
          <w:tcPr>
            <w:tcW w:w="182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3720" w:type="dxa"/>
            <w:vAlign w:val="bottom"/>
          </w:tcPr>
          <w:p>
            <w:pPr>
              <w:spacing w:after="0"/>
              <w:rPr>
                <w:sz w:val="14"/>
                <w:szCs w:val="14"/>
                <w:color w:val="auto"/>
              </w:rPr>
            </w:pPr>
          </w:p>
        </w:tc>
        <w:tc>
          <w:tcPr>
            <w:tcW w:w="3280" w:type="dxa"/>
            <w:vAlign w:val="bottom"/>
          </w:tcPr>
          <w:p>
            <w:pPr>
              <w:ind w:left="360"/>
              <w:spacing w:after="0"/>
              <w:rPr>
                <w:sz w:val="20"/>
                <w:szCs w:val="20"/>
                <w:color w:val="auto"/>
              </w:rPr>
            </w:pPr>
            <w:r>
              <w:rPr>
                <w:rFonts w:ascii="Arial" w:cs="Arial" w:eastAsia="Arial" w:hAnsi="Arial"/>
                <w:sz w:val="13"/>
                <w:szCs w:val="13"/>
                <w:color w:val="auto"/>
              </w:rPr>
              <w:t>The Netherlands</w:t>
            </w:r>
          </w:p>
        </w:tc>
        <w:tc>
          <w:tcPr>
            <w:tcW w:w="182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7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Research Pharmaceutical Services Netherlands B.V.</w:t>
            </w:r>
          </w:p>
        </w:tc>
        <w:tc>
          <w:tcPr>
            <w:tcW w:w="3280" w:type="dxa"/>
            <w:vAlign w:val="bottom"/>
            <w:shd w:val="clear" w:color="auto" w:fill="CCEEFF"/>
          </w:tcPr>
          <w:p>
            <w:pPr>
              <w:ind w:left="360"/>
              <w:spacing w:after="0" w:line="129" w:lineRule="exact"/>
              <w:rPr>
                <w:sz w:val="20"/>
                <w:szCs w:val="20"/>
                <w:color w:val="auto"/>
              </w:rPr>
            </w:pPr>
            <w:r>
              <w:rPr>
                <w:rFonts w:ascii="Arial" w:cs="Arial" w:eastAsia="Arial" w:hAnsi="Arial"/>
                <w:sz w:val="13"/>
                <w:szCs w:val="13"/>
                <w:color w:val="auto"/>
              </w:rPr>
              <w:t>Herengracht 466</w:t>
            </w:r>
          </w:p>
        </w:tc>
        <w:tc>
          <w:tcPr>
            <w:tcW w:w="1820" w:type="dxa"/>
            <w:vAlign w:val="bottom"/>
            <w:shd w:val="clear" w:color="auto" w:fill="CCEEFF"/>
          </w:tcPr>
          <w:p>
            <w:pPr>
              <w:ind w:left="18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70"/>
        </w:trPr>
        <w:tc>
          <w:tcPr>
            <w:tcW w:w="3720" w:type="dxa"/>
            <w:vAlign w:val="bottom"/>
            <w:shd w:val="clear" w:color="auto" w:fill="CCEEFF"/>
          </w:tcPr>
          <w:p>
            <w:pPr>
              <w:spacing w:after="0"/>
              <w:rPr>
                <w:sz w:val="14"/>
                <w:szCs w:val="14"/>
                <w:color w:val="auto"/>
              </w:rPr>
            </w:pPr>
          </w:p>
        </w:tc>
        <w:tc>
          <w:tcPr>
            <w:tcW w:w="32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1017 CA Amsterdam, The Netherlands</w:t>
            </w:r>
          </w:p>
        </w:tc>
        <w:tc>
          <w:tcPr>
            <w:tcW w:w="182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3720" w:type="dxa"/>
            <w:vAlign w:val="bottom"/>
          </w:tcPr>
          <w:p>
            <w:pPr>
              <w:ind w:left="20"/>
              <w:spacing w:after="0" w:line="128" w:lineRule="exact"/>
              <w:rPr>
                <w:sz w:val="20"/>
                <w:szCs w:val="20"/>
                <w:color w:val="auto"/>
              </w:rPr>
            </w:pPr>
            <w:r>
              <w:rPr>
                <w:rFonts w:ascii="Arial" w:cs="Arial" w:eastAsia="Arial" w:hAnsi="Arial"/>
                <w:sz w:val="13"/>
                <w:szCs w:val="13"/>
                <w:color w:val="auto"/>
              </w:rPr>
              <w:t>ICON Clinical Research (New Zealand) Limited</w:t>
            </w:r>
          </w:p>
        </w:tc>
        <w:tc>
          <w:tcPr>
            <w:tcW w:w="3280" w:type="dxa"/>
            <w:vAlign w:val="bottom"/>
          </w:tcPr>
          <w:p>
            <w:pPr>
              <w:ind w:left="360"/>
              <w:spacing w:after="0" w:line="128" w:lineRule="exact"/>
              <w:rPr>
                <w:sz w:val="20"/>
                <w:szCs w:val="20"/>
                <w:color w:val="auto"/>
              </w:rPr>
            </w:pPr>
            <w:r>
              <w:rPr>
                <w:rFonts w:ascii="Arial" w:cs="Arial" w:eastAsia="Arial" w:hAnsi="Arial"/>
                <w:sz w:val="13"/>
                <w:szCs w:val="13"/>
                <w:color w:val="auto"/>
              </w:rPr>
              <w:t>Plaza Level,</w:t>
            </w:r>
          </w:p>
        </w:tc>
        <w:tc>
          <w:tcPr>
            <w:tcW w:w="1820" w:type="dxa"/>
            <w:vAlign w:val="bottom"/>
          </w:tcPr>
          <w:p>
            <w:pPr>
              <w:ind w:left="18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720" w:type="dxa"/>
            <w:vAlign w:val="bottom"/>
          </w:tcPr>
          <w:p>
            <w:pPr>
              <w:spacing w:after="0"/>
              <w:rPr>
                <w:sz w:val="11"/>
                <w:szCs w:val="11"/>
                <w:color w:val="auto"/>
              </w:rPr>
            </w:pPr>
          </w:p>
        </w:tc>
        <w:tc>
          <w:tcPr>
            <w:tcW w:w="3280" w:type="dxa"/>
            <w:vAlign w:val="bottom"/>
          </w:tcPr>
          <w:p>
            <w:pPr>
              <w:ind w:left="360"/>
              <w:spacing w:after="0" w:line="128" w:lineRule="exact"/>
              <w:rPr>
                <w:sz w:val="20"/>
                <w:szCs w:val="20"/>
                <w:color w:val="auto"/>
              </w:rPr>
            </w:pPr>
            <w:r>
              <w:rPr>
                <w:rFonts w:ascii="Arial" w:cs="Arial" w:eastAsia="Arial" w:hAnsi="Arial"/>
                <w:sz w:val="13"/>
                <w:szCs w:val="13"/>
                <w:color w:val="auto"/>
              </w:rPr>
              <w:t>41 Shortland Street,</w:t>
            </w:r>
          </w:p>
        </w:tc>
        <w:tc>
          <w:tcPr>
            <w:tcW w:w="182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720" w:type="dxa"/>
            <w:vAlign w:val="bottom"/>
          </w:tcPr>
          <w:p>
            <w:pPr>
              <w:spacing w:after="0"/>
              <w:rPr>
                <w:sz w:val="11"/>
                <w:szCs w:val="11"/>
                <w:color w:val="auto"/>
              </w:rPr>
            </w:pPr>
          </w:p>
        </w:tc>
        <w:tc>
          <w:tcPr>
            <w:tcW w:w="3280" w:type="dxa"/>
            <w:vAlign w:val="bottom"/>
          </w:tcPr>
          <w:p>
            <w:pPr>
              <w:ind w:left="360"/>
              <w:spacing w:after="0" w:line="128" w:lineRule="exact"/>
              <w:rPr>
                <w:sz w:val="20"/>
                <w:szCs w:val="20"/>
                <w:color w:val="auto"/>
              </w:rPr>
            </w:pPr>
            <w:r>
              <w:rPr>
                <w:rFonts w:ascii="Arial" w:cs="Arial" w:eastAsia="Arial" w:hAnsi="Arial"/>
                <w:sz w:val="13"/>
                <w:szCs w:val="13"/>
                <w:color w:val="auto"/>
              </w:rPr>
              <w:t>Auckland,</w:t>
            </w:r>
          </w:p>
        </w:tc>
        <w:tc>
          <w:tcPr>
            <w:tcW w:w="182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3720" w:type="dxa"/>
            <w:vAlign w:val="bottom"/>
          </w:tcPr>
          <w:p>
            <w:pPr>
              <w:spacing w:after="0"/>
              <w:rPr>
                <w:sz w:val="14"/>
                <w:szCs w:val="14"/>
                <w:color w:val="auto"/>
              </w:rPr>
            </w:pPr>
          </w:p>
        </w:tc>
        <w:tc>
          <w:tcPr>
            <w:tcW w:w="3280" w:type="dxa"/>
            <w:vAlign w:val="bottom"/>
          </w:tcPr>
          <w:p>
            <w:pPr>
              <w:ind w:left="360"/>
              <w:spacing w:after="0"/>
              <w:rPr>
                <w:sz w:val="20"/>
                <w:szCs w:val="20"/>
                <w:color w:val="auto"/>
              </w:rPr>
            </w:pPr>
            <w:r>
              <w:rPr>
                <w:rFonts w:ascii="Arial" w:cs="Arial" w:eastAsia="Arial" w:hAnsi="Arial"/>
                <w:sz w:val="13"/>
                <w:szCs w:val="13"/>
                <w:color w:val="auto"/>
              </w:rPr>
              <w:t>New Zealand 1010</w:t>
            </w:r>
          </w:p>
        </w:tc>
        <w:tc>
          <w:tcPr>
            <w:tcW w:w="182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7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Pharmaceutical Research Associates New Zealand Limited</w:t>
            </w:r>
          </w:p>
        </w:tc>
        <w:tc>
          <w:tcPr>
            <w:tcW w:w="3280" w:type="dxa"/>
            <w:vAlign w:val="bottom"/>
            <w:shd w:val="clear" w:color="auto" w:fill="CCEEFF"/>
          </w:tcPr>
          <w:p>
            <w:pPr>
              <w:ind w:left="360"/>
              <w:spacing w:after="0" w:line="129" w:lineRule="exact"/>
              <w:rPr>
                <w:sz w:val="20"/>
                <w:szCs w:val="20"/>
                <w:color w:val="auto"/>
              </w:rPr>
            </w:pPr>
            <w:r>
              <w:rPr>
                <w:rFonts w:ascii="Arial" w:cs="Arial" w:eastAsia="Arial" w:hAnsi="Arial"/>
                <w:sz w:val="13"/>
                <w:szCs w:val="13"/>
                <w:color w:val="auto"/>
              </w:rPr>
              <w:t>Grant Thornton New Zealand Limited,</w:t>
            </w:r>
          </w:p>
        </w:tc>
        <w:tc>
          <w:tcPr>
            <w:tcW w:w="1820" w:type="dxa"/>
            <w:vAlign w:val="bottom"/>
            <w:shd w:val="clear" w:color="auto" w:fill="CCEEFF"/>
          </w:tcPr>
          <w:p>
            <w:pPr>
              <w:ind w:left="18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720" w:type="dxa"/>
            <w:vAlign w:val="bottom"/>
            <w:shd w:val="clear" w:color="auto" w:fill="CCEEFF"/>
          </w:tcPr>
          <w:p>
            <w:pPr>
              <w:spacing w:after="0"/>
              <w:rPr>
                <w:sz w:val="11"/>
                <w:szCs w:val="11"/>
                <w:color w:val="auto"/>
              </w:rPr>
            </w:pPr>
          </w:p>
        </w:tc>
        <w:tc>
          <w:tcPr>
            <w:tcW w:w="3280" w:type="dxa"/>
            <w:vAlign w:val="bottom"/>
            <w:shd w:val="clear" w:color="auto" w:fill="CCEEFF"/>
          </w:tcPr>
          <w:p>
            <w:pPr>
              <w:ind w:left="360"/>
              <w:spacing w:after="0" w:line="128" w:lineRule="exact"/>
              <w:rPr>
                <w:sz w:val="20"/>
                <w:szCs w:val="20"/>
                <w:color w:val="auto"/>
              </w:rPr>
            </w:pPr>
            <w:r>
              <w:rPr>
                <w:rFonts w:ascii="Arial" w:cs="Arial" w:eastAsia="Arial" w:hAnsi="Arial"/>
                <w:sz w:val="13"/>
                <w:szCs w:val="13"/>
                <w:color w:val="auto"/>
              </w:rPr>
              <w:t>L3, 134 Oxford Terrace,</w:t>
            </w:r>
          </w:p>
        </w:tc>
        <w:tc>
          <w:tcPr>
            <w:tcW w:w="182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3720" w:type="dxa"/>
            <w:vAlign w:val="bottom"/>
            <w:shd w:val="clear" w:color="auto" w:fill="CCEEFF"/>
          </w:tcPr>
          <w:p>
            <w:pPr>
              <w:spacing w:after="0"/>
              <w:rPr>
                <w:sz w:val="14"/>
                <w:szCs w:val="14"/>
                <w:color w:val="auto"/>
              </w:rPr>
            </w:pPr>
          </w:p>
        </w:tc>
        <w:tc>
          <w:tcPr>
            <w:tcW w:w="32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Christchurch, 8140 , New Zealand</w:t>
            </w:r>
          </w:p>
        </w:tc>
        <w:tc>
          <w:tcPr>
            <w:tcW w:w="182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3720" w:type="dxa"/>
            <w:vAlign w:val="bottom"/>
          </w:tcPr>
          <w:p>
            <w:pPr>
              <w:ind w:left="20"/>
              <w:spacing w:after="0" w:line="128" w:lineRule="exact"/>
              <w:rPr>
                <w:sz w:val="20"/>
                <w:szCs w:val="20"/>
                <w:color w:val="auto"/>
              </w:rPr>
            </w:pPr>
            <w:r>
              <w:rPr>
                <w:rFonts w:ascii="Arial" w:cs="Arial" w:eastAsia="Arial" w:hAnsi="Arial"/>
                <w:sz w:val="13"/>
                <w:szCs w:val="13"/>
                <w:color w:val="auto"/>
              </w:rPr>
              <w:t>RPS Research Norway AS</w:t>
            </w:r>
          </w:p>
        </w:tc>
        <w:tc>
          <w:tcPr>
            <w:tcW w:w="3280" w:type="dxa"/>
            <w:vAlign w:val="bottom"/>
          </w:tcPr>
          <w:p>
            <w:pPr>
              <w:ind w:left="360"/>
              <w:spacing w:after="0" w:line="128" w:lineRule="exact"/>
              <w:rPr>
                <w:sz w:val="20"/>
                <w:szCs w:val="20"/>
                <w:color w:val="auto"/>
              </w:rPr>
            </w:pPr>
            <w:r>
              <w:rPr>
                <w:rFonts w:ascii="Arial" w:cs="Arial" w:eastAsia="Arial" w:hAnsi="Arial"/>
                <w:sz w:val="13"/>
                <w:szCs w:val="13"/>
                <w:color w:val="auto"/>
              </w:rPr>
              <w:t>c/o EconPartner AS</w:t>
            </w:r>
          </w:p>
        </w:tc>
        <w:tc>
          <w:tcPr>
            <w:tcW w:w="1820" w:type="dxa"/>
            <w:vAlign w:val="bottom"/>
          </w:tcPr>
          <w:p>
            <w:pPr>
              <w:ind w:left="18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720" w:type="dxa"/>
            <w:vAlign w:val="bottom"/>
          </w:tcPr>
          <w:p>
            <w:pPr>
              <w:spacing w:after="0"/>
              <w:rPr>
                <w:sz w:val="11"/>
                <w:szCs w:val="11"/>
                <w:color w:val="auto"/>
              </w:rPr>
            </w:pPr>
          </w:p>
        </w:tc>
        <w:tc>
          <w:tcPr>
            <w:tcW w:w="3280" w:type="dxa"/>
            <w:vAlign w:val="bottom"/>
          </w:tcPr>
          <w:p>
            <w:pPr>
              <w:ind w:left="360"/>
              <w:spacing w:after="0" w:line="128" w:lineRule="exact"/>
              <w:rPr>
                <w:sz w:val="20"/>
                <w:szCs w:val="20"/>
                <w:color w:val="auto"/>
              </w:rPr>
            </w:pPr>
            <w:r>
              <w:rPr>
                <w:rFonts w:ascii="Arial" w:cs="Arial" w:eastAsia="Arial" w:hAnsi="Arial"/>
                <w:sz w:val="13"/>
                <w:szCs w:val="13"/>
                <w:color w:val="auto"/>
              </w:rPr>
              <w:t>Dronning Mauds gate 15</w:t>
            </w:r>
          </w:p>
        </w:tc>
        <w:tc>
          <w:tcPr>
            <w:tcW w:w="182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3720" w:type="dxa"/>
            <w:vAlign w:val="bottom"/>
          </w:tcPr>
          <w:p>
            <w:pPr>
              <w:spacing w:after="0"/>
              <w:rPr>
                <w:sz w:val="14"/>
                <w:szCs w:val="14"/>
                <w:color w:val="auto"/>
              </w:rPr>
            </w:pPr>
          </w:p>
        </w:tc>
        <w:tc>
          <w:tcPr>
            <w:tcW w:w="3280" w:type="dxa"/>
            <w:vAlign w:val="bottom"/>
          </w:tcPr>
          <w:p>
            <w:pPr>
              <w:ind w:left="360"/>
              <w:spacing w:after="0"/>
              <w:rPr>
                <w:sz w:val="20"/>
                <w:szCs w:val="20"/>
                <w:color w:val="auto"/>
              </w:rPr>
            </w:pPr>
            <w:r>
              <w:rPr>
                <w:rFonts w:ascii="Arial" w:cs="Arial" w:eastAsia="Arial" w:hAnsi="Arial"/>
                <w:sz w:val="13"/>
                <w:szCs w:val="13"/>
                <w:color w:val="auto"/>
              </w:rPr>
              <w:t>0250 Oslo, Norway</w:t>
            </w:r>
          </w:p>
        </w:tc>
        <w:tc>
          <w:tcPr>
            <w:tcW w:w="182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7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RPS Panama Inc.</w:t>
            </w:r>
          </w:p>
        </w:tc>
        <w:tc>
          <w:tcPr>
            <w:tcW w:w="3280" w:type="dxa"/>
            <w:vAlign w:val="bottom"/>
            <w:shd w:val="clear" w:color="auto" w:fill="CCEEFF"/>
          </w:tcPr>
          <w:p>
            <w:pPr>
              <w:ind w:left="360"/>
              <w:spacing w:after="0" w:line="129" w:lineRule="exact"/>
              <w:rPr>
                <w:sz w:val="20"/>
                <w:szCs w:val="20"/>
                <w:color w:val="auto"/>
              </w:rPr>
            </w:pPr>
            <w:r>
              <w:rPr>
                <w:rFonts w:ascii="Arial" w:cs="Arial" w:eastAsia="Arial" w:hAnsi="Arial"/>
                <w:sz w:val="13"/>
                <w:szCs w:val="13"/>
                <w:color w:val="auto"/>
              </w:rPr>
              <w:t>Urbanización Nuevo Reparto el Carmen No. 58</w:t>
            </w:r>
          </w:p>
        </w:tc>
        <w:tc>
          <w:tcPr>
            <w:tcW w:w="1820" w:type="dxa"/>
            <w:vAlign w:val="bottom"/>
            <w:shd w:val="clear" w:color="auto" w:fill="CCEEFF"/>
          </w:tcPr>
          <w:p>
            <w:pPr>
              <w:ind w:left="18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720" w:type="dxa"/>
            <w:vAlign w:val="bottom"/>
            <w:shd w:val="clear" w:color="auto" w:fill="CCEEFF"/>
          </w:tcPr>
          <w:p>
            <w:pPr>
              <w:spacing w:after="0"/>
              <w:rPr>
                <w:sz w:val="11"/>
                <w:szCs w:val="11"/>
                <w:color w:val="auto"/>
              </w:rPr>
            </w:pPr>
          </w:p>
        </w:tc>
        <w:tc>
          <w:tcPr>
            <w:tcW w:w="3280" w:type="dxa"/>
            <w:vAlign w:val="bottom"/>
            <w:shd w:val="clear" w:color="auto" w:fill="CCEEFF"/>
          </w:tcPr>
          <w:p>
            <w:pPr>
              <w:ind w:left="360"/>
              <w:spacing w:after="0" w:line="128" w:lineRule="exact"/>
              <w:rPr>
                <w:sz w:val="20"/>
                <w:szCs w:val="20"/>
                <w:color w:val="auto"/>
              </w:rPr>
            </w:pPr>
            <w:r>
              <w:rPr>
                <w:rFonts w:ascii="Arial" w:cs="Arial" w:eastAsia="Arial" w:hAnsi="Arial"/>
                <w:sz w:val="13"/>
                <w:szCs w:val="13"/>
                <w:color w:val="auto"/>
              </w:rPr>
              <w:t>Calle Primera, Edificio Moreno &amp; Moreno. Local</w:t>
            </w:r>
          </w:p>
        </w:tc>
        <w:tc>
          <w:tcPr>
            <w:tcW w:w="182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720" w:type="dxa"/>
            <w:vAlign w:val="bottom"/>
            <w:shd w:val="clear" w:color="auto" w:fill="CCEEFF"/>
          </w:tcPr>
          <w:p>
            <w:pPr>
              <w:spacing w:after="0"/>
              <w:rPr>
                <w:sz w:val="11"/>
                <w:szCs w:val="11"/>
                <w:color w:val="auto"/>
              </w:rPr>
            </w:pPr>
          </w:p>
        </w:tc>
        <w:tc>
          <w:tcPr>
            <w:tcW w:w="3280" w:type="dxa"/>
            <w:vAlign w:val="bottom"/>
            <w:shd w:val="clear" w:color="auto" w:fill="CCEEFF"/>
          </w:tcPr>
          <w:p>
            <w:pPr>
              <w:ind w:left="360"/>
              <w:spacing w:after="0" w:line="128" w:lineRule="exact"/>
              <w:rPr>
                <w:sz w:val="20"/>
                <w:szCs w:val="20"/>
                <w:color w:val="auto"/>
              </w:rPr>
            </w:pPr>
            <w:r>
              <w:rPr>
                <w:rFonts w:ascii="Arial" w:cs="Arial" w:eastAsia="Arial" w:hAnsi="Arial"/>
                <w:sz w:val="13"/>
                <w:szCs w:val="13"/>
                <w:color w:val="auto"/>
              </w:rPr>
              <w:t>Planta Baja,</w:t>
            </w:r>
          </w:p>
        </w:tc>
        <w:tc>
          <w:tcPr>
            <w:tcW w:w="182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3720" w:type="dxa"/>
            <w:vAlign w:val="bottom"/>
            <w:shd w:val="clear" w:color="auto" w:fill="CCEEFF"/>
          </w:tcPr>
          <w:p>
            <w:pPr>
              <w:spacing w:after="0"/>
              <w:rPr>
                <w:sz w:val="14"/>
                <w:szCs w:val="14"/>
                <w:color w:val="auto"/>
              </w:rPr>
            </w:pPr>
          </w:p>
        </w:tc>
        <w:tc>
          <w:tcPr>
            <w:tcW w:w="32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Distrito de Panamá, Panamá</w:t>
            </w:r>
          </w:p>
        </w:tc>
        <w:tc>
          <w:tcPr>
            <w:tcW w:w="182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3720" w:type="dxa"/>
            <w:vAlign w:val="bottom"/>
          </w:tcPr>
          <w:p>
            <w:pPr>
              <w:ind w:left="20"/>
              <w:spacing w:after="0" w:line="128" w:lineRule="exact"/>
              <w:rPr>
                <w:sz w:val="20"/>
                <w:szCs w:val="20"/>
                <w:color w:val="auto"/>
              </w:rPr>
            </w:pPr>
            <w:r>
              <w:rPr>
                <w:rFonts w:ascii="Arial" w:cs="Arial" w:eastAsia="Arial" w:hAnsi="Arial"/>
                <w:sz w:val="13"/>
                <w:szCs w:val="13"/>
                <w:color w:val="auto"/>
              </w:rPr>
              <w:t>ICON Clinical Research Perú S.A.</w:t>
            </w:r>
          </w:p>
        </w:tc>
        <w:tc>
          <w:tcPr>
            <w:tcW w:w="3280" w:type="dxa"/>
            <w:vAlign w:val="bottom"/>
          </w:tcPr>
          <w:p>
            <w:pPr>
              <w:ind w:left="360"/>
              <w:spacing w:after="0" w:line="128" w:lineRule="exact"/>
              <w:rPr>
                <w:sz w:val="20"/>
                <w:szCs w:val="20"/>
                <w:color w:val="auto"/>
              </w:rPr>
            </w:pPr>
            <w:r>
              <w:rPr>
                <w:rFonts w:ascii="Arial" w:cs="Arial" w:eastAsia="Arial" w:hAnsi="Arial"/>
                <w:sz w:val="13"/>
                <w:szCs w:val="13"/>
                <w:color w:val="auto"/>
              </w:rPr>
              <w:t>Av. Paseo de la República 5895</w:t>
            </w:r>
          </w:p>
        </w:tc>
        <w:tc>
          <w:tcPr>
            <w:tcW w:w="1820" w:type="dxa"/>
            <w:vAlign w:val="bottom"/>
          </w:tcPr>
          <w:p>
            <w:pPr>
              <w:ind w:left="18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720" w:type="dxa"/>
            <w:vAlign w:val="bottom"/>
          </w:tcPr>
          <w:p>
            <w:pPr>
              <w:spacing w:after="0"/>
              <w:rPr>
                <w:sz w:val="11"/>
                <w:szCs w:val="11"/>
                <w:color w:val="auto"/>
              </w:rPr>
            </w:pPr>
          </w:p>
        </w:tc>
        <w:tc>
          <w:tcPr>
            <w:tcW w:w="3280" w:type="dxa"/>
            <w:vAlign w:val="bottom"/>
          </w:tcPr>
          <w:p>
            <w:pPr>
              <w:ind w:left="360"/>
              <w:spacing w:after="0" w:line="128" w:lineRule="exact"/>
              <w:rPr>
                <w:sz w:val="20"/>
                <w:szCs w:val="20"/>
                <w:color w:val="auto"/>
              </w:rPr>
            </w:pPr>
            <w:r>
              <w:rPr>
                <w:rFonts w:ascii="Arial" w:cs="Arial" w:eastAsia="Arial" w:hAnsi="Arial"/>
                <w:sz w:val="13"/>
                <w:szCs w:val="13"/>
                <w:color w:val="auto"/>
              </w:rPr>
              <w:t>Oficina 606</w:t>
            </w:r>
          </w:p>
        </w:tc>
        <w:tc>
          <w:tcPr>
            <w:tcW w:w="182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720" w:type="dxa"/>
            <w:vAlign w:val="bottom"/>
          </w:tcPr>
          <w:p>
            <w:pPr>
              <w:spacing w:after="0"/>
              <w:rPr>
                <w:sz w:val="11"/>
                <w:szCs w:val="11"/>
                <w:color w:val="auto"/>
              </w:rPr>
            </w:pPr>
          </w:p>
        </w:tc>
        <w:tc>
          <w:tcPr>
            <w:tcW w:w="3280" w:type="dxa"/>
            <w:vAlign w:val="bottom"/>
          </w:tcPr>
          <w:p>
            <w:pPr>
              <w:ind w:left="360"/>
              <w:spacing w:after="0" w:line="128" w:lineRule="exact"/>
              <w:rPr>
                <w:sz w:val="20"/>
                <w:szCs w:val="20"/>
                <w:color w:val="auto"/>
              </w:rPr>
            </w:pPr>
            <w:r>
              <w:rPr>
                <w:rFonts w:ascii="Arial" w:cs="Arial" w:eastAsia="Arial" w:hAnsi="Arial"/>
                <w:sz w:val="13"/>
                <w:szCs w:val="13"/>
                <w:color w:val="auto"/>
              </w:rPr>
              <w:t>Miraflores</w:t>
            </w:r>
          </w:p>
        </w:tc>
        <w:tc>
          <w:tcPr>
            <w:tcW w:w="182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720" w:type="dxa"/>
            <w:vAlign w:val="bottom"/>
          </w:tcPr>
          <w:p>
            <w:pPr>
              <w:spacing w:after="0"/>
              <w:rPr>
                <w:sz w:val="11"/>
                <w:szCs w:val="11"/>
                <w:color w:val="auto"/>
              </w:rPr>
            </w:pPr>
          </w:p>
        </w:tc>
        <w:tc>
          <w:tcPr>
            <w:tcW w:w="3280" w:type="dxa"/>
            <w:vAlign w:val="bottom"/>
          </w:tcPr>
          <w:p>
            <w:pPr>
              <w:ind w:left="360"/>
              <w:spacing w:after="0" w:line="128" w:lineRule="exact"/>
              <w:rPr>
                <w:sz w:val="20"/>
                <w:szCs w:val="20"/>
                <w:color w:val="auto"/>
              </w:rPr>
            </w:pPr>
            <w:r>
              <w:rPr>
                <w:rFonts w:ascii="Arial" w:cs="Arial" w:eastAsia="Arial" w:hAnsi="Arial"/>
                <w:sz w:val="13"/>
                <w:szCs w:val="13"/>
                <w:color w:val="auto"/>
              </w:rPr>
              <w:t>Lima 18</w:t>
            </w:r>
          </w:p>
        </w:tc>
        <w:tc>
          <w:tcPr>
            <w:tcW w:w="182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3720" w:type="dxa"/>
            <w:vAlign w:val="bottom"/>
          </w:tcPr>
          <w:p>
            <w:pPr>
              <w:spacing w:after="0"/>
              <w:rPr>
                <w:sz w:val="14"/>
                <w:szCs w:val="14"/>
                <w:color w:val="auto"/>
              </w:rPr>
            </w:pPr>
          </w:p>
        </w:tc>
        <w:tc>
          <w:tcPr>
            <w:tcW w:w="3280" w:type="dxa"/>
            <w:vAlign w:val="bottom"/>
          </w:tcPr>
          <w:p>
            <w:pPr>
              <w:ind w:left="360"/>
              <w:spacing w:after="0"/>
              <w:rPr>
                <w:sz w:val="20"/>
                <w:szCs w:val="20"/>
                <w:color w:val="auto"/>
              </w:rPr>
            </w:pPr>
            <w:r>
              <w:rPr>
                <w:rFonts w:ascii="Arial" w:cs="Arial" w:eastAsia="Arial" w:hAnsi="Arial"/>
                <w:sz w:val="13"/>
                <w:szCs w:val="13"/>
                <w:color w:val="auto"/>
              </w:rPr>
              <w:t>Perú</w:t>
            </w:r>
          </w:p>
        </w:tc>
        <w:tc>
          <w:tcPr>
            <w:tcW w:w="182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7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RPS Perú S.A.C.</w:t>
            </w:r>
          </w:p>
        </w:tc>
        <w:tc>
          <w:tcPr>
            <w:tcW w:w="3280" w:type="dxa"/>
            <w:vAlign w:val="bottom"/>
            <w:shd w:val="clear" w:color="auto" w:fill="CCEEFF"/>
          </w:tcPr>
          <w:p>
            <w:pPr>
              <w:ind w:left="360"/>
              <w:spacing w:after="0" w:line="129" w:lineRule="exact"/>
              <w:rPr>
                <w:sz w:val="20"/>
                <w:szCs w:val="20"/>
                <w:color w:val="auto"/>
              </w:rPr>
            </w:pPr>
            <w:r>
              <w:rPr>
                <w:rFonts w:ascii="Arial" w:cs="Arial" w:eastAsia="Arial" w:hAnsi="Arial"/>
                <w:sz w:val="13"/>
                <w:szCs w:val="13"/>
                <w:color w:val="auto"/>
              </w:rPr>
              <w:t>Via Central 125, Edificio Real Ocho piso 16, Urb.</w:t>
            </w:r>
          </w:p>
        </w:tc>
        <w:tc>
          <w:tcPr>
            <w:tcW w:w="1820" w:type="dxa"/>
            <w:vAlign w:val="bottom"/>
            <w:shd w:val="clear" w:color="auto" w:fill="CCEEFF"/>
          </w:tcPr>
          <w:p>
            <w:pPr>
              <w:ind w:left="18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720" w:type="dxa"/>
            <w:vAlign w:val="bottom"/>
            <w:shd w:val="clear" w:color="auto" w:fill="CCEEFF"/>
          </w:tcPr>
          <w:p>
            <w:pPr>
              <w:spacing w:after="0"/>
              <w:rPr>
                <w:sz w:val="11"/>
                <w:szCs w:val="11"/>
                <w:color w:val="auto"/>
              </w:rPr>
            </w:pPr>
          </w:p>
        </w:tc>
        <w:tc>
          <w:tcPr>
            <w:tcW w:w="3280" w:type="dxa"/>
            <w:vAlign w:val="bottom"/>
            <w:shd w:val="clear" w:color="auto" w:fill="CCEEFF"/>
          </w:tcPr>
          <w:p>
            <w:pPr>
              <w:ind w:left="360"/>
              <w:spacing w:after="0" w:line="128" w:lineRule="exact"/>
              <w:rPr>
                <w:sz w:val="20"/>
                <w:szCs w:val="20"/>
                <w:color w:val="auto"/>
              </w:rPr>
            </w:pPr>
            <w:r>
              <w:rPr>
                <w:rFonts w:ascii="Arial" w:cs="Arial" w:eastAsia="Arial" w:hAnsi="Arial"/>
                <w:sz w:val="13"/>
                <w:szCs w:val="13"/>
                <w:color w:val="auto"/>
              </w:rPr>
              <w:t>Centro Empresarial Real</w:t>
            </w:r>
          </w:p>
        </w:tc>
        <w:tc>
          <w:tcPr>
            <w:tcW w:w="182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3720" w:type="dxa"/>
            <w:vAlign w:val="bottom"/>
            <w:shd w:val="clear" w:color="auto" w:fill="CCEEFF"/>
          </w:tcPr>
          <w:p>
            <w:pPr>
              <w:spacing w:after="0"/>
              <w:rPr>
                <w:sz w:val="14"/>
                <w:szCs w:val="14"/>
                <w:color w:val="auto"/>
              </w:rPr>
            </w:pPr>
          </w:p>
        </w:tc>
        <w:tc>
          <w:tcPr>
            <w:tcW w:w="32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San Isidro, Lima, Peru</w:t>
            </w:r>
          </w:p>
        </w:tc>
        <w:tc>
          <w:tcPr>
            <w:tcW w:w="182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3720" w:type="dxa"/>
            <w:vAlign w:val="bottom"/>
          </w:tcPr>
          <w:p>
            <w:pPr>
              <w:ind w:left="20"/>
              <w:spacing w:after="0" w:line="128" w:lineRule="exact"/>
              <w:rPr>
                <w:sz w:val="20"/>
                <w:szCs w:val="20"/>
                <w:color w:val="auto"/>
              </w:rPr>
            </w:pPr>
            <w:r>
              <w:rPr>
                <w:rFonts w:ascii="Arial" w:cs="Arial" w:eastAsia="Arial" w:hAnsi="Arial"/>
                <w:sz w:val="13"/>
                <w:szCs w:val="13"/>
                <w:color w:val="auto"/>
              </w:rPr>
              <w:t>ICON Clinical Research Services Philippines, Inc.</w:t>
            </w:r>
          </w:p>
        </w:tc>
        <w:tc>
          <w:tcPr>
            <w:tcW w:w="3280" w:type="dxa"/>
            <w:vAlign w:val="bottom"/>
          </w:tcPr>
          <w:p>
            <w:pPr>
              <w:ind w:left="360"/>
              <w:spacing w:after="0" w:line="128" w:lineRule="exact"/>
              <w:rPr>
                <w:sz w:val="20"/>
                <w:szCs w:val="20"/>
                <w:color w:val="auto"/>
              </w:rPr>
            </w:pPr>
            <w:r>
              <w:rPr>
                <w:rFonts w:ascii="Arial" w:cs="Arial" w:eastAsia="Arial" w:hAnsi="Arial"/>
                <w:sz w:val="13"/>
                <w:szCs w:val="13"/>
                <w:color w:val="auto"/>
              </w:rPr>
              <w:t>24th Floor Salcedo Towers,</w:t>
            </w:r>
          </w:p>
        </w:tc>
        <w:tc>
          <w:tcPr>
            <w:tcW w:w="1820" w:type="dxa"/>
            <w:vAlign w:val="bottom"/>
          </w:tcPr>
          <w:p>
            <w:pPr>
              <w:ind w:left="18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720" w:type="dxa"/>
            <w:vAlign w:val="bottom"/>
          </w:tcPr>
          <w:p>
            <w:pPr>
              <w:spacing w:after="0"/>
              <w:rPr>
                <w:sz w:val="11"/>
                <w:szCs w:val="11"/>
                <w:color w:val="auto"/>
              </w:rPr>
            </w:pPr>
          </w:p>
        </w:tc>
        <w:tc>
          <w:tcPr>
            <w:tcW w:w="3280" w:type="dxa"/>
            <w:vAlign w:val="bottom"/>
          </w:tcPr>
          <w:p>
            <w:pPr>
              <w:ind w:left="360"/>
              <w:spacing w:after="0" w:line="128" w:lineRule="exact"/>
              <w:rPr>
                <w:sz w:val="20"/>
                <w:szCs w:val="20"/>
                <w:color w:val="auto"/>
              </w:rPr>
            </w:pPr>
            <w:r>
              <w:rPr>
                <w:rFonts w:ascii="Arial" w:cs="Arial" w:eastAsia="Arial" w:hAnsi="Arial"/>
                <w:sz w:val="13"/>
                <w:szCs w:val="13"/>
                <w:color w:val="auto"/>
              </w:rPr>
              <w:t>169 H.V. Dela Costa Street,</w:t>
            </w:r>
          </w:p>
        </w:tc>
        <w:tc>
          <w:tcPr>
            <w:tcW w:w="182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720" w:type="dxa"/>
            <w:vAlign w:val="bottom"/>
          </w:tcPr>
          <w:p>
            <w:pPr>
              <w:spacing w:after="0"/>
              <w:rPr>
                <w:sz w:val="11"/>
                <w:szCs w:val="11"/>
                <w:color w:val="auto"/>
              </w:rPr>
            </w:pPr>
          </w:p>
        </w:tc>
        <w:tc>
          <w:tcPr>
            <w:tcW w:w="3280" w:type="dxa"/>
            <w:vAlign w:val="bottom"/>
          </w:tcPr>
          <w:p>
            <w:pPr>
              <w:ind w:left="360"/>
              <w:spacing w:after="0" w:line="128" w:lineRule="exact"/>
              <w:rPr>
                <w:sz w:val="20"/>
                <w:szCs w:val="20"/>
                <w:color w:val="auto"/>
              </w:rPr>
            </w:pPr>
            <w:r>
              <w:rPr>
                <w:rFonts w:ascii="Arial" w:cs="Arial" w:eastAsia="Arial" w:hAnsi="Arial"/>
                <w:sz w:val="13"/>
                <w:szCs w:val="13"/>
                <w:color w:val="auto"/>
              </w:rPr>
              <w:t>Salcedo Village,</w:t>
            </w:r>
          </w:p>
        </w:tc>
        <w:tc>
          <w:tcPr>
            <w:tcW w:w="182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720" w:type="dxa"/>
            <w:vAlign w:val="bottom"/>
          </w:tcPr>
          <w:p>
            <w:pPr>
              <w:spacing w:after="0"/>
              <w:rPr>
                <w:sz w:val="11"/>
                <w:szCs w:val="11"/>
                <w:color w:val="auto"/>
              </w:rPr>
            </w:pPr>
          </w:p>
        </w:tc>
        <w:tc>
          <w:tcPr>
            <w:tcW w:w="3280" w:type="dxa"/>
            <w:vAlign w:val="bottom"/>
          </w:tcPr>
          <w:p>
            <w:pPr>
              <w:ind w:left="360"/>
              <w:spacing w:after="0" w:line="128" w:lineRule="exact"/>
              <w:rPr>
                <w:sz w:val="20"/>
                <w:szCs w:val="20"/>
                <w:color w:val="auto"/>
              </w:rPr>
            </w:pPr>
            <w:r>
              <w:rPr>
                <w:rFonts w:ascii="Arial" w:cs="Arial" w:eastAsia="Arial" w:hAnsi="Arial"/>
                <w:sz w:val="13"/>
                <w:szCs w:val="13"/>
                <w:color w:val="auto"/>
              </w:rPr>
              <w:t>Makati City,</w:t>
            </w:r>
          </w:p>
        </w:tc>
        <w:tc>
          <w:tcPr>
            <w:tcW w:w="182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3720" w:type="dxa"/>
            <w:vAlign w:val="bottom"/>
          </w:tcPr>
          <w:p>
            <w:pPr>
              <w:spacing w:after="0"/>
              <w:rPr>
                <w:sz w:val="14"/>
                <w:szCs w:val="14"/>
                <w:color w:val="auto"/>
              </w:rPr>
            </w:pPr>
          </w:p>
        </w:tc>
        <w:tc>
          <w:tcPr>
            <w:tcW w:w="3280" w:type="dxa"/>
            <w:vAlign w:val="bottom"/>
          </w:tcPr>
          <w:p>
            <w:pPr>
              <w:ind w:left="360"/>
              <w:spacing w:after="0"/>
              <w:rPr>
                <w:sz w:val="20"/>
                <w:szCs w:val="20"/>
                <w:color w:val="auto"/>
              </w:rPr>
            </w:pPr>
            <w:r>
              <w:rPr>
                <w:rFonts w:ascii="Arial" w:cs="Arial" w:eastAsia="Arial" w:hAnsi="Arial"/>
                <w:sz w:val="13"/>
                <w:szCs w:val="13"/>
                <w:color w:val="auto"/>
              </w:rPr>
              <w:t>Philippines 1227</w:t>
            </w:r>
          </w:p>
        </w:tc>
        <w:tc>
          <w:tcPr>
            <w:tcW w:w="182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7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RPS Research Philippines, Inc.</w:t>
            </w:r>
          </w:p>
        </w:tc>
        <w:tc>
          <w:tcPr>
            <w:tcW w:w="3280" w:type="dxa"/>
            <w:vAlign w:val="bottom"/>
            <w:shd w:val="clear" w:color="auto" w:fill="CCEEFF"/>
          </w:tcPr>
          <w:p>
            <w:pPr>
              <w:ind w:left="360"/>
              <w:spacing w:after="0" w:line="129" w:lineRule="exact"/>
              <w:rPr>
                <w:sz w:val="20"/>
                <w:szCs w:val="20"/>
                <w:color w:val="auto"/>
              </w:rPr>
            </w:pPr>
            <w:r>
              <w:rPr>
                <w:rFonts w:ascii="Arial" w:cs="Arial" w:eastAsia="Arial" w:hAnsi="Arial"/>
                <w:sz w:val="13"/>
                <w:szCs w:val="13"/>
                <w:color w:val="auto"/>
              </w:rPr>
              <w:t>16th Floor, Compass Offices</w:t>
            </w:r>
          </w:p>
        </w:tc>
        <w:tc>
          <w:tcPr>
            <w:tcW w:w="1820" w:type="dxa"/>
            <w:vAlign w:val="bottom"/>
            <w:shd w:val="clear" w:color="auto" w:fill="CCEEFF"/>
          </w:tcPr>
          <w:p>
            <w:pPr>
              <w:ind w:left="18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720" w:type="dxa"/>
            <w:vAlign w:val="bottom"/>
            <w:shd w:val="clear" w:color="auto" w:fill="CCEEFF"/>
          </w:tcPr>
          <w:p>
            <w:pPr>
              <w:spacing w:after="0"/>
              <w:rPr>
                <w:sz w:val="11"/>
                <w:szCs w:val="11"/>
                <w:color w:val="auto"/>
              </w:rPr>
            </w:pPr>
          </w:p>
        </w:tc>
        <w:tc>
          <w:tcPr>
            <w:tcW w:w="3280" w:type="dxa"/>
            <w:vAlign w:val="bottom"/>
            <w:shd w:val="clear" w:color="auto" w:fill="CCEEFF"/>
          </w:tcPr>
          <w:p>
            <w:pPr>
              <w:ind w:left="360"/>
              <w:spacing w:after="0" w:line="128" w:lineRule="exact"/>
              <w:rPr>
                <w:sz w:val="20"/>
                <w:szCs w:val="20"/>
                <w:color w:val="auto"/>
              </w:rPr>
            </w:pPr>
            <w:r>
              <w:rPr>
                <w:rFonts w:ascii="Arial" w:cs="Arial" w:eastAsia="Arial" w:hAnsi="Arial"/>
                <w:sz w:val="13"/>
                <w:szCs w:val="13"/>
                <w:color w:val="auto"/>
              </w:rPr>
              <w:t>6789 Ayala Avenue</w:t>
            </w:r>
          </w:p>
        </w:tc>
        <w:tc>
          <w:tcPr>
            <w:tcW w:w="182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3720" w:type="dxa"/>
            <w:vAlign w:val="bottom"/>
            <w:shd w:val="clear" w:color="auto" w:fill="CCEEFF"/>
          </w:tcPr>
          <w:p>
            <w:pPr>
              <w:spacing w:after="0"/>
              <w:rPr>
                <w:sz w:val="14"/>
                <w:szCs w:val="14"/>
                <w:color w:val="auto"/>
              </w:rPr>
            </w:pPr>
          </w:p>
        </w:tc>
        <w:tc>
          <w:tcPr>
            <w:tcW w:w="32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1226 Makati City, Philippines</w:t>
            </w:r>
          </w:p>
        </w:tc>
        <w:tc>
          <w:tcPr>
            <w:tcW w:w="182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3720" w:type="dxa"/>
            <w:vAlign w:val="bottom"/>
          </w:tcPr>
          <w:p>
            <w:pPr>
              <w:ind w:left="20"/>
              <w:spacing w:after="0" w:line="128" w:lineRule="exact"/>
              <w:rPr>
                <w:sz w:val="20"/>
                <w:szCs w:val="20"/>
                <w:color w:val="auto"/>
              </w:rPr>
            </w:pPr>
            <w:r>
              <w:rPr>
                <w:rFonts w:ascii="Arial" w:cs="Arial" w:eastAsia="Arial" w:hAnsi="Arial"/>
                <w:sz w:val="13"/>
                <w:szCs w:val="13"/>
                <w:color w:val="auto"/>
              </w:rPr>
              <w:t>DOCS International Poland Sp. z o.o.</w:t>
            </w:r>
          </w:p>
        </w:tc>
        <w:tc>
          <w:tcPr>
            <w:tcW w:w="3280" w:type="dxa"/>
            <w:vAlign w:val="bottom"/>
          </w:tcPr>
          <w:p>
            <w:pPr>
              <w:ind w:left="360"/>
              <w:spacing w:after="0" w:line="128" w:lineRule="exact"/>
              <w:rPr>
                <w:sz w:val="20"/>
                <w:szCs w:val="20"/>
                <w:color w:val="auto"/>
              </w:rPr>
            </w:pPr>
            <w:r>
              <w:rPr>
                <w:rFonts w:ascii="Arial" w:cs="Arial" w:eastAsia="Arial" w:hAnsi="Arial"/>
                <w:sz w:val="13"/>
                <w:szCs w:val="13"/>
                <w:color w:val="auto"/>
              </w:rPr>
              <w:t>Ul. Grojecka 5</w:t>
            </w:r>
          </w:p>
        </w:tc>
        <w:tc>
          <w:tcPr>
            <w:tcW w:w="1820" w:type="dxa"/>
            <w:vAlign w:val="bottom"/>
          </w:tcPr>
          <w:p>
            <w:pPr>
              <w:ind w:left="18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720" w:type="dxa"/>
            <w:vAlign w:val="bottom"/>
          </w:tcPr>
          <w:p>
            <w:pPr>
              <w:spacing w:after="0"/>
              <w:rPr>
                <w:sz w:val="11"/>
                <w:szCs w:val="11"/>
                <w:color w:val="auto"/>
              </w:rPr>
            </w:pPr>
          </w:p>
        </w:tc>
        <w:tc>
          <w:tcPr>
            <w:tcW w:w="3280" w:type="dxa"/>
            <w:vAlign w:val="bottom"/>
          </w:tcPr>
          <w:p>
            <w:pPr>
              <w:ind w:left="360"/>
              <w:spacing w:after="0" w:line="128" w:lineRule="exact"/>
              <w:rPr>
                <w:sz w:val="20"/>
                <w:szCs w:val="20"/>
                <w:color w:val="auto"/>
              </w:rPr>
            </w:pPr>
            <w:r>
              <w:rPr>
                <w:rFonts w:ascii="Arial" w:cs="Arial" w:eastAsia="Arial" w:hAnsi="Arial"/>
                <w:sz w:val="13"/>
                <w:szCs w:val="13"/>
                <w:color w:val="auto"/>
              </w:rPr>
              <w:t>02-019 Warszawa</w:t>
            </w:r>
          </w:p>
        </w:tc>
        <w:tc>
          <w:tcPr>
            <w:tcW w:w="182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7"/>
        </w:trPr>
        <w:tc>
          <w:tcPr>
            <w:tcW w:w="3720" w:type="dxa"/>
            <w:vAlign w:val="bottom"/>
          </w:tcPr>
          <w:p>
            <w:pPr>
              <w:spacing w:after="0"/>
              <w:rPr>
                <w:sz w:val="14"/>
                <w:szCs w:val="14"/>
                <w:color w:val="auto"/>
              </w:rPr>
            </w:pPr>
          </w:p>
        </w:tc>
        <w:tc>
          <w:tcPr>
            <w:tcW w:w="3280" w:type="dxa"/>
            <w:vAlign w:val="bottom"/>
          </w:tcPr>
          <w:p>
            <w:pPr>
              <w:ind w:left="360"/>
              <w:spacing w:after="0"/>
              <w:rPr>
                <w:sz w:val="20"/>
                <w:szCs w:val="20"/>
                <w:color w:val="auto"/>
              </w:rPr>
            </w:pPr>
            <w:r>
              <w:rPr>
                <w:rFonts w:ascii="Arial" w:cs="Arial" w:eastAsia="Arial" w:hAnsi="Arial"/>
                <w:sz w:val="13"/>
                <w:szCs w:val="13"/>
                <w:color w:val="auto"/>
              </w:rPr>
              <w:t>Polska</w:t>
            </w:r>
          </w:p>
        </w:tc>
        <w:tc>
          <w:tcPr>
            <w:tcW w:w="182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30"/>
        </w:trPr>
        <w:tc>
          <w:tcPr>
            <w:tcW w:w="3720" w:type="dxa"/>
            <w:vAlign w:val="bottom"/>
          </w:tcPr>
          <w:p>
            <w:pPr>
              <w:ind w:left="20"/>
              <w:spacing w:after="0" w:line="130" w:lineRule="exact"/>
              <w:rPr>
                <w:sz w:val="20"/>
                <w:szCs w:val="20"/>
                <w:color w:val="auto"/>
              </w:rPr>
            </w:pPr>
            <w:r>
              <w:rPr>
                <w:rFonts w:ascii="Arial" w:cs="Arial" w:eastAsia="Arial" w:hAnsi="Arial"/>
                <w:sz w:val="13"/>
                <w:szCs w:val="13"/>
                <w:color w:val="auto"/>
              </w:rPr>
              <w:t>ICON Clinical Research Sp. z o.o. (in voluntary liquidation)</w:t>
            </w:r>
          </w:p>
        </w:tc>
        <w:tc>
          <w:tcPr>
            <w:tcW w:w="3280" w:type="dxa"/>
            <w:vAlign w:val="bottom"/>
          </w:tcPr>
          <w:p>
            <w:pPr>
              <w:ind w:left="380"/>
              <w:spacing w:after="0" w:line="130" w:lineRule="exact"/>
              <w:rPr>
                <w:sz w:val="20"/>
                <w:szCs w:val="20"/>
                <w:color w:val="auto"/>
              </w:rPr>
            </w:pPr>
            <w:r>
              <w:rPr>
                <w:rFonts w:ascii="Arial" w:cs="Arial" w:eastAsia="Arial" w:hAnsi="Arial"/>
                <w:sz w:val="13"/>
                <w:szCs w:val="13"/>
                <w:color w:val="auto"/>
              </w:rPr>
              <w:t>ul. Towarowa 28</w:t>
            </w:r>
          </w:p>
        </w:tc>
        <w:tc>
          <w:tcPr>
            <w:tcW w:w="1820" w:type="dxa"/>
            <w:vAlign w:val="bottom"/>
          </w:tcPr>
          <w:p>
            <w:pPr>
              <w:ind w:left="180"/>
              <w:spacing w:after="0" w:line="130"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30" w:lineRule="exact"/>
              <w:rPr>
                <w:sz w:val="20"/>
                <w:szCs w:val="20"/>
                <w:color w:val="auto"/>
              </w:rPr>
            </w:pPr>
            <w:r>
              <w:rPr>
                <w:rFonts w:ascii="Arial" w:cs="Arial" w:eastAsia="Arial" w:hAnsi="Arial"/>
                <w:sz w:val="13"/>
                <w:szCs w:val="13"/>
                <w:color w:val="auto"/>
              </w:rPr>
              <w:t>100%</w:t>
            </w:r>
          </w:p>
        </w:tc>
      </w:tr>
      <w:tr>
        <w:trPr>
          <w:trHeight w:val="139"/>
        </w:trPr>
        <w:tc>
          <w:tcPr>
            <w:tcW w:w="3720" w:type="dxa"/>
            <w:vAlign w:val="bottom"/>
          </w:tcPr>
          <w:p>
            <w:pPr>
              <w:spacing w:after="0"/>
              <w:rPr>
                <w:sz w:val="12"/>
                <w:szCs w:val="12"/>
                <w:color w:val="auto"/>
              </w:rPr>
            </w:pPr>
          </w:p>
        </w:tc>
        <w:tc>
          <w:tcPr>
            <w:tcW w:w="3280" w:type="dxa"/>
            <w:vAlign w:val="bottom"/>
          </w:tcPr>
          <w:p>
            <w:pPr>
              <w:ind w:left="360"/>
              <w:spacing w:after="0" w:line="139" w:lineRule="exact"/>
              <w:rPr>
                <w:sz w:val="20"/>
                <w:szCs w:val="20"/>
                <w:color w:val="auto"/>
              </w:rPr>
            </w:pPr>
            <w:r>
              <w:rPr>
                <w:rFonts w:ascii="Arial" w:cs="Arial" w:eastAsia="Arial" w:hAnsi="Arial"/>
                <w:sz w:val="13"/>
                <w:szCs w:val="13"/>
                <w:color w:val="auto"/>
              </w:rPr>
              <w:t>00-839</w:t>
            </w:r>
          </w:p>
        </w:tc>
        <w:tc>
          <w:tcPr>
            <w:tcW w:w="1820" w:type="dxa"/>
            <w:vAlign w:val="bottom"/>
          </w:tcPr>
          <w:p>
            <w:pPr>
              <w:spacing w:after="0"/>
              <w:rPr>
                <w:sz w:val="12"/>
                <w:szCs w:val="12"/>
                <w:color w:val="auto"/>
              </w:rPr>
            </w:pPr>
          </w:p>
        </w:tc>
        <w:tc>
          <w:tcPr>
            <w:tcW w:w="244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148195" cy="3505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8195" cy="350520"/>
                    </a:xfrm>
                    <a:prstGeom prst="rect">
                      <a:avLst/>
                    </a:prstGeom>
                    <a:noFill/>
                  </pic:spPr>
                </pic:pic>
              </a:graphicData>
            </a:graphic>
          </wp:anchor>
        </w:drawing>
      </w:r>
    </w:p>
    <w:p>
      <w:pPr>
        <w:ind w:left="4080"/>
        <w:spacing w:after="0" w:line="204" w:lineRule="auto"/>
        <w:rPr>
          <w:sz w:val="20"/>
          <w:szCs w:val="20"/>
          <w:color w:val="auto"/>
        </w:rPr>
      </w:pPr>
      <w:r>
        <w:rPr>
          <w:rFonts w:ascii="Arial" w:cs="Arial" w:eastAsia="Arial" w:hAnsi="Arial"/>
          <w:sz w:val="13"/>
          <w:szCs w:val="13"/>
          <w:color w:val="auto"/>
        </w:rPr>
        <w:t>Warszawa</w:t>
      </w:r>
    </w:p>
    <w:p>
      <w:pPr>
        <w:ind w:left="4080"/>
        <w:spacing w:after="0"/>
        <w:rPr>
          <w:sz w:val="20"/>
          <w:szCs w:val="20"/>
          <w:color w:val="auto"/>
        </w:rPr>
      </w:pPr>
      <w:r>
        <w:rPr>
          <w:rFonts w:ascii="Arial" w:cs="Arial" w:eastAsia="Arial" w:hAnsi="Arial"/>
          <w:sz w:val="13"/>
          <w:szCs w:val="13"/>
          <w:color w:val="auto"/>
        </w:rPr>
        <w:t>Poland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126</w:t>
      </w:r>
    </w:p>
    <w:p>
      <w:pPr>
        <w:sectPr>
          <w:pgSz w:w="11900" w:h="16838" w:orient="portrait"/>
          <w:cols w:equalWidth="0" w:num="1">
            <w:col w:w="11260"/>
          </w:cols>
          <w:pgMar w:left="300" w:top="698" w:right="3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32.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3260" w:type="dxa"/>
            <w:vAlign w:val="bottom"/>
            <w:shd w:val="clear" w:color="auto" w:fill="CCEEFF"/>
          </w:tcPr>
          <w:p>
            <w:pPr>
              <w:ind w:left="380"/>
              <w:spacing w:after="0"/>
              <w:rPr>
                <w:sz w:val="20"/>
                <w:szCs w:val="20"/>
                <w:color w:val="auto"/>
              </w:rPr>
            </w:pPr>
            <w:r>
              <w:rPr>
                <w:rFonts w:ascii="Arial" w:cs="Arial" w:eastAsia="Arial" w:hAnsi="Arial"/>
                <w:sz w:val="13"/>
                <w:szCs w:val="13"/>
                <w:b w:val="1"/>
                <w:bCs w:val="1"/>
                <w:color w:val="auto"/>
              </w:rPr>
              <w:t>Registered Office</w:t>
            </w:r>
          </w:p>
        </w:tc>
        <w:tc>
          <w:tcPr>
            <w:tcW w:w="1860" w:type="dxa"/>
            <w:vAlign w:val="bottom"/>
            <w:shd w:val="clear" w:color="auto" w:fill="CCEEFF"/>
          </w:tcPr>
          <w:p>
            <w:pPr>
              <w:ind w:left="220"/>
              <w:spacing w:after="0"/>
              <w:rPr>
                <w:sz w:val="20"/>
                <w:szCs w:val="20"/>
                <w:color w:val="auto"/>
              </w:rPr>
            </w:pPr>
            <w:r>
              <w:rPr>
                <w:rFonts w:ascii="Arial" w:cs="Arial" w:eastAsia="Arial" w:hAnsi="Arial"/>
                <w:sz w:val="13"/>
                <w:szCs w:val="13"/>
                <w:b w:val="1"/>
                <w:bCs w:val="1"/>
                <w:color w:val="auto"/>
              </w:rPr>
              <w:t>Nature of business</w:t>
            </w:r>
          </w:p>
        </w:tc>
        <w:tc>
          <w:tcPr>
            <w:tcW w:w="244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Proportion held by</w:t>
            </w:r>
          </w:p>
        </w:tc>
      </w:tr>
      <w:tr>
        <w:trPr>
          <w:trHeight w:val="170"/>
        </w:trPr>
        <w:tc>
          <w:tcPr>
            <w:tcW w:w="3700" w:type="dxa"/>
            <w:vAlign w:val="bottom"/>
            <w:tcBorders>
              <w:bottom w:val="single" w:sz="8" w:color="auto"/>
            </w:tcBorders>
            <w:shd w:val="clear" w:color="auto" w:fill="CCEEFF"/>
          </w:tcPr>
          <w:p>
            <w:pPr>
              <w:spacing w:after="0"/>
              <w:rPr>
                <w:sz w:val="14"/>
                <w:szCs w:val="14"/>
                <w:color w:val="auto"/>
              </w:rPr>
            </w:pPr>
          </w:p>
        </w:tc>
        <w:tc>
          <w:tcPr>
            <w:tcW w:w="3260" w:type="dxa"/>
            <w:vAlign w:val="bottom"/>
            <w:tcBorders>
              <w:bottom w:val="single" w:sz="8" w:color="auto"/>
            </w:tcBorders>
            <w:shd w:val="clear" w:color="auto" w:fill="CCEEFF"/>
          </w:tcPr>
          <w:p>
            <w:pPr>
              <w:spacing w:after="0"/>
              <w:rPr>
                <w:sz w:val="14"/>
                <w:szCs w:val="14"/>
                <w:color w:val="auto"/>
              </w:rPr>
            </w:pPr>
          </w:p>
        </w:tc>
        <w:tc>
          <w:tcPr>
            <w:tcW w:w="1860" w:type="dxa"/>
            <w:vAlign w:val="bottom"/>
            <w:tcBorders>
              <w:bottom w:val="single" w:sz="8" w:color="auto"/>
            </w:tcBorders>
            <w:shd w:val="clear" w:color="auto" w:fill="CCEEFF"/>
          </w:tcPr>
          <w:p>
            <w:pPr>
              <w:spacing w:after="0"/>
              <w:rPr>
                <w:sz w:val="14"/>
                <w:szCs w:val="14"/>
                <w:color w:val="auto"/>
              </w:rPr>
            </w:pPr>
          </w:p>
        </w:tc>
        <w:tc>
          <w:tcPr>
            <w:tcW w:w="24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3"/>
                <w:szCs w:val="13"/>
                <w:b w:val="1"/>
                <w:bCs w:val="1"/>
                <w:color w:val="auto"/>
              </w:rPr>
              <w:t>Group</w:t>
            </w:r>
          </w:p>
        </w:tc>
      </w:tr>
      <w:tr>
        <w:trPr>
          <w:trHeight w:val="118"/>
        </w:trPr>
        <w:tc>
          <w:tcPr>
            <w:tcW w:w="3700" w:type="dxa"/>
            <w:vAlign w:val="bottom"/>
          </w:tcPr>
          <w:p>
            <w:pPr>
              <w:ind w:left="20"/>
              <w:spacing w:after="0" w:line="118" w:lineRule="exact"/>
              <w:rPr>
                <w:sz w:val="20"/>
                <w:szCs w:val="20"/>
                <w:color w:val="auto"/>
              </w:rPr>
            </w:pPr>
            <w:r>
              <w:rPr>
                <w:rFonts w:ascii="Arial" w:cs="Arial" w:eastAsia="Arial" w:hAnsi="Arial"/>
                <w:sz w:val="13"/>
                <w:szCs w:val="13"/>
                <w:color w:val="auto"/>
              </w:rPr>
              <w:t>Symphony Clinical Research Sp zoo</w:t>
            </w:r>
          </w:p>
        </w:tc>
        <w:tc>
          <w:tcPr>
            <w:tcW w:w="3260" w:type="dxa"/>
            <w:vAlign w:val="bottom"/>
          </w:tcPr>
          <w:p>
            <w:pPr>
              <w:ind w:left="380"/>
              <w:spacing w:after="0" w:line="118" w:lineRule="exact"/>
              <w:rPr>
                <w:sz w:val="20"/>
                <w:szCs w:val="20"/>
                <w:color w:val="auto"/>
              </w:rPr>
            </w:pPr>
            <w:r>
              <w:rPr>
                <w:rFonts w:ascii="Arial" w:cs="Arial" w:eastAsia="Arial" w:hAnsi="Arial"/>
                <w:sz w:val="13"/>
                <w:szCs w:val="13"/>
                <w:color w:val="auto"/>
              </w:rPr>
              <w:t>ul. Potokowa 26</w:t>
            </w:r>
          </w:p>
        </w:tc>
        <w:tc>
          <w:tcPr>
            <w:tcW w:w="1860" w:type="dxa"/>
            <w:vAlign w:val="bottom"/>
          </w:tcPr>
          <w:p>
            <w:pPr>
              <w:ind w:left="220"/>
              <w:spacing w:after="0" w:line="11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18" w:lineRule="exact"/>
              <w:rPr>
                <w:sz w:val="20"/>
                <w:szCs w:val="20"/>
                <w:color w:val="auto"/>
              </w:rPr>
            </w:pPr>
            <w:r>
              <w:rPr>
                <w:rFonts w:ascii="Arial" w:cs="Arial" w:eastAsia="Arial" w:hAnsi="Arial"/>
                <w:sz w:val="13"/>
                <w:szCs w:val="13"/>
                <w:color w:val="auto"/>
              </w:rPr>
              <w:t>100%</w:t>
            </w:r>
          </w:p>
        </w:tc>
      </w:tr>
      <w:tr>
        <w:trPr>
          <w:trHeight w:val="127"/>
        </w:trPr>
        <w:tc>
          <w:tcPr>
            <w:tcW w:w="3700" w:type="dxa"/>
            <w:vAlign w:val="bottom"/>
          </w:tcPr>
          <w:p>
            <w:pPr>
              <w:spacing w:after="0"/>
              <w:rPr>
                <w:sz w:val="11"/>
                <w:szCs w:val="11"/>
                <w:color w:val="auto"/>
              </w:rPr>
            </w:pPr>
          </w:p>
        </w:tc>
        <w:tc>
          <w:tcPr>
            <w:tcW w:w="3260" w:type="dxa"/>
            <w:vAlign w:val="bottom"/>
          </w:tcPr>
          <w:p>
            <w:pPr>
              <w:ind w:left="380"/>
              <w:spacing w:after="0" w:line="128" w:lineRule="exact"/>
              <w:rPr>
                <w:sz w:val="20"/>
                <w:szCs w:val="20"/>
                <w:color w:val="auto"/>
              </w:rPr>
            </w:pPr>
            <w:r>
              <w:rPr>
                <w:rFonts w:ascii="Arial" w:cs="Arial" w:eastAsia="Arial" w:hAnsi="Arial"/>
                <w:sz w:val="13"/>
                <w:szCs w:val="13"/>
                <w:color w:val="auto"/>
              </w:rPr>
              <w:t>80-283</w:t>
            </w:r>
          </w:p>
        </w:tc>
        <w:tc>
          <w:tcPr>
            <w:tcW w:w="186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700" w:type="dxa"/>
            <w:vAlign w:val="bottom"/>
          </w:tcPr>
          <w:p>
            <w:pPr>
              <w:spacing w:after="0"/>
              <w:rPr>
                <w:sz w:val="11"/>
                <w:szCs w:val="11"/>
                <w:color w:val="auto"/>
              </w:rPr>
            </w:pPr>
          </w:p>
        </w:tc>
        <w:tc>
          <w:tcPr>
            <w:tcW w:w="3260" w:type="dxa"/>
            <w:vAlign w:val="bottom"/>
          </w:tcPr>
          <w:p>
            <w:pPr>
              <w:ind w:left="380"/>
              <w:spacing w:after="0" w:line="128" w:lineRule="exact"/>
              <w:rPr>
                <w:sz w:val="20"/>
                <w:szCs w:val="20"/>
                <w:color w:val="auto"/>
              </w:rPr>
            </w:pPr>
            <w:r>
              <w:rPr>
                <w:rFonts w:ascii="Arial" w:cs="Arial" w:eastAsia="Arial" w:hAnsi="Arial"/>
                <w:sz w:val="13"/>
                <w:szCs w:val="13"/>
                <w:color w:val="auto"/>
              </w:rPr>
              <w:t>Gdansk</w:t>
            </w:r>
          </w:p>
        </w:tc>
        <w:tc>
          <w:tcPr>
            <w:tcW w:w="186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3700" w:type="dxa"/>
            <w:vAlign w:val="bottom"/>
          </w:tcPr>
          <w:p>
            <w:pPr>
              <w:spacing w:after="0"/>
              <w:rPr>
                <w:sz w:val="14"/>
                <w:szCs w:val="14"/>
                <w:color w:val="auto"/>
              </w:rPr>
            </w:pPr>
          </w:p>
        </w:tc>
        <w:tc>
          <w:tcPr>
            <w:tcW w:w="3260" w:type="dxa"/>
            <w:vAlign w:val="bottom"/>
          </w:tcPr>
          <w:p>
            <w:pPr>
              <w:ind w:left="380"/>
              <w:spacing w:after="0"/>
              <w:rPr>
                <w:sz w:val="20"/>
                <w:szCs w:val="20"/>
                <w:color w:val="auto"/>
              </w:rPr>
            </w:pPr>
            <w:r>
              <w:rPr>
                <w:rFonts w:ascii="Arial" w:cs="Arial" w:eastAsia="Arial" w:hAnsi="Arial"/>
                <w:sz w:val="13"/>
                <w:szCs w:val="13"/>
                <w:color w:val="auto"/>
              </w:rPr>
              <w:t>Poland</w:t>
            </w:r>
          </w:p>
        </w:tc>
        <w:tc>
          <w:tcPr>
            <w:tcW w:w="186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7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Pharmaceutical Research Associates Sp. z o.o.</w:t>
            </w:r>
          </w:p>
        </w:tc>
        <w:tc>
          <w:tcPr>
            <w:tcW w:w="3260" w:type="dxa"/>
            <w:vAlign w:val="bottom"/>
            <w:shd w:val="clear" w:color="auto" w:fill="CCEEFF"/>
          </w:tcPr>
          <w:p>
            <w:pPr>
              <w:ind w:left="380"/>
              <w:spacing w:after="0" w:line="129" w:lineRule="exact"/>
              <w:rPr>
                <w:sz w:val="20"/>
                <w:szCs w:val="20"/>
                <w:color w:val="auto"/>
              </w:rPr>
            </w:pPr>
            <w:r>
              <w:rPr>
                <w:rFonts w:ascii="Arial" w:cs="Arial" w:eastAsia="Arial" w:hAnsi="Arial"/>
                <w:sz w:val="13"/>
                <w:szCs w:val="13"/>
                <w:color w:val="auto"/>
              </w:rPr>
              <w:t>Aleja Wyscigowa 6</w:t>
            </w:r>
          </w:p>
        </w:tc>
        <w:tc>
          <w:tcPr>
            <w:tcW w:w="1860" w:type="dxa"/>
            <w:vAlign w:val="bottom"/>
            <w:shd w:val="clear" w:color="auto" w:fill="CCEEFF"/>
          </w:tcPr>
          <w:p>
            <w:pPr>
              <w:ind w:left="22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700" w:type="dxa"/>
            <w:vAlign w:val="bottom"/>
            <w:shd w:val="clear" w:color="auto" w:fill="CCEEFF"/>
          </w:tcPr>
          <w:p>
            <w:pPr>
              <w:spacing w:after="0"/>
              <w:rPr>
                <w:sz w:val="11"/>
                <w:szCs w:val="11"/>
                <w:color w:val="auto"/>
              </w:rPr>
            </w:pPr>
          </w:p>
        </w:tc>
        <w:tc>
          <w:tcPr>
            <w:tcW w:w="3260" w:type="dxa"/>
            <w:vAlign w:val="bottom"/>
            <w:shd w:val="clear" w:color="auto" w:fill="CCEEFF"/>
          </w:tcPr>
          <w:p>
            <w:pPr>
              <w:ind w:left="380"/>
              <w:spacing w:after="0" w:line="128" w:lineRule="exact"/>
              <w:rPr>
                <w:sz w:val="20"/>
                <w:szCs w:val="20"/>
                <w:color w:val="auto"/>
              </w:rPr>
            </w:pPr>
            <w:r>
              <w:rPr>
                <w:rFonts w:ascii="Arial" w:cs="Arial" w:eastAsia="Arial" w:hAnsi="Arial"/>
                <w:sz w:val="13"/>
                <w:szCs w:val="13"/>
                <w:color w:val="auto"/>
              </w:rPr>
              <w:t>Catalina Office Center, IV pietro</w:t>
            </w:r>
          </w:p>
        </w:tc>
        <w:tc>
          <w:tcPr>
            <w:tcW w:w="186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3700" w:type="dxa"/>
            <w:vAlign w:val="bottom"/>
            <w:shd w:val="clear" w:color="auto" w:fill="CCEEFF"/>
          </w:tcPr>
          <w:p>
            <w:pPr>
              <w:spacing w:after="0"/>
              <w:rPr>
                <w:sz w:val="14"/>
                <w:szCs w:val="14"/>
                <w:color w:val="auto"/>
              </w:rPr>
            </w:pPr>
          </w:p>
        </w:tc>
        <w:tc>
          <w:tcPr>
            <w:tcW w:w="3260" w:type="dxa"/>
            <w:vAlign w:val="bottom"/>
            <w:shd w:val="clear" w:color="auto" w:fill="CCEEFF"/>
          </w:tcPr>
          <w:p>
            <w:pPr>
              <w:ind w:left="380"/>
              <w:spacing w:after="0"/>
              <w:rPr>
                <w:sz w:val="20"/>
                <w:szCs w:val="20"/>
                <w:color w:val="auto"/>
              </w:rPr>
            </w:pPr>
            <w:r>
              <w:rPr>
                <w:rFonts w:ascii="Arial" w:cs="Arial" w:eastAsia="Arial" w:hAnsi="Arial"/>
                <w:sz w:val="13"/>
                <w:szCs w:val="13"/>
                <w:color w:val="auto"/>
              </w:rPr>
              <w:t>02-681 Warsaw, Poland</w:t>
            </w:r>
          </w:p>
        </w:tc>
        <w:tc>
          <w:tcPr>
            <w:tcW w:w="186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3700" w:type="dxa"/>
            <w:vAlign w:val="bottom"/>
          </w:tcPr>
          <w:p>
            <w:pPr>
              <w:ind w:left="20"/>
              <w:spacing w:after="0" w:line="128" w:lineRule="exact"/>
              <w:rPr>
                <w:sz w:val="20"/>
                <w:szCs w:val="20"/>
                <w:color w:val="auto"/>
              </w:rPr>
            </w:pPr>
            <w:r>
              <w:rPr>
                <w:rFonts w:ascii="Arial" w:cs="Arial" w:eastAsia="Arial" w:hAnsi="Arial"/>
                <w:sz w:val="13"/>
                <w:szCs w:val="13"/>
                <w:color w:val="auto"/>
              </w:rPr>
              <w:t>PRA International Portugal, Unipessoal, Lda.</w:t>
            </w:r>
          </w:p>
        </w:tc>
        <w:tc>
          <w:tcPr>
            <w:tcW w:w="3260" w:type="dxa"/>
            <w:vAlign w:val="bottom"/>
          </w:tcPr>
          <w:p>
            <w:pPr>
              <w:ind w:left="380"/>
              <w:spacing w:after="0" w:line="128" w:lineRule="exact"/>
              <w:rPr>
                <w:sz w:val="20"/>
                <w:szCs w:val="20"/>
                <w:color w:val="auto"/>
              </w:rPr>
            </w:pPr>
            <w:r>
              <w:rPr>
                <w:rFonts w:ascii="Arial" w:cs="Arial" w:eastAsia="Arial" w:hAnsi="Arial"/>
                <w:sz w:val="13"/>
                <w:szCs w:val="13"/>
                <w:color w:val="auto"/>
              </w:rPr>
              <w:t>Av. da Republica, 50-10</w:t>
            </w:r>
          </w:p>
        </w:tc>
        <w:tc>
          <w:tcPr>
            <w:tcW w:w="1860" w:type="dxa"/>
            <w:vAlign w:val="bottom"/>
          </w:tcPr>
          <w:p>
            <w:pPr>
              <w:ind w:left="22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68"/>
        </w:trPr>
        <w:tc>
          <w:tcPr>
            <w:tcW w:w="3700" w:type="dxa"/>
            <w:vAlign w:val="bottom"/>
          </w:tcPr>
          <w:p>
            <w:pPr>
              <w:spacing w:after="0"/>
              <w:rPr>
                <w:sz w:val="14"/>
                <w:szCs w:val="14"/>
                <w:color w:val="auto"/>
              </w:rPr>
            </w:pPr>
          </w:p>
        </w:tc>
        <w:tc>
          <w:tcPr>
            <w:tcW w:w="3260" w:type="dxa"/>
            <w:vAlign w:val="bottom"/>
          </w:tcPr>
          <w:p>
            <w:pPr>
              <w:ind w:left="380"/>
              <w:spacing w:after="0"/>
              <w:rPr>
                <w:sz w:val="20"/>
                <w:szCs w:val="20"/>
                <w:color w:val="auto"/>
              </w:rPr>
            </w:pPr>
            <w:r>
              <w:rPr>
                <w:rFonts w:ascii="Arial" w:cs="Arial" w:eastAsia="Arial" w:hAnsi="Arial"/>
                <w:sz w:val="13"/>
                <w:szCs w:val="13"/>
                <w:color w:val="auto"/>
              </w:rPr>
              <w:t>1069-211, Lisboa, Portugal</w:t>
            </w:r>
          </w:p>
        </w:tc>
        <w:tc>
          <w:tcPr>
            <w:tcW w:w="186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7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Research Pharmaceutical Services Puerto Rico, Inc.*******</w:t>
            </w:r>
          </w:p>
        </w:tc>
        <w:tc>
          <w:tcPr>
            <w:tcW w:w="3260" w:type="dxa"/>
            <w:vAlign w:val="bottom"/>
            <w:shd w:val="clear" w:color="auto" w:fill="CCEEFF"/>
          </w:tcPr>
          <w:p>
            <w:pPr>
              <w:ind w:left="380"/>
              <w:spacing w:after="0" w:line="129" w:lineRule="exact"/>
              <w:rPr>
                <w:sz w:val="20"/>
                <w:szCs w:val="20"/>
                <w:color w:val="auto"/>
              </w:rPr>
            </w:pPr>
            <w:r>
              <w:rPr>
                <w:rFonts w:ascii="Arial" w:cs="Arial" w:eastAsia="Arial" w:hAnsi="Arial"/>
                <w:sz w:val="13"/>
                <w:szCs w:val="13"/>
                <w:color w:val="auto"/>
              </w:rPr>
              <w:t>257 Calle Tetuan, 2nd Floor</w:t>
            </w:r>
          </w:p>
        </w:tc>
        <w:tc>
          <w:tcPr>
            <w:tcW w:w="1860" w:type="dxa"/>
            <w:vAlign w:val="bottom"/>
            <w:shd w:val="clear" w:color="auto" w:fill="CCEEFF"/>
          </w:tcPr>
          <w:p>
            <w:pPr>
              <w:ind w:left="22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70"/>
        </w:trPr>
        <w:tc>
          <w:tcPr>
            <w:tcW w:w="3700" w:type="dxa"/>
            <w:vAlign w:val="bottom"/>
            <w:shd w:val="clear" w:color="auto" w:fill="CCEEFF"/>
          </w:tcPr>
          <w:p>
            <w:pPr>
              <w:spacing w:after="0"/>
              <w:rPr>
                <w:sz w:val="14"/>
                <w:szCs w:val="14"/>
                <w:color w:val="auto"/>
              </w:rPr>
            </w:pPr>
          </w:p>
        </w:tc>
        <w:tc>
          <w:tcPr>
            <w:tcW w:w="3260" w:type="dxa"/>
            <w:vAlign w:val="bottom"/>
            <w:shd w:val="clear" w:color="auto" w:fill="CCEEFF"/>
          </w:tcPr>
          <w:p>
            <w:pPr>
              <w:ind w:left="380"/>
              <w:spacing w:after="0"/>
              <w:rPr>
                <w:sz w:val="20"/>
                <w:szCs w:val="20"/>
                <w:color w:val="auto"/>
              </w:rPr>
            </w:pPr>
            <w:r>
              <w:rPr>
                <w:rFonts w:ascii="Arial" w:cs="Arial" w:eastAsia="Arial" w:hAnsi="Arial"/>
                <w:sz w:val="13"/>
                <w:szCs w:val="13"/>
                <w:color w:val="auto"/>
              </w:rPr>
              <w:t>San Juan, Puerto Rico 00901</w:t>
            </w:r>
          </w:p>
        </w:tc>
        <w:tc>
          <w:tcPr>
            <w:tcW w:w="186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3700" w:type="dxa"/>
            <w:vAlign w:val="bottom"/>
          </w:tcPr>
          <w:p>
            <w:pPr>
              <w:ind w:left="20"/>
              <w:spacing w:after="0" w:line="128" w:lineRule="exact"/>
              <w:rPr>
                <w:sz w:val="20"/>
                <w:szCs w:val="20"/>
                <w:color w:val="auto"/>
              </w:rPr>
            </w:pPr>
            <w:r>
              <w:rPr>
                <w:rFonts w:ascii="Arial" w:cs="Arial" w:eastAsia="Arial" w:hAnsi="Arial"/>
                <w:sz w:val="13"/>
                <w:szCs w:val="13"/>
                <w:color w:val="auto"/>
              </w:rPr>
              <w:t>ICON Clinical Research S.R.L.</w:t>
            </w:r>
          </w:p>
        </w:tc>
        <w:tc>
          <w:tcPr>
            <w:tcW w:w="3260" w:type="dxa"/>
            <w:vAlign w:val="bottom"/>
          </w:tcPr>
          <w:p>
            <w:pPr>
              <w:ind w:left="380"/>
              <w:spacing w:after="0" w:line="128" w:lineRule="exact"/>
              <w:rPr>
                <w:sz w:val="20"/>
                <w:szCs w:val="20"/>
                <w:color w:val="auto"/>
              </w:rPr>
            </w:pPr>
            <w:r>
              <w:rPr>
                <w:rFonts w:ascii="Arial" w:cs="Arial" w:eastAsia="Arial" w:hAnsi="Arial"/>
                <w:sz w:val="13"/>
                <w:szCs w:val="13"/>
                <w:color w:val="auto"/>
              </w:rPr>
              <w:t>8th Floor,</w:t>
            </w:r>
          </w:p>
        </w:tc>
        <w:tc>
          <w:tcPr>
            <w:tcW w:w="1860" w:type="dxa"/>
            <w:vAlign w:val="bottom"/>
          </w:tcPr>
          <w:p>
            <w:pPr>
              <w:ind w:left="22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700" w:type="dxa"/>
            <w:vAlign w:val="bottom"/>
          </w:tcPr>
          <w:p>
            <w:pPr>
              <w:spacing w:after="0"/>
              <w:rPr>
                <w:sz w:val="11"/>
                <w:szCs w:val="11"/>
                <w:color w:val="auto"/>
              </w:rPr>
            </w:pPr>
          </w:p>
        </w:tc>
        <w:tc>
          <w:tcPr>
            <w:tcW w:w="3260" w:type="dxa"/>
            <w:vAlign w:val="bottom"/>
          </w:tcPr>
          <w:p>
            <w:pPr>
              <w:ind w:left="380"/>
              <w:spacing w:after="0" w:line="128" w:lineRule="exact"/>
              <w:rPr>
                <w:sz w:val="20"/>
                <w:szCs w:val="20"/>
                <w:color w:val="auto"/>
              </w:rPr>
            </w:pPr>
            <w:r>
              <w:rPr>
                <w:rFonts w:ascii="Arial" w:cs="Arial" w:eastAsia="Arial" w:hAnsi="Arial"/>
                <w:sz w:val="13"/>
                <w:szCs w:val="13"/>
                <w:color w:val="auto"/>
              </w:rPr>
              <w:t>246c Caleca Floresca, Sector 1,</w:t>
            </w:r>
          </w:p>
        </w:tc>
        <w:tc>
          <w:tcPr>
            <w:tcW w:w="186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700" w:type="dxa"/>
            <w:vAlign w:val="bottom"/>
          </w:tcPr>
          <w:p>
            <w:pPr>
              <w:spacing w:after="0"/>
              <w:rPr>
                <w:sz w:val="11"/>
                <w:szCs w:val="11"/>
                <w:color w:val="auto"/>
              </w:rPr>
            </w:pPr>
          </w:p>
        </w:tc>
        <w:tc>
          <w:tcPr>
            <w:tcW w:w="3260" w:type="dxa"/>
            <w:vAlign w:val="bottom"/>
          </w:tcPr>
          <w:p>
            <w:pPr>
              <w:ind w:left="380"/>
              <w:spacing w:after="0" w:line="128" w:lineRule="exact"/>
              <w:rPr>
                <w:sz w:val="20"/>
                <w:szCs w:val="20"/>
                <w:color w:val="auto"/>
              </w:rPr>
            </w:pPr>
            <w:r>
              <w:rPr>
                <w:rFonts w:ascii="Arial" w:cs="Arial" w:eastAsia="Arial" w:hAnsi="Arial"/>
                <w:sz w:val="13"/>
                <w:szCs w:val="13"/>
                <w:color w:val="auto"/>
              </w:rPr>
              <w:t>Bucharest 14476</w:t>
            </w:r>
          </w:p>
        </w:tc>
        <w:tc>
          <w:tcPr>
            <w:tcW w:w="186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3700" w:type="dxa"/>
            <w:vAlign w:val="bottom"/>
          </w:tcPr>
          <w:p>
            <w:pPr>
              <w:spacing w:after="0"/>
              <w:rPr>
                <w:sz w:val="14"/>
                <w:szCs w:val="14"/>
                <w:color w:val="auto"/>
              </w:rPr>
            </w:pPr>
          </w:p>
        </w:tc>
        <w:tc>
          <w:tcPr>
            <w:tcW w:w="3260" w:type="dxa"/>
            <w:vAlign w:val="bottom"/>
          </w:tcPr>
          <w:p>
            <w:pPr>
              <w:ind w:left="380"/>
              <w:spacing w:after="0"/>
              <w:rPr>
                <w:sz w:val="20"/>
                <w:szCs w:val="20"/>
                <w:color w:val="auto"/>
              </w:rPr>
            </w:pPr>
            <w:r>
              <w:rPr>
                <w:rFonts w:ascii="Arial" w:cs="Arial" w:eastAsia="Arial" w:hAnsi="Arial"/>
                <w:sz w:val="13"/>
                <w:szCs w:val="13"/>
                <w:color w:val="auto"/>
              </w:rPr>
              <w:t>Romania</w:t>
            </w:r>
          </w:p>
        </w:tc>
        <w:tc>
          <w:tcPr>
            <w:tcW w:w="186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7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Pharmaceutical Research Associates Romania S.R.L.</w:t>
            </w:r>
          </w:p>
        </w:tc>
        <w:tc>
          <w:tcPr>
            <w:tcW w:w="3260" w:type="dxa"/>
            <w:vAlign w:val="bottom"/>
            <w:shd w:val="clear" w:color="auto" w:fill="CCEEFF"/>
          </w:tcPr>
          <w:p>
            <w:pPr>
              <w:ind w:left="380"/>
              <w:spacing w:after="0" w:line="129" w:lineRule="exact"/>
              <w:rPr>
                <w:sz w:val="20"/>
                <w:szCs w:val="20"/>
                <w:color w:val="auto"/>
              </w:rPr>
            </w:pPr>
            <w:r>
              <w:rPr>
                <w:rFonts w:ascii="Arial" w:cs="Arial" w:eastAsia="Arial" w:hAnsi="Arial"/>
                <w:sz w:val="13"/>
                <w:szCs w:val="13"/>
                <w:color w:val="auto"/>
              </w:rPr>
              <w:t>8th Floor, Sky Tower</w:t>
            </w:r>
          </w:p>
        </w:tc>
        <w:tc>
          <w:tcPr>
            <w:tcW w:w="1860" w:type="dxa"/>
            <w:vAlign w:val="bottom"/>
            <w:shd w:val="clear" w:color="auto" w:fill="CCEEFF"/>
          </w:tcPr>
          <w:p>
            <w:pPr>
              <w:ind w:left="22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700" w:type="dxa"/>
            <w:vAlign w:val="bottom"/>
            <w:shd w:val="clear" w:color="auto" w:fill="CCEEFF"/>
          </w:tcPr>
          <w:p>
            <w:pPr>
              <w:spacing w:after="0"/>
              <w:rPr>
                <w:sz w:val="11"/>
                <w:szCs w:val="11"/>
                <w:color w:val="auto"/>
              </w:rPr>
            </w:pPr>
          </w:p>
        </w:tc>
        <w:tc>
          <w:tcPr>
            <w:tcW w:w="3260" w:type="dxa"/>
            <w:vAlign w:val="bottom"/>
            <w:shd w:val="clear" w:color="auto" w:fill="CCEEFF"/>
          </w:tcPr>
          <w:p>
            <w:pPr>
              <w:ind w:left="380"/>
              <w:spacing w:after="0" w:line="128" w:lineRule="exact"/>
              <w:rPr>
                <w:sz w:val="20"/>
                <w:szCs w:val="20"/>
                <w:color w:val="auto"/>
              </w:rPr>
            </w:pPr>
            <w:r>
              <w:rPr>
                <w:rFonts w:ascii="Arial" w:cs="Arial" w:eastAsia="Arial" w:hAnsi="Arial"/>
                <w:sz w:val="13"/>
                <w:szCs w:val="13"/>
                <w:color w:val="auto"/>
              </w:rPr>
              <w:t>246c Caleca Floresca</w:t>
            </w:r>
          </w:p>
        </w:tc>
        <w:tc>
          <w:tcPr>
            <w:tcW w:w="186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3700" w:type="dxa"/>
            <w:vAlign w:val="bottom"/>
            <w:shd w:val="clear" w:color="auto" w:fill="CCEEFF"/>
          </w:tcPr>
          <w:p>
            <w:pPr>
              <w:spacing w:after="0"/>
              <w:rPr>
                <w:sz w:val="14"/>
                <w:szCs w:val="14"/>
                <w:color w:val="auto"/>
              </w:rPr>
            </w:pPr>
          </w:p>
        </w:tc>
        <w:tc>
          <w:tcPr>
            <w:tcW w:w="3260" w:type="dxa"/>
            <w:vAlign w:val="bottom"/>
            <w:shd w:val="clear" w:color="auto" w:fill="CCEEFF"/>
          </w:tcPr>
          <w:p>
            <w:pPr>
              <w:ind w:left="380"/>
              <w:spacing w:after="0"/>
              <w:rPr>
                <w:sz w:val="20"/>
                <w:szCs w:val="20"/>
                <w:color w:val="auto"/>
              </w:rPr>
            </w:pPr>
            <w:r>
              <w:rPr>
                <w:rFonts w:ascii="Arial" w:cs="Arial" w:eastAsia="Arial" w:hAnsi="Arial"/>
                <w:sz w:val="13"/>
                <w:szCs w:val="13"/>
                <w:color w:val="auto"/>
              </w:rPr>
              <w:t>Bucharest 14476 Romania</w:t>
            </w:r>
          </w:p>
        </w:tc>
        <w:tc>
          <w:tcPr>
            <w:tcW w:w="186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3700" w:type="dxa"/>
            <w:vAlign w:val="bottom"/>
          </w:tcPr>
          <w:p>
            <w:pPr>
              <w:ind w:left="20"/>
              <w:spacing w:after="0" w:line="128" w:lineRule="exact"/>
              <w:rPr>
                <w:sz w:val="20"/>
                <w:szCs w:val="20"/>
                <w:color w:val="auto"/>
              </w:rPr>
            </w:pPr>
            <w:r>
              <w:rPr>
                <w:rFonts w:ascii="Arial" w:cs="Arial" w:eastAsia="Arial" w:hAnsi="Arial"/>
                <w:sz w:val="13"/>
                <w:szCs w:val="13"/>
                <w:color w:val="auto"/>
              </w:rPr>
              <w:t>ICON Clinical Research (Rus) LLC</w:t>
            </w:r>
          </w:p>
        </w:tc>
        <w:tc>
          <w:tcPr>
            <w:tcW w:w="3260" w:type="dxa"/>
            <w:vAlign w:val="bottom"/>
          </w:tcPr>
          <w:p>
            <w:pPr>
              <w:ind w:left="380"/>
              <w:spacing w:after="0" w:line="128" w:lineRule="exact"/>
              <w:rPr>
                <w:sz w:val="20"/>
                <w:szCs w:val="20"/>
                <w:color w:val="auto"/>
              </w:rPr>
            </w:pPr>
            <w:r>
              <w:rPr>
                <w:rFonts w:ascii="Arial" w:cs="Arial" w:eastAsia="Arial" w:hAnsi="Arial"/>
                <w:sz w:val="13"/>
                <w:szCs w:val="13"/>
                <w:color w:val="auto"/>
              </w:rPr>
              <w:t>29 Serebryanicheskaya Embankment, Moscow,</w:t>
            </w:r>
          </w:p>
        </w:tc>
        <w:tc>
          <w:tcPr>
            <w:tcW w:w="1860" w:type="dxa"/>
            <w:vAlign w:val="bottom"/>
          </w:tcPr>
          <w:p>
            <w:pPr>
              <w:ind w:left="22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68"/>
        </w:trPr>
        <w:tc>
          <w:tcPr>
            <w:tcW w:w="3700" w:type="dxa"/>
            <w:vAlign w:val="bottom"/>
          </w:tcPr>
          <w:p>
            <w:pPr>
              <w:spacing w:after="0"/>
              <w:rPr>
                <w:sz w:val="14"/>
                <w:szCs w:val="14"/>
                <w:color w:val="auto"/>
              </w:rPr>
            </w:pPr>
          </w:p>
        </w:tc>
        <w:tc>
          <w:tcPr>
            <w:tcW w:w="3260" w:type="dxa"/>
            <w:vAlign w:val="bottom"/>
          </w:tcPr>
          <w:p>
            <w:pPr>
              <w:ind w:left="380"/>
              <w:spacing w:after="0"/>
              <w:rPr>
                <w:sz w:val="20"/>
                <w:szCs w:val="20"/>
                <w:color w:val="auto"/>
              </w:rPr>
            </w:pPr>
            <w:r>
              <w:rPr>
                <w:rFonts w:ascii="Arial" w:cs="Arial" w:eastAsia="Arial" w:hAnsi="Arial"/>
                <w:sz w:val="13"/>
                <w:szCs w:val="13"/>
                <w:color w:val="auto"/>
              </w:rPr>
              <w:t>109028, Russian Federation</w:t>
            </w:r>
          </w:p>
        </w:tc>
        <w:tc>
          <w:tcPr>
            <w:tcW w:w="186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7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Joint Stock Company IMP Logistics</w:t>
            </w:r>
          </w:p>
        </w:tc>
        <w:tc>
          <w:tcPr>
            <w:tcW w:w="5120" w:type="dxa"/>
            <w:vAlign w:val="bottom"/>
            <w:gridSpan w:val="2"/>
            <w:shd w:val="clear" w:color="auto" w:fill="CCEEFF"/>
          </w:tcPr>
          <w:p>
            <w:pPr>
              <w:ind w:left="380"/>
              <w:spacing w:after="0" w:line="129" w:lineRule="exact"/>
              <w:rPr>
                <w:sz w:val="20"/>
                <w:szCs w:val="20"/>
                <w:color w:val="auto"/>
              </w:rPr>
            </w:pPr>
            <w:r>
              <w:rPr>
                <w:rFonts w:ascii="Arial" w:cs="Arial" w:eastAsia="Arial" w:hAnsi="Arial"/>
                <w:sz w:val="13"/>
                <w:szCs w:val="13"/>
                <w:color w:val="auto"/>
              </w:rPr>
              <w:t>8, Energetikov str, v. Lesnoy Gorodok Odintsovsky city 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700" w:type="dxa"/>
            <w:vAlign w:val="bottom"/>
            <w:shd w:val="clear" w:color="auto" w:fill="CCEEFF"/>
          </w:tcPr>
          <w:p>
            <w:pPr>
              <w:spacing w:after="0"/>
              <w:rPr>
                <w:sz w:val="11"/>
                <w:szCs w:val="11"/>
                <w:color w:val="auto"/>
              </w:rPr>
            </w:pPr>
          </w:p>
        </w:tc>
        <w:tc>
          <w:tcPr>
            <w:tcW w:w="3260" w:type="dxa"/>
            <w:vAlign w:val="bottom"/>
            <w:shd w:val="clear" w:color="auto" w:fill="CCEEFF"/>
          </w:tcPr>
          <w:p>
            <w:pPr>
              <w:ind w:left="380"/>
              <w:spacing w:after="0" w:line="128" w:lineRule="exact"/>
              <w:rPr>
                <w:sz w:val="20"/>
                <w:szCs w:val="20"/>
                <w:color w:val="auto"/>
              </w:rPr>
            </w:pPr>
            <w:r>
              <w:rPr>
                <w:rFonts w:ascii="Arial" w:cs="Arial" w:eastAsia="Arial" w:hAnsi="Arial"/>
                <w:sz w:val="13"/>
                <w:szCs w:val="13"/>
                <w:color w:val="auto"/>
              </w:rPr>
              <w:t>disctrict</w:t>
            </w:r>
          </w:p>
        </w:tc>
        <w:tc>
          <w:tcPr>
            <w:tcW w:w="186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3700" w:type="dxa"/>
            <w:vAlign w:val="bottom"/>
            <w:shd w:val="clear" w:color="auto" w:fill="CCEEFF"/>
          </w:tcPr>
          <w:p>
            <w:pPr>
              <w:spacing w:after="0"/>
              <w:rPr>
                <w:sz w:val="14"/>
                <w:szCs w:val="14"/>
                <w:color w:val="auto"/>
              </w:rPr>
            </w:pPr>
          </w:p>
        </w:tc>
        <w:tc>
          <w:tcPr>
            <w:tcW w:w="3260" w:type="dxa"/>
            <w:vAlign w:val="bottom"/>
            <w:shd w:val="clear" w:color="auto" w:fill="CCEEFF"/>
          </w:tcPr>
          <w:p>
            <w:pPr>
              <w:ind w:left="380"/>
              <w:spacing w:after="0"/>
              <w:rPr>
                <w:sz w:val="20"/>
                <w:szCs w:val="20"/>
                <w:color w:val="auto"/>
              </w:rPr>
            </w:pPr>
            <w:r>
              <w:rPr>
                <w:rFonts w:ascii="Arial" w:cs="Arial" w:eastAsia="Arial" w:hAnsi="Arial"/>
                <w:sz w:val="13"/>
                <w:szCs w:val="13"/>
                <w:color w:val="auto"/>
              </w:rPr>
              <w:t>Moscow region Russia 143080</w:t>
            </w:r>
          </w:p>
        </w:tc>
        <w:tc>
          <w:tcPr>
            <w:tcW w:w="186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3700" w:type="dxa"/>
            <w:vAlign w:val="bottom"/>
          </w:tcPr>
          <w:p>
            <w:pPr>
              <w:ind w:left="20"/>
              <w:spacing w:after="0" w:line="128" w:lineRule="exact"/>
              <w:rPr>
                <w:sz w:val="20"/>
                <w:szCs w:val="20"/>
                <w:color w:val="auto"/>
              </w:rPr>
            </w:pPr>
            <w:r>
              <w:rPr>
                <w:rFonts w:ascii="Arial" w:cs="Arial" w:eastAsia="Arial" w:hAnsi="Arial"/>
                <w:sz w:val="13"/>
                <w:szCs w:val="13"/>
                <w:color w:val="auto"/>
              </w:rPr>
              <w:t>ICON Clinical Research d.o.o. Beograd</w:t>
            </w:r>
          </w:p>
        </w:tc>
        <w:tc>
          <w:tcPr>
            <w:tcW w:w="3260" w:type="dxa"/>
            <w:vAlign w:val="bottom"/>
          </w:tcPr>
          <w:p>
            <w:pPr>
              <w:ind w:left="380"/>
              <w:spacing w:after="0" w:line="128" w:lineRule="exact"/>
              <w:rPr>
                <w:sz w:val="20"/>
                <w:szCs w:val="20"/>
                <w:color w:val="auto"/>
              </w:rPr>
            </w:pPr>
            <w:r>
              <w:rPr>
                <w:rFonts w:ascii="Arial" w:cs="Arial" w:eastAsia="Arial" w:hAnsi="Arial"/>
                <w:sz w:val="13"/>
                <w:szCs w:val="13"/>
                <w:color w:val="auto"/>
              </w:rPr>
              <w:t>4th Floor,</w:t>
            </w:r>
          </w:p>
        </w:tc>
        <w:tc>
          <w:tcPr>
            <w:tcW w:w="1860" w:type="dxa"/>
            <w:vAlign w:val="bottom"/>
          </w:tcPr>
          <w:p>
            <w:pPr>
              <w:ind w:left="22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700" w:type="dxa"/>
            <w:vAlign w:val="bottom"/>
          </w:tcPr>
          <w:p>
            <w:pPr>
              <w:spacing w:after="0"/>
              <w:rPr>
                <w:sz w:val="11"/>
                <w:szCs w:val="11"/>
                <w:color w:val="auto"/>
              </w:rPr>
            </w:pPr>
          </w:p>
        </w:tc>
        <w:tc>
          <w:tcPr>
            <w:tcW w:w="3260" w:type="dxa"/>
            <w:vAlign w:val="bottom"/>
          </w:tcPr>
          <w:p>
            <w:pPr>
              <w:ind w:left="380"/>
              <w:spacing w:after="0" w:line="128" w:lineRule="exact"/>
              <w:rPr>
                <w:sz w:val="20"/>
                <w:szCs w:val="20"/>
                <w:color w:val="auto"/>
              </w:rPr>
            </w:pPr>
            <w:r>
              <w:rPr>
                <w:rFonts w:ascii="Arial" w:cs="Arial" w:eastAsia="Arial" w:hAnsi="Arial"/>
                <w:sz w:val="13"/>
                <w:szCs w:val="13"/>
                <w:color w:val="auto"/>
              </w:rPr>
              <w:t>Bulevar Zorana Djindjica 64a,</w:t>
            </w:r>
          </w:p>
        </w:tc>
        <w:tc>
          <w:tcPr>
            <w:tcW w:w="186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700" w:type="dxa"/>
            <w:vAlign w:val="bottom"/>
          </w:tcPr>
          <w:p>
            <w:pPr>
              <w:spacing w:after="0"/>
              <w:rPr>
                <w:sz w:val="11"/>
                <w:szCs w:val="11"/>
                <w:color w:val="auto"/>
              </w:rPr>
            </w:pPr>
          </w:p>
        </w:tc>
        <w:tc>
          <w:tcPr>
            <w:tcW w:w="3260" w:type="dxa"/>
            <w:vAlign w:val="bottom"/>
          </w:tcPr>
          <w:p>
            <w:pPr>
              <w:ind w:left="380"/>
              <w:spacing w:after="0" w:line="128" w:lineRule="exact"/>
              <w:rPr>
                <w:sz w:val="20"/>
                <w:szCs w:val="20"/>
                <w:color w:val="auto"/>
              </w:rPr>
            </w:pPr>
            <w:r>
              <w:rPr>
                <w:rFonts w:ascii="Arial" w:cs="Arial" w:eastAsia="Arial" w:hAnsi="Arial"/>
                <w:sz w:val="13"/>
                <w:szCs w:val="13"/>
                <w:color w:val="auto"/>
              </w:rPr>
              <w:t>11070 Belgrade,</w:t>
            </w:r>
          </w:p>
        </w:tc>
        <w:tc>
          <w:tcPr>
            <w:tcW w:w="186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3700" w:type="dxa"/>
            <w:vAlign w:val="bottom"/>
          </w:tcPr>
          <w:p>
            <w:pPr>
              <w:spacing w:after="0"/>
              <w:rPr>
                <w:sz w:val="14"/>
                <w:szCs w:val="14"/>
                <w:color w:val="auto"/>
              </w:rPr>
            </w:pPr>
          </w:p>
        </w:tc>
        <w:tc>
          <w:tcPr>
            <w:tcW w:w="3260" w:type="dxa"/>
            <w:vAlign w:val="bottom"/>
          </w:tcPr>
          <w:p>
            <w:pPr>
              <w:ind w:left="380"/>
              <w:spacing w:after="0"/>
              <w:rPr>
                <w:sz w:val="20"/>
                <w:szCs w:val="20"/>
                <w:color w:val="auto"/>
              </w:rPr>
            </w:pPr>
            <w:r>
              <w:rPr>
                <w:rFonts w:ascii="Arial" w:cs="Arial" w:eastAsia="Arial" w:hAnsi="Arial"/>
                <w:sz w:val="13"/>
                <w:szCs w:val="13"/>
                <w:color w:val="auto"/>
              </w:rPr>
              <w:t>Serbia</w:t>
            </w:r>
          </w:p>
        </w:tc>
        <w:tc>
          <w:tcPr>
            <w:tcW w:w="186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7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Pharmaceutical Research Associates doo Belgrade</w:t>
            </w:r>
          </w:p>
        </w:tc>
        <w:tc>
          <w:tcPr>
            <w:tcW w:w="3260" w:type="dxa"/>
            <w:vAlign w:val="bottom"/>
            <w:shd w:val="clear" w:color="auto" w:fill="CCEEFF"/>
          </w:tcPr>
          <w:p>
            <w:pPr>
              <w:ind w:left="380"/>
              <w:spacing w:after="0" w:line="129" w:lineRule="exact"/>
              <w:rPr>
                <w:sz w:val="20"/>
                <w:szCs w:val="20"/>
                <w:color w:val="auto"/>
              </w:rPr>
            </w:pPr>
            <w:r>
              <w:rPr>
                <w:rFonts w:ascii="Arial" w:cs="Arial" w:eastAsia="Arial" w:hAnsi="Arial"/>
                <w:sz w:val="13"/>
                <w:szCs w:val="13"/>
                <w:color w:val="auto"/>
              </w:rPr>
              <w:t>19th Avenue</w:t>
            </w:r>
          </w:p>
        </w:tc>
        <w:tc>
          <w:tcPr>
            <w:tcW w:w="1860" w:type="dxa"/>
            <w:vAlign w:val="bottom"/>
            <w:shd w:val="clear" w:color="auto" w:fill="CCEEFF"/>
          </w:tcPr>
          <w:p>
            <w:pPr>
              <w:ind w:left="22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700" w:type="dxa"/>
            <w:vAlign w:val="bottom"/>
            <w:shd w:val="clear" w:color="auto" w:fill="CCEEFF"/>
          </w:tcPr>
          <w:p>
            <w:pPr>
              <w:spacing w:after="0"/>
              <w:rPr>
                <w:sz w:val="11"/>
                <w:szCs w:val="11"/>
                <w:color w:val="auto"/>
              </w:rPr>
            </w:pPr>
          </w:p>
        </w:tc>
        <w:tc>
          <w:tcPr>
            <w:tcW w:w="3260" w:type="dxa"/>
            <w:vAlign w:val="bottom"/>
            <w:shd w:val="clear" w:color="auto" w:fill="CCEEFF"/>
          </w:tcPr>
          <w:p>
            <w:pPr>
              <w:ind w:left="380"/>
              <w:spacing w:after="0" w:line="128" w:lineRule="exact"/>
              <w:rPr>
                <w:sz w:val="20"/>
                <w:szCs w:val="20"/>
                <w:color w:val="auto"/>
              </w:rPr>
            </w:pPr>
            <w:r>
              <w:rPr>
                <w:rFonts w:ascii="Arial" w:cs="Arial" w:eastAsia="Arial" w:hAnsi="Arial"/>
                <w:sz w:val="13"/>
                <w:szCs w:val="13"/>
                <w:color w:val="auto"/>
              </w:rPr>
              <w:t>Vladimira Popovica 38-40</w:t>
            </w:r>
          </w:p>
        </w:tc>
        <w:tc>
          <w:tcPr>
            <w:tcW w:w="186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3700" w:type="dxa"/>
            <w:vAlign w:val="bottom"/>
            <w:shd w:val="clear" w:color="auto" w:fill="CCEEFF"/>
          </w:tcPr>
          <w:p>
            <w:pPr>
              <w:spacing w:after="0"/>
              <w:rPr>
                <w:sz w:val="14"/>
                <w:szCs w:val="14"/>
                <w:color w:val="auto"/>
              </w:rPr>
            </w:pPr>
          </w:p>
        </w:tc>
        <w:tc>
          <w:tcPr>
            <w:tcW w:w="3260" w:type="dxa"/>
            <w:vAlign w:val="bottom"/>
            <w:shd w:val="clear" w:color="auto" w:fill="CCEEFF"/>
          </w:tcPr>
          <w:p>
            <w:pPr>
              <w:ind w:left="380"/>
              <w:spacing w:after="0"/>
              <w:rPr>
                <w:sz w:val="20"/>
                <w:szCs w:val="20"/>
                <w:color w:val="auto"/>
              </w:rPr>
            </w:pPr>
            <w:r>
              <w:rPr>
                <w:rFonts w:ascii="Arial" w:cs="Arial" w:eastAsia="Arial" w:hAnsi="Arial"/>
                <w:sz w:val="13"/>
                <w:szCs w:val="13"/>
                <w:color w:val="auto"/>
              </w:rPr>
              <w:t>Belgrade, 11070 Serbia</w:t>
            </w:r>
          </w:p>
        </w:tc>
        <w:tc>
          <w:tcPr>
            <w:tcW w:w="186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3700" w:type="dxa"/>
            <w:vAlign w:val="bottom"/>
          </w:tcPr>
          <w:p>
            <w:pPr>
              <w:ind w:left="20"/>
              <w:spacing w:after="0" w:line="128" w:lineRule="exact"/>
              <w:rPr>
                <w:sz w:val="20"/>
                <w:szCs w:val="20"/>
                <w:color w:val="auto"/>
              </w:rPr>
            </w:pPr>
            <w:r>
              <w:rPr>
                <w:rFonts w:ascii="Arial" w:cs="Arial" w:eastAsia="Arial" w:hAnsi="Arial"/>
                <w:sz w:val="13"/>
                <w:szCs w:val="13"/>
                <w:color w:val="auto"/>
              </w:rPr>
              <w:t>ICON Clinical Research (Pte) Limited</w:t>
            </w:r>
          </w:p>
        </w:tc>
        <w:tc>
          <w:tcPr>
            <w:tcW w:w="3260" w:type="dxa"/>
            <w:vAlign w:val="bottom"/>
          </w:tcPr>
          <w:p>
            <w:pPr>
              <w:ind w:left="380"/>
              <w:spacing w:after="0" w:line="128" w:lineRule="exact"/>
              <w:rPr>
                <w:sz w:val="20"/>
                <w:szCs w:val="20"/>
                <w:color w:val="auto"/>
              </w:rPr>
            </w:pPr>
            <w:r>
              <w:rPr>
                <w:rFonts w:ascii="Arial" w:cs="Arial" w:eastAsia="Arial" w:hAnsi="Arial"/>
                <w:sz w:val="13"/>
                <w:szCs w:val="13"/>
                <w:color w:val="auto"/>
              </w:rPr>
              <w:t>30 Loyang Way</w:t>
            </w:r>
          </w:p>
        </w:tc>
        <w:tc>
          <w:tcPr>
            <w:tcW w:w="1860" w:type="dxa"/>
            <w:vAlign w:val="bottom"/>
          </w:tcPr>
          <w:p>
            <w:pPr>
              <w:ind w:left="22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700" w:type="dxa"/>
            <w:vAlign w:val="bottom"/>
          </w:tcPr>
          <w:p>
            <w:pPr>
              <w:spacing w:after="0"/>
              <w:rPr>
                <w:sz w:val="11"/>
                <w:szCs w:val="11"/>
                <w:color w:val="auto"/>
              </w:rPr>
            </w:pPr>
          </w:p>
        </w:tc>
        <w:tc>
          <w:tcPr>
            <w:tcW w:w="3260" w:type="dxa"/>
            <w:vAlign w:val="bottom"/>
          </w:tcPr>
          <w:p>
            <w:pPr>
              <w:ind w:left="380"/>
              <w:spacing w:after="0" w:line="128" w:lineRule="exact"/>
              <w:rPr>
                <w:sz w:val="20"/>
                <w:szCs w:val="20"/>
                <w:color w:val="auto"/>
              </w:rPr>
            </w:pPr>
            <w:r>
              <w:rPr>
                <w:rFonts w:ascii="Arial" w:cs="Arial" w:eastAsia="Arial" w:hAnsi="Arial"/>
                <w:sz w:val="13"/>
                <w:szCs w:val="13"/>
                <w:color w:val="auto"/>
              </w:rPr>
              <w:t>#02/12</w:t>
            </w:r>
          </w:p>
        </w:tc>
        <w:tc>
          <w:tcPr>
            <w:tcW w:w="186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700" w:type="dxa"/>
            <w:vAlign w:val="bottom"/>
          </w:tcPr>
          <w:p>
            <w:pPr>
              <w:spacing w:after="0"/>
              <w:rPr>
                <w:sz w:val="11"/>
                <w:szCs w:val="11"/>
                <w:color w:val="auto"/>
              </w:rPr>
            </w:pPr>
          </w:p>
        </w:tc>
        <w:tc>
          <w:tcPr>
            <w:tcW w:w="3260" w:type="dxa"/>
            <w:vAlign w:val="bottom"/>
          </w:tcPr>
          <w:p>
            <w:pPr>
              <w:ind w:left="380"/>
              <w:spacing w:after="0" w:line="128" w:lineRule="exact"/>
              <w:rPr>
                <w:sz w:val="20"/>
                <w:szCs w:val="20"/>
                <w:color w:val="auto"/>
              </w:rPr>
            </w:pPr>
            <w:r>
              <w:rPr>
                <w:rFonts w:ascii="Arial" w:cs="Arial" w:eastAsia="Arial" w:hAnsi="Arial"/>
                <w:sz w:val="13"/>
                <w:szCs w:val="13"/>
                <w:color w:val="auto"/>
              </w:rPr>
              <w:t>Loyang Industrial Estate</w:t>
            </w:r>
          </w:p>
        </w:tc>
        <w:tc>
          <w:tcPr>
            <w:tcW w:w="186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700" w:type="dxa"/>
            <w:vAlign w:val="bottom"/>
          </w:tcPr>
          <w:p>
            <w:pPr>
              <w:spacing w:after="0"/>
              <w:rPr>
                <w:sz w:val="11"/>
                <w:szCs w:val="11"/>
                <w:color w:val="auto"/>
              </w:rPr>
            </w:pPr>
          </w:p>
        </w:tc>
        <w:tc>
          <w:tcPr>
            <w:tcW w:w="3260" w:type="dxa"/>
            <w:vAlign w:val="bottom"/>
          </w:tcPr>
          <w:p>
            <w:pPr>
              <w:ind w:left="380"/>
              <w:spacing w:after="0" w:line="128" w:lineRule="exact"/>
              <w:rPr>
                <w:sz w:val="20"/>
                <w:szCs w:val="20"/>
                <w:color w:val="auto"/>
              </w:rPr>
            </w:pPr>
            <w:r>
              <w:rPr>
                <w:rFonts w:ascii="Arial" w:cs="Arial" w:eastAsia="Arial" w:hAnsi="Arial"/>
                <w:sz w:val="13"/>
                <w:szCs w:val="13"/>
                <w:color w:val="auto"/>
              </w:rPr>
              <w:t>508769</w:t>
            </w:r>
          </w:p>
        </w:tc>
        <w:tc>
          <w:tcPr>
            <w:tcW w:w="186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3700" w:type="dxa"/>
            <w:vAlign w:val="bottom"/>
          </w:tcPr>
          <w:p>
            <w:pPr>
              <w:spacing w:after="0"/>
              <w:rPr>
                <w:sz w:val="14"/>
                <w:szCs w:val="14"/>
                <w:color w:val="auto"/>
              </w:rPr>
            </w:pPr>
          </w:p>
        </w:tc>
        <w:tc>
          <w:tcPr>
            <w:tcW w:w="3260" w:type="dxa"/>
            <w:vAlign w:val="bottom"/>
          </w:tcPr>
          <w:p>
            <w:pPr>
              <w:ind w:left="380"/>
              <w:spacing w:after="0"/>
              <w:rPr>
                <w:sz w:val="20"/>
                <w:szCs w:val="20"/>
                <w:color w:val="auto"/>
              </w:rPr>
            </w:pPr>
            <w:r>
              <w:rPr>
                <w:rFonts w:ascii="Arial" w:cs="Arial" w:eastAsia="Arial" w:hAnsi="Arial"/>
                <w:sz w:val="13"/>
                <w:szCs w:val="13"/>
                <w:color w:val="auto"/>
              </w:rPr>
              <w:t>Singapore</w:t>
            </w:r>
          </w:p>
        </w:tc>
        <w:tc>
          <w:tcPr>
            <w:tcW w:w="186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7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Mapi Life Sciences Singapore Pte. Ltd.</w:t>
            </w:r>
          </w:p>
        </w:tc>
        <w:tc>
          <w:tcPr>
            <w:tcW w:w="3260" w:type="dxa"/>
            <w:vAlign w:val="bottom"/>
            <w:shd w:val="clear" w:color="auto" w:fill="CCEEFF"/>
          </w:tcPr>
          <w:p>
            <w:pPr>
              <w:ind w:left="380"/>
              <w:spacing w:after="0" w:line="129" w:lineRule="exact"/>
              <w:rPr>
                <w:sz w:val="20"/>
                <w:szCs w:val="20"/>
                <w:color w:val="auto"/>
              </w:rPr>
            </w:pPr>
            <w:r>
              <w:rPr>
                <w:rFonts w:ascii="Arial" w:cs="Arial" w:eastAsia="Arial" w:hAnsi="Arial"/>
                <w:sz w:val="13"/>
                <w:szCs w:val="13"/>
                <w:color w:val="auto"/>
              </w:rPr>
              <w:t>30 Loyang Way</w:t>
            </w:r>
          </w:p>
        </w:tc>
        <w:tc>
          <w:tcPr>
            <w:tcW w:w="1860" w:type="dxa"/>
            <w:vAlign w:val="bottom"/>
            <w:shd w:val="clear" w:color="auto" w:fill="CCEEFF"/>
          </w:tcPr>
          <w:p>
            <w:pPr>
              <w:ind w:left="22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700" w:type="dxa"/>
            <w:vAlign w:val="bottom"/>
            <w:shd w:val="clear" w:color="auto" w:fill="CCEEFF"/>
          </w:tcPr>
          <w:p>
            <w:pPr>
              <w:spacing w:after="0"/>
              <w:rPr>
                <w:sz w:val="11"/>
                <w:szCs w:val="11"/>
                <w:color w:val="auto"/>
              </w:rPr>
            </w:pPr>
          </w:p>
        </w:tc>
        <w:tc>
          <w:tcPr>
            <w:tcW w:w="3260" w:type="dxa"/>
            <w:vAlign w:val="bottom"/>
            <w:shd w:val="clear" w:color="auto" w:fill="CCEEFF"/>
          </w:tcPr>
          <w:p>
            <w:pPr>
              <w:ind w:left="380"/>
              <w:spacing w:after="0" w:line="128" w:lineRule="exact"/>
              <w:rPr>
                <w:sz w:val="20"/>
                <w:szCs w:val="20"/>
                <w:color w:val="auto"/>
              </w:rPr>
            </w:pPr>
            <w:r>
              <w:rPr>
                <w:rFonts w:ascii="Arial" w:cs="Arial" w:eastAsia="Arial" w:hAnsi="Arial"/>
                <w:sz w:val="13"/>
                <w:szCs w:val="13"/>
                <w:color w:val="auto"/>
              </w:rPr>
              <w:t>#02/12</w:t>
            </w:r>
          </w:p>
        </w:tc>
        <w:tc>
          <w:tcPr>
            <w:tcW w:w="186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700" w:type="dxa"/>
            <w:vAlign w:val="bottom"/>
            <w:shd w:val="clear" w:color="auto" w:fill="CCEEFF"/>
          </w:tcPr>
          <w:p>
            <w:pPr>
              <w:spacing w:after="0"/>
              <w:rPr>
                <w:sz w:val="11"/>
                <w:szCs w:val="11"/>
                <w:color w:val="auto"/>
              </w:rPr>
            </w:pPr>
          </w:p>
        </w:tc>
        <w:tc>
          <w:tcPr>
            <w:tcW w:w="3260" w:type="dxa"/>
            <w:vAlign w:val="bottom"/>
            <w:shd w:val="clear" w:color="auto" w:fill="CCEEFF"/>
          </w:tcPr>
          <w:p>
            <w:pPr>
              <w:ind w:left="380"/>
              <w:spacing w:after="0" w:line="128" w:lineRule="exact"/>
              <w:rPr>
                <w:sz w:val="20"/>
                <w:szCs w:val="20"/>
                <w:color w:val="auto"/>
              </w:rPr>
            </w:pPr>
            <w:r>
              <w:rPr>
                <w:rFonts w:ascii="Arial" w:cs="Arial" w:eastAsia="Arial" w:hAnsi="Arial"/>
                <w:sz w:val="13"/>
                <w:szCs w:val="13"/>
                <w:color w:val="auto"/>
              </w:rPr>
              <w:t>Loyang Industrial Estate</w:t>
            </w:r>
          </w:p>
        </w:tc>
        <w:tc>
          <w:tcPr>
            <w:tcW w:w="186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700" w:type="dxa"/>
            <w:vAlign w:val="bottom"/>
            <w:shd w:val="clear" w:color="auto" w:fill="CCEEFF"/>
          </w:tcPr>
          <w:p>
            <w:pPr>
              <w:spacing w:after="0"/>
              <w:rPr>
                <w:sz w:val="11"/>
                <w:szCs w:val="11"/>
                <w:color w:val="auto"/>
              </w:rPr>
            </w:pPr>
          </w:p>
        </w:tc>
        <w:tc>
          <w:tcPr>
            <w:tcW w:w="3260" w:type="dxa"/>
            <w:vAlign w:val="bottom"/>
            <w:shd w:val="clear" w:color="auto" w:fill="CCEEFF"/>
          </w:tcPr>
          <w:p>
            <w:pPr>
              <w:ind w:left="380"/>
              <w:spacing w:after="0" w:line="128" w:lineRule="exact"/>
              <w:rPr>
                <w:sz w:val="20"/>
                <w:szCs w:val="20"/>
                <w:color w:val="auto"/>
              </w:rPr>
            </w:pPr>
            <w:r>
              <w:rPr>
                <w:rFonts w:ascii="Arial" w:cs="Arial" w:eastAsia="Arial" w:hAnsi="Arial"/>
                <w:sz w:val="13"/>
                <w:szCs w:val="13"/>
                <w:color w:val="auto"/>
              </w:rPr>
              <w:t>508769</w:t>
            </w:r>
          </w:p>
        </w:tc>
        <w:tc>
          <w:tcPr>
            <w:tcW w:w="186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3700" w:type="dxa"/>
            <w:vAlign w:val="bottom"/>
            <w:shd w:val="clear" w:color="auto" w:fill="CCEEFF"/>
          </w:tcPr>
          <w:p>
            <w:pPr>
              <w:spacing w:after="0"/>
              <w:rPr>
                <w:sz w:val="14"/>
                <w:szCs w:val="14"/>
                <w:color w:val="auto"/>
              </w:rPr>
            </w:pPr>
          </w:p>
        </w:tc>
        <w:tc>
          <w:tcPr>
            <w:tcW w:w="3260" w:type="dxa"/>
            <w:vAlign w:val="bottom"/>
            <w:shd w:val="clear" w:color="auto" w:fill="CCEEFF"/>
          </w:tcPr>
          <w:p>
            <w:pPr>
              <w:ind w:left="380"/>
              <w:spacing w:after="0"/>
              <w:rPr>
                <w:sz w:val="20"/>
                <w:szCs w:val="20"/>
                <w:color w:val="auto"/>
              </w:rPr>
            </w:pPr>
            <w:r>
              <w:rPr>
                <w:rFonts w:ascii="Arial" w:cs="Arial" w:eastAsia="Arial" w:hAnsi="Arial"/>
                <w:sz w:val="13"/>
                <w:szCs w:val="13"/>
                <w:color w:val="auto"/>
              </w:rPr>
              <w:t>Singapore</w:t>
            </w:r>
          </w:p>
        </w:tc>
        <w:tc>
          <w:tcPr>
            <w:tcW w:w="186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bl>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127</w:t>
      </w:r>
    </w:p>
    <w:p>
      <w:pPr>
        <w:sectPr>
          <w:pgSz w:w="11900" w:h="16838" w:orient="portrait"/>
          <w:cols w:equalWidth="0" w:num="1">
            <w:col w:w="11260"/>
          </w:cols>
          <w:pgMar w:left="300" w:top="697" w:right="3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32.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3000" w:type="dxa"/>
            <w:vAlign w:val="bottom"/>
            <w:shd w:val="clear" w:color="auto" w:fill="CCEEFF"/>
          </w:tcPr>
          <w:p>
            <w:pPr>
              <w:ind w:left="60"/>
              <w:spacing w:after="0"/>
              <w:rPr>
                <w:sz w:val="20"/>
                <w:szCs w:val="20"/>
                <w:color w:val="auto"/>
              </w:rPr>
            </w:pPr>
            <w:r>
              <w:rPr>
                <w:rFonts w:ascii="Arial" w:cs="Arial" w:eastAsia="Arial" w:hAnsi="Arial"/>
                <w:sz w:val="13"/>
                <w:szCs w:val="13"/>
                <w:b w:val="1"/>
                <w:bCs w:val="1"/>
                <w:color w:val="auto"/>
              </w:rPr>
              <w:t>Registered Office</w:t>
            </w:r>
          </w:p>
        </w:tc>
        <w:tc>
          <w:tcPr>
            <w:tcW w:w="1800" w:type="dxa"/>
            <w:vAlign w:val="bottom"/>
            <w:shd w:val="clear" w:color="auto" w:fill="CCEEFF"/>
          </w:tcPr>
          <w:p>
            <w:pPr>
              <w:ind w:left="160"/>
              <w:spacing w:after="0"/>
              <w:rPr>
                <w:sz w:val="20"/>
                <w:szCs w:val="20"/>
                <w:color w:val="auto"/>
              </w:rPr>
            </w:pPr>
            <w:r>
              <w:rPr>
                <w:rFonts w:ascii="Arial" w:cs="Arial" w:eastAsia="Arial" w:hAnsi="Arial"/>
                <w:sz w:val="13"/>
                <w:szCs w:val="13"/>
                <w:b w:val="1"/>
                <w:bCs w:val="1"/>
                <w:color w:val="auto"/>
              </w:rPr>
              <w:t>Nature of business</w:t>
            </w:r>
          </w:p>
        </w:tc>
        <w:tc>
          <w:tcPr>
            <w:tcW w:w="244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Proportion held by</w:t>
            </w:r>
          </w:p>
        </w:tc>
      </w:tr>
      <w:tr>
        <w:trPr>
          <w:trHeight w:val="170"/>
        </w:trPr>
        <w:tc>
          <w:tcPr>
            <w:tcW w:w="4020" w:type="dxa"/>
            <w:vAlign w:val="bottom"/>
            <w:tcBorders>
              <w:bottom w:val="single" w:sz="8" w:color="auto"/>
            </w:tcBorders>
            <w:shd w:val="clear" w:color="auto" w:fill="CCEEFF"/>
          </w:tcPr>
          <w:p>
            <w:pPr>
              <w:spacing w:after="0"/>
              <w:rPr>
                <w:sz w:val="14"/>
                <w:szCs w:val="14"/>
                <w:color w:val="auto"/>
              </w:rPr>
            </w:pPr>
          </w:p>
        </w:tc>
        <w:tc>
          <w:tcPr>
            <w:tcW w:w="3000" w:type="dxa"/>
            <w:vAlign w:val="bottom"/>
            <w:tcBorders>
              <w:bottom w:val="single" w:sz="8" w:color="auto"/>
            </w:tcBorders>
            <w:shd w:val="clear" w:color="auto" w:fill="CCEEFF"/>
          </w:tcPr>
          <w:p>
            <w:pPr>
              <w:spacing w:after="0"/>
              <w:rPr>
                <w:sz w:val="14"/>
                <w:szCs w:val="14"/>
                <w:color w:val="auto"/>
              </w:rPr>
            </w:pPr>
          </w:p>
        </w:tc>
        <w:tc>
          <w:tcPr>
            <w:tcW w:w="1800" w:type="dxa"/>
            <w:vAlign w:val="bottom"/>
            <w:tcBorders>
              <w:bottom w:val="single" w:sz="8" w:color="auto"/>
            </w:tcBorders>
            <w:shd w:val="clear" w:color="auto" w:fill="CCEEFF"/>
          </w:tcPr>
          <w:p>
            <w:pPr>
              <w:spacing w:after="0"/>
              <w:rPr>
                <w:sz w:val="14"/>
                <w:szCs w:val="14"/>
                <w:color w:val="auto"/>
              </w:rPr>
            </w:pPr>
          </w:p>
        </w:tc>
        <w:tc>
          <w:tcPr>
            <w:tcW w:w="24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3"/>
                <w:szCs w:val="13"/>
                <w:b w:val="1"/>
                <w:bCs w:val="1"/>
                <w:color w:val="auto"/>
              </w:rPr>
              <w:t>Group</w:t>
            </w:r>
          </w:p>
        </w:tc>
      </w:tr>
      <w:tr>
        <w:trPr>
          <w:trHeight w:val="118"/>
        </w:trPr>
        <w:tc>
          <w:tcPr>
            <w:tcW w:w="4020" w:type="dxa"/>
            <w:vAlign w:val="bottom"/>
          </w:tcPr>
          <w:p>
            <w:pPr>
              <w:ind w:left="20"/>
              <w:spacing w:after="0" w:line="118" w:lineRule="exact"/>
              <w:rPr>
                <w:sz w:val="20"/>
                <w:szCs w:val="20"/>
                <w:color w:val="auto"/>
              </w:rPr>
            </w:pPr>
            <w:r>
              <w:rPr>
                <w:rFonts w:ascii="Arial" w:cs="Arial" w:eastAsia="Arial" w:hAnsi="Arial"/>
                <w:sz w:val="13"/>
                <w:szCs w:val="13"/>
                <w:color w:val="auto"/>
              </w:rPr>
              <w:t>Pharmaceutical Research Associates Singapore Pte. Ltd.</w:t>
            </w:r>
          </w:p>
        </w:tc>
        <w:tc>
          <w:tcPr>
            <w:tcW w:w="3000" w:type="dxa"/>
            <w:vAlign w:val="bottom"/>
          </w:tcPr>
          <w:p>
            <w:pPr>
              <w:ind w:left="60"/>
              <w:spacing w:after="0" w:line="118" w:lineRule="exact"/>
              <w:rPr>
                <w:sz w:val="20"/>
                <w:szCs w:val="20"/>
                <w:color w:val="auto"/>
              </w:rPr>
            </w:pPr>
            <w:r>
              <w:rPr>
                <w:rFonts w:ascii="Arial" w:cs="Arial" w:eastAsia="Arial" w:hAnsi="Arial"/>
                <w:sz w:val="13"/>
                <w:szCs w:val="13"/>
                <w:color w:val="auto"/>
              </w:rPr>
              <w:t>#02-06/10, 21 Biopolis Road</w:t>
            </w:r>
          </w:p>
        </w:tc>
        <w:tc>
          <w:tcPr>
            <w:tcW w:w="1800" w:type="dxa"/>
            <w:vAlign w:val="bottom"/>
          </w:tcPr>
          <w:p>
            <w:pPr>
              <w:ind w:left="160"/>
              <w:spacing w:after="0" w:line="11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18" w:lineRule="exact"/>
              <w:rPr>
                <w:sz w:val="20"/>
                <w:szCs w:val="20"/>
                <w:color w:val="auto"/>
              </w:rPr>
            </w:pPr>
            <w:r>
              <w:rPr>
                <w:rFonts w:ascii="Arial" w:cs="Arial" w:eastAsia="Arial" w:hAnsi="Arial"/>
                <w:sz w:val="13"/>
                <w:szCs w:val="13"/>
                <w:color w:val="auto"/>
              </w:rPr>
              <w:t>100%</w:t>
            </w:r>
          </w:p>
        </w:tc>
      </w:tr>
      <w:tr>
        <w:trPr>
          <w:trHeight w:val="168"/>
        </w:trPr>
        <w:tc>
          <w:tcPr>
            <w:tcW w:w="4020" w:type="dxa"/>
            <w:vAlign w:val="bottom"/>
          </w:tcPr>
          <w:p>
            <w:pPr>
              <w:spacing w:after="0"/>
              <w:rPr>
                <w:sz w:val="14"/>
                <w:szCs w:val="14"/>
                <w:color w:val="auto"/>
              </w:rPr>
            </w:pPr>
          </w:p>
        </w:tc>
        <w:tc>
          <w:tcPr>
            <w:tcW w:w="3000" w:type="dxa"/>
            <w:vAlign w:val="bottom"/>
          </w:tcPr>
          <w:p>
            <w:pPr>
              <w:ind w:left="60"/>
              <w:spacing w:after="0"/>
              <w:rPr>
                <w:sz w:val="20"/>
                <w:szCs w:val="20"/>
                <w:color w:val="auto"/>
              </w:rPr>
            </w:pPr>
            <w:r>
              <w:rPr>
                <w:rFonts w:ascii="Arial" w:cs="Arial" w:eastAsia="Arial" w:hAnsi="Arial"/>
                <w:sz w:val="13"/>
                <w:szCs w:val="13"/>
                <w:color w:val="auto"/>
              </w:rPr>
              <w:t>Nucleos, Singapore 138567</w:t>
            </w:r>
          </w:p>
        </w:tc>
        <w:tc>
          <w:tcPr>
            <w:tcW w:w="180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40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Clinical Research Slovakia, s.r.o.</w:t>
            </w:r>
          </w:p>
        </w:tc>
        <w:tc>
          <w:tcPr>
            <w:tcW w:w="300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rPr>
              <w:t>Suché m</w:t>
            </w:r>
            <w:r>
              <w:rPr>
                <w:rFonts w:ascii="MS PGothic" w:cs="MS PGothic" w:eastAsia="MS PGothic" w:hAnsi="MS PGothic"/>
                <w:sz w:val="13"/>
                <w:szCs w:val="13"/>
                <w:color w:val="auto"/>
              </w:rPr>
              <w:t>☒</w:t>
            </w:r>
            <w:r>
              <w:rPr>
                <w:rFonts w:ascii="Arial" w:cs="Arial" w:eastAsia="Arial" w:hAnsi="Arial"/>
                <w:sz w:val="13"/>
                <w:szCs w:val="13"/>
                <w:color w:val="auto"/>
              </w:rPr>
              <w:t>to 1,</w:t>
            </w:r>
          </w:p>
        </w:tc>
        <w:tc>
          <w:tcPr>
            <w:tcW w:w="1800" w:type="dxa"/>
            <w:vAlign w:val="bottom"/>
            <w:shd w:val="clear" w:color="auto" w:fill="CCEEFF"/>
          </w:tcPr>
          <w:p>
            <w:pPr>
              <w:ind w:left="16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4020" w:type="dxa"/>
            <w:vAlign w:val="bottom"/>
            <w:shd w:val="clear" w:color="auto" w:fill="CCEEFF"/>
          </w:tcPr>
          <w:p>
            <w:pPr>
              <w:spacing w:after="0"/>
              <w:rPr>
                <w:sz w:val="11"/>
                <w:szCs w:val="11"/>
                <w:color w:val="auto"/>
              </w:rPr>
            </w:pPr>
          </w:p>
        </w:tc>
        <w:tc>
          <w:tcPr>
            <w:tcW w:w="3000" w:type="dxa"/>
            <w:vAlign w:val="bottom"/>
            <w:shd w:val="clear" w:color="auto" w:fill="CCEEFF"/>
          </w:tcPr>
          <w:p>
            <w:pPr>
              <w:ind w:left="60"/>
              <w:spacing w:after="0" w:line="128" w:lineRule="exact"/>
              <w:rPr>
                <w:sz w:val="20"/>
                <w:szCs w:val="20"/>
                <w:color w:val="auto"/>
              </w:rPr>
            </w:pPr>
            <w:r>
              <w:rPr>
                <w:rFonts w:ascii="Arial" w:cs="Arial" w:eastAsia="Arial" w:hAnsi="Arial"/>
                <w:sz w:val="13"/>
                <w:szCs w:val="13"/>
                <w:color w:val="auto"/>
              </w:rPr>
              <w:t>811 03 Bratislava</w:t>
            </w:r>
          </w:p>
        </w:tc>
        <w:tc>
          <w:tcPr>
            <w:tcW w:w="18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4020" w:type="dxa"/>
            <w:vAlign w:val="bottom"/>
            <w:shd w:val="clear" w:color="auto" w:fill="CCEEFF"/>
          </w:tcPr>
          <w:p>
            <w:pPr>
              <w:spacing w:after="0"/>
              <w:rPr>
                <w:sz w:val="14"/>
                <w:szCs w:val="14"/>
                <w:color w:val="auto"/>
              </w:rPr>
            </w:pPr>
          </w:p>
        </w:tc>
        <w:tc>
          <w:tcPr>
            <w:tcW w:w="3000" w:type="dxa"/>
            <w:vAlign w:val="bottom"/>
            <w:shd w:val="clear" w:color="auto" w:fill="CCEEFF"/>
          </w:tcPr>
          <w:p>
            <w:pPr>
              <w:ind w:left="60"/>
              <w:spacing w:after="0"/>
              <w:rPr>
                <w:sz w:val="20"/>
                <w:szCs w:val="20"/>
                <w:color w:val="auto"/>
              </w:rPr>
            </w:pPr>
            <w:r>
              <w:rPr>
                <w:rFonts w:ascii="Arial" w:cs="Arial" w:eastAsia="Arial" w:hAnsi="Arial"/>
                <w:sz w:val="13"/>
                <w:szCs w:val="13"/>
                <w:color w:val="auto"/>
              </w:rPr>
              <w:t>Slovak Republic</w:t>
            </w:r>
          </w:p>
        </w:tc>
        <w:tc>
          <w:tcPr>
            <w:tcW w:w="180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4020" w:type="dxa"/>
            <w:vAlign w:val="bottom"/>
          </w:tcPr>
          <w:p>
            <w:pPr>
              <w:ind w:left="20"/>
              <w:spacing w:after="0" w:line="128" w:lineRule="exact"/>
              <w:rPr>
                <w:sz w:val="20"/>
                <w:szCs w:val="20"/>
                <w:color w:val="auto"/>
              </w:rPr>
            </w:pPr>
            <w:r>
              <w:rPr>
                <w:rFonts w:ascii="Arial" w:cs="Arial" w:eastAsia="Arial" w:hAnsi="Arial"/>
                <w:sz w:val="13"/>
                <w:szCs w:val="13"/>
                <w:color w:val="auto"/>
              </w:rPr>
              <w:t>Pharmaceutical Research Associates SK s.r.o.</w:t>
            </w:r>
          </w:p>
        </w:tc>
        <w:tc>
          <w:tcPr>
            <w:tcW w:w="3000" w:type="dxa"/>
            <w:vAlign w:val="bottom"/>
          </w:tcPr>
          <w:p>
            <w:pPr>
              <w:ind w:left="60"/>
              <w:spacing w:after="0" w:line="128" w:lineRule="exact"/>
              <w:rPr>
                <w:sz w:val="20"/>
                <w:szCs w:val="20"/>
                <w:color w:val="auto"/>
              </w:rPr>
            </w:pPr>
            <w:r>
              <w:rPr>
                <w:rFonts w:ascii="Arial" w:cs="Arial" w:eastAsia="Arial" w:hAnsi="Arial"/>
                <w:sz w:val="13"/>
                <w:szCs w:val="13"/>
                <w:color w:val="auto"/>
              </w:rPr>
              <w:t>Bardosova 2/A</w:t>
            </w:r>
          </w:p>
        </w:tc>
        <w:tc>
          <w:tcPr>
            <w:tcW w:w="1800" w:type="dxa"/>
            <w:vAlign w:val="bottom"/>
          </w:tcPr>
          <w:p>
            <w:pPr>
              <w:ind w:left="16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68"/>
        </w:trPr>
        <w:tc>
          <w:tcPr>
            <w:tcW w:w="4020" w:type="dxa"/>
            <w:vAlign w:val="bottom"/>
          </w:tcPr>
          <w:p>
            <w:pPr>
              <w:spacing w:after="0"/>
              <w:rPr>
                <w:sz w:val="14"/>
                <w:szCs w:val="14"/>
                <w:color w:val="auto"/>
              </w:rPr>
            </w:pPr>
          </w:p>
        </w:tc>
        <w:tc>
          <w:tcPr>
            <w:tcW w:w="3000" w:type="dxa"/>
            <w:vAlign w:val="bottom"/>
          </w:tcPr>
          <w:p>
            <w:pPr>
              <w:ind w:left="60"/>
              <w:spacing w:after="0"/>
              <w:rPr>
                <w:sz w:val="20"/>
                <w:szCs w:val="20"/>
                <w:color w:val="auto"/>
              </w:rPr>
            </w:pPr>
            <w:r>
              <w:rPr>
                <w:rFonts w:ascii="Arial" w:cs="Arial" w:eastAsia="Arial" w:hAnsi="Arial"/>
                <w:sz w:val="13"/>
                <w:szCs w:val="13"/>
                <w:color w:val="auto"/>
              </w:rPr>
              <w:t>831 01 Bratislava, Slovakia</w:t>
            </w:r>
          </w:p>
        </w:tc>
        <w:tc>
          <w:tcPr>
            <w:tcW w:w="180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40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RPS Research South Africa (Proprietary) Limited (in Voluntary</w:t>
            </w:r>
          </w:p>
        </w:tc>
        <w:tc>
          <w:tcPr>
            <w:tcW w:w="300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rPr>
              <w:t>15 Greenwich Grove, Station Road, Rondebosch,</w:t>
            </w:r>
          </w:p>
        </w:tc>
        <w:tc>
          <w:tcPr>
            <w:tcW w:w="1800" w:type="dxa"/>
            <w:vAlign w:val="bottom"/>
            <w:shd w:val="clear" w:color="auto" w:fill="CCEEFF"/>
          </w:tcPr>
          <w:p>
            <w:pPr>
              <w:ind w:left="16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70"/>
        </w:trPr>
        <w:tc>
          <w:tcPr>
            <w:tcW w:w="4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Liquidation)</w:t>
            </w:r>
          </w:p>
        </w:tc>
        <w:tc>
          <w:tcPr>
            <w:tcW w:w="3000" w:type="dxa"/>
            <w:vAlign w:val="bottom"/>
            <w:shd w:val="clear" w:color="auto" w:fill="CCEEFF"/>
          </w:tcPr>
          <w:p>
            <w:pPr>
              <w:ind w:left="60"/>
              <w:spacing w:after="0"/>
              <w:rPr>
                <w:sz w:val="20"/>
                <w:szCs w:val="20"/>
                <w:color w:val="auto"/>
              </w:rPr>
            </w:pPr>
            <w:r>
              <w:rPr>
                <w:rFonts w:ascii="Arial" w:cs="Arial" w:eastAsia="Arial" w:hAnsi="Arial"/>
                <w:sz w:val="13"/>
                <w:szCs w:val="13"/>
                <w:color w:val="auto"/>
              </w:rPr>
              <w:t>Western Cape, 7700, South Africa</w:t>
            </w:r>
          </w:p>
        </w:tc>
        <w:tc>
          <w:tcPr>
            <w:tcW w:w="180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4020" w:type="dxa"/>
            <w:vAlign w:val="bottom"/>
          </w:tcPr>
          <w:p>
            <w:pPr>
              <w:ind w:left="20"/>
              <w:spacing w:after="0" w:line="128" w:lineRule="exact"/>
              <w:rPr>
                <w:sz w:val="20"/>
                <w:szCs w:val="20"/>
                <w:color w:val="auto"/>
              </w:rPr>
            </w:pPr>
            <w:r>
              <w:rPr>
                <w:rFonts w:ascii="Arial" w:cs="Arial" w:eastAsia="Arial" w:hAnsi="Arial"/>
                <w:sz w:val="13"/>
                <w:szCs w:val="13"/>
                <w:color w:val="auto"/>
              </w:rPr>
              <w:t>PRA Pharmaceutical S A (Proprietary) Limited</w:t>
            </w:r>
          </w:p>
        </w:tc>
        <w:tc>
          <w:tcPr>
            <w:tcW w:w="3000" w:type="dxa"/>
            <w:vAlign w:val="bottom"/>
          </w:tcPr>
          <w:p>
            <w:pPr>
              <w:ind w:left="60"/>
              <w:spacing w:after="0" w:line="128" w:lineRule="exact"/>
              <w:rPr>
                <w:sz w:val="20"/>
                <w:szCs w:val="20"/>
                <w:color w:val="auto"/>
              </w:rPr>
            </w:pPr>
            <w:r>
              <w:rPr>
                <w:rFonts w:ascii="Arial" w:cs="Arial" w:eastAsia="Arial" w:hAnsi="Arial"/>
                <w:sz w:val="13"/>
                <w:szCs w:val="13"/>
                <w:color w:val="auto"/>
              </w:rPr>
              <w:t>2nd Floor Building 29 Highlands Estate</w:t>
            </w:r>
          </w:p>
        </w:tc>
        <w:tc>
          <w:tcPr>
            <w:tcW w:w="1800" w:type="dxa"/>
            <w:vAlign w:val="bottom"/>
          </w:tcPr>
          <w:p>
            <w:pPr>
              <w:ind w:left="16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4020" w:type="dxa"/>
            <w:vAlign w:val="bottom"/>
          </w:tcPr>
          <w:p>
            <w:pPr>
              <w:spacing w:after="0"/>
              <w:rPr>
                <w:sz w:val="11"/>
                <w:szCs w:val="11"/>
                <w:color w:val="auto"/>
              </w:rPr>
            </w:pPr>
          </w:p>
        </w:tc>
        <w:tc>
          <w:tcPr>
            <w:tcW w:w="3000" w:type="dxa"/>
            <w:vAlign w:val="bottom"/>
          </w:tcPr>
          <w:p>
            <w:pPr>
              <w:ind w:left="60"/>
              <w:spacing w:after="0" w:line="128" w:lineRule="exact"/>
              <w:rPr>
                <w:sz w:val="20"/>
                <w:szCs w:val="20"/>
                <w:color w:val="auto"/>
              </w:rPr>
            </w:pPr>
            <w:r>
              <w:rPr>
                <w:rFonts w:ascii="Arial" w:cs="Arial" w:eastAsia="Arial" w:hAnsi="Arial"/>
                <w:sz w:val="13"/>
                <w:szCs w:val="13"/>
                <w:color w:val="auto"/>
              </w:rPr>
              <w:t>Woodlands Office Park</w:t>
            </w:r>
          </w:p>
        </w:tc>
        <w:tc>
          <w:tcPr>
            <w:tcW w:w="180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4020" w:type="dxa"/>
            <w:vAlign w:val="bottom"/>
          </w:tcPr>
          <w:p>
            <w:pPr>
              <w:spacing w:after="0"/>
              <w:rPr>
                <w:sz w:val="11"/>
                <w:szCs w:val="11"/>
                <w:color w:val="auto"/>
              </w:rPr>
            </w:pPr>
          </w:p>
        </w:tc>
        <w:tc>
          <w:tcPr>
            <w:tcW w:w="3000" w:type="dxa"/>
            <w:vAlign w:val="bottom"/>
          </w:tcPr>
          <w:p>
            <w:pPr>
              <w:ind w:left="60"/>
              <w:spacing w:after="0" w:line="128" w:lineRule="exact"/>
              <w:rPr>
                <w:sz w:val="20"/>
                <w:szCs w:val="20"/>
                <w:color w:val="auto"/>
              </w:rPr>
            </w:pPr>
            <w:r>
              <w:rPr>
                <w:rFonts w:ascii="Arial" w:cs="Arial" w:eastAsia="Arial" w:hAnsi="Arial"/>
                <w:sz w:val="13"/>
                <w:szCs w:val="13"/>
                <w:color w:val="auto"/>
              </w:rPr>
              <w:t>20 Woodlands Drive Woodmead</w:t>
            </w:r>
          </w:p>
        </w:tc>
        <w:tc>
          <w:tcPr>
            <w:tcW w:w="180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4020" w:type="dxa"/>
            <w:vAlign w:val="bottom"/>
          </w:tcPr>
          <w:p>
            <w:pPr>
              <w:spacing w:after="0"/>
              <w:rPr>
                <w:sz w:val="14"/>
                <w:szCs w:val="14"/>
                <w:color w:val="auto"/>
              </w:rPr>
            </w:pPr>
          </w:p>
        </w:tc>
        <w:tc>
          <w:tcPr>
            <w:tcW w:w="3000" w:type="dxa"/>
            <w:vAlign w:val="bottom"/>
          </w:tcPr>
          <w:p>
            <w:pPr>
              <w:ind w:left="60"/>
              <w:spacing w:after="0"/>
              <w:rPr>
                <w:sz w:val="20"/>
                <w:szCs w:val="20"/>
                <w:color w:val="auto"/>
              </w:rPr>
            </w:pPr>
            <w:r>
              <w:rPr>
                <w:rFonts w:ascii="Arial" w:cs="Arial" w:eastAsia="Arial" w:hAnsi="Arial"/>
                <w:sz w:val="13"/>
                <w:szCs w:val="13"/>
                <w:color w:val="auto"/>
              </w:rPr>
              <w:t>Gauteng 2191 South Africa</w:t>
            </w:r>
          </w:p>
        </w:tc>
        <w:tc>
          <w:tcPr>
            <w:tcW w:w="180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40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Accellacare South Africa (PTY) LTD</w:t>
            </w:r>
          </w:p>
        </w:tc>
        <w:tc>
          <w:tcPr>
            <w:tcW w:w="300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rPr>
              <w:t>Block 29 Second Floor</w:t>
            </w:r>
          </w:p>
        </w:tc>
        <w:tc>
          <w:tcPr>
            <w:tcW w:w="1800" w:type="dxa"/>
            <w:vAlign w:val="bottom"/>
            <w:shd w:val="clear" w:color="auto" w:fill="CCEEFF"/>
          </w:tcPr>
          <w:p>
            <w:pPr>
              <w:ind w:left="16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4020" w:type="dxa"/>
            <w:vAlign w:val="bottom"/>
            <w:shd w:val="clear" w:color="auto" w:fill="CCEEFF"/>
          </w:tcPr>
          <w:p>
            <w:pPr>
              <w:spacing w:after="0"/>
              <w:rPr>
                <w:sz w:val="11"/>
                <w:szCs w:val="11"/>
                <w:color w:val="auto"/>
              </w:rPr>
            </w:pPr>
          </w:p>
        </w:tc>
        <w:tc>
          <w:tcPr>
            <w:tcW w:w="3000" w:type="dxa"/>
            <w:vAlign w:val="bottom"/>
            <w:shd w:val="clear" w:color="auto" w:fill="CCEEFF"/>
          </w:tcPr>
          <w:p>
            <w:pPr>
              <w:ind w:left="60"/>
              <w:spacing w:after="0" w:line="128" w:lineRule="exact"/>
              <w:rPr>
                <w:sz w:val="20"/>
                <w:szCs w:val="20"/>
                <w:color w:val="auto"/>
              </w:rPr>
            </w:pPr>
            <w:r>
              <w:rPr>
                <w:rFonts w:ascii="Arial" w:cs="Arial" w:eastAsia="Arial" w:hAnsi="Arial"/>
                <w:sz w:val="13"/>
                <w:szCs w:val="13"/>
                <w:color w:val="auto"/>
              </w:rPr>
              <w:t>The Highlands Estate</w:t>
            </w:r>
          </w:p>
        </w:tc>
        <w:tc>
          <w:tcPr>
            <w:tcW w:w="18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4020" w:type="dxa"/>
            <w:vAlign w:val="bottom"/>
            <w:shd w:val="clear" w:color="auto" w:fill="CCEEFF"/>
          </w:tcPr>
          <w:p>
            <w:pPr>
              <w:spacing w:after="0"/>
              <w:rPr>
                <w:sz w:val="11"/>
                <w:szCs w:val="11"/>
                <w:color w:val="auto"/>
              </w:rPr>
            </w:pPr>
          </w:p>
        </w:tc>
        <w:tc>
          <w:tcPr>
            <w:tcW w:w="3000" w:type="dxa"/>
            <w:vAlign w:val="bottom"/>
            <w:shd w:val="clear" w:color="auto" w:fill="CCEEFF"/>
          </w:tcPr>
          <w:p>
            <w:pPr>
              <w:ind w:left="60"/>
              <w:spacing w:after="0" w:line="128" w:lineRule="exact"/>
              <w:rPr>
                <w:sz w:val="20"/>
                <w:szCs w:val="20"/>
                <w:color w:val="auto"/>
              </w:rPr>
            </w:pPr>
            <w:r>
              <w:rPr>
                <w:rFonts w:ascii="Arial" w:cs="Arial" w:eastAsia="Arial" w:hAnsi="Arial"/>
                <w:sz w:val="13"/>
                <w:szCs w:val="13"/>
                <w:color w:val="auto"/>
              </w:rPr>
              <w:t>The Woodlands</w:t>
            </w:r>
          </w:p>
        </w:tc>
        <w:tc>
          <w:tcPr>
            <w:tcW w:w="18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4020" w:type="dxa"/>
            <w:vAlign w:val="bottom"/>
            <w:shd w:val="clear" w:color="auto" w:fill="CCEEFF"/>
          </w:tcPr>
          <w:p>
            <w:pPr>
              <w:spacing w:after="0"/>
              <w:rPr>
                <w:sz w:val="11"/>
                <w:szCs w:val="11"/>
                <w:color w:val="auto"/>
              </w:rPr>
            </w:pPr>
          </w:p>
        </w:tc>
        <w:tc>
          <w:tcPr>
            <w:tcW w:w="3000" w:type="dxa"/>
            <w:vAlign w:val="bottom"/>
            <w:shd w:val="clear" w:color="auto" w:fill="CCEEFF"/>
          </w:tcPr>
          <w:p>
            <w:pPr>
              <w:ind w:left="60"/>
              <w:spacing w:after="0" w:line="128" w:lineRule="exact"/>
              <w:rPr>
                <w:sz w:val="20"/>
                <w:szCs w:val="20"/>
                <w:color w:val="auto"/>
              </w:rPr>
            </w:pPr>
            <w:r>
              <w:rPr>
                <w:rFonts w:ascii="Arial" w:cs="Arial" w:eastAsia="Arial" w:hAnsi="Arial"/>
                <w:sz w:val="13"/>
                <w:szCs w:val="13"/>
                <w:color w:val="auto"/>
              </w:rPr>
              <w:t>Woodlands Drive</w:t>
            </w:r>
          </w:p>
        </w:tc>
        <w:tc>
          <w:tcPr>
            <w:tcW w:w="18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4020" w:type="dxa"/>
            <w:vAlign w:val="bottom"/>
            <w:shd w:val="clear" w:color="auto" w:fill="CCEEFF"/>
          </w:tcPr>
          <w:p>
            <w:pPr>
              <w:spacing w:after="0"/>
              <w:rPr>
                <w:sz w:val="11"/>
                <w:szCs w:val="11"/>
                <w:color w:val="auto"/>
              </w:rPr>
            </w:pPr>
          </w:p>
        </w:tc>
        <w:tc>
          <w:tcPr>
            <w:tcW w:w="3000" w:type="dxa"/>
            <w:vAlign w:val="bottom"/>
            <w:shd w:val="clear" w:color="auto" w:fill="CCEEFF"/>
          </w:tcPr>
          <w:p>
            <w:pPr>
              <w:ind w:left="60"/>
              <w:spacing w:after="0" w:line="128" w:lineRule="exact"/>
              <w:rPr>
                <w:sz w:val="20"/>
                <w:szCs w:val="20"/>
                <w:color w:val="auto"/>
              </w:rPr>
            </w:pPr>
            <w:r>
              <w:rPr>
                <w:rFonts w:ascii="Arial" w:cs="Arial" w:eastAsia="Arial" w:hAnsi="Arial"/>
                <w:sz w:val="13"/>
                <w:szCs w:val="13"/>
                <w:color w:val="auto"/>
              </w:rPr>
              <w:t>Woodmead, Gauteng</w:t>
            </w:r>
          </w:p>
        </w:tc>
        <w:tc>
          <w:tcPr>
            <w:tcW w:w="18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4020" w:type="dxa"/>
            <w:vAlign w:val="bottom"/>
            <w:shd w:val="clear" w:color="auto" w:fill="CCEEFF"/>
          </w:tcPr>
          <w:p>
            <w:pPr>
              <w:spacing w:after="0"/>
              <w:rPr>
                <w:sz w:val="11"/>
                <w:szCs w:val="11"/>
                <w:color w:val="auto"/>
              </w:rPr>
            </w:pPr>
          </w:p>
        </w:tc>
        <w:tc>
          <w:tcPr>
            <w:tcW w:w="3000" w:type="dxa"/>
            <w:vAlign w:val="bottom"/>
            <w:shd w:val="clear" w:color="auto" w:fill="CCEEFF"/>
          </w:tcPr>
          <w:p>
            <w:pPr>
              <w:ind w:left="60"/>
              <w:spacing w:after="0" w:line="128" w:lineRule="exact"/>
              <w:rPr>
                <w:sz w:val="20"/>
                <w:szCs w:val="20"/>
                <w:color w:val="auto"/>
              </w:rPr>
            </w:pPr>
            <w:r>
              <w:rPr>
                <w:rFonts w:ascii="Arial" w:cs="Arial" w:eastAsia="Arial" w:hAnsi="Arial"/>
                <w:sz w:val="13"/>
                <w:szCs w:val="13"/>
                <w:color w:val="auto"/>
              </w:rPr>
              <w:t>2191</w:t>
            </w:r>
          </w:p>
        </w:tc>
        <w:tc>
          <w:tcPr>
            <w:tcW w:w="18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4020" w:type="dxa"/>
            <w:vAlign w:val="bottom"/>
            <w:shd w:val="clear" w:color="auto" w:fill="CCEEFF"/>
          </w:tcPr>
          <w:p>
            <w:pPr>
              <w:spacing w:after="0"/>
              <w:rPr>
                <w:sz w:val="11"/>
                <w:szCs w:val="11"/>
                <w:color w:val="auto"/>
              </w:rPr>
            </w:pPr>
          </w:p>
        </w:tc>
        <w:tc>
          <w:tcPr>
            <w:tcW w:w="3000" w:type="dxa"/>
            <w:vAlign w:val="bottom"/>
            <w:shd w:val="clear" w:color="auto" w:fill="CCEEFF"/>
          </w:tcPr>
          <w:p>
            <w:pPr>
              <w:ind w:left="60"/>
              <w:spacing w:after="0" w:line="128" w:lineRule="exact"/>
              <w:rPr>
                <w:sz w:val="20"/>
                <w:szCs w:val="20"/>
                <w:color w:val="auto"/>
              </w:rPr>
            </w:pPr>
            <w:r>
              <w:rPr>
                <w:rFonts w:ascii="Arial" w:cs="Arial" w:eastAsia="Arial" w:hAnsi="Arial"/>
                <w:sz w:val="13"/>
                <w:szCs w:val="13"/>
                <w:color w:val="auto"/>
              </w:rPr>
              <w:t>Johannesburg</w:t>
            </w:r>
          </w:p>
        </w:tc>
        <w:tc>
          <w:tcPr>
            <w:tcW w:w="18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4020" w:type="dxa"/>
            <w:vAlign w:val="bottom"/>
            <w:shd w:val="clear" w:color="auto" w:fill="CCEEFF"/>
          </w:tcPr>
          <w:p>
            <w:pPr>
              <w:spacing w:after="0"/>
              <w:rPr>
                <w:sz w:val="14"/>
                <w:szCs w:val="14"/>
                <w:color w:val="auto"/>
              </w:rPr>
            </w:pPr>
          </w:p>
        </w:tc>
        <w:tc>
          <w:tcPr>
            <w:tcW w:w="3000" w:type="dxa"/>
            <w:vAlign w:val="bottom"/>
            <w:shd w:val="clear" w:color="auto" w:fill="CCEEFF"/>
          </w:tcPr>
          <w:p>
            <w:pPr>
              <w:ind w:left="60"/>
              <w:spacing w:after="0"/>
              <w:rPr>
                <w:sz w:val="20"/>
                <w:szCs w:val="20"/>
                <w:color w:val="auto"/>
              </w:rPr>
            </w:pPr>
            <w:r>
              <w:rPr>
                <w:rFonts w:ascii="Arial" w:cs="Arial" w:eastAsia="Arial" w:hAnsi="Arial"/>
                <w:sz w:val="13"/>
                <w:szCs w:val="13"/>
                <w:color w:val="auto"/>
              </w:rPr>
              <w:t>South Africa</w:t>
            </w:r>
          </w:p>
        </w:tc>
        <w:tc>
          <w:tcPr>
            <w:tcW w:w="180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4020" w:type="dxa"/>
            <w:vAlign w:val="bottom"/>
          </w:tcPr>
          <w:p>
            <w:pPr>
              <w:ind w:left="20"/>
              <w:spacing w:after="0" w:line="128" w:lineRule="exact"/>
              <w:rPr>
                <w:sz w:val="20"/>
                <w:szCs w:val="20"/>
                <w:color w:val="auto"/>
              </w:rPr>
            </w:pPr>
            <w:r>
              <w:rPr>
                <w:rFonts w:ascii="Arial" w:cs="Arial" w:eastAsia="Arial" w:hAnsi="Arial"/>
                <w:sz w:val="13"/>
                <w:szCs w:val="13"/>
                <w:color w:val="auto"/>
                <w:w w:val="98"/>
              </w:rPr>
              <w:t>ICON Clinical Research Korea Yuhan Hoesa/ ICON Clinical Research</w:t>
            </w:r>
          </w:p>
        </w:tc>
        <w:tc>
          <w:tcPr>
            <w:tcW w:w="3000" w:type="dxa"/>
            <w:vAlign w:val="bottom"/>
          </w:tcPr>
          <w:p>
            <w:pPr>
              <w:ind w:left="60"/>
              <w:spacing w:after="0" w:line="128" w:lineRule="exact"/>
              <w:rPr>
                <w:sz w:val="20"/>
                <w:szCs w:val="20"/>
                <w:color w:val="auto"/>
              </w:rPr>
            </w:pPr>
            <w:r>
              <w:rPr>
                <w:rFonts w:ascii="Arial" w:cs="Arial" w:eastAsia="Arial" w:hAnsi="Arial"/>
                <w:sz w:val="13"/>
                <w:szCs w:val="13"/>
                <w:color w:val="auto"/>
              </w:rPr>
              <w:t>142 Taeheran-ro</w:t>
            </w:r>
          </w:p>
        </w:tc>
        <w:tc>
          <w:tcPr>
            <w:tcW w:w="1800" w:type="dxa"/>
            <w:vAlign w:val="bottom"/>
          </w:tcPr>
          <w:p>
            <w:pPr>
              <w:ind w:left="16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4020" w:type="dxa"/>
            <w:vAlign w:val="bottom"/>
          </w:tcPr>
          <w:p>
            <w:pPr>
              <w:ind w:left="20"/>
              <w:spacing w:after="0" w:line="128" w:lineRule="exact"/>
              <w:rPr>
                <w:sz w:val="20"/>
                <w:szCs w:val="20"/>
                <w:color w:val="auto"/>
              </w:rPr>
            </w:pPr>
            <w:r>
              <w:rPr>
                <w:rFonts w:ascii="Arial" w:cs="Arial" w:eastAsia="Arial" w:hAnsi="Arial"/>
                <w:sz w:val="13"/>
                <w:szCs w:val="13"/>
                <w:color w:val="auto"/>
              </w:rPr>
              <w:t>Korea Ltd.</w:t>
            </w:r>
          </w:p>
        </w:tc>
        <w:tc>
          <w:tcPr>
            <w:tcW w:w="3000" w:type="dxa"/>
            <w:vAlign w:val="bottom"/>
          </w:tcPr>
          <w:p>
            <w:pPr>
              <w:ind w:left="60"/>
              <w:spacing w:after="0" w:line="128" w:lineRule="exact"/>
              <w:rPr>
                <w:sz w:val="20"/>
                <w:szCs w:val="20"/>
                <w:color w:val="auto"/>
              </w:rPr>
            </w:pPr>
            <w:r>
              <w:rPr>
                <w:rFonts w:ascii="Arial" w:cs="Arial" w:eastAsia="Arial" w:hAnsi="Arial"/>
                <w:sz w:val="13"/>
                <w:szCs w:val="13"/>
                <w:color w:val="auto"/>
              </w:rPr>
              <w:t>Gangnam-gu,</w:t>
            </w:r>
          </w:p>
        </w:tc>
        <w:tc>
          <w:tcPr>
            <w:tcW w:w="180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4020" w:type="dxa"/>
            <w:vAlign w:val="bottom"/>
          </w:tcPr>
          <w:p>
            <w:pPr>
              <w:spacing w:after="0"/>
              <w:rPr>
                <w:sz w:val="11"/>
                <w:szCs w:val="11"/>
                <w:color w:val="auto"/>
              </w:rPr>
            </w:pPr>
          </w:p>
        </w:tc>
        <w:tc>
          <w:tcPr>
            <w:tcW w:w="3000" w:type="dxa"/>
            <w:vAlign w:val="bottom"/>
          </w:tcPr>
          <w:p>
            <w:pPr>
              <w:ind w:left="60"/>
              <w:spacing w:after="0" w:line="128" w:lineRule="exact"/>
              <w:rPr>
                <w:sz w:val="20"/>
                <w:szCs w:val="20"/>
                <w:color w:val="auto"/>
              </w:rPr>
            </w:pPr>
            <w:r>
              <w:rPr>
                <w:rFonts w:ascii="Arial" w:cs="Arial" w:eastAsia="Arial" w:hAnsi="Arial"/>
                <w:sz w:val="13"/>
                <w:szCs w:val="13"/>
                <w:color w:val="auto"/>
              </w:rPr>
              <w:t>18th Floor (Yeoksam-dong, Capital Tower)</w:t>
            </w:r>
          </w:p>
        </w:tc>
        <w:tc>
          <w:tcPr>
            <w:tcW w:w="180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4020" w:type="dxa"/>
            <w:vAlign w:val="bottom"/>
          </w:tcPr>
          <w:p>
            <w:pPr>
              <w:spacing w:after="0"/>
              <w:rPr>
                <w:sz w:val="11"/>
                <w:szCs w:val="11"/>
                <w:color w:val="auto"/>
              </w:rPr>
            </w:pPr>
          </w:p>
        </w:tc>
        <w:tc>
          <w:tcPr>
            <w:tcW w:w="3000" w:type="dxa"/>
            <w:vAlign w:val="bottom"/>
          </w:tcPr>
          <w:p>
            <w:pPr>
              <w:ind w:left="60"/>
              <w:spacing w:after="0" w:line="128" w:lineRule="exact"/>
              <w:rPr>
                <w:sz w:val="20"/>
                <w:szCs w:val="20"/>
                <w:color w:val="auto"/>
              </w:rPr>
            </w:pPr>
            <w:r>
              <w:rPr>
                <w:rFonts w:ascii="Arial" w:cs="Arial" w:eastAsia="Arial" w:hAnsi="Arial"/>
                <w:sz w:val="13"/>
                <w:szCs w:val="13"/>
                <w:color w:val="auto"/>
              </w:rPr>
              <w:t>Seoul</w:t>
            </w:r>
          </w:p>
        </w:tc>
        <w:tc>
          <w:tcPr>
            <w:tcW w:w="180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4020" w:type="dxa"/>
            <w:vAlign w:val="bottom"/>
          </w:tcPr>
          <w:p>
            <w:pPr>
              <w:spacing w:after="0"/>
              <w:rPr>
                <w:sz w:val="14"/>
                <w:szCs w:val="14"/>
                <w:color w:val="auto"/>
              </w:rPr>
            </w:pPr>
          </w:p>
        </w:tc>
        <w:tc>
          <w:tcPr>
            <w:tcW w:w="3000" w:type="dxa"/>
            <w:vAlign w:val="bottom"/>
          </w:tcPr>
          <w:p>
            <w:pPr>
              <w:ind w:left="60"/>
              <w:spacing w:after="0"/>
              <w:rPr>
                <w:sz w:val="20"/>
                <w:szCs w:val="20"/>
                <w:color w:val="auto"/>
              </w:rPr>
            </w:pPr>
            <w:r>
              <w:rPr>
                <w:rFonts w:ascii="Arial" w:cs="Arial" w:eastAsia="Arial" w:hAnsi="Arial"/>
                <w:sz w:val="13"/>
                <w:szCs w:val="13"/>
                <w:color w:val="auto"/>
              </w:rPr>
              <w:t>Republic of Korea</w:t>
            </w:r>
          </w:p>
        </w:tc>
        <w:tc>
          <w:tcPr>
            <w:tcW w:w="180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40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99"/>
              </w:rPr>
              <w:t>Mapi Korea Yuhan Hoesa/ Mapi Korea LLC (In Voluntary Liquidation)</w:t>
            </w:r>
          </w:p>
        </w:tc>
        <w:tc>
          <w:tcPr>
            <w:tcW w:w="300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rPr>
              <w:t>16th Floor</w:t>
            </w:r>
          </w:p>
        </w:tc>
        <w:tc>
          <w:tcPr>
            <w:tcW w:w="1800" w:type="dxa"/>
            <w:vAlign w:val="bottom"/>
            <w:shd w:val="clear" w:color="auto" w:fill="CCEEFF"/>
          </w:tcPr>
          <w:p>
            <w:pPr>
              <w:ind w:left="16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4020" w:type="dxa"/>
            <w:vAlign w:val="bottom"/>
            <w:shd w:val="clear" w:color="auto" w:fill="CCEEFF"/>
          </w:tcPr>
          <w:p>
            <w:pPr>
              <w:spacing w:after="0"/>
              <w:rPr>
                <w:sz w:val="11"/>
                <w:szCs w:val="11"/>
                <w:color w:val="auto"/>
              </w:rPr>
            </w:pPr>
          </w:p>
        </w:tc>
        <w:tc>
          <w:tcPr>
            <w:tcW w:w="3000" w:type="dxa"/>
            <w:vAlign w:val="bottom"/>
            <w:shd w:val="clear" w:color="auto" w:fill="CCEEFF"/>
          </w:tcPr>
          <w:p>
            <w:pPr>
              <w:ind w:left="60"/>
              <w:spacing w:after="0" w:line="128" w:lineRule="exact"/>
              <w:rPr>
                <w:sz w:val="20"/>
                <w:szCs w:val="20"/>
                <w:color w:val="auto"/>
              </w:rPr>
            </w:pPr>
            <w:r>
              <w:rPr>
                <w:rFonts w:ascii="Arial" w:cs="Arial" w:eastAsia="Arial" w:hAnsi="Arial"/>
                <w:sz w:val="13"/>
                <w:szCs w:val="13"/>
                <w:color w:val="auto"/>
              </w:rPr>
              <w:t>396 Seocho-daero</w:t>
            </w:r>
          </w:p>
        </w:tc>
        <w:tc>
          <w:tcPr>
            <w:tcW w:w="18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4020" w:type="dxa"/>
            <w:vAlign w:val="bottom"/>
            <w:shd w:val="clear" w:color="auto" w:fill="CCEEFF"/>
          </w:tcPr>
          <w:p>
            <w:pPr>
              <w:spacing w:after="0"/>
              <w:rPr>
                <w:sz w:val="11"/>
                <w:szCs w:val="11"/>
                <w:color w:val="auto"/>
              </w:rPr>
            </w:pPr>
          </w:p>
        </w:tc>
        <w:tc>
          <w:tcPr>
            <w:tcW w:w="3000" w:type="dxa"/>
            <w:vAlign w:val="bottom"/>
            <w:shd w:val="clear" w:color="auto" w:fill="CCEEFF"/>
          </w:tcPr>
          <w:p>
            <w:pPr>
              <w:ind w:left="60"/>
              <w:spacing w:after="0" w:line="128" w:lineRule="exact"/>
              <w:rPr>
                <w:sz w:val="20"/>
                <w:szCs w:val="20"/>
                <w:color w:val="auto"/>
              </w:rPr>
            </w:pPr>
            <w:r>
              <w:rPr>
                <w:rFonts w:ascii="Arial" w:cs="Arial" w:eastAsia="Arial" w:hAnsi="Arial"/>
                <w:sz w:val="13"/>
                <w:szCs w:val="13"/>
                <w:color w:val="auto"/>
              </w:rPr>
              <w:t>Seocho-gu</w:t>
            </w:r>
          </w:p>
        </w:tc>
        <w:tc>
          <w:tcPr>
            <w:tcW w:w="18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4020" w:type="dxa"/>
            <w:vAlign w:val="bottom"/>
            <w:shd w:val="clear" w:color="auto" w:fill="CCEEFF"/>
          </w:tcPr>
          <w:p>
            <w:pPr>
              <w:spacing w:after="0"/>
              <w:rPr>
                <w:sz w:val="11"/>
                <w:szCs w:val="11"/>
                <w:color w:val="auto"/>
              </w:rPr>
            </w:pPr>
          </w:p>
        </w:tc>
        <w:tc>
          <w:tcPr>
            <w:tcW w:w="3000" w:type="dxa"/>
            <w:vAlign w:val="bottom"/>
            <w:shd w:val="clear" w:color="auto" w:fill="CCEEFF"/>
          </w:tcPr>
          <w:p>
            <w:pPr>
              <w:ind w:left="60"/>
              <w:spacing w:after="0" w:line="128" w:lineRule="exact"/>
              <w:rPr>
                <w:sz w:val="20"/>
                <w:szCs w:val="20"/>
                <w:color w:val="auto"/>
              </w:rPr>
            </w:pPr>
            <w:r>
              <w:rPr>
                <w:rFonts w:ascii="Arial" w:cs="Arial" w:eastAsia="Arial" w:hAnsi="Arial"/>
                <w:sz w:val="13"/>
                <w:szCs w:val="13"/>
                <w:color w:val="auto"/>
              </w:rPr>
              <w:t>Seoul 06619</w:t>
            </w:r>
          </w:p>
        </w:tc>
        <w:tc>
          <w:tcPr>
            <w:tcW w:w="18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4020" w:type="dxa"/>
            <w:vAlign w:val="bottom"/>
            <w:shd w:val="clear" w:color="auto" w:fill="CCEEFF"/>
          </w:tcPr>
          <w:p>
            <w:pPr>
              <w:spacing w:after="0"/>
              <w:rPr>
                <w:sz w:val="14"/>
                <w:szCs w:val="14"/>
                <w:color w:val="auto"/>
              </w:rPr>
            </w:pPr>
          </w:p>
        </w:tc>
        <w:tc>
          <w:tcPr>
            <w:tcW w:w="3000" w:type="dxa"/>
            <w:vAlign w:val="bottom"/>
            <w:shd w:val="clear" w:color="auto" w:fill="CCEEFF"/>
          </w:tcPr>
          <w:p>
            <w:pPr>
              <w:ind w:left="60"/>
              <w:spacing w:after="0"/>
              <w:rPr>
                <w:sz w:val="20"/>
                <w:szCs w:val="20"/>
                <w:color w:val="auto"/>
              </w:rPr>
            </w:pPr>
            <w:r>
              <w:rPr>
                <w:rFonts w:ascii="Arial" w:cs="Arial" w:eastAsia="Arial" w:hAnsi="Arial"/>
                <w:sz w:val="13"/>
                <w:szCs w:val="13"/>
                <w:color w:val="auto"/>
              </w:rPr>
              <w:t>Republic of Korea</w:t>
            </w:r>
          </w:p>
        </w:tc>
        <w:tc>
          <w:tcPr>
            <w:tcW w:w="180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4020" w:type="dxa"/>
            <w:vAlign w:val="bottom"/>
          </w:tcPr>
          <w:p>
            <w:pPr>
              <w:ind w:left="20"/>
              <w:spacing w:after="0" w:line="128" w:lineRule="exact"/>
              <w:rPr>
                <w:sz w:val="20"/>
                <w:szCs w:val="20"/>
                <w:color w:val="auto"/>
              </w:rPr>
            </w:pPr>
            <w:r>
              <w:rPr>
                <w:rFonts w:ascii="Arial" w:cs="Arial" w:eastAsia="Arial" w:hAnsi="Arial"/>
                <w:sz w:val="13"/>
                <w:szCs w:val="13"/>
                <w:color w:val="auto"/>
              </w:rPr>
              <w:t>Pharmaceutical Research Associates Korea Limited</w:t>
            </w:r>
          </w:p>
        </w:tc>
        <w:tc>
          <w:tcPr>
            <w:tcW w:w="3000" w:type="dxa"/>
            <w:vAlign w:val="bottom"/>
          </w:tcPr>
          <w:p>
            <w:pPr>
              <w:ind w:left="60"/>
              <w:spacing w:after="0" w:line="128" w:lineRule="exact"/>
              <w:rPr>
                <w:sz w:val="20"/>
                <w:szCs w:val="20"/>
                <w:color w:val="auto"/>
              </w:rPr>
            </w:pPr>
            <w:r>
              <w:rPr>
                <w:rFonts w:ascii="Arial" w:cs="Arial" w:eastAsia="Arial" w:hAnsi="Arial"/>
                <w:sz w:val="13"/>
                <w:szCs w:val="13"/>
                <w:color w:val="auto"/>
              </w:rPr>
              <w:t>11F, GS Tower, 508 Nonhyun-ro</w:t>
            </w:r>
          </w:p>
        </w:tc>
        <w:tc>
          <w:tcPr>
            <w:tcW w:w="1800" w:type="dxa"/>
            <w:vAlign w:val="bottom"/>
          </w:tcPr>
          <w:p>
            <w:pPr>
              <w:ind w:left="16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68"/>
        </w:trPr>
        <w:tc>
          <w:tcPr>
            <w:tcW w:w="4020" w:type="dxa"/>
            <w:vAlign w:val="bottom"/>
          </w:tcPr>
          <w:p>
            <w:pPr>
              <w:spacing w:after="0"/>
              <w:rPr>
                <w:sz w:val="14"/>
                <w:szCs w:val="14"/>
                <w:color w:val="auto"/>
              </w:rPr>
            </w:pPr>
          </w:p>
        </w:tc>
        <w:tc>
          <w:tcPr>
            <w:tcW w:w="3000" w:type="dxa"/>
            <w:vAlign w:val="bottom"/>
          </w:tcPr>
          <w:p>
            <w:pPr>
              <w:ind w:left="60"/>
              <w:spacing w:after="0"/>
              <w:rPr>
                <w:sz w:val="20"/>
                <w:szCs w:val="20"/>
                <w:color w:val="auto"/>
              </w:rPr>
            </w:pPr>
            <w:r>
              <w:rPr>
                <w:rFonts w:ascii="Arial" w:cs="Arial" w:eastAsia="Arial" w:hAnsi="Arial"/>
                <w:sz w:val="13"/>
                <w:szCs w:val="13"/>
                <w:color w:val="auto"/>
              </w:rPr>
              <w:t>Gangam-gu, Seoul, 135-985 Korea</w:t>
            </w:r>
          </w:p>
        </w:tc>
        <w:tc>
          <w:tcPr>
            <w:tcW w:w="180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40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Clinical Research España, S.L.</w:t>
            </w:r>
          </w:p>
        </w:tc>
        <w:tc>
          <w:tcPr>
            <w:tcW w:w="300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rPr>
              <w:t>Calle Josep Pla</w:t>
            </w:r>
          </w:p>
        </w:tc>
        <w:tc>
          <w:tcPr>
            <w:tcW w:w="1800" w:type="dxa"/>
            <w:vAlign w:val="bottom"/>
            <w:shd w:val="clear" w:color="auto" w:fill="CCEEFF"/>
          </w:tcPr>
          <w:p>
            <w:pPr>
              <w:ind w:left="16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4020" w:type="dxa"/>
            <w:vAlign w:val="bottom"/>
            <w:shd w:val="clear" w:color="auto" w:fill="CCEEFF"/>
          </w:tcPr>
          <w:p>
            <w:pPr>
              <w:spacing w:after="0"/>
              <w:rPr>
                <w:sz w:val="11"/>
                <w:szCs w:val="11"/>
                <w:color w:val="auto"/>
              </w:rPr>
            </w:pPr>
          </w:p>
        </w:tc>
        <w:tc>
          <w:tcPr>
            <w:tcW w:w="3000" w:type="dxa"/>
            <w:vAlign w:val="bottom"/>
            <w:shd w:val="clear" w:color="auto" w:fill="CCEEFF"/>
          </w:tcPr>
          <w:p>
            <w:pPr>
              <w:ind w:left="60"/>
              <w:spacing w:after="0" w:line="128" w:lineRule="exact"/>
              <w:rPr>
                <w:sz w:val="20"/>
                <w:szCs w:val="20"/>
                <w:color w:val="auto"/>
              </w:rPr>
            </w:pPr>
            <w:r>
              <w:rPr>
                <w:rFonts w:ascii="Arial" w:cs="Arial" w:eastAsia="Arial" w:hAnsi="Arial"/>
                <w:sz w:val="13"/>
                <w:szCs w:val="13"/>
                <w:color w:val="auto"/>
              </w:rPr>
              <w:t>Numero 2, Torre Diagonal Mar</w:t>
            </w:r>
          </w:p>
        </w:tc>
        <w:tc>
          <w:tcPr>
            <w:tcW w:w="18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4020" w:type="dxa"/>
            <w:vAlign w:val="bottom"/>
            <w:shd w:val="clear" w:color="auto" w:fill="CCEEFF"/>
          </w:tcPr>
          <w:p>
            <w:pPr>
              <w:spacing w:after="0"/>
              <w:rPr>
                <w:sz w:val="11"/>
                <w:szCs w:val="11"/>
                <w:color w:val="auto"/>
              </w:rPr>
            </w:pPr>
          </w:p>
        </w:tc>
        <w:tc>
          <w:tcPr>
            <w:tcW w:w="3000" w:type="dxa"/>
            <w:vAlign w:val="bottom"/>
            <w:shd w:val="clear" w:color="auto" w:fill="CCEEFF"/>
          </w:tcPr>
          <w:p>
            <w:pPr>
              <w:ind w:left="60"/>
              <w:spacing w:after="0" w:line="128" w:lineRule="exact"/>
              <w:rPr>
                <w:sz w:val="20"/>
                <w:szCs w:val="20"/>
                <w:color w:val="auto"/>
              </w:rPr>
            </w:pPr>
            <w:r>
              <w:rPr>
                <w:rFonts w:ascii="Arial" w:cs="Arial" w:eastAsia="Arial" w:hAnsi="Arial"/>
                <w:sz w:val="13"/>
                <w:szCs w:val="13"/>
                <w:color w:val="auto"/>
              </w:rPr>
              <w:t>Piso 11, Modulo 1</w:t>
            </w:r>
          </w:p>
        </w:tc>
        <w:tc>
          <w:tcPr>
            <w:tcW w:w="18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4020" w:type="dxa"/>
            <w:vAlign w:val="bottom"/>
            <w:shd w:val="clear" w:color="auto" w:fill="CCEEFF"/>
          </w:tcPr>
          <w:p>
            <w:pPr>
              <w:spacing w:after="0"/>
              <w:rPr>
                <w:sz w:val="11"/>
                <w:szCs w:val="11"/>
                <w:color w:val="auto"/>
              </w:rPr>
            </w:pPr>
          </w:p>
        </w:tc>
        <w:tc>
          <w:tcPr>
            <w:tcW w:w="3000" w:type="dxa"/>
            <w:vAlign w:val="bottom"/>
            <w:shd w:val="clear" w:color="auto" w:fill="CCEEFF"/>
          </w:tcPr>
          <w:p>
            <w:pPr>
              <w:ind w:left="60"/>
              <w:spacing w:after="0" w:line="128" w:lineRule="exact"/>
              <w:rPr>
                <w:sz w:val="20"/>
                <w:szCs w:val="20"/>
                <w:color w:val="auto"/>
              </w:rPr>
            </w:pPr>
            <w:r>
              <w:rPr>
                <w:rFonts w:ascii="Arial" w:cs="Arial" w:eastAsia="Arial" w:hAnsi="Arial"/>
                <w:sz w:val="13"/>
                <w:szCs w:val="13"/>
                <w:color w:val="auto"/>
              </w:rPr>
              <w:t>Barcelona</w:t>
            </w:r>
          </w:p>
        </w:tc>
        <w:tc>
          <w:tcPr>
            <w:tcW w:w="18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4020" w:type="dxa"/>
            <w:vAlign w:val="bottom"/>
            <w:shd w:val="clear" w:color="auto" w:fill="CCEEFF"/>
          </w:tcPr>
          <w:p>
            <w:pPr>
              <w:spacing w:after="0"/>
              <w:rPr>
                <w:sz w:val="14"/>
                <w:szCs w:val="14"/>
                <w:color w:val="auto"/>
              </w:rPr>
            </w:pPr>
          </w:p>
        </w:tc>
        <w:tc>
          <w:tcPr>
            <w:tcW w:w="3000" w:type="dxa"/>
            <w:vAlign w:val="bottom"/>
            <w:shd w:val="clear" w:color="auto" w:fill="CCEEFF"/>
          </w:tcPr>
          <w:p>
            <w:pPr>
              <w:ind w:left="60"/>
              <w:spacing w:after="0"/>
              <w:rPr>
                <w:sz w:val="20"/>
                <w:szCs w:val="20"/>
                <w:color w:val="auto"/>
              </w:rPr>
            </w:pPr>
            <w:r>
              <w:rPr>
                <w:rFonts w:ascii="Arial" w:cs="Arial" w:eastAsia="Arial" w:hAnsi="Arial"/>
                <w:sz w:val="13"/>
                <w:szCs w:val="13"/>
                <w:color w:val="auto"/>
              </w:rPr>
              <w:t>Spain</w:t>
            </w:r>
          </w:p>
        </w:tc>
        <w:tc>
          <w:tcPr>
            <w:tcW w:w="180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4020" w:type="dxa"/>
            <w:vAlign w:val="bottom"/>
          </w:tcPr>
          <w:p>
            <w:pPr>
              <w:ind w:left="20"/>
              <w:spacing w:after="0" w:line="128" w:lineRule="exact"/>
              <w:rPr>
                <w:sz w:val="20"/>
                <w:szCs w:val="20"/>
                <w:color w:val="auto"/>
              </w:rPr>
            </w:pPr>
            <w:r>
              <w:rPr>
                <w:rFonts w:ascii="Arial" w:cs="Arial" w:eastAsia="Arial" w:hAnsi="Arial"/>
                <w:sz w:val="13"/>
                <w:szCs w:val="13"/>
                <w:color w:val="auto"/>
              </w:rPr>
              <w:t>Pharmaceutical Research Associates España, S.A.U.</w:t>
            </w:r>
          </w:p>
        </w:tc>
        <w:tc>
          <w:tcPr>
            <w:tcW w:w="3000" w:type="dxa"/>
            <w:vAlign w:val="bottom"/>
          </w:tcPr>
          <w:p>
            <w:pPr>
              <w:ind w:left="60"/>
              <w:spacing w:after="0" w:line="128" w:lineRule="exact"/>
              <w:rPr>
                <w:sz w:val="20"/>
                <w:szCs w:val="20"/>
                <w:color w:val="auto"/>
              </w:rPr>
            </w:pPr>
            <w:r>
              <w:rPr>
                <w:rFonts w:ascii="Arial" w:cs="Arial" w:eastAsia="Arial" w:hAnsi="Arial"/>
                <w:sz w:val="13"/>
                <w:szCs w:val="13"/>
                <w:color w:val="auto"/>
              </w:rPr>
              <w:t>Avenida de Europa, 19</w:t>
            </w:r>
          </w:p>
        </w:tc>
        <w:tc>
          <w:tcPr>
            <w:tcW w:w="1800" w:type="dxa"/>
            <w:vAlign w:val="bottom"/>
          </w:tcPr>
          <w:p>
            <w:pPr>
              <w:ind w:left="16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4020" w:type="dxa"/>
            <w:vAlign w:val="bottom"/>
          </w:tcPr>
          <w:p>
            <w:pPr>
              <w:spacing w:after="0"/>
              <w:rPr>
                <w:sz w:val="11"/>
                <w:szCs w:val="11"/>
                <w:color w:val="auto"/>
              </w:rPr>
            </w:pPr>
          </w:p>
        </w:tc>
        <w:tc>
          <w:tcPr>
            <w:tcW w:w="3000" w:type="dxa"/>
            <w:vAlign w:val="bottom"/>
          </w:tcPr>
          <w:p>
            <w:pPr>
              <w:ind w:left="60"/>
              <w:spacing w:after="0" w:line="128" w:lineRule="exact"/>
              <w:rPr>
                <w:sz w:val="20"/>
                <w:szCs w:val="20"/>
                <w:color w:val="auto"/>
              </w:rPr>
            </w:pPr>
            <w:r>
              <w:rPr>
                <w:rFonts w:ascii="Arial" w:cs="Arial" w:eastAsia="Arial" w:hAnsi="Arial"/>
                <w:sz w:val="13"/>
                <w:szCs w:val="13"/>
                <w:color w:val="auto"/>
              </w:rPr>
              <w:t>Edificio 1, 2a Planta</w:t>
            </w:r>
          </w:p>
        </w:tc>
        <w:tc>
          <w:tcPr>
            <w:tcW w:w="180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4020" w:type="dxa"/>
            <w:vAlign w:val="bottom"/>
          </w:tcPr>
          <w:p>
            <w:pPr>
              <w:spacing w:after="0"/>
              <w:rPr>
                <w:sz w:val="11"/>
                <w:szCs w:val="11"/>
                <w:color w:val="auto"/>
              </w:rPr>
            </w:pPr>
          </w:p>
        </w:tc>
        <w:tc>
          <w:tcPr>
            <w:tcW w:w="3000" w:type="dxa"/>
            <w:vAlign w:val="bottom"/>
          </w:tcPr>
          <w:p>
            <w:pPr>
              <w:ind w:left="60"/>
              <w:spacing w:after="0" w:line="128" w:lineRule="exact"/>
              <w:rPr>
                <w:sz w:val="20"/>
                <w:szCs w:val="20"/>
                <w:color w:val="auto"/>
              </w:rPr>
            </w:pPr>
            <w:r>
              <w:rPr>
                <w:rFonts w:ascii="Arial" w:cs="Arial" w:eastAsia="Arial" w:hAnsi="Arial"/>
                <w:sz w:val="13"/>
                <w:szCs w:val="13"/>
                <w:color w:val="auto"/>
              </w:rPr>
              <w:t>Pozuelo de Alarcon (Madrid)</w:t>
            </w:r>
          </w:p>
        </w:tc>
        <w:tc>
          <w:tcPr>
            <w:tcW w:w="180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4020" w:type="dxa"/>
            <w:vAlign w:val="bottom"/>
          </w:tcPr>
          <w:p>
            <w:pPr>
              <w:spacing w:after="0"/>
              <w:rPr>
                <w:sz w:val="14"/>
                <w:szCs w:val="14"/>
                <w:color w:val="auto"/>
              </w:rPr>
            </w:pPr>
          </w:p>
        </w:tc>
        <w:tc>
          <w:tcPr>
            <w:tcW w:w="3000" w:type="dxa"/>
            <w:vAlign w:val="bottom"/>
          </w:tcPr>
          <w:p>
            <w:pPr>
              <w:ind w:left="60"/>
              <w:spacing w:after="0"/>
              <w:rPr>
                <w:sz w:val="20"/>
                <w:szCs w:val="20"/>
                <w:color w:val="auto"/>
              </w:rPr>
            </w:pPr>
            <w:r>
              <w:rPr>
                <w:rFonts w:ascii="Arial" w:cs="Arial" w:eastAsia="Arial" w:hAnsi="Arial"/>
                <w:sz w:val="13"/>
                <w:szCs w:val="13"/>
                <w:color w:val="auto"/>
              </w:rPr>
              <w:t>Spain 28224</w:t>
            </w:r>
          </w:p>
        </w:tc>
        <w:tc>
          <w:tcPr>
            <w:tcW w:w="180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40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RPS ReSearch Ibérica, S.L.U.</w:t>
            </w:r>
          </w:p>
        </w:tc>
        <w:tc>
          <w:tcPr>
            <w:tcW w:w="300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rPr>
              <w:t>Avenida de Europa, 19</w:t>
            </w:r>
          </w:p>
        </w:tc>
        <w:tc>
          <w:tcPr>
            <w:tcW w:w="1800" w:type="dxa"/>
            <w:vAlign w:val="bottom"/>
            <w:shd w:val="clear" w:color="auto" w:fill="CCEEFF"/>
          </w:tcPr>
          <w:p>
            <w:pPr>
              <w:ind w:left="16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4020" w:type="dxa"/>
            <w:vAlign w:val="bottom"/>
            <w:shd w:val="clear" w:color="auto" w:fill="CCEEFF"/>
          </w:tcPr>
          <w:p>
            <w:pPr>
              <w:spacing w:after="0"/>
              <w:rPr>
                <w:sz w:val="11"/>
                <w:szCs w:val="11"/>
                <w:color w:val="auto"/>
              </w:rPr>
            </w:pPr>
          </w:p>
        </w:tc>
        <w:tc>
          <w:tcPr>
            <w:tcW w:w="3000" w:type="dxa"/>
            <w:vAlign w:val="bottom"/>
            <w:shd w:val="clear" w:color="auto" w:fill="CCEEFF"/>
          </w:tcPr>
          <w:p>
            <w:pPr>
              <w:ind w:left="60"/>
              <w:spacing w:after="0" w:line="128" w:lineRule="exact"/>
              <w:rPr>
                <w:sz w:val="20"/>
                <w:szCs w:val="20"/>
                <w:color w:val="auto"/>
              </w:rPr>
            </w:pPr>
            <w:r>
              <w:rPr>
                <w:rFonts w:ascii="Arial" w:cs="Arial" w:eastAsia="Arial" w:hAnsi="Arial"/>
                <w:sz w:val="13"/>
                <w:szCs w:val="13"/>
                <w:color w:val="auto"/>
              </w:rPr>
              <w:t>Edificio 1, 2a Planta</w:t>
            </w:r>
          </w:p>
        </w:tc>
        <w:tc>
          <w:tcPr>
            <w:tcW w:w="18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4020" w:type="dxa"/>
            <w:vAlign w:val="bottom"/>
            <w:shd w:val="clear" w:color="auto" w:fill="CCEEFF"/>
          </w:tcPr>
          <w:p>
            <w:pPr>
              <w:spacing w:after="0"/>
              <w:rPr>
                <w:sz w:val="11"/>
                <w:szCs w:val="11"/>
                <w:color w:val="auto"/>
              </w:rPr>
            </w:pPr>
          </w:p>
        </w:tc>
        <w:tc>
          <w:tcPr>
            <w:tcW w:w="3000" w:type="dxa"/>
            <w:vAlign w:val="bottom"/>
            <w:shd w:val="clear" w:color="auto" w:fill="CCEEFF"/>
          </w:tcPr>
          <w:p>
            <w:pPr>
              <w:ind w:left="60"/>
              <w:spacing w:after="0" w:line="128" w:lineRule="exact"/>
              <w:rPr>
                <w:sz w:val="20"/>
                <w:szCs w:val="20"/>
                <w:color w:val="auto"/>
              </w:rPr>
            </w:pPr>
            <w:r>
              <w:rPr>
                <w:rFonts w:ascii="Arial" w:cs="Arial" w:eastAsia="Arial" w:hAnsi="Arial"/>
                <w:sz w:val="13"/>
                <w:szCs w:val="13"/>
                <w:color w:val="auto"/>
              </w:rPr>
              <w:t>Pozuelo de Alarcon (Madrid)</w:t>
            </w:r>
          </w:p>
        </w:tc>
        <w:tc>
          <w:tcPr>
            <w:tcW w:w="18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4020" w:type="dxa"/>
            <w:vAlign w:val="bottom"/>
            <w:shd w:val="clear" w:color="auto" w:fill="CCEEFF"/>
          </w:tcPr>
          <w:p>
            <w:pPr>
              <w:spacing w:after="0"/>
              <w:rPr>
                <w:sz w:val="14"/>
                <w:szCs w:val="14"/>
                <w:color w:val="auto"/>
              </w:rPr>
            </w:pPr>
          </w:p>
        </w:tc>
        <w:tc>
          <w:tcPr>
            <w:tcW w:w="3000" w:type="dxa"/>
            <w:vAlign w:val="bottom"/>
            <w:shd w:val="clear" w:color="auto" w:fill="CCEEFF"/>
          </w:tcPr>
          <w:p>
            <w:pPr>
              <w:ind w:left="60"/>
              <w:spacing w:after="0"/>
              <w:rPr>
                <w:sz w:val="20"/>
                <w:szCs w:val="20"/>
                <w:color w:val="auto"/>
              </w:rPr>
            </w:pPr>
            <w:r>
              <w:rPr>
                <w:rFonts w:ascii="Arial" w:cs="Arial" w:eastAsia="Arial" w:hAnsi="Arial"/>
                <w:sz w:val="13"/>
                <w:szCs w:val="13"/>
                <w:color w:val="auto"/>
              </w:rPr>
              <w:t>Spain 28224</w:t>
            </w:r>
          </w:p>
        </w:tc>
        <w:tc>
          <w:tcPr>
            <w:tcW w:w="180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bl>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128</w:t>
      </w:r>
    </w:p>
    <w:p>
      <w:pPr>
        <w:sectPr>
          <w:pgSz w:w="11900" w:h="16838" w:orient="portrait"/>
          <w:cols w:equalWidth="0" w:num="1">
            <w:col w:w="11260"/>
          </w:cols>
          <w:pgMar w:left="300" w:top="698" w:right="3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32.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3480" w:type="dxa"/>
            <w:vAlign w:val="bottom"/>
            <w:shd w:val="clear" w:color="auto" w:fill="CCEEFF"/>
          </w:tcPr>
          <w:p>
            <w:pPr>
              <w:ind w:left="440"/>
              <w:spacing w:after="0"/>
              <w:rPr>
                <w:sz w:val="20"/>
                <w:szCs w:val="20"/>
                <w:color w:val="auto"/>
              </w:rPr>
            </w:pPr>
            <w:r>
              <w:rPr>
                <w:rFonts w:ascii="Arial" w:cs="Arial" w:eastAsia="Arial" w:hAnsi="Arial"/>
                <w:sz w:val="13"/>
                <w:szCs w:val="13"/>
                <w:b w:val="1"/>
                <w:bCs w:val="1"/>
                <w:color w:val="auto"/>
              </w:rPr>
              <w:t>Registered Office</w:t>
            </w:r>
          </w:p>
        </w:tc>
        <w:tc>
          <w:tcPr>
            <w:tcW w:w="1700" w:type="dxa"/>
            <w:vAlign w:val="bottom"/>
            <w:shd w:val="clear" w:color="auto" w:fill="CCEEFF"/>
          </w:tcPr>
          <w:p>
            <w:pPr>
              <w:ind w:left="60"/>
              <w:spacing w:after="0"/>
              <w:rPr>
                <w:sz w:val="20"/>
                <w:szCs w:val="20"/>
                <w:color w:val="auto"/>
              </w:rPr>
            </w:pPr>
            <w:r>
              <w:rPr>
                <w:rFonts w:ascii="Arial" w:cs="Arial" w:eastAsia="Arial" w:hAnsi="Arial"/>
                <w:sz w:val="13"/>
                <w:szCs w:val="13"/>
                <w:b w:val="1"/>
                <w:bCs w:val="1"/>
                <w:color w:val="auto"/>
              </w:rPr>
              <w:t>Nature of business</w:t>
            </w:r>
          </w:p>
        </w:tc>
        <w:tc>
          <w:tcPr>
            <w:tcW w:w="244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Proportion held by</w:t>
            </w:r>
          </w:p>
        </w:tc>
      </w:tr>
      <w:tr>
        <w:trPr>
          <w:trHeight w:val="170"/>
        </w:trPr>
        <w:tc>
          <w:tcPr>
            <w:tcW w:w="3640" w:type="dxa"/>
            <w:vAlign w:val="bottom"/>
            <w:tcBorders>
              <w:bottom w:val="single" w:sz="8" w:color="auto"/>
            </w:tcBorders>
            <w:shd w:val="clear" w:color="auto" w:fill="CCEEFF"/>
          </w:tcPr>
          <w:p>
            <w:pPr>
              <w:spacing w:after="0"/>
              <w:rPr>
                <w:sz w:val="14"/>
                <w:szCs w:val="14"/>
                <w:color w:val="auto"/>
              </w:rPr>
            </w:pPr>
          </w:p>
        </w:tc>
        <w:tc>
          <w:tcPr>
            <w:tcW w:w="3480" w:type="dxa"/>
            <w:vAlign w:val="bottom"/>
            <w:tcBorders>
              <w:bottom w:val="single" w:sz="8" w:color="auto"/>
            </w:tcBorders>
            <w:shd w:val="clear" w:color="auto" w:fill="CCEEFF"/>
          </w:tcPr>
          <w:p>
            <w:pPr>
              <w:spacing w:after="0"/>
              <w:rPr>
                <w:sz w:val="14"/>
                <w:szCs w:val="14"/>
                <w:color w:val="auto"/>
              </w:rPr>
            </w:pPr>
          </w:p>
        </w:tc>
        <w:tc>
          <w:tcPr>
            <w:tcW w:w="1700" w:type="dxa"/>
            <w:vAlign w:val="bottom"/>
            <w:tcBorders>
              <w:bottom w:val="single" w:sz="8" w:color="auto"/>
            </w:tcBorders>
            <w:shd w:val="clear" w:color="auto" w:fill="CCEEFF"/>
          </w:tcPr>
          <w:p>
            <w:pPr>
              <w:spacing w:after="0"/>
              <w:rPr>
                <w:sz w:val="14"/>
                <w:szCs w:val="14"/>
                <w:color w:val="auto"/>
              </w:rPr>
            </w:pPr>
          </w:p>
        </w:tc>
        <w:tc>
          <w:tcPr>
            <w:tcW w:w="24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3"/>
                <w:szCs w:val="13"/>
                <w:b w:val="1"/>
                <w:bCs w:val="1"/>
                <w:color w:val="auto"/>
              </w:rPr>
              <w:t>Group</w:t>
            </w:r>
          </w:p>
        </w:tc>
      </w:tr>
      <w:tr>
        <w:trPr>
          <w:trHeight w:val="118"/>
        </w:trPr>
        <w:tc>
          <w:tcPr>
            <w:tcW w:w="3640" w:type="dxa"/>
            <w:vAlign w:val="bottom"/>
          </w:tcPr>
          <w:p>
            <w:pPr>
              <w:ind w:left="20"/>
              <w:spacing w:after="0" w:line="118" w:lineRule="exact"/>
              <w:rPr>
                <w:sz w:val="20"/>
                <w:szCs w:val="20"/>
                <w:color w:val="auto"/>
              </w:rPr>
            </w:pPr>
            <w:r>
              <w:rPr>
                <w:rFonts w:ascii="Arial" w:cs="Arial" w:eastAsia="Arial" w:hAnsi="Arial"/>
                <w:sz w:val="13"/>
                <w:szCs w:val="13"/>
                <w:color w:val="auto"/>
              </w:rPr>
              <w:t>RPS Spain S.L.</w:t>
            </w:r>
          </w:p>
        </w:tc>
        <w:tc>
          <w:tcPr>
            <w:tcW w:w="3480" w:type="dxa"/>
            <w:vAlign w:val="bottom"/>
          </w:tcPr>
          <w:p>
            <w:pPr>
              <w:ind w:left="440"/>
              <w:spacing w:after="0" w:line="118" w:lineRule="exact"/>
              <w:rPr>
                <w:sz w:val="20"/>
                <w:szCs w:val="20"/>
                <w:color w:val="auto"/>
              </w:rPr>
            </w:pPr>
            <w:r>
              <w:rPr>
                <w:rFonts w:ascii="Arial" w:cs="Arial" w:eastAsia="Arial" w:hAnsi="Arial"/>
                <w:sz w:val="13"/>
                <w:szCs w:val="13"/>
                <w:color w:val="auto"/>
              </w:rPr>
              <w:t>Avenida de Europa, 19</w:t>
            </w:r>
          </w:p>
        </w:tc>
        <w:tc>
          <w:tcPr>
            <w:tcW w:w="1700" w:type="dxa"/>
            <w:vAlign w:val="bottom"/>
          </w:tcPr>
          <w:p>
            <w:pPr>
              <w:ind w:left="60"/>
              <w:spacing w:after="0" w:line="11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18"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tcPr>
          <w:p>
            <w:pPr>
              <w:spacing w:after="0"/>
              <w:rPr>
                <w:sz w:val="11"/>
                <w:szCs w:val="11"/>
                <w:color w:val="auto"/>
              </w:rPr>
            </w:pPr>
          </w:p>
        </w:tc>
        <w:tc>
          <w:tcPr>
            <w:tcW w:w="3480" w:type="dxa"/>
            <w:vAlign w:val="bottom"/>
          </w:tcPr>
          <w:p>
            <w:pPr>
              <w:ind w:left="440"/>
              <w:spacing w:after="0" w:line="128" w:lineRule="exact"/>
              <w:rPr>
                <w:sz w:val="20"/>
                <w:szCs w:val="20"/>
                <w:color w:val="auto"/>
              </w:rPr>
            </w:pPr>
            <w:r>
              <w:rPr>
                <w:rFonts w:ascii="Arial" w:cs="Arial" w:eastAsia="Arial" w:hAnsi="Arial"/>
                <w:sz w:val="13"/>
                <w:szCs w:val="13"/>
                <w:color w:val="auto"/>
              </w:rPr>
              <w:t>Edificio 1, 2a Planta</w:t>
            </w:r>
          </w:p>
        </w:tc>
        <w:tc>
          <w:tcPr>
            <w:tcW w:w="170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640" w:type="dxa"/>
            <w:vAlign w:val="bottom"/>
          </w:tcPr>
          <w:p>
            <w:pPr>
              <w:spacing w:after="0"/>
              <w:rPr>
                <w:sz w:val="11"/>
                <w:szCs w:val="11"/>
                <w:color w:val="auto"/>
              </w:rPr>
            </w:pPr>
          </w:p>
        </w:tc>
        <w:tc>
          <w:tcPr>
            <w:tcW w:w="3480" w:type="dxa"/>
            <w:vAlign w:val="bottom"/>
          </w:tcPr>
          <w:p>
            <w:pPr>
              <w:ind w:left="440"/>
              <w:spacing w:after="0" w:line="128" w:lineRule="exact"/>
              <w:rPr>
                <w:sz w:val="20"/>
                <w:szCs w:val="20"/>
                <w:color w:val="auto"/>
              </w:rPr>
            </w:pPr>
            <w:r>
              <w:rPr>
                <w:rFonts w:ascii="Arial" w:cs="Arial" w:eastAsia="Arial" w:hAnsi="Arial"/>
                <w:sz w:val="13"/>
                <w:szCs w:val="13"/>
                <w:color w:val="auto"/>
              </w:rPr>
              <w:t>Pozuelo de Alarcon (Madrid)</w:t>
            </w:r>
          </w:p>
        </w:tc>
        <w:tc>
          <w:tcPr>
            <w:tcW w:w="170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3640" w:type="dxa"/>
            <w:vAlign w:val="bottom"/>
          </w:tcPr>
          <w:p>
            <w:pPr>
              <w:spacing w:after="0"/>
              <w:rPr>
                <w:sz w:val="14"/>
                <w:szCs w:val="14"/>
                <w:color w:val="auto"/>
              </w:rPr>
            </w:pPr>
          </w:p>
        </w:tc>
        <w:tc>
          <w:tcPr>
            <w:tcW w:w="3480" w:type="dxa"/>
            <w:vAlign w:val="bottom"/>
          </w:tcPr>
          <w:p>
            <w:pPr>
              <w:ind w:left="440"/>
              <w:spacing w:after="0"/>
              <w:rPr>
                <w:sz w:val="20"/>
                <w:szCs w:val="20"/>
                <w:color w:val="auto"/>
              </w:rPr>
            </w:pPr>
            <w:r>
              <w:rPr>
                <w:rFonts w:ascii="Arial" w:cs="Arial" w:eastAsia="Arial" w:hAnsi="Arial"/>
                <w:sz w:val="13"/>
                <w:szCs w:val="13"/>
                <w:color w:val="auto"/>
              </w:rPr>
              <w:t>Spain 28224</w:t>
            </w:r>
          </w:p>
        </w:tc>
        <w:tc>
          <w:tcPr>
            <w:tcW w:w="170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6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Accellacare España S.L.</w:t>
            </w:r>
          </w:p>
        </w:tc>
        <w:tc>
          <w:tcPr>
            <w:tcW w:w="3480" w:type="dxa"/>
            <w:vAlign w:val="bottom"/>
            <w:shd w:val="clear" w:color="auto" w:fill="CCEEFF"/>
          </w:tcPr>
          <w:p>
            <w:pPr>
              <w:ind w:left="440"/>
              <w:spacing w:after="0" w:line="129" w:lineRule="exact"/>
              <w:rPr>
                <w:sz w:val="20"/>
                <w:szCs w:val="20"/>
                <w:color w:val="auto"/>
              </w:rPr>
            </w:pPr>
            <w:r>
              <w:rPr>
                <w:rFonts w:ascii="Arial" w:cs="Arial" w:eastAsia="Arial" w:hAnsi="Arial"/>
                <w:sz w:val="13"/>
                <w:szCs w:val="13"/>
                <w:color w:val="auto"/>
              </w:rPr>
              <w:t>Calle Marques de Valdavia 103</w:t>
            </w:r>
          </w:p>
        </w:tc>
        <w:tc>
          <w:tcPr>
            <w:tcW w:w="170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shd w:val="clear" w:color="auto" w:fill="CCEEFF"/>
          </w:tcPr>
          <w:p>
            <w:pPr>
              <w:spacing w:after="0"/>
              <w:rPr>
                <w:sz w:val="11"/>
                <w:szCs w:val="11"/>
                <w:color w:val="auto"/>
              </w:rPr>
            </w:pPr>
          </w:p>
        </w:tc>
        <w:tc>
          <w:tcPr>
            <w:tcW w:w="348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Portal 5</w:t>
            </w:r>
          </w:p>
        </w:tc>
        <w:tc>
          <w:tcPr>
            <w:tcW w:w="17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640" w:type="dxa"/>
            <w:vAlign w:val="bottom"/>
            <w:shd w:val="clear" w:color="auto" w:fill="CCEEFF"/>
          </w:tcPr>
          <w:p>
            <w:pPr>
              <w:spacing w:after="0"/>
              <w:rPr>
                <w:sz w:val="11"/>
                <w:szCs w:val="11"/>
                <w:color w:val="auto"/>
              </w:rPr>
            </w:pPr>
          </w:p>
        </w:tc>
        <w:tc>
          <w:tcPr>
            <w:tcW w:w="348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28100</w:t>
            </w:r>
          </w:p>
        </w:tc>
        <w:tc>
          <w:tcPr>
            <w:tcW w:w="17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640" w:type="dxa"/>
            <w:vAlign w:val="bottom"/>
            <w:shd w:val="clear" w:color="auto" w:fill="CCEEFF"/>
          </w:tcPr>
          <w:p>
            <w:pPr>
              <w:spacing w:after="0"/>
              <w:rPr>
                <w:sz w:val="11"/>
                <w:szCs w:val="11"/>
                <w:color w:val="auto"/>
              </w:rPr>
            </w:pPr>
          </w:p>
        </w:tc>
        <w:tc>
          <w:tcPr>
            <w:tcW w:w="348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Alcobendas</w:t>
            </w:r>
          </w:p>
        </w:tc>
        <w:tc>
          <w:tcPr>
            <w:tcW w:w="17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640" w:type="dxa"/>
            <w:vAlign w:val="bottom"/>
            <w:shd w:val="clear" w:color="auto" w:fill="CCEEFF"/>
          </w:tcPr>
          <w:p>
            <w:pPr>
              <w:spacing w:after="0"/>
              <w:rPr>
                <w:sz w:val="11"/>
                <w:szCs w:val="11"/>
                <w:color w:val="auto"/>
              </w:rPr>
            </w:pPr>
          </w:p>
        </w:tc>
        <w:tc>
          <w:tcPr>
            <w:tcW w:w="348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Madrid</w:t>
            </w:r>
          </w:p>
        </w:tc>
        <w:tc>
          <w:tcPr>
            <w:tcW w:w="17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3640" w:type="dxa"/>
            <w:vAlign w:val="bottom"/>
            <w:shd w:val="clear" w:color="auto" w:fill="CCEEFF"/>
          </w:tcPr>
          <w:p>
            <w:pPr>
              <w:spacing w:after="0"/>
              <w:rPr>
                <w:sz w:val="14"/>
                <w:szCs w:val="14"/>
                <w:color w:val="auto"/>
              </w:rPr>
            </w:pPr>
          </w:p>
        </w:tc>
        <w:tc>
          <w:tcPr>
            <w:tcW w:w="3480" w:type="dxa"/>
            <w:vAlign w:val="bottom"/>
            <w:shd w:val="clear" w:color="auto" w:fill="CCEEFF"/>
          </w:tcPr>
          <w:p>
            <w:pPr>
              <w:ind w:left="440"/>
              <w:spacing w:after="0"/>
              <w:rPr>
                <w:sz w:val="20"/>
                <w:szCs w:val="20"/>
                <w:color w:val="auto"/>
              </w:rPr>
            </w:pPr>
            <w:r>
              <w:rPr>
                <w:rFonts w:ascii="Arial" w:cs="Arial" w:eastAsia="Arial" w:hAnsi="Arial"/>
                <w:sz w:val="13"/>
                <w:szCs w:val="13"/>
                <w:color w:val="auto"/>
              </w:rPr>
              <w:t>Spain</w:t>
            </w:r>
          </w:p>
        </w:tc>
        <w:tc>
          <w:tcPr>
            <w:tcW w:w="170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3640" w:type="dxa"/>
            <w:vAlign w:val="bottom"/>
          </w:tcPr>
          <w:p>
            <w:pPr>
              <w:ind w:left="20"/>
              <w:spacing w:after="0" w:line="128" w:lineRule="exact"/>
              <w:rPr>
                <w:sz w:val="20"/>
                <w:szCs w:val="20"/>
                <w:color w:val="auto"/>
              </w:rPr>
            </w:pPr>
            <w:r>
              <w:rPr>
                <w:rFonts w:ascii="Arial" w:cs="Arial" w:eastAsia="Arial" w:hAnsi="Arial"/>
                <w:sz w:val="13"/>
                <w:szCs w:val="13"/>
                <w:color w:val="auto"/>
              </w:rPr>
              <w:t>DOCS International Sweden AB</w:t>
            </w:r>
          </w:p>
        </w:tc>
        <w:tc>
          <w:tcPr>
            <w:tcW w:w="3480" w:type="dxa"/>
            <w:vAlign w:val="bottom"/>
          </w:tcPr>
          <w:p>
            <w:pPr>
              <w:ind w:left="440"/>
              <w:spacing w:after="0" w:line="128" w:lineRule="exact"/>
              <w:rPr>
                <w:sz w:val="20"/>
                <w:szCs w:val="20"/>
                <w:color w:val="auto"/>
              </w:rPr>
            </w:pPr>
            <w:r>
              <w:rPr>
                <w:rFonts w:ascii="Arial" w:cs="Arial" w:eastAsia="Arial" w:hAnsi="Arial"/>
                <w:sz w:val="13"/>
                <w:szCs w:val="13"/>
                <w:color w:val="auto"/>
              </w:rPr>
              <w:t>Kolonivagen 1</w:t>
            </w:r>
          </w:p>
        </w:tc>
        <w:tc>
          <w:tcPr>
            <w:tcW w:w="1700" w:type="dxa"/>
            <w:vAlign w:val="bottom"/>
          </w:tcPr>
          <w:p>
            <w:pPr>
              <w:ind w:left="6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68"/>
        </w:trPr>
        <w:tc>
          <w:tcPr>
            <w:tcW w:w="3640" w:type="dxa"/>
            <w:vAlign w:val="bottom"/>
          </w:tcPr>
          <w:p>
            <w:pPr>
              <w:spacing w:after="0"/>
              <w:rPr>
                <w:sz w:val="14"/>
                <w:szCs w:val="14"/>
                <w:color w:val="auto"/>
              </w:rPr>
            </w:pPr>
          </w:p>
        </w:tc>
        <w:tc>
          <w:tcPr>
            <w:tcW w:w="3480" w:type="dxa"/>
            <w:vAlign w:val="bottom"/>
          </w:tcPr>
          <w:p>
            <w:pPr>
              <w:ind w:left="440"/>
              <w:spacing w:after="0"/>
              <w:rPr>
                <w:sz w:val="20"/>
                <w:szCs w:val="20"/>
                <w:color w:val="auto"/>
              </w:rPr>
            </w:pPr>
            <w:r>
              <w:rPr>
                <w:rFonts w:ascii="Arial" w:cs="Arial" w:eastAsia="Arial" w:hAnsi="Arial"/>
                <w:sz w:val="13"/>
                <w:szCs w:val="13"/>
                <w:color w:val="auto"/>
              </w:rPr>
              <w:t>SE-226 60 Lund, Sweden</w:t>
            </w:r>
          </w:p>
        </w:tc>
        <w:tc>
          <w:tcPr>
            <w:tcW w:w="170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6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PRA International Sweden AB</w:t>
            </w:r>
          </w:p>
        </w:tc>
        <w:tc>
          <w:tcPr>
            <w:tcW w:w="3480" w:type="dxa"/>
            <w:vAlign w:val="bottom"/>
            <w:shd w:val="clear" w:color="auto" w:fill="CCEEFF"/>
          </w:tcPr>
          <w:p>
            <w:pPr>
              <w:ind w:left="440"/>
              <w:spacing w:after="0" w:line="129" w:lineRule="exact"/>
              <w:rPr>
                <w:sz w:val="20"/>
                <w:szCs w:val="20"/>
                <w:color w:val="auto"/>
              </w:rPr>
            </w:pPr>
            <w:r>
              <w:rPr>
                <w:rFonts w:ascii="Arial" w:cs="Arial" w:eastAsia="Arial" w:hAnsi="Arial"/>
                <w:sz w:val="13"/>
                <w:szCs w:val="13"/>
                <w:color w:val="auto"/>
              </w:rPr>
              <w:t>Kolonivagen 1</w:t>
            </w:r>
          </w:p>
        </w:tc>
        <w:tc>
          <w:tcPr>
            <w:tcW w:w="170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70"/>
        </w:trPr>
        <w:tc>
          <w:tcPr>
            <w:tcW w:w="3640" w:type="dxa"/>
            <w:vAlign w:val="bottom"/>
            <w:shd w:val="clear" w:color="auto" w:fill="CCEEFF"/>
          </w:tcPr>
          <w:p>
            <w:pPr>
              <w:spacing w:after="0"/>
              <w:rPr>
                <w:sz w:val="14"/>
                <w:szCs w:val="14"/>
                <w:color w:val="auto"/>
              </w:rPr>
            </w:pPr>
          </w:p>
        </w:tc>
        <w:tc>
          <w:tcPr>
            <w:tcW w:w="3480" w:type="dxa"/>
            <w:vAlign w:val="bottom"/>
            <w:shd w:val="clear" w:color="auto" w:fill="CCEEFF"/>
          </w:tcPr>
          <w:p>
            <w:pPr>
              <w:ind w:left="440"/>
              <w:spacing w:after="0"/>
              <w:rPr>
                <w:sz w:val="20"/>
                <w:szCs w:val="20"/>
                <w:color w:val="auto"/>
              </w:rPr>
            </w:pPr>
            <w:r>
              <w:rPr>
                <w:rFonts w:ascii="Arial" w:cs="Arial" w:eastAsia="Arial" w:hAnsi="Arial"/>
                <w:sz w:val="13"/>
                <w:szCs w:val="13"/>
                <w:color w:val="auto"/>
              </w:rPr>
              <w:t>SE-226 60 Lund, Sweden</w:t>
            </w:r>
          </w:p>
        </w:tc>
        <w:tc>
          <w:tcPr>
            <w:tcW w:w="170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3640" w:type="dxa"/>
            <w:vAlign w:val="bottom"/>
          </w:tcPr>
          <w:p>
            <w:pPr>
              <w:ind w:left="20"/>
              <w:spacing w:after="0" w:line="128" w:lineRule="exact"/>
              <w:rPr>
                <w:sz w:val="20"/>
                <w:szCs w:val="20"/>
                <w:color w:val="auto"/>
              </w:rPr>
            </w:pPr>
            <w:r>
              <w:rPr>
                <w:rFonts w:ascii="Arial" w:cs="Arial" w:eastAsia="Arial" w:hAnsi="Arial"/>
                <w:sz w:val="13"/>
                <w:szCs w:val="13"/>
                <w:color w:val="auto"/>
              </w:rPr>
              <w:t>DOCS International Switzerland GmbH</w:t>
            </w:r>
          </w:p>
        </w:tc>
        <w:tc>
          <w:tcPr>
            <w:tcW w:w="3480" w:type="dxa"/>
            <w:vAlign w:val="bottom"/>
          </w:tcPr>
          <w:p>
            <w:pPr>
              <w:ind w:left="440"/>
              <w:spacing w:after="0" w:line="128" w:lineRule="exact"/>
              <w:rPr>
                <w:sz w:val="20"/>
                <w:szCs w:val="20"/>
                <w:color w:val="auto"/>
              </w:rPr>
            </w:pPr>
            <w:r>
              <w:rPr>
                <w:rFonts w:ascii="Arial" w:cs="Arial" w:eastAsia="Arial" w:hAnsi="Arial"/>
                <w:sz w:val="13"/>
                <w:szCs w:val="13"/>
                <w:color w:val="auto"/>
              </w:rPr>
              <w:t>c/o Experfina AG</w:t>
            </w:r>
          </w:p>
        </w:tc>
        <w:tc>
          <w:tcPr>
            <w:tcW w:w="1700" w:type="dxa"/>
            <w:vAlign w:val="bottom"/>
          </w:tcPr>
          <w:p>
            <w:pPr>
              <w:ind w:left="6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tcPr>
          <w:p>
            <w:pPr>
              <w:spacing w:after="0"/>
              <w:rPr>
                <w:sz w:val="11"/>
                <w:szCs w:val="11"/>
                <w:color w:val="auto"/>
              </w:rPr>
            </w:pPr>
          </w:p>
        </w:tc>
        <w:tc>
          <w:tcPr>
            <w:tcW w:w="3480" w:type="dxa"/>
            <w:vAlign w:val="bottom"/>
          </w:tcPr>
          <w:p>
            <w:pPr>
              <w:ind w:left="440"/>
              <w:spacing w:after="0" w:line="128" w:lineRule="exact"/>
              <w:rPr>
                <w:sz w:val="20"/>
                <w:szCs w:val="20"/>
                <w:color w:val="auto"/>
              </w:rPr>
            </w:pPr>
            <w:r>
              <w:rPr>
                <w:rFonts w:ascii="Arial" w:cs="Arial" w:eastAsia="Arial" w:hAnsi="Arial"/>
                <w:sz w:val="13"/>
                <w:szCs w:val="13"/>
                <w:color w:val="auto"/>
              </w:rPr>
              <w:t>Picassoplatz 8</w:t>
            </w:r>
          </w:p>
        </w:tc>
        <w:tc>
          <w:tcPr>
            <w:tcW w:w="170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640" w:type="dxa"/>
            <w:vAlign w:val="bottom"/>
          </w:tcPr>
          <w:p>
            <w:pPr>
              <w:spacing w:after="0"/>
              <w:rPr>
                <w:sz w:val="11"/>
                <w:szCs w:val="11"/>
                <w:color w:val="auto"/>
              </w:rPr>
            </w:pPr>
          </w:p>
        </w:tc>
        <w:tc>
          <w:tcPr>
            <w:tcW w:w="3480" w:type="dxa"/>
            <w:vAlign w:val="bottom"/>
          </w:tcPr>
          <w:p>
            <w:pPr>
              <w:ind w:left="440"/>
              <w:spacing w:after="0" w:line="128" w:lineRule="exact"/>
              <w:rPr>
                <w:sz w:val="20"/>
                <w:szCs w:val="20"/>
                <w:color w:val="auto"/>
              </w:rPr>
            </w:pPr>
            <w:r>
              <w:rPr>
                <w:rFonts w:ascii="Arial" w:cs="Arial" w:eastAsia="Arial" w:hAnsi="Arial"/>
                <w:sz w:val="13"/>
                <w:szCs w:val="13"/>
                <w:color w:val="auto"/>
              </w:rPr>
              <w:t>4052 Basel</w:t>
            </w:r>
          </w:p>
        </w:tc>
        <w:tc>
          <w:tcPr>
            <w:tcW w:w="170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3640" w:type="dxa"/>
            <w:vAlign w:val="bottom"/>
          </w:tcPr>
          <w:p>
            <w:pPr>
              <w:spacing w:after="0"/>
              <w:rPr>
                <w:sz w:val="14"/>
                <w:szCs w:val="14"/>
                <w:color w:val="auto"/>
              </w:rPr>
            </w:pPr>
          </w:p>
        </w:tc>
        <w:tc>
          <w:tcPr>
            <w:tcW w:w="3480" w:type="dxa"/>
            <w:vAlign w:val="bottom"/>
          </w:tcPr>
          <w:p>
            <w:pPr>
              <w:ind w:left="440"/>
              <w:spacing w:after="0"/>
              <w:rPr>
                <w:sz w:val="20"/>
                <w:szCs w:val="20"/>
                <w:color w:val="auto"/>
              </w:rPr>
            </w:pPr>
            <w:r>
              <w:rPr>
                <w:rFonts w:ascii="Arial" w:cs="Arial" w:eastAsia="Arial" w:hAnsi="Arial"/>
                <w:sz w:val="13"/>
                <w:szCs w:val="13"/>
                <w:color w:val="auto"/>
              </w:rPr>
              <w:t>Switzerland</w:t>
            </w:r>
          </w:p>
        </w:tc>
        <w:tc>
          <w:tcPr>
            <w:tcW w:w="170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6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Clinical Research (Switzerland) GmbH</w:t>
            </w:r>
          </w:p>
        </w:tc>
        <w:tc>
          <w:tcPr>
            <w:tcW w:w="3480" w:type="dxa"/>
            <w:vAlign w:val="bottom"/>
            <w:shd w:val="clear" w:color="auto" w:fill="CCEEFF"/>
          </w:tcPr>
          <w:p>
            <w:pPr>
              <w:ind w:left="440"/>
              <w:spacing w:after="0" w:line="129" w:lineRule="exact"/>
              <w:rPr>
                <w:sz w:val="20"/>
                <w:szCs w:val="20"/>
                <w:color w:val="auto"/>
              </w:rPr>
            </w:pPr>
            <w:r>
              <w:rPr>
                <w:rFonts w:ascii="Arial" w:cs="Arial" w:eastAsia="Arial" w:hAnsi="Arial"/>
                <w:sz w:val="13"/>
                <w:szCs w:val="13"/>
                <w:color w:val="auto"/>
              </w:rPr>
              <w:t>c/o Experfina AG</w:t>
            </w:r>
          </w:p>
        </w:tc>
        <w:tc>
          <w:tcPr>
            <w:tcW w:w="170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shd w:val="clear" w:color="auto" w:fill="CCEEFF"/>
          </w:tcPr>
          <w:p>
            <w:pPr>
              <w:spacing w:after="0"/>
              <w:rPr>
                <w:sz w:val="11"/>
                <w:szCs w:val="11"/>
                <w:color w:val="auto"/>
              </w:rPr>
            </w:pPr>
          </w:p>
        </w:tc>
        <w:tc>
          <w:tcPr>
            <w:tcW w:w="348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Picassoplatz 8</w:t>
            </w:r>
          </w:p>
        </w:tc>
        <w:tc>
          <w:tcPr>
            <w:tcW w:w="17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640" w:type="dxa"/>
            <w:vAlign w:val="bottom"/>
            <w:shd w:val="clear" w:color="auto" w:fill="CCEEFF"/>
          </w:tcPr>
          <w:p>
            <w:pPr>
              <w:spacing w:after="0"/>
              <w:rPr>
                <w:sz w:val="11"/>
                <w:szCs w:val="11"/>
                <w:color w:val="auto"/>
              </w:rPr>
            </w:pPr>
          </w:p>
        </w:tc>
        <w:tc>
          <w:tcPr>
            <w:tcW w:w="348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4052 Basel</w:t>
            </w:r>
          </w:p>
        </w:tc>
        <w:tc>
          <w:tcPr>
            <w:tcW w:w="17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3640" w:type="dxa"/>
            <w:vAlign w:val="bottom"/>
            <w:shd w:val="clear" w:color="auto" w:fill="CCEEFF"/>
          </w:tcPr>
          <w:p>
            <w:pPr>
              <w:spacing w:after="0"/>
              <w:rPr>
                <w:sz w:val="14"/>
                <w:szCs w:val="14"/>
                <w:color w:val="auto"/>
              </w:rPr>
            </w:pPr>
          </w:p>
        </w:tc>
        <w:tc>
          <w:tcPr>
            <w:tcW w:w="3480" w:type="dxa"/>
            <w:vAlign w:val="bottom"/>
            <w:shd w:val="clear" w:color="auto" w:fill="CCEEFF"/>
          </w:tcPr>
          <w:p>
            <w:pPr>
              <w:ind w:left="440"/>
              <w:spacing w:after="0"/>
              <w:rPr>
                <w:sz w:val="20"/>
                <w:szCs w:val="20"/>
                <w:color w:val="auto"/>
              </w:rPr>
            </w:pPr>
            <w:r>
              <w:rPr>
                <w:rFonts w:ascii="Arial" w:cs="Arial" w:eastAsia="Arial" w:hAnsi="Arial"/>
                <w:sz w:val="13"/>
                <w:szCs w:val="13"/>
                <w:color w:val="auto"/>
              </w:rPr>
              <w:t>Switzerland</w:t>
            </w:r>
          </w:p>
        </w:tc>
        <w:tc>
          <w:tcPr>
            <w:tcW w:w="170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3640" w:type="dxa"/>
            <w:vAlign w:val="bottom"/>
          </w:tcPr>
          <w:p>
            <w:pPr>
              <w:ind w:left="20"/>
              <w:spacing w:after="0" w:line="128" w:lineRule="exact"/>
              <w:rPr>
                <w:sz w:val="20"/>
                <w:szCs w:val="20"/>
                <w:color w:val="auto"/>
              </w:rPr>
            </w:pPr>
            <w:r>
              <w:rPr>
                <w:rFonts w:ascii="Arial" w:cs="Arial" w:eastAsia="Arial" w:hAnsi="Arial"/>
                <w:sz w:val="13"/>
                <w:szCs w:val="13"/>
                <w:color w:val="auto"/>
              </w:rPr>
              <w:t>PRA Switzerland AG</w:t>
            </w:r>
          </w:p>
        </w:tc>
        <w:tc>
          <w:tcPr>
            <w:tcW w:w="3480" w:type="dxa"/>
            <w:vAlign w:val="bottom"/>
          </w:tcPr>
          <w:p>
            <w:pPr>
              <w:ind w:left="440"/>
              <w:spacing w:after="0" w:line="128" w:lineRule="exact"/>
              <w:rPr>
                <w:sz w:val="20"/>
                <w:szCs w:val="20"/>
                <w:color w:val="auto"/>
              </w:rPr>
            </w:pPr>
            <w:r>
              <w:rPr>
                <w:rFonts w:ascii="Arial" w:cs="Arial" w:eastAsia="Arial" w:hAnsi="Arial"/>
                <w:sz w:val="13"/>
                <w:szCs w:val="13"/>
                <w:color w:val="auto"/>
              </w:rPr>
              <w:t>Lange Gasse 15</w:t>
            </w:r>
          </w:p>
        </w:tc>
        <w:tc>
          <w:tcPr>
            <w:tcW w:w="1700" w:type="dxa"/>
            <w:vAlign w:val="bottom"/>
          </w:tcPr>
          <w:p>
            <w:pPr>
              <w:ind w:left="6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68"/>
        </w:trPr>
        <w:tc>
          <w:tcPr>
            <w:tcW w:w="3640" w:type="dxa"/>
            <w:vAlign w:val="bottom"/>
          </w:tcPr>
          <w:p>
            <w:pPr>
              <w:spacing w:after="0"/>
              <w:rPr>
                <w:sz w:val="14"/>
                <w:szCs w:val="14"/>
                <w:color w:val="auto"/>
              </w:rPr>
            </w:pPr>
          </w:p>
        </w:tc>
        <w:tc>
          <w:tcPr>
            <w:tcW w:w="3480" w:type="dxa"/>
            <w:vAlign w:val="bottom"/>
          </w:tcPr>
          <w:p>
            <w:pPr>
              <w:ind w:left="440"/>
              <w:spacing w:after="0"/>
              <w:rPr>
                <w:sz w:val="20"/>
                <w:szCs w:val="20"/>
                <w:color w:val="auto"/>
              </w:rPr>
            </w:pPr>
            <w:r>
              <w:rPr>
                <w:rFonts w:ascii="Arial" w:cs="Arial" w:eastAsia="Arial" w:hAnsi="Arial"/>
                <w:sz w:val="13"/>
                <w:szCs w:val="13"/>
                <w:color w:val="auto"/>
              </w:rPr>
              <w:t>Basel 4052 Switzerland</w:t>
            </w:r>
          </w:p>
        </w:tc>
        <w:tc>
          <w:tcPr>
            <w:tcW w:w="170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6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Clinical Research Taiwan Limited</w:t>
            </w:r>
          </w:p>
        </w:tc>
        <w:tc>
          <w:tcPr>
            <w:tcW w:w="3480" w:type="dxa"/>
            <w:vAlign w:val="bottom"/>
            <w:shd w:val="clear" w:color="auto" w:fill="CCEEFF"/>
          </w:tcPr>
          <w:p>
            <w:pPr>
              <w:ind w:left="440"/>
              <w:spacing w:after="0" w:line="129" w:lineRule="exact"/>
              <w:rPr>
                <w:sz w:val="20"/>
                <w:szCs w:val="20"/>
                <w:color w:val="auto"/>
              </w:rPr>
            </w:pPr>
            <w:r>
              <w:rPr>
                <w:rFonts w:ascii="Arial" w:cs="Arial" w:eastAsia="Arial" w:hAnsi="Arial"/>
                <w:sz w:val="13"/>
                <w:szCs w:val="13"/>
                <w:color w:val="auto"/>
              </w:rPr>
              <w:t>2F, No. 96, Sec. 1,</w:t>
            </w:r>
          </w:p>
        </w:tc>
        <w:tc>
          <w:tcPr>
            <w:tcW w:w="170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shd w:val="clear" w:color="auto" w:fill="CCEEFF"/>
          </w:tcPr>
          <w:p>
            <w:pPr>
              <w:spacing w:after="0"/>
              <w:rPr>
                <w:sz w:val="11"/>
                <w:szCs w:val="11"/>
                <w:color w:val="auto"/>
              </w:rPr>
            </w:pPr>
          </w:p>
        </w:tc>
        <w:tc>
          <w:tcPr>
            <w:tcW w:w="348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Chien Kou North Road,</w:t>
            </w:r>
          </w:p>
        </w:tc>
        <w:tc>
          <w:tcPr>
            <w:tcW w:w="17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640" w:type="dxa"/>
            <w:vAlign w:val="bottom"/>
            <w:shd w:val="clear" w:color="auto" w:fill="CCEEFF"/>
          </w:tcPr>
          <w:p>
            <w:pPr>
              <w:spacing w:after="0"/>
              <w:rPr>
                <w:sz w:val="11"/>
                <w:szCs w:val="11"/>
                <w:color w:val="auto"/>
              </w:rPr>
            </w:pPr>
          </w:p>
        </w:tc>
        <w:tc>
          <w:tcPr>
            <w:tcW w:w="348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Taipei 10489,</w:t>
            </w:r>
          </w:p>
        </w:tc>
        <w:tc>
          <w:tcPr>
            <w:tcW w:w="17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3640" w:type="dxa"/>
            <w:vAlign w:val="bottom"/>
            <w:shd w:val="clear" w:color="auto" w:fill="CCEEFF"/>
          </w:tcPr>
          <w:p>
            <w:pPr>
              <w:spacing w:after="0"/>
              <w:rPr>
                <w:sz w:val="14"/>
                <w:szCs w:val="14"/>
                <w:color w:val="auto"/>
              </w:rPr>
            </w:pPr>
          </w:p>
        </w:tc>
        <w:tc>
          <w:tcPr>
            <w:tcW w:w="3480" w:type="dxa"/>
            <w:vAlign w:val="bottom"/>
            <w:shd w:val="clear" w:color="auto" w:fill="CCEEFF"/>
          </w:tcPr>
          <w:p>
            <w:pPr>
              <w:ind w:left="440"/>
              <w:spacing w:after="0"/>
              <w:rPr>
                <w:sz w:val="20"/>
                <w:szCs w:val="20"/>
                <w:color w:val="auto"/>
              </w:rPr>
            </w:pPr>
            <w:r>
              <w:rPr>
                <w:rFonts w:ascii="Arial" w:cs="Arial" w:eastAsia="Arial" w:hAnsi="Arial"/>
                <w:sz w:val="13"/>
                <w:szCs w:val="13"/>
                <w:color w:val="auto"/>
              </w:rPr>
              <w:t>Taiwan, R.O.C.</w:t>
            </w:r>
          </w:p>
        </w:tc>
        <w:tc>
          <w:tcPr>
            <w:tcW w:w="170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3640" w:type="dxa"/>
            <w:vAlign w:val="bottom"/>
          </w:tcPr>
          <w:p>
            <w:pPr>
              <w:ind w:left="20"/>
              <w:spacing w:after="0" w:line="128" w:lineRule="exact"/>
              <w:rPr>
                <w:sz w:val="20"/>
                <w:szCs w:val="20"/>
                <w:color w:val="auto"/>
              </w:rPr>
            </w:pPr>
            <w:r>
              <w:rPr>
                <w:rFonts w:ascii="Arial" w:cs="Arial" w:eastAsia="Arial" w:hAnsi="Arial"/>
                <w:sz w:val="13"/>
                <w:szCs w:val="13"/>
                <w:color w:val="auto"/>
              </w:rPr>
              <w:t>Pharmaceutical Research Associates Taiwan, Inc.</w:t>
            </w:r>
          </w:p>
        </w:tc>
        <w:tc>
          <w:tcPr>
            <w:tcW w:w="3480" w:type="dxa"/>
            <w:vAlign w:val="bottom"/>
          </w:tcPr>
          <w:p>
            <w:pPr>
              <w:ind w:left="440"/>
              <w:spacing w:after="0" w:line="128" w:lineRule="exact"/>
              <w:rPr>
                <w:sz w:val="20"/>
                <w:szCs w:val="20"/>
                <w:color w:val="auto"/>
              </w:rPr>
            </w:pPr>
            <w:r>
              <w:rPr>
                <w:rFonts w:ascii="Arial" w:cs="Arial" w:eastAsia="Arial" w:hAnsi="Arial"/>
                <w:sz w:val="13"/>
                <w:szCs w:val="13"/>
                <w:color w:val="auto"/>
              </w:rPr>
              <w:t>Aurora Building, 5th Floor</w:t>
            </w:r>
          </w:p>
        </w:tc>
        <w:tc>
          <w:tcPr>
            <w:tcW w:w="1700" w:type="dxa"/>
            <w:vAlign w:val="bottom"/>
          </w:tcPr>
          <w:p>
            <w:pPr>
              <w:ind w:left="6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tcPr>
          <w:p>
            <w:pPr>
              <w:spacing w:after="0"/>
              <w:rPr>
                <w:sz w:val="11"/>
                <w:szCs w:val="11"/>
                <w:color w:val="auto"/>
              </w:rPr>
            </w:pPr>
          </w:p>
        </w:tc>
        <w:tc>
          <w:tcPr>
            <w:tcW w:w="3480" w:type="dxa"/>
            <w:vAlign w:val="bottom"/>
          </w:tcPr>
          <w:p>
            <w:pPr>
              <w:ind w:left="440"/>
              <w:spacing w:after="0" w:line="128" w:lineRule="exact"/>
              <w:rPr>
                <w:sz w:val="20"/>
                <w:szCs w:val="20"/>
                <w:color w:val="auto"/>
              </w:rPr>
            </w:pPr>
            <w:r>
              <w:rPr>
                <w:rFonts w:ascii="Arial" w:cs="Arial" w:eastAsia="Arial" w:hAnsi="Arial"/>
                <w:sz w:val="13"/>
                <w:szCs w:val="13"/>
                <w:color w:val="auto"/>
              </w:rPr>
              <w:t>No. 2, Sec 5, Xinyi Road,</w:t>
            </w:r>
          </w:p>
        </w:tc>
        <w:tc>
          <w:tcPr>
            <w:tcW w:w="170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3640" w:type="dxa"/>
            <w:vAlign w:val="bottom"/>
          </w:tcPr>
          <w:p>
            <w:pPr>
              <w:spacing w:after="0"/>
              <w:rPr>
                <w:sz w:val="14"/>
                <w:szCs w:val="14"/>
                <w:color w:val="auto"/>
              </w:rPr>
            </w:pPr>
          </w:p>
        </w:tc>
        <w:tc>
          <w:tcPr>
            <w:tcW w:w="3480" w:type="dxa"/>
            <w:vAlign w:val="bottom"/>
          </w:tcPr>
          <w:p>
            <w:pPr>
              <w:ind w:left="440"/>
              <w:spacing w:after="0"/>
              <w:rPr>
                <w:sz w:val="20"/>
                <w:szCs w:val="20"/>
                <w:color w:val="auto"/>
              </w:rPr>
            </w:pPr>
            <w:r>
              <w:rPr>
                <w:rFonts w:ascii="Arial" w:cs="Arial" w:eastAsia="Arial" w:hAnsi="Arial"/>
                <w:sz w:val="13"/>
                <w:szCs w:val="13"/>
                <w:color w:val="auto"/>
              </w:rPr>
              <w:t>Xinyi District, Taipei, Taiwan</w:t>
            </w:r>
          </w:p>
        </w:tc>
        <w:tc>
          <w:tcPr>
            <w:tcW w:w="170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6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Clinical Research (Thailand) Limited</w:t>
            </w:r>
          </w:p>
        </w:tc>
        <w:tc>
          <w:tcPr>
            <w:tcW w:w="3480" w:type="dxa"/>
            <w:vAlign w:val="bottom"/>
            <w:shd w:val="clear" w:color="auto" w:fill="CCEEFF"/>
          </w:tcPr>
          <w:p>
            <w:pPr>
              <w:ind w:left="440"/>
              <w:spacing w:after="0" w:line="129" w:lineRule="exact"/>
              <w:rPr>
                <w:sz w:val="20"/>
                <w:szCs w:val="20"/>
                <w:color w:val="auto"/>
              </w:rPr>
            </w:pPr>
            <w:r>
              <w:rPr>
                <w:rFonts w:ascii="Arial" w:cs="Arial" w:eastAsia="Arial" w:hAnsi="Arial"/>
                <w:sz w:val="13"/>
                <w:szCs w:val="13"/>
                <w:color w:val="auto"/>
              </w:rPr>
              <w:t>1 Empire Tower,</w:t>
            </w:r>
          </w:p>
        </w:tc>
        <w:tc>
          <w:tcPr>
            <w:tcW w:w="170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shd w:val="clear" w:color="auto" w:fill="CCEEFF"/>
          </w:tcPr>
          <w:p>
            <w:pPr>
              <w:spacing w:after="0"/>
              <w:rPr>
                <w:sz w:val="11"/>
                <w:szCs w:val="11"/>
                <w:color w:val="auto"/>
              </w:rPr>
            </w:pPr>
          </w:p>
        </w:tc>
        <w:tc>
          <w:tcPr>
            <w:tcW w:w="348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24th Floor, Unit 2408,</w:t>
            </w:r>
          </w:p>
        </w:tc>
        <w:tc>
          <w:tcPr>
            <w:tcW w:w="17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640" w:type="dxa"/>
            <w:vAlign w:val="bottom"/>
            <w:shd w:val="clear" w:color="auto" w:fill="CCEEFF"/>
          </w:tcPr>
          <w:p>
            <w:pPr>
              <w:spacing w:after="0"/>
              <w:rPr>
                <w:sz w:val="11"/>
                <w:szCs w:val="11"/>
                <w:color w:val="auto"/>
              </w:rPr>
            </w:pPr>
          </w:p>
        </w:tc>
        <w:tc>
          <w:tcPr>
            <w:tcW w:w="348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South Sathorn Road,</w:t>
            </w:r>
          </w:p>
        </w:tc>
        <w:tc>
          <w:tcPr>
            <w:tcW w:w="17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640" w:type="dxa"/>
            <w:vAlign w:val="bottom"/>
            <w:shd w:val="clear" w:color="auto" w:fill="CCEEFF"/>
          </w:tcPr>
          <w:p>
            <w:pPr>
              <w:spacing w:after="0"/>
              <w:rPr>
                <w:sz w:val="11"/>
                <w:szCs w:val="11"/>
                <w:color w:val="auto"/>
              </w:rPr>
            </w:pPr>
          </w:p>
        </w:tc>
        <w:tc>
          <w:tcPr>
            <w:tcW w:w="348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Yannawa, Sathorn,</w:t>
            </w:r>
          </w:p>
        </w:tc>
        <w:tc>
          <w:tcPr>
            <w:tcW w:w="17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640" w:type="dxa"/>
            <w:vAlign w:val="bottom"/>
            <w:shd w:val="clear" w:color="auto" w:fill="CCEEFF"/>
          </w:tcPr>
          <w:p>
            <w:pPr>
              <w:spacing w:after="0"/>
              <w:rPr>
                <w:sz w:val="11"/>
                <w:szCs w:val="11"/>
                <w:color w:val="auto"/>
              </w:rPr>
            </w:pPr>
          </w:p>
        </w:tc>
        <w:tc>
          <w:tcPr>
            <w:tcW w:w="348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Bangkok, 10120</w:t>
            </w:r>
          </w:p>
        </w:tc>
        <w:tc>
          <w:tcPr>
            <w:tcW w:w="17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3640" w:type="dxa"/>
            <w:vAlign w:val="bottom"/>
            <w:shd w:val="clear" w:color="auto" w:fill="CCEEFF"/>
          </w:tcPr>
          <w:p>
            <w:pPr>
              <w:spacing w:after="0"/>
              <w:rPr>
                <w:sz w:val="14"/>
                <w:szCs w:val="14"/>
                <w:color w:val="auto"/>
              </w:rPr>
            </w:pPr>
          </w:p>
        </w:tc>
        <w:tc>
          <w:tcPr>
            <w:tcW w:w="3480" w:type="dxa"/>
            <w:vAlign w:val="bottom"/>
            <w:shd w:val="clear" w:color="auto" w:fill="CCEEFF"/>
          </w:tcPr>
          <w:p>
            <w:pPr>
              <w:ind w:left="440"/>
              <w:spacing w:after="0"/>
              <w:rPr>
                <w:sz w:val="20"/>
                <w:szCs w:val="20"/>
                <w:color w:val="auto"/>
              </w:rPr>
            </w:pPr>
            <w:r>
              <w:rPr>
                <w:rFonts w:ascii="Arial" w:cs="Arial" w:eastAsia="Arial" w:hAnsi="Arial"/>
                <w:sz w:val="13"/>
                <w:szCs w:val="13"/>
                <w:color w:val="auto"/>
              </w:rPr>
              <w:t>Thailand</w:t>
            </w:r>
          </w:p>
        </w:tc>
        <w:tc>
          <w:tcPr>
            <w:tcW w:w="170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3640" w:type="dxa"/>
            <w:vAlign w:val="bottom"/>
          </w:tcPr>
          <w:p>
            <w:pPr>
              <w:ind w:left="20"/>
              <w:spacing w:after="0" w:line="128" w:lineRule="exact"/>
              <w:rPr>
                <w:sz w:val="20"/>
                <w:szCs w:val="20"/>
                <w:color w:val="auto"/>
              </w:rPr>
            </w:pPr>
            <w:r>
              <w:rPr>
                <w:rFonts w:ascii="Arial" w:cs="Arial" w:eastAsia="Arial" w:hAnsi="Arial"/>
                <w:sz w:val="13"/>
                <w:szCs w:val="13"/>
                <w:color w:val="auto"/>
              </w:rPr>
              <w:t>RPS Research (Thailand) Co., Ltd.</w:t>
            </w:r>
          </w:p>
        </w:tc>
        <w:tc>
          <w:tcPr>
            <w:tcW w:w="5180" w:type="dxa"/>
            <w:vAlign w:val="bottom"/>
            <w:gridSpan w:val="2"/>
          </w:tcPr>
          <w:p>
            <w:pPr>
              <w:ind w:left="440"/>
              <w:spacing w:after="0" w:line="128" w:lineRule="exact"/>
              <w:rPr>
                <w:sz w:val="20"/>
                <w:szCs w:val="20"/>
                <w:color w:val="auto"/>
              </w:rPr>
            </w:pPr>
            <w:r>
              <w:rPr>
                <w:rFonts w:ascii="Arial" w:cs="Arial" w:eastAsia="Arial" w:hAnsi="Arial"/>
                <w:sz w:val="13"/>
                <w:szCs w:val="13"/>
                <w:color w:val="auto"/>
              </w:rPr>
              <w:t>Unit 3230, 32nd Floor, Interchange 21, 399 Sukhumvit 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tcPr>
          <w:p>
            <w:pPr>
              <w:spacing w:after="0"/>
              <w:rPr>
                <w:sz w:val="11"/>
                <w:szCs w:val="11"/>
                <w:color w:val="auto"/>
              </w:rPr>
            </w:pPr>
          </w:p>
        </w:tc>
        <w:tc>
          <w:tcPr>
            <w:tcW w:w="3480" w:type="dxa"/>
            <w:vAlign w:val="bottom"/>
          </w:tcPr>
          <w:p>
            <w:pPr>
              <w:ind w:left="440"/>
              <w:spacing w:after="0" w:line="128" w:lineRule="exact"/>
              <w:rPr>
                <w:sz w:val="20"/>
                <w:szCs w:val="20"/>
                <w:color w:val="auto"/>
              </w:rPr>
            </w:pPr>
            <w:r>
              <w:rPr>
                <w:rFonts w:ascii="Arial" w:cs="Arial" w:eastAsia="Arial" w:hAnsi="Arial"/>
                <w:sz w:val="13"/>
                <w:szCs w:val="13"/>
                <w:color w:val="auto"/>
                <w:w w:val="99"/>
              </w:rPr>
              <w:t>Road, North Klongtoey Sub-District, Wattana District,</w:t>
            </w:r>
          </w:p>
        </w:tc>
        <w:tc>
          <w:tcPr>
            <w:tcW w:w="170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3640" w:type="dxa"/>
            <w:vAlign w:val="bottom"/>
          </w:tcPr>
          <w:p>
            <w:pPr>
              <w:spacing w:after="0"/>
              <w:rPr>
                <w:sz w:val="14"/>
                <w:szCs w:val="14"/>
                <w:color w:val="auto"/>
              </w:rPr>
            </w:pPr>
          </w:p>
        </w:tc>
        <w:tc>
          <w:tcPr>
            <w:tcW w:w="3480" w:type="dxa"/>
            <w:vAlign w:val="bottom"/>
          </w:tcPr>
          <w:p>
            <w:pPr>
              <w:ind w:left="440"/>
              <w:spacing w:after="0"/>
              <w:rPr>
                <w:sz w:val="20"/>
                <w:szCs w:val="20"/>
                <w:color w:val="auto"/>
              </w:rPr>
            </w:pPr>
            <w:r>
              <w:rPr>
                <w:rFonts w:ascii="Arial" w:cs="Arial" w:eastAsia="Arial" w:hAnsi="Arial"/>
                <w:sz w:val="13"/>
                <w:szCs w:val="13"/>
                <w:color w:val="auto"/>
              </w:rPr>
              <w:t>Bangkok</w:t>
            </w:r>
          </w:p>
        </w:tc>
        <w:tc>
          <w:tcPr>
            <w:tcW w:w="170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6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Ankara Klinik Arastirma Dis Ticaret Anonim Sirketi</w:t>
            </w:r>
          </w:p>
        </w:tc>
        <w:tc>
          <w:tcPr>
            <w:tcW w:w="3480" w:type="dxa"/>
            <w:vAlign w:val="bottom"/>
            <w:shd w:val="clear" w:color="auto" w:fill="CCEEFF"/>
          </w:tcPr>
          <w:p>
            <w:pPr>
              <w:ind w:left="440"/>
              <w:spacing w:after="0" w:line="129" w:lineRule="exact"/>
              <w:rPr>
                <w:sz w:val="20"/>
                <w:szCs w:val="20"/>
                <w:color w:val="auto"/>
              </w:rPr>
            </w:pPr>
            <w:r>
              <w:rPr>
                <w:rFonts w:ascii="Arial" w:cs="Arial" w:eastAsia="Arial" w:hAnsi="Arial"/>
                <w:sz w:val="13"/>
                <w:szCs w:val="13"/>
                <w:color w:val="auto"/>
              </w:rPr>
              <w:t>Söğ</w:t>
            </w:r>
            <w:r>
              <w:rPr>
                <w:rFonts w:ascii="MS PGothic" w:cs="MS PGothic" w:eastAsia="MS PGothic" w:hAnsi="MS PGothic"/>
                <w:sz w:val="13"/>
                <w:szCs w:val="13"/>
                <w:color w:val="auto"/>
              </w:rPr>
              <w:t>✔</w:t>
            </w:r>
            <w:r>
              <w:rPr>
                <w:rFonts w:ascii="Arial" w:cs="Arial" w:eastAsia="Arial" w:hAnsi="Arial"/>
                <w:sz w:val="13"/>
                <w:szCs w:val="13"/>
                <w:color w:val="auto"/>
              </w:rPr>
              <w:t>töz</w:t>
            </w:r>
            <w:r>
              <w:rPr>
                <w:rFonts w:ascii="MS PGothic" w:cs="MS PGothic" w:eastAsia="MS PGothic" w:hAnsi="MS PGothic"/>
                <w:sz w:val="13"/>
                <w:szCs w:val="13"/>
                <w:color w:val="auto"/>
              </w:rPr>
              <w:t>✔</w:t>
            </w:r>
            <w:r>
              <w:rPr>
                <w:rFonts w:ascii="Arial" w:cs="Arial" w:eastAsia="Arial" w:hAnsi="Arial"/>
                <w:sz w:val="13"/>
                <w:szCs w:val="13"/>
                <w:color w:val="auto"/>
              </w:rPr>
              <w:t xml:space="preserve"> mah.</w:t>
            </w:r>
          </w:p>
        </w:tc>
        <w:tc>
          <w:tcPr>
            <w:tcW w:w="170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640" w:type="dxa"/>
            <w:vAlign w:val="bottom"/>
            <w:shd w:val="clear" w:color="auto" w:fill="CCEEFF"/>
          </w:tcPr>
          <w:p>
            <w:pPr>
              <w:spacing w:after="0"/>
              <w:rPr>
                <w:sz w:val="11"/>
                <w:szCs w:val="11"/>
                <w:color w:val="auto"/>
              </w:rPr>
            </w:pPr>
          </w:p>
        </w:tc>
        <w:tc>
          <w:tcPr>
            <w:tcW w:w="348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Eskişehir Yolu Cad. 2176. SK No:9</w:t>
            </w:r>
          </w:p>
        </w:tc>
        <w:tc>
          <w:tcPr>
            <w:tcW w:w="17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640" w:type="dxa"/>
            <w:vAlign w:val="bottom"/>
            <w:shd w:val="clear" w:color="auto" w:fill="CCEEFF"/>
          </w:tcPr>
          <w:p>
            <w:pPr>
              <w:spacing w:after="0"/>
              <w:rPr>
                <w:sz w:val="11"/>
                <w:szCs w:val="11"/>
                <w:color w:val="auto"/>
              </w:rPr>
            </w:pPr>
          </w:p>
        </w:tc>
        <w:tc>
          <w:tcPr>
            <w:tcW w:w="348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Posta Kodu:06510</w:t>
            </w:r>
          </w:p>
        </w:tc>
        <w:tc>
          <w:tcPr>
            <w:tcW w:w="17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640" w:type="dxa"/>
            <w:vAlign w:val="bottom"/>
            <w:shd w:val="clear" w:color="auto" w:fill="CCEEFF"/>
          </w:tcPr>
          <w:p>
            <w:pPr>
              <w:spacing w:after="0"/>
              <w:rPr>
                <w:sz w:val="11"/>
                <w:szCs w:val="11"/>
                <w:color w:val="auto"/>
              </w:rPr>
            </w:pPr>
          </w:p>
        </w:tc>
        <w:tc>
          <w:tcPr>
            <w:tcW w:w="348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Çankaya Ankara</w:t>
            </w:r>
          </w:p>
        </w:tc>
        <w:tc>
          <w:tcPr>
            <w:tcW w:w="17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3640" w:type="dxa"/>
            <w:vAlign w:val="bottom"/>
            <w:shd w:val="clear" w:color="auto" w:fill="CCEEFF"/>
          </w:tcPr>
          <w:p>
            <w:pPr>
              <w:spacing w:after="0"/>
              <w:rPr>
                <w:sz w:val="14"/>
                <w:szCs w:val="14"/>
                <w:color w:val="auto"/>
              </w:rPr>
            </w:pPr>
          </w:p>
        </w:tc>
        <w:tc>
          <w:tcPr>
            <w:tcW w:w="3480" w:type="dxa"/>
            <w:vAlign w:val="bottom"/>
            <w:shd w:val="clear" w:color="auto" w:fill="CCEEFF"/>
          </w:tcPr>
          <w:p>
            <w:pPr>
              <w:ind w:left="440"/>
              <w:spacing w:after="0"/>
              <w:rPr>
                <w:sz w:val="20"/>
                <w:szCs w:val="20"/>
                <w:color w:val="auto"/>
              </w:rPr>
            </w:pPr>
            <w:r>
              <w:rPr>
                <w:rFonts w:ascii="Arial" w:cs="Arial" w:eastAsia="Arial" w:hAnsi="Arial"/>
                <w:sz w:val="13"/>
                <w:szCs w:val="13"/>
                <w:color w:val="auto"/>
              </w:rPr>
              <w:t>Turkiye</w:t>
            </w:r>
          </w:p>
        </w:tc>
        <w:tc>
          <w:tcPr>
            <w:tcW w:w="170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bl>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129</w:t>
      </w:r>
    </w:p>
    <w:p>
      <w:pPr>
        <w:sectPr>
          <w:pgSz w:w="11900" w:h="16838" w:orient="portrait"/>
          <w:cols w:equalWidth="0" w:num="1">
            <w:col w:w="11260"/>
          </w:cols>
          <w:pgMar w:left="300" w:top="698" w:right="33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32.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2940" w:type="dxa"/>
            <w:vAlign w:val="bottom"/>
            <w:shd w:val="clear" w:color="auto" w:fill="CCEEFF"/>
          </w:tcPr>
          <w:p>
            <w:pPr>
              <w:ind w:left="440"/>
              <w:spacing w:after="0"/>
              <w:rPr>
                <w:sz w:val="20"/>
                <w:szCs w:val="20"/>
                <w:color w:val="auto"/>
              </w:rPr>
            </w:pPr>
            <w:r>
              <w:rPr>
                <w:rFonts w:ascii="Arial" w:cs="Arial" w:eastAsia="Arial" w:hAnsi="Arial"/>
                <w:sz w:val="13"/>
                <w:szCs w:val="13"/>
                <w:b w:val="1"/>
                <w:bCs w:val="1"/>
                <w:color w:val="auto"/>
              </w:rPr>
              <w:t>Registered Office</w:t>
            </w:r>
          </w:p>
        </w:tc>
        <w:tc>
          <w:tcPr>
            <w:tcW w:w="2240" w:type="dxa"/>
            <w:vAlign w:val="bottom"/>
            <w:shd w:val="clear" w:color="auto" w:fill="CCEEFF"/>
          </w:tcPr>
          <w:p>
            <w:pPr>
              <w:ind w:left="600"/>
              <w:spacing w:after="0"/>
              <w:rPr>
                <w:sz w:val="20"/>
                <w:szCs w:val="20"/>
                <w:color w:val="auto"/>
              </w:rPr>
            </w:pPr>
            <w:r>
              <w:rPr>
                <w:rFonts w:ascii="Arial" w:cs="Arial" w:eastAsia="Arial" w:hAnsi="Arial"/>
                <w:sz w:val="13"/>
                <w:szCs w:val="13"/>
                <w:b w:val="1"/>
                <w:bCs w:val="1"/>
                <w:color w:val="auto"/>
              </w:rPr>
              <w:t>Nature of business</w:t>
            </w:r>
          </w:p>
        </w:tc>
        <w:tc>
          <w:tcPr>
            <w:tcW w:w="244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Proportion held by</w:t>
            </w:r>
          </w:p>
        </w:tc>
        <w:tc>
          <w:tcPr>
            <w:tcW w:w="0" w:type="dxa"/>
            <w:vAlign w:val="bottom"/>
          </w:tcPr>
          <w:p>
            <w:pPr>
              <w:spacing w:after="0"/>
              <w:rPr>
                <w:sz w:val="1"/>
                <w:szCs w:val="1"/>
                <w:color w:val="auto"/>
              </w:rPr>
            </w:pPr>
          </w:p>
        </w:tc>
      </w:tr>
      <w:tr>
        <w:trPr>
          <w:trHeight w:val="170"/>
        </w:trPr>
        <w:tc>
          <w:tcPr>
            <w:tcW w:w="3640" w:type="dxa"/>
            <w:vAlign w:val="bottom"/>
            <w:tcBorders>
              <w:bottom w:val="single" w:sz="8" w:color="auto"/>
            </w:tcBorders>
            <w:shd w:val="clear" w:color="auto" w:fill="CCEEFF"/>
          </w:tcPr>
          <w:p>
            <w:pPr>
              <w:spacing w:after="0"/>
              <w:rPr>
                <w:sz w:val="14"/>
                <w:szCs w:val="14"/>
                <w:color w:val="auto"/>
              </w:rPr>
            </w:pPr>
          </w:p>
        </w:tc>
        <w:tc>
          <w:tcPr>
            <w:tcW w:w="2940" w:type="dxa"/>
            <w:vAlign w:val="bottom"/>
            <w:tcBorders>
              <w:bottom w:val="single" w:sz="8" w:color="auto"/>
            </w:tcBorders>
            <w:shd w:val="clear" w:color="auto" w:fill="CCEEFF"/>
          </w:tcPr>
          <w:p>
            <w:pPr>
              <w:spacing w:after="0"/>
              <w:rPr>
                <w:sz w:val="14"/>
                <w:szCs w:val="14"/>
                <w:color w:val="auto"/>
              </w:rPr>
            </w:pPr>
          </w:p>
        </w:tc>
        <w:tc>
          <w:tcPr>
            <w:tcW w:w="2240" w:type="dxa"/>
            <w:vAlign w:val="bottom"/>
            <w:tcBorders>
              <w:bottom w:val="single" w:sz="8" w:color="auto"/>
            </w:tcBorders>
            <w:shd w:val="clear" w:color="auto" w:fill="CCEEFF"/>
          </w:tcPr>
          <w:p>
            <w:pPr>
              <w:spacing w:after="0"/>
              <w:rPr>
                <w:sz w:val="14"/>
                <w:szCs w:val="14"/>
                <w:color w:val="auto"/>
              </w:rPr>
            </w:pPr>
          </w:p>
        </w:tc>
        <w:tc>
          <w:tcPr>
            <w:tcW w:w="24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3"/>
                <w:szCs w:val="13"/>
                <w:b w:val="1"/>
                <w:bCs w:val="1"/>
                <w:color w:val="auto"/>
              </w:rPr>
              <w:t>Group</w:t>
            </w:r>
          </w:p>
        </w:tc>
        <w:tc>
          <w:tcPr>
            <w:tcW w:w="0" w:type="dxa"/>
            <w:vAlign w:val="bottom"/>
          </w:tcPr>
          <w:p>
            <w:pPr>
              <w:spacing w:after="0"/>
              <w:rPr>
                <w:sz w:val="1"/>
                <w:szCs w:val="1"/>
                <w:color w:val="auto"/>
              </w:rPr>
            </w:pPr>
          </w:p>
        </w:tc>
      </w:tr>
      <w:tr>
        <w:trPr>
          <w:trHeight w:val="118"/>
        </w:trPr>
        <w:tc>
          <w:tcPr>
            <w:tcW w:w="3640" w:type="dxa"/>
            <w:vAlign w:val="bottom"/>
          </w:tcPr>
          <w:p>
            <w:pPr>
              <w:ind w:left="20"/>
              <w:spacing w:after="0" w:line="118" w:lineRule="exact"/>
              <w:rPr>
                <w:sz w:val="20"/>
                <w:szCs w:val="20"/>
                <w:color w:val="auto"/>
              </w:rPr>
            </w:pPr>
            <w:r>
              <w:rPr>
                <w:rFonts w:ascii="Arial" w:cs="Arial" w:eastAsia="Arial" w:hAnsi="Arial"/>
                <w:sz w:val="13"/>
                <w:szCs w:val="13"/>
                <w:color w:val="auto"/>
              </w:rPr>
              <w:t>Pra Turkey Sağlik Araştirma Ve Geliştirme Limited Şirketi</w:t>
            </w:r>
          </w:p>
        </w:tc>
        <w:tc>
          <w:tcPr>
            <w:tcW w:w="2940" w:type="dxa"/>
            <w:vAlign w:val="bottom"/>
          </w:tcPr>
          <w:p>
            <w:pPr>
              <w:ind w:left="440"/>
              <w:spacing w:after="0" w:line="118" w:lineRule="exact"/>
              <w:rPr>
                <w:sz w:val="20"/>
                <w:szCs w:val="20"/>
                <w:color w:val="auto"/>
              </w:rPr>
            </w:pPr>
            <w:r>
              <w:rPr>
                <w:rFonts w:ascii="Arial" w:cs="Arial" w:eastAsia="Arial" w:hAnsi="Arial"/>
                <w:sz w:val="13"/>
                <w:szCs w:val="13"/>
                <w:color w:val="auto"/>
              </w:rPr>
              <w:t>Kisikli Caddesi; No. 28, K:1-2</w:t>
            </w:r>
          </w:p>
        </w:tc>
        <w:tc>
          <w:tcPr>
            <w:tcW w:w="2240" w:type="dxa"/>
            <w:vAlign w:val="bottom"/>
          </w:tcPr>
          <w:p>
            <w:pPr>
              <w:ind w:left="600"/>
              <w:spacing w:after="0" w:line="11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18" w:lineRule="exact"/>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27"/>
        </w:trPr>
        <w:tc>
          <w:tcPr>
            <w:tcW w:w="3640" w:type="dxa"/>
            <w:vAlign w:val="bottom"/>
          </w:tcPr>
          <w:p>
            <w:pPr>
              <w:spacing w:after="0"/>
              <w:rPr>
                <w:sz w:val="11"/>
                <w:szCs w:val="11"/>
                <w:color w:val="auto"/>
              </w:rPr>
            </w:pPr>
          </w:p>
        </w:tc>
        <w:tc>
          <w:tcPr>
            <w:tcW w:w="2940" w:type="dxa"/>
            <w:vAlign w:val="bottom"/>
          </w:tcPr>
          <w:p>
            <w:pPr>
              <w:ind w:left="440"/>
              <w:spacing w:after="0" w:line="128" w:lineRule="exact"/>
              <w:rPr>
                <w:sz w:val="20"/>
                <w:szCs w:val="20"/>
                <w:color w:val="auto"/>
              </w:rPr>
            </w:pPr>
            <w:r>
              <w:rPr>
                <w:rFonts w:ascii="Arial" w:cs="Arial" w:eastAsia="Arial" w:hAnsi="Arial"/>
                <w:sz w:val="13"/>
                <w:szCs w:val="13"/>
                <w:color w:val="auto"/>
              </w:rPr>
              <w:t>Altunizade, Istanbul</w:t>
            </w:r>
          </w:p>
        </w:tc>
        <w:tc>
          <w:tcPr>
            <w:tcW w:w="22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3640" w:type="dxa"/>
            <w:vAlign w:val="bottom"/>
          </w:tcPr>
          <w:p>
            <w:pPr>
              <w:spacing w:after="0"/>
              <w:rPr>
                <w:sz w:val="14"/>
                <w:szCs w:val="14"/>
                <w:color w:val="auto"/>
              </w:rPr>
            </w:pPr>
          </w:p>
        </w:tc>
        <w:tc>
          <w:tcPr>
            <w:tcW w:w="2940" w:type="dxa"/>
            <w:vAlign w:val="bottom"/>
          </w:tcPr>
          <w:p>
            <w:pPr>
              <w:ind w:left="440"/>
              <w:spacing w:after="0"/>
              <w:rPr>
                <w:sz w:val="20"/>
                <w:szCs w:val="20"/>
                <w:color w:val="auto"/>
              </w:rPr>
            </w:pPr>
            <w:r>
              <w:rPr>
                <w:rFonts w:ascii="Arial" w:cs="Arial" w:eastAsia="Arial" w:hAnsi="Arial"/>
                <w:sz w:val="13"/>
                <w:szCs w:val="13"/>
                <w:color w:val="auto"/>
              </w:rPr>
              <w:t>Turkey 34662</w:t>
            </w:r>
          </w:p>
        </w:tc>
        <w:tc>
          <w:tcPr>
            <w:tcW w:w="22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6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DOCS Ukraine LLC</w:t>
            </w:r>
          </w:p>
        </w:tc>
        <w:tc>
          <w:tcPr>
            <w:tcW w:w="2940" w:type="dxa"/>
            <w:vAlign w:val="bottom"/>
            <w:shd w:val="clear" w:color="auto" w:fill="CCEEFF"/>
          </w:tcPr>
          <w:p>
            <w:pPr>
              <w:ind w:left="440"/>
              <w:spacing w:after="0" w:line="129" w:lineRule="exact"/>
              <w:rPr>
                <w:sz w:val="20"/>
                <w:szCs w:val="20"/>
                <w:color w:val="auto"/>
              </w:rPr>
            </w:pPr>
            <w:r>
              <w:rPr>
                <w:rFonts w:ascii="Arial" w:cs="Arial" w:eastAsia="Arial" w:hAnsi="Arial"/>
                <w:sz w:val="13"/>
                <w:szCs w:val="13"/>
                <w:color w:val="auto"/>
              </w:rPr>
              <w:t>4th Floor,</w:t>
            </w:r>
          </w:p>
        </w:tc>
        <w:tc>
          <w:tcPr>
            <w:tcW w:w="2240" w:type="dxa"/>
            <w:vAlign w:val="bottom"/>
            <w:shd w:val="clear" w:color="auto" w:fill="CCEEFF"/>
          </w:tcPr>
          <w:p>
            <w:pPr>
              <w:ind w:left="60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27"/>
        </w:trPr>
        <w:tc>
          <w:tcPr>
            <w:tcW w:w="3640" w:type="dxa"/>
            <w:vAlign w:val="bottom"/>
            <w:shd w:val="clear" w:color="auto" w:fill="CCEEFF"/>
          </w:tcPr>
          <w:p>
            <w:pPr>
              <w:spacing w:after="0"/>
              <w:rPr>
                <w:sz w:val="11"/>
                <w:szCs w:val="11"/>
                <w:color w:val="auto"/>
              </w:rPr>
            </w:pPr>
          </w:p>
        </w:tc>
        <w:tc>
          <w:tcPr>
            <w:tcW w:w="294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St. Poleva 24,</w:t>
            </w:r>
          </w:p>
        </w:tc>
        <w:tc>
          <w:tcPr>
            <w:tcW w:w="22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640" w:type="dxa"/>
            <w:vAlign w:val="bottom"/>
            <w:shd w:val="clear" w:color="auto" w:fill="CCEEFF"/>
          </w:tcPr>
          <w:p>
            <w:pPr>
              <w:spacing w:after="0"/>
              <w:rPr>
                <w:sz w:val="11"/>
                <w:szCs w:val="11"/>
                <w:color w:val="auto"/>
              </w:rPr>
            </w:pPr>
          </w:p>
        </w:tc>
        <w:tc>
          <w:tcPr>
            <w:tcW w:w="294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Kiev,</w:t>
            </w:r>
          </w:p>
        </w:tc>
        <w:tc>
          <w:tcPr>
            <w:tcW w:w="22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3640" w:type="dxa"/>
            <w:vAlign w:val="bottom"/>
            <w:shd w:val="clear" w:color="auto" w:fill="CCEEFF"/>
          </w:tcPr>
          <w:p>
            <w:pPr>
              <w:spacing w:after="0"/>
              <w:rPr>
                <w:sz w:val="14"/>
                <w:szCs w:val="14"/>
                <w:color w:val="auto"/>
              </w:rPr>
            </w:pPr>
          </w:p>
        </w:tc>
        <w:tc>
          <w:tcPr>
            <w:tcW w:w="2940" w:type="dxa"/>
            <w:vAlign w:val="bottom"/>
            <w:shd w:val="clear" w:color="auto" w:fill="CCEEFF"/>
          </w:tcPr>
          <w:p>
            <w:pPr>
              <w:ind w:left="440"/>
              <w:spacing w:after="0"/>
              <w:rPr>
                <w:sz w:val="20"/>
                <w:szCs w:val="20"/>
                <w:color w:val="auto"/>
              </w:rPr>
            </w:pPr>
            <w:r>
              <w:rPr>
                <w:rFonts w:ascii="Arial" w:cs="Arial" w:eastAsia="Arial" w:hAnsi="Arial"/>
                <w:sz w:val="13"/>
                <w:szCs w:val="13"/>
                <w:color w:val="auto"/>
              </w:rPr>
              <w:t>Ukraine, 03056</w:t>
            </w:r>
          </w:p>
        </w:tc>
        <w:tc>
          <w:tcPr>
            <w:tcW w:w="224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3640" w:type="dxa"/>
            <w:vAlign w:val="bottom"/>
          </w:tcPr>
          <w:p>
            <w:pPr>
              <w:ind w:left="20"/>
              <w:spacing w:after="0" w:line="128" w:lineRule="exact"/>
              <w:rPr>
                <w:sz w:val="20"/>
                <w:szCs w:val="20"/>
                <w:color w:val="auto"/>
              </w:rPr>
            </w:pPr>
            <w:r>
              <w:rPr>
                <w:rFonts w:ascii="Arial" w:cs="Arial" w:eastAsia="Arial" w:hAnsi="Arial"/>
                <w:sz w:val="13"/>
                <w:szCs w:val="13"/>
                <w:color w:val="auto"/>
              </w:rPr>
              <w:t>ICON Clinical Research LLC</w:t>
            </w:r>
          </w:p>
        </w:tc>
        <w:tc>
          <w:tcPr>
            <w:tcW w:w="2940" w:type="dxa"/>
            <w:vAlign w:val="bottom"/>
          </w:tcPr>
          <w:p>
            <w:pPr>
              <w:ind w:left="440"/>
              <w:spacing w:after="0" w:line="128" w:lineRule="exact"/>
              <w:rPr>
                <w:sz w:val="20"/>
                <w:szCs w:val="20"/>
                <w:color w:val="auto"/>
              </w:rPr>
            </w:pPr>
            <w:r>
              <w:rPr>
                <w:rFonts w:ascii="Arial" w:cs="Arial" w:eastAsia="Arial" w:hAnsi="Arial"/>
                <w:sz w:val="13"/>
                <w:szCs w:val="13"/>
                <w:color w:val="auto"/>
              </w:rPr>
              <w:t>4th Floor,</w:t>
            </w:r>
          </w:p>
        </w:tc>
        <w:tc>
          <w:tcPr>
            <w:tcW w:w="2240" w:type="dxa"/>
            <w:vAlign w:val="bottom"/>
          </w:tcPr>
          <w:p>
            <w:pPr>
              <w:ind w:left="60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27"/>
        </w:trPr>
        <w:tc>
          <w:tcPr>
            <w:tcW w:w="3640" w:type="dxa"/>
            <w:vAlign w:val="bottom"/>
          </w:tcPr>
          <w:p>
            <w:pPr>
              <w:spacing w:after="0"/>
              <w:rPr>
                <w:sz w:val="11"/>
                <w:szCs w:val="11"/>
                <w:color w:val="auto"/>
              </w:rPr>
            </w:pPr>
          </w:p>
        </w:tc>
        <w:tc>
          <w:tcPr>
            <w:tcW w:w="2940" w:type="dxa"/>
            <w:vAlign w:val="bottom"/>
          </w:tcPr>
          <w:p>
            <w:pPr>
              <w:ind w:left="440"/>
              <w:spacing w:after="0" w:line="128" w:lineRule="exact"/>
              <w:rPr>
                <w:sz w:val="20"/>
                <w:szCs w:val="20"/>
                <w:color w:val="auto"/>
              </w:rPr>
            </w:pPr>
            <w:r>
              <w:rPr>
                <w:rFonts w:ascii="Arial" w:cs="Arial" w:eastAsia="Arial" w:hAnsi="Arial"/>
                <w:sz w:val="13"/>
                <w:szCs w:val="13"/>
                <w:color w:val="auto"/>
              </w:rPr>
              <w:t>St. Poleva 24,</w:t>
            </w:r>
          </w:p>
        </w:tc>
        <w:tc>
          <w:tcPr>
            <w:tcW w:w="22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640" w:type="dxa"/>
            <w:vAlign w:val="bottom"/>
          </w:tcPr>
          <w:p>
            <w:pPr>
              <w:spacing w:after="0"/>
              <w:rPr>
                <w:sz w:val="11"/>
                <w:szCs w:val="11"/>
                <w:color w:val="auto"/>
              </w:rPr>
            </w:pPr>
          </w:p>
        </w:tc>
        <w:tc>
          <w:tcPr>
            <w:tcW w:w="2940" w:type="dxa"/>
            <w:vAlign w:val="bottom"/>
          </w:tcPr>
          <w:p>
            <w:pPr>
              <w:ind w:left="440"/>
              <w:spacing w:after="0" w:line="128" w:lineRule="exact"/>
              <w:rPr>
                <w:sz w:val="20"/>
                <w:szCs w:val="20"/>
                <w:color w:val="auto"/>
              </w:rPr>
            </w:pPr>
            <w:r>
              <w:rPr>
                <w:rFonts w:ascii="Arial" w:cs="Arial" w:eastAsia="Arial" w:hAnsi="Arial"/>
                <w:sz w:val="13"/>
                <w:szCs w:val="13"/>
                <w:color w:val="auto"/>
              </w:rPr>
              <w:t>Kiev,</w:t>
            </w:r>
          </w:p>
        </w:tc>
        <w:tc>
          <w:tcPr>
            <w:tcW w:w="22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3640" w:type="dxa"/>
            <w:vAlign w:val="bottom"/>
          </w:tcPr>
          <w:p>
            <w:pPr>
              <w:spacing w:after="0"/>
              <w:rPr>
                <w:sz w:val="14"/>
                <w:szCs w:val="14"/>
                <w:color w:val="auto"/>
              </w:rPr>
            </w:pPr>
          </w:p>
        </w:tc>
        <w:tc>
          <w:tcPr>
            <w:tcW w:w="2940" w:type="dxa"/>
            <w:vAlign w:val="bottom"/>
          </w:tcPr>
          <w:p>
            <w:pPr>
              <w:ind w:left="440"/>
              <w:spacing w:after="0"/>
              <w:rPr>
                <w:sz w:val="20"/>
                <w:szCs w:val="20"/>
                <w:color w:val="auto"/>
              </w:rPr>
            </w:pPr>
            <w:r>
              <w:rPr>
                <w:rFonts w:ascii="Arial" w:cs="Arial" w:eastAsia="Arial" w:hAnsi="Arial"/>
                <w:sz w:val="13"/>
                <w:szCs w:val="13"/>
                <w:color w:val="auto"/>
              </w:rPr>
              <w:t>Ukraine, 03056</w:t>
            </w:r>
          </w:p>
        </w:tc>
        <w:tc>
          <w:tcPr>
            <w:tcW w:w="22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IMP-Logistics Ukraine, LLC</w:t>
            </w:r>
          </w:p>
        </w:tc>
        <w:tc>
          <w:tcPr>
            <w:tcW w:w="2940" w:type="dxa"/>
            <w:vAlign w:val="bottom"/>
            <w:shd w:val="clear" w:color="auto" w:fill="CCEEFF"/>
          </w:tcPr>
          <w:p>
            <w:pPr>
              <w:ind w:left="440"/>
              <w:spacing w:after="0"/>
              <w:rPr>
                <w:sz w:val="20"/>
                <w:szCs w:val="20"/>
                <w:color w:val="auto"/>
              </w:rPr>
            </w:pPr>
            <w:r>
              <w:rPr>
                <w:rFonts w:ascii="Arial" w:cs="Arial" w:eastAsia="Arial" w:hAnsi="Arial"/>
                <w:sz w:val="13"/>
                <w:szCs w:val="13"/>
                <w:color w:val="auto"/>
              </w:rPr>
              <w:t>8,Viskozna st. Kyiv Ukraine 02094</w:t>
            </w:r>
          </w:p>
        </w:tc>
        <w:tc>
          <w:tcPr>
            <w:tcW w:w="2240" w:type="dxa"/>
            <w:vAlign w:val="bottom"/>
            <w:shd w:val="clear" w:color="auto" w:fill="CCEEFF"/>
          </w:tcPr>
          <w:p>
            <w:pPr>
              <w:ind w:left="600"/>
              <w:spacing w:after="0"/>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27"/>
        </w:trPr>
        <w:tc>
          <w:tcPr>
            <w:tcW w:w="3640" w:type="dxa"/>
            <w:vAlign w:val="bottom"/>
          </w:tcPr>
          <w:p>
            <w:pPr>
              <w:ind w:left="20"/>
              <w:spacing w:after="0" w:line="128" w:lineRule="exact"/>
              <w:rPr>
                <w:sz w:val="20"/>
                <w:szCs w:val="20"/>
                <w:color w:val="auto"/>
              </w:rPr>
            </w:pPr>
            <w:r>
              <w:rPr>
                <w:rFonts w:ascii="Arial" w:cs="Arial" w:eastAsia="Arial" w:hAnsi="Arial"/>
                <w:sz w:val="13"/>
                <w:szCs w:val="13"/>
                <w:color w:val="auto"/>
              </w:rPr>
              <w:t>Pharmaceutical Research Associates Ukraine, LLC</w:t>
            </w:r>
          </w:p>
        </w:tc>
        <w:tc>
          <w:tcPr>
            <w:tcW w:w="2940" w:type="dxa"/>
            <w:vAlign w:val="bottom"/>
          </w:tcPr>
          <w:p>
            <w:pPr>
              <w:ind w:left="440"/>
              <w:spacing w:after="0" w:line="128" w:lineRule="exact"/>
              <w:rPr>
                <w:sz w:val="20"/>
                <w:szCs w:val="20"/>
                <w:color w:val="auto"/>
              </w:rPr>
            </w:pPr>
            <w:r>
              <w:rPr>
                <w:rFonts w:ascii="Arial" w:cs="Arial" w:eastAsia="Arial" w:hAnsi="Arial"/>
                <w:sz w:val="13"/>
                <w:szCs w:val="13"/>
                <w:color w:val="auto"/>
              </w:rPr>
              <w:t>75 Zhylianska Street</w:t>
            </w:r>
          </w:p>
        </w:tc>
        <w:tc>
          <w:tcPr>
            <w:tcW w:w="2240" w:type="dxa"/>
            <w:vAlign w:val="bottom"/>
          </w:tcPr>
          <w:p>
            <w:pPr>
              <w:ind w:left="60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68"/>
        </w:trPr>
        <w:tc>
          <w:tcPr>
            <w:tcW w:w="3640" w:type="dxa"/>
            <w:vAlign w:val="bottom"/>
          </w:tcPr>
          <w:p>
            <w:pPr>
              <w:spacing w:after="0"/>
              <w:rPr>
                <w:sz w:val="14"/>
                <w:szCs w:val="14"/>
                <w:color w:val="auto"/>
              </w:rPr>
            </w:pPr>
          </w:p>
        </w:tc>
        <w:tc>
          <w:tcPr>
            <w:tcW w:w="2940" w:type="dxa"/>
            <w:vAlign w:val="bottom"/>
          </w:tcPr>
          <w:p>
            <w:pPr>
              <w:ind w:left="440"/>
              <w:spacing w:after="0"/>
              <w:rPr>
                <w:sz w:val="20"/>
                <w:szCs w:val="20"/>
                <w:color w:val="auto"/>
              </w:rPr>
            </w:pPr>
            <w:r>
              <w:rPr>
                <w:rFonts w:ascii="Arial" w:cs="Arial" w:eastAsia="Arial" w:hAnsi="Arial"/>
                <w:sz w:val="13"/>
                <w:szCs w:val="13"/>
                <w:color w:val="auto"/>
              </w:rPr>
              <w:t>Kyiv, Ukraine 01032</w:t>
            </w:r>
          </w:p>
        </w:tc>
        <w:tc>
          <w:tcPr>
            <w:tcW w:w="22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6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Accellacare UK Limited</w:t>
            </w:r>
          </w:p>
        </w:tc>
        <w:tc>
          <w:tcPr>
            <w:tcW w:w="2940" w:type="dxa"/>
            <w:vAlign w:val="bottom"/>
            <w:shd w:val="clear" w:color="auto" w:fill="CCEEFF"/>
          </w:tcPr>
          <w:p>
            <w:pPr>
              <w:ind w:left="440"/>
              <w:spacing w:after="0" w:line="129" w:lineRule="exact"/>
              <w:rPr>
                <w:sz w:val="20"/>
                <w:szCs w:val="20"/>
                <w:color w:val="auto"/>
              </w:rPr>
            </w:pPr>
            <w:r>
              <w:rPr>
                <w:rFonts w:ascii="Arial" w:cs="Arial" w:eastAsia="Arial" w:hAnsi="Arial"/>
                <w:sz w:val="13"/>
                <w:szCs w:val="13"/>
                <w:color w:val="auto"/>
              </w:rPr>
              <w:t>500 South Oak Way Green Park</w:t>
            </w:r>
          </w:p>
        </w:tc>
        <w:tc>
          <w:tcPr>
            <w:tcW w:w="2240" w:type="dxa"/>
            <w:vAlign w:val="bottom"/>
            <w:shd w:val="clear" w:color="auto" w:fill="CCEEFF"/>
          </w:tcPr>
          <w:p>
            <w:pPr>
              <w:ind w:left="60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27"/>
        </w:trPr>
        <w:tc>
          <w:tcPr>
            <w:tcW w:w="3640" w:type="dxa"/>
            <w:vAlign w:val="bottom"/>
            <w:shd w:val="clear" w:color="auto" w:fill="CCEEFF"/>
          </w:tcPr>
          <w:p>
            <w:pPr>
              <w:spacing w:after="0"/>
              <w:rPr>
                <w:sz w:val="11"/>
                <w:szCs w:val="11"/>
                <w:color w:val="auto"/>
              </w:rPr>
            </w:pPr>
          </w:p>
        </w:tc>
        <w:tc>
          <w:tcPr>
            <w:tcW w:w="294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Reading</w:t>
            </w:r>
          </w:p>
        </w:tc>
        <w:tc>
          <w:tcPr>
            <w:tcW w:w="22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640" w:type="dxa"/>
            <w:vAlign w:val="bottom"/>
            <w:shd w:val="clear" w:color="auto" w:fill="CCEEFF"/>
          </w:tcPr>
          <w:p>
            <w:pPr>
              <w:spacing w:after="0"/>
              <w:rPr>
                <w:sz w:val="11"/>
                <w:szCs w:val="11"/>
                <w:color w:val="auto"/>
              </w:rPr>
            </w:pPr>
          </w:p>
        </w:tc>
        <w:tc>
          <w:tcPr>
            <w:tcW w:w="294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RG2 6AD</w:t>
            </w:r>
          </w:p>
        </w:tc>
        <w:tc>
          <w:tcPr>
            <w:tcW w:w="22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3640" w:type="dxa"/>
            <w:vAlign w:val="bottom"/>
            <w:shd w:val="clear" w:color="auto" w:fill="CCEEFF"/>
          </w:tcPr>
          <w:p>
            <w:pPr>
              <w:spacing w:after="0"/>
              <w:rPr>
                <w:sz w:val="14"/>
                <w:szCs w:val="14"/>
                <w:color w:val="auto"/>
              </w:rPr>
            </w:pPr>
          </w:p>
        </w:tc>
        <w:tc>
          <w:tcPr>
            <w:tcW w:w="2940" w:type="dxa"/>
            <w:vAlign w:val="bottom"/>
            <w:shd w:val="clear" w:color="auto" w:fill="CCEEFF"/>
          </w:tcPr>
          <w:p>
            <w:pPr>
              <w:ind w:left="440"/>
              <w:spacing w:after="0"/>
              <w:rPr>
                <w:sz w:val="20"/>
                <w:szCs w:val="20"/>
                <w:color w:val="auto"/>
              </w:rPr>
            </w:pPr>
            <w:r>
              <w:rPr>
                <w:rFonts w:ascii="Arial" w:cs="Arial" w:eastAsia="Arial" w:hAnsi="Arial"/>
                <w:sz w:val="13"/>
                <w:szCs w:val="13"/>
                <w:color w:val="auto"/>
              </w:rPr>
              <w:t>United Kingdom</w:t>
            </w:r>
          </w:p>
        </w:tc>
        <w:tc>
          <w:tcPr>
            <w:tcW w:w="224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3640" w:type="dxa"/>
            <w:vAlign w:val="bottom"/>
          </w:tcPr>
          <w:p>
            <w:pPr>
              <w:ind w:left="20"/>
              <w:spacing w:after="0" w:line="128" w:lineRule="exact"/>
              <w:rPr>
                <w:sz w:val="20"/>
                <w:szCs w:val="20"/>
                <w:color w:val="auto"/>
              </w:rPr>
            </w:pPr>
            <w:r>
              <w:rPr>
                <w:rFonts w:ascii="Arial" w:cs="Arial" w:eastAsia="Arial" w:hAnsi="Arial"/>
                <w:sz w:val="13"/>
                <w:szCs w:val="13"/>
                <w:color w:val="auto"/>
              </w:rPr>
              <w:t>Aptiv Solutions (UK) Ltd</w:t>
            </w:r>
          </w:p>
        </w:tc>
        <w:tc>
          <w:tcPr>
            <w:tcW w:w="2940" w:type="dxa"/>
            <w:vAlign w:val="bottom"/>
          </w:tcPr>
          <w:p>
            <w:pPr>
              <w:ind w:left="440"/>
              <w:spacing w:after="0" w:line="128" w:lineRule="exact"/>
              <w:rPr>
                <w:sz w:val="20"/>
                <w:szCs w:val="20"/>
                <w:color w:val="auto"/>
              </w:rPr>
            </w:pPr>
            <w:r>
              <w:rPr>
                <w:rFonts w:ascii="Arial" w:cs="Arial" w:eastAsia="Arial" w:hAnsi="Arial"/>
                <w:sz w:val="13"/>
                <w:szCs w:val="13"/>
                <w:color w:val="auto"/>
              </w:rPr>
              <w:t>500 South Oak Way Green Park</w:t>
            </w:r>
          </w:p>
        </w:tc>
        <w:tc>
          <w:tcPr>
            <w:tcW w:w="2240" w:type="dxa"/>
            <w:vAlign w:val="bottom"/>
          </w:tcPr>
          <w:p>
            <w:pPr>
              <w:ind w:left="60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27"/>
        </w:trPr>
        <w:tc>
          <w:tcPr>
            <w:tcW w:w="3640" w:type="dxa"/>
            <w:vAlign w:val="bottom"/>
          </w:tcPr>
          <w:p>
            <w:pPr>
              <w:spacing w:after="0"/>
              <w:rPr>
                <w:sz w:val="11"/>
                <w:szCs w:val="11"/>
                <w:color w:val="auto"/>
              </w:rPr>
            </w:pPr>
          </w:p>
        </w:tc>
        <w:tc>
          <w:tcPr>
            <w:tcW w:w="2940" w:type="dxa"/>
            <w:vAlign w:val="bottom"/>
          </w:tcPr>
          <w:p>
            <w:pPr>
              <w:ind w:left="440"/>
              <w:spacing w:after="0" w:line="128" w:lineRule="exact"/>
              <w:rPr>
                <w:sz w:val="20"/>
                <w:szCs w:val="20"/>
                <w:color w:val="auto"/>
              </w:rPr>
            </w:pPr>
            <w:r>
              <w:rPr>
                <w:rFonts w:ascii="Arial" w:cs="Arial" w:eastAsia="Arial" w:hAnsi="Arial"/>
                <w:sz w:val="13"/>
                <w:szCs w:val="13"/>
                <w:color w:val="auto"/>
              </w:rPr>
              <w:t>Reading</w:t>
            </w:r>
          </w:p>
        </w:tc>
        <w:tc>
          <w:tcPr>
            <w:tcW w:w="22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640" w:type="dxa"/>
            <w:vAlign w:val="bottom"/>
          </w:tcPr>
          <w:p>
            <w:pPr>
              <w:spacing w:after="0"/>
              <w:rPr>
                <w:sz w:val="11"/>
                <w:szCs w:val="11"/>
                <w:color w:val="auto"/>
              </w:rPr>
            </w:pPr>
          </w:p>
        </w:tc>
        <w:tc>
          <w:tcPr>
            <w:tcW w:w="2940" w:type="dxa"/>
            <w:vAlign w:val="bottom"/>
          </w:tcPr>
          <w:p>
            <w:pPr>
              <w:ind w:left="440"/>
              <w:spacing w:after="0" w:line="128" w:lineRule="exact"/>
              <w:rPr>
                <w:sz w:val="20"/>
                <w:szCs w:val="20"/>
                <w:color w:val="auto"/>
              </w:rPr>
            </w:pPr>
            <w:r>
              <w:rPr>
                <w:rFonts w:ascii="Arial" w:cs="Arial" w:eastAsia="Arial" w:hAnsi="Arial"/>
                <w:sz w:val="13"/>
                <w:szCs w:val="13"/>
                <w:color w:val="auto"/>
              </w:rPr>
              <w:t>RG2 6AD</w:t>
            </w:r>
          </w:p>
        </w:tc>
        <w:tc>
          <w:tcPr>
            <w:tcW w:w="22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3640" w:type="dxa"/>
            <w:vAlign w:val="bottom"/>
          </w:tcPr>
          <w:p>
            <w:pPr>
              <w:spacing w:after="0"/>
              <w:rPr>
                <w:sz w:val="14"/>
                <w:szCs w:val="14"/>
                <w:color w:val="auto"/>
              </w:rPr>
            </w:pPr>
          </w:p>
        </w:tc>
        <w:tc>
          <w:tcPr>
            <w:tcW w:w="2940" w:type="dxa"/>
            <w:vAlign w:val="bottom"/>
          </w:tcPr>
          <w:p>
            <w:pPr>
              <w:ind w:left="440"/>
              <w:spacing w:after="0"/>
              <w:rPr>
                <w:sz w:val="20"/>
                <w:szCs w:val="20"/>
                <w:color w:val="auto"/>
              </w:rPr>
            </w:pPr>
            <w:r>
              <w:rPr>
                <w:rFonts w:ascii="Arial" w:cs="Arial" w:eastAsia="Arial" w:hAnsi="Arial"/>
                <w:sz w:val="13"/>
                <w:szCs w:val="13"/>
                <w:color w:val="auto"/>
              </w:rPr>
              <w:t>United Kingdom</w:t>
            </w:r>
          </w:p>
        </w:tc>
        <w:tc>
          <w:tcPr>
            <w:tcW w:w="22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6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DOCS International UK Limited</w:t>
            </w:r>
          </w:p>
        </w:tc>
        <w:tc>
          <w:tcPr>
            <w:tcW w:w="2940" w:type="dxa"/>
            <w:vAlign w:val="bottom"/>
            <w:shd w:val="clear" w:color="auto" w:fill="CCEEFF"/>
          </w:tcPr>
          <w:p>
            <w:pPr>
              <w:ind w:left="440"/>
              <w:spacing w:after="0" w:line="129" w:lineRule="exact"/>
              <w:rPr>
                <w:sz w:val="20"/>
                <w:szCs w:val="20"/>
                <w:color w:val="auto"/>
              </w:rPr>
            </w:pPr>
            <w:r>
              <w:rPr>
                <w:rFonts w:ascii="Arial" w:cs="Arial" w:eastAsia="Arial" w:hAnsi="Arial"/>
                <w:sz w:val="13"/>
                <w:szCs w:val="13"/>
                <w:color w:val="auto"/>
              </w:rPr>
              <w:t>500 South Oak Way Green Park</w:t>
            </w:r>
          </w:p>
        </w:tc>
        <w:tc>
          <w:tcPr>
            <w:tcW w:w="2240" w:type="dxa"/>
            <w:vAlign w:val="bottom"/>
            <w:shd w:val="clear" w:color="auto" w:fill="CCEEFF"/>
          </w:tcPr>
          <w:p>
            <w:pPr>
              <w:ind w:left="60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27"/>
        </w:trPr>
        <w:tc>
          <w:tcPr>
            <w:tcW w:w="3640" w:type="dxa"/>
            <w:vAlign w:val="bottom"/>
            <w:shd w:val="clear" w:color="auto" w:fill="CCEEFF"/>
          </w:tcPr>
          <w:p>
            <w:pPr>
              <w:spacing w:after="0"/>
              <w:rPr>
                <w:sz w:val="11"/>
                <w:szCs w:val="11"/>
                <w:color w:val="auto"/>
              </w:rPr>
            </w:pPr>
          </w:p>
        </w:tc>
        <w:tc>
          <w:tcPr>
            <w:tcW w:w="294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Reading</w:t>
            </w:r>
          </w:p>
        </w:tc>
        <w:tc>
          <w:tcPr>
            <w:tcW w:w="22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640" w:type="dxa"/>
            <w:vAlign w:val="bottom"/>
            <w:shd w:val="clear" w:color="auto" w:fill="CCEEFF"/>
          </w:tcPr>
          <w:p>
            <w:pPr>
              <w:spacing w:after="0"/>
              <w:rPr>
                <w:sz w:val="11"/>
                <w:szCs w:val="11"/>
                <w:color w:val="auto"/>
              </w:rPr>
            </w:pPr>
          </w:p>
        </w:tc>
        <w:tc>
          <w:tcPr>
            <w:tcW w:w="294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RG2 6AD</w:t>
            </w:r>
          </w:p>
        </w:tc>
        <w:tc>
          <w:tcPr>
            <w:tcW w:w="22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3640" w:type="dxa"/>
            <w:vAlign w:val="bottom"/>
            <w:shd w:val="clear" w:color="auto" w:fill="CCEEFF"/>
          </w:tcPr>
          <w:p>
            <w:pPr>
              <w:spacing w:after="0"/>
              <w:rPr>
                <w:sz w:val="14"/>
                <w:szCs w:val="14"/>
                <w:color w:val="auto"/>
              </w:rPr>
            </w:pPr>
          </w:p>
        </w:tc>
        <w:tc>
          <w:tcPr>
            <w:tcW w:w="2940" w:type="dxa"/>
            <w:vAlign w:val="bottom"/>
            <w:shd w:val="clear" w:color="auto" w:fill="CCEEFF"/>
          </w:tcPr>
          <w:p>
            <w:pPr>
              <w:ind w:left="440"/>
              <w:spacing w:after="0"/>
              <w:rPr>
                <w:sz w:val="20"/>
                <w:szCs w:val="20"/>
                <w:color w:val="auto"/>
              </w:rPr>
            </w:pPr>
            <w:r>
              <w:rPr>
                <w:rFonts w:ascii="Arial" w:cs="Arial" w:eastAsia="Arial" w:hAnsi="Arial"/>
                <w:sz w:val="13"/>
                <w:szCs w:val="13"/>
                <w:color w:val="auto"/>
              </w:rPr>
              <w:t>United Kingdom</w:t>
            </w:r>
          </w:p>
        </w:tc>
        <w:tc>
          <w:tcPr>
            <w:tcW w:w="224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3640" w:type="dxa"/>
            <w:vAlign w:val="bottom"/>
          </w:tcPr>
          <w:p>
            <w:pPr>
              <w:ind w:left="20"/>
              <w:spacing w:after="0" w:line="128" w:lineRule="exact"/>
              <w:rPr>
                <w:sz w:val="20"/>
                <w:szCs w:val="20"/>
                <w:color w:val="auto"/>
              </w:rPr>
            </w:pPr>
            <w:r>
              <w:rPr>
                <w:rFonts w:ascii="Arial" w:cs="Arial" w:eastAsia="Arial" w:hAnsi="Arial"/>
                <w:sz w:val="13"/>
                <w:szCs w:val="13"/>
                <w:color w:val="auto"/>
              </w:rPr>
              <w:t>ICON (LR) Limited</w:t>
            </w:r>
          </w:p>
        </w:tc>
        <w:tc>
          <w:tcPr>
            <w:tcW w:w="2940" w:type="dxa"/>
            <w:vAlign w:val="bottom"/>
          </w:tcPr>
          <w:p>
            <w:pPr>
              <w:ind w:left="440"/>
              <w:spacing w:after="0" w:line="128" w:lineRule="exact"/>
              <w:rPr>
                <w:sz w:val="20"/>
                <w:szCs w:val="20"/>
                <w:color w:val="auto"/>
              </w:rPr>
            </w:pPr>
            <w:r>
              <w:rPr>
                <w:rFonts w:ascii="Arial" w:cs="Arial" w:eastAsia="Arial" w:hAnsi="Arial"/>
                <w:sz w:val="13"/>
                <w:szCs w:val="13"/>
                <w:color w:val="auto"/>
              </w:rPr>
              <w:t>500 South Oak Way Green Park</w:t>
            </w:r>
          </w:p>
        </w:tc>
        <w:tc>
          <w:tcPr>
            <w:tcW w:w="2240" w:type="dxa"/>
            <w:vAlign w:val="bottom"/>
          </w:tcPr>
          <w:p>
            <w:pPr>
              <w:ind w:left="60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27"/>
        </w:trPr>
        <w:tc>
          <w:tcPr>
            <w:tcW w:w="3640" w:type="dxa"/>
            <w:vAlign w:val="bottom"/>
          </w:tcPr>
          <w:p>
            <w:pPr>
              <w:spacing w:after="0"/>
              <w:rPr>
                <w:sz w:val="11"/>
                <w:szCs w:val="11"/>
                <w:color w:val="auto"/>
              </w:rPr>
            </w:pPr>
          </w:p>
        </w:tc>
        <w:tc>
          <w:tcPr>
            <w:tcW w:w="2940" w:type="dxa"/>
            <w:vAlign w:val="bottom"/>
          </w:tcPr>
          <w:p>
            <w:pPr>
              <w:ind w:left="440"/>
              <w:spacing w:after="0" w:line="128" w:lineRule="exact"/>
              <w:rPr>
                <w:sz w:val="20"/>
                <w:szCs w:val="20"/>
                <w:color w:val="auto"/>
              </w:rPr>
            </w:pPr>
            <w:r>
              <w:rPr>
                <w:rFonts w:ascii="Arial" w:cs="Arial" w:eastAsia="Arial" w:hAnsi="Arial"/>
                <w:sz w:val="13"/>
                <w:szCs w:val="13"/>
                <w:color w:val="auto"/>
              </w:rPr>
              <w:t>Reading</w:t>
            </w:r>
          </w:p>
        </w:tc>
        <w:tc>
          <w:tcPr>
            <w:tcW w:w="22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640" w:type="dxa"/>
            <w:vAlign w:val="bottom"/>
          </w:tcPr>
          <w:p>
            <w:pPr>
              <w:spacing w:after="0"/>
              <w:rPr>
                <w:sz w:val="11"/>
                <w:szCs w:val="11"/>
                <w:color w:val="auto"/>
              </w:rPr>
            </w:pPr>
          </w:p>
        </w:tc>
        <w:tc>
          <w:tcPr>
            <w:tcW w:w="2940" w:type="dxa"/>
            <w:vAlign w:val="bottom"/>
          </w:tcPr>
          <w:p>
            <w:pPr>
              <w:ind w:left="440"/>
              <w:spacing w:after="0" w:line="128" w:lineRule="exact"/>
              <w:rPr>
                <w:sz w:val="20"/>
                <w:szCs w:val="20"/>
                <w:color w:val="auto"/>
              </w:rPr>
            </w:pPr>
            <w:r>
              <w:rPr>
                <w:rFonts w:ascii="Arial" w:cs="Arial" w:eastAsia="Arial" w:hAnsi="Arial"/>
                <w:sz w:val="13"/>
                <w:szCs w:val="13"/>
                <w:color w:val="auto"/>
              </w:rPr>
              <w:t>RG2 6AD</w:t>
            </w:r>
          </w:p>
        </w:tc>
        <w:tc>
          <w:tcPr>
            <w:tcW w:w="22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3640" w:type="dxa"/>
            <w:vAlign w:val="bottom"/>
          </w:tcPr>
          <w:p>
            <w:pPr>
              <w:spacing w:after="0"/>
              <w:rPr>
                <w:sz w:val="14"/>
                <w:szCs w:val="14"/>
                <w:color w:val="auto"/>
              </w:rPr>
            </w:pPr>
          </w:p>
        </w:tc>
        <w:tc>
          <w:tcPr>
            <w:tcW w:w="2940" w:type="dxa"/>
            <w:vAlign w:val="bottom"/>
          </w:tcPr>
          <w:p>
            <w:pPr>
              <w:ind w:left="440"/>
              <w:spacing w:after="0"/>
              <w:rPr>
                <w:sz w:val="20"/>
                <w:szCs w:val="20"/>
                <w:color w:val="auto"/>
              </w:rPr>
            </w:pPr>
            <w:r>
              <w:rPr>
                <w:rFonts w:ascii="Arial" w:cs="Arial" w:eastAsia="Arial" w:hAnsi="Arial"/>
                <w:sz w:val="13"/>
                <w:szCs w:val="13"/>
                <w:color w:val="auto"/>
              </w:rPr>
              <w:t>United Kingdom</w:t>
            </w:r>
          </w:p>
        </w:tc>
        <w:tc>
          <w:tcPr>
            <w:tcW w:w="22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6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Clinical Research (U.K.) Limited</w:t>
            </w:r>
          </w:p>
        </w:tc>
        <w:tc>
          <w:tcPr>
            <w:tcW w:w="2940" w:type="dxa"/>
            <w:vAlign w:val="bottom"/>
            <w:shd w:val="clear" w:color="auto" w:fill="CCEEFF"/>
          </w:tcPr>
          <w:p>
            <w:pPr>
              <w:ind w:left="440"/>
              <w:spacing w:after="0" w:line="129" w:lineRule="exact"/>
              <w:rPr>
                <w:sz w:val="20"/>
                <w:szCs w:val="20"/>
                <w:color w:val="auto"/>
              </w:rPr>
            </w:pPr>
            <w:r>
              <w:rPr>
                <w:rFonts w:ascii="Arial" w:cs="Arial" w:eastAsia="Arial" w:hAnsi="Arial"/>
                <w:sz w:val="13"/>
                <w:szCs w:val="13"/>
                <w:color w:val="auto"/>
              </w:rPr>
              <w:t>500 South Oak Way Green Park</w:t>
            </w:r>
          </w:p>
        </w:tc>
        <w:tc>
          <w:tcPr>
            <w:tcW w:w="2240" w:type="dxa"/>
            <w:vAlign w:val="bottom"/>
            <w:shd w:val="clear" w:color="auto" w:fill="CCEEFF"/>
          </w:tcPr>
          <w:p>
            <w:pPr>
              <w:ind w:left="60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27"/>
        </w:trPr>
        <w:tc>
          <w:tcPr>
            <w:tcW w:w="3640" w:type="dxa"/>
            <w:vAlign w:val="bottom"/>
            <w:shd w:val="clear" w:color="auto" w:fill="CCEEFF"/>
          </w:tcPr>
          <w:p>
            <w:pPr>
              <w:spacing w:after="0"/>
              <w:rPr>
                <w:sz w:val="11"/>
                <w:szCs w:val="11"/>
                <w:color w:val="auto"/>
              </w:rPr>
            </w:pPr>
          </w:p>
        </w:tc>
        <w:tc>
          <w:tcPr>
            <w:tcW w:w="294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Reading</w:t>
            </w:r>
          </w:p>
        </w:tc>
        <w:tc>
          <w:tcPr>
            <w:tcW w:w="22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640" w:type="dxa"/>
            <w:vAlign w:val="bottom"/>
            <w:shd w:val="clear" w:color="auto" w:fill="CCEEFF"/>
          </w:tcPr>
          <w:p>
            <w:pPr>
              <w:spacing w:after="0"/>
              <w:rPr>
                <w:sz w:val="11"/>
                <w:szCs w:val="11"/>
                <w:color w:val="auto"/>
              </w:rPr>
            </w:pPr>
          </w:p>
        </w:tc>
        <w:tc>
          <w:tcPr>
            <w:tcW w:w="294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RG2 6AD</w:t>
            </w:r>
          </w:p>
        </w:tc>
        <w:tc>
          <w:tcPr>
            <w:tcW w:w="22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3640" w:type="dxa"/>
            <w:vAlign w:val="bottom"/>
            <w:shd w:val="clear" w:color="auto" w:fill="CCEEFF"/>
          </w:tcPr>
          <w:p>
            <w:pPr>
              <w:spacing w:after="0"/>
              <w:rPr>
                <w:sz w:val="14"/>
                <w:szCs w:val="14"/>
                <w:color w:val="auto"/>
              </w:rPr>
            </w:pPr>
          </w:p>
        </w:tc>
        <w:tc>
          <w:tcPr>
            <w:tcW w:w="2940" w:type="dxa"/>
            <w:vAlign w:val="bottom"/>
            <w:shd w:val="clear" w:color="auto" w:fill="CCEEFF"/>
          </w:tcPr>
          <w:p>
            <w:pPr>
              <w:ind w:left="440"/>
              <w:spacing w:after="0"/>
              <w:rPr>
                <w:sz w:val="20"/>
                <w:szCs w:val="20"/>
                <w:color w:val="auto"/>
              </w:rPr>
            </w:pPr>
            <w:r>
              <w:rPr>
                <w:rFonts w:ascii="Arial" w:cs="Arial" w:eastAsia="Arial" w:hAnsi="Arial"/>
                <w:sz w:val="13"/>
                <w:szCs w:val="13"/>
                <w:color w:val="auto"/>
              </w:rPr>
              <w:t>United Kingdom</w:t>
            </w:r>
          </w:p>
        </w:tc>
        <w:tc>
          <w:tcPr>
            <w:tcW w:w="224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3640" w:type="dxa"/>
            <w:vAlign w:val="bottom"/>
          </w:tcPr>
          <w:p>
            <w:pPr>
              <w:ind w:left="20"/>
              <w:spacing w:after="0" w:line="128" w:lineRule="exact"/>
              <w:rPr>
                <w:sz w:val="20"/>
                <w:szCs w:val="20"/>
                <w:color w:val="auto"/>
              </w:rPr>
            </w:pPr>
            <w:r>
              <w:rPr>
                <w:rFonts w:ascii="Arial" w:cs="Arial" w:eastAsia="Arial" w:hAnsi="Arial"/>
                <w:sz w:val="13"/>
                <w:szCs w:val="13"/>
                <w:color w:val="auto"/>
              </w:rPr>
              <w:t>ICON Clinical Research (U.K.) No. 2 Limited</w:t>
            </w:r>
          </w:p>
        </w:tc>
        <w:tc>
          <w:tcPr>
            <w:tcW w:w="2940" w:type="dxa"/>
            <w:vAlign w:val="bottom"/>
          </w:tcPr>
          <w:p>
            <w:pPr>
              <w:ind w:left="440"/>
              <w:spacing w:after="0" w:line="128" w:lineRule="exact"/>
              <w:rPr>
                <w:sz w:val="20"/>
                <w:szCs w:val="20"/>
                <w:color w:val="auto"/>
              </w:rPr>
            </w:pPr>
            <w:r>
              <w:rPr>
                <w:rFonts w:ascii="Arial" w:cs="Arial" w:eastAsia="Arial" w:hAnsi="Arial"/>
                <w:sz w:val="13"/>
                <w:szCs w:val="13"/>
                <w:color w:val="auto"/>
              </w:rPr>
              <w:t>500 South Oak Way Green Park</w:t>
            </w:r>
          </w:p>
        </w:tc>
        <w:tc>
          <w:tcPr>
            <w:tcW w:w="2240" w:type="dxa"/>
            <w:vAlign w:val="bottom"/>
          </w:tcPr>
          <w:p>
            <w:pPr>
              <w:ind w:left="60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27"/>
        </w:trPr>
        <w:tc>
          <w:tcPr>
            <w:tcW w:w="3640" w:type="dxa"/>
            <w:vAlign w:val="bottom"/>
          </w:tcPr>
          <w:p>
            <w:pPr>
              <w:spacing w:after="0"/>
              <w:rPr>
                <w:sz w:val="11"/>
                <w:szCs w:val="11"/>
                <w:color w:val="auto"/>
              </w:rPr>
            </w:pPr>
          </w:p>
        </w:tc>
        <w:tc>
          <w:tcPr>
            <w:tcW w:w="2940" w:type="dxa"/>
            <w:vAlign w:val="bottom"/>
          </w:tcPr>
          <w:p>
            <w:pPr>
              <w:ind w:left="440"/>
              <w:spacing w:after="0" w:line="128" w:lineRule="exact"/>
              <w:rPr>
                <w:sz w:val="20"/>
                <w:szCs w:val="20"/>
                <w:color w:val="auto"/>
              </w:rPr>
            </w:pPr>
            <w:r>
              <w:rPr>
                <w:rFonts w:ascii="Arial" w:cs="Arial" w:eastAsia="Arial" w:hAnsi="Arial"/>
                <w:sz w:val="13"/>
                <w:szCs w:val="13"/>
                <w:color w:val="auto"/>
              </w:rPr>
              <w:t>Reading</w:t>
            </w:r>
          </w:p>
        </w:tc>
        <w:tc>
          <w:tcPr>
            <w:tcW w:w="22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640" w:type="dxa"/>
            <w:vAlign w:val="bottom"/>
          </w:tcPr>
          <w:p>
            <w:pPr>
              <w:spacing w:after="0"/>
              <w:rPr>
                <w:sz w:val="11"/>
                <w:szCs w:val="11"/>
                <w:color w:val="auto"/>
              </w:rPr>
            </w:pPr>
          </w:p>
        </w:tc>
        <w:tc>
          <w:tcPr>
            <w:tcW w:w="2940" w:type="dxa"/>
            <w:vAlign w:val="bottom"/>
          </w:tcPr>
          <w:p>
            <w:pPr>
              <w:ind w:left="440"/>
              <w:spacing w:after="0" w:line="128" w:lineRule="exact"/>
              <w:rPr>
                <w:sz w:val="20"/>
                <w:szCs w:val="20"/>
                <w:color w:val="auto"/>
              </w:rPr>
            </w:pPr>
            <w:r>
              <w:rPr>
                <w:rFonts w:ascii="Arial" w:cs="Arial" w:eastAsia="Arial" w:hAnsi="Arial"/>
                <w:sz w:val="13"/>
                <w:szCs w:val="13"/>
                <w:color w:val="auto"/>
              </w:rPr>
              <w:t>RG2 6AD</w:t>
            </w:r>
          </w:p>
        </w:tc>
        <w:tc>
          <w:tcPr>
            <w:tcW w:w="22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3640" w:type="dxa"/>
            <w:vAlign w:val="bottom"/>
          </w:tcPr>
          <w:p>
            <w:pPr>
              <w:spacing w:after="0"/>
              <w:rPr>
                <w:sz w:val="14"/>
                <w:szCs w:val="14"/>
                <w:color w:val="auto"/>
              </w:rPr>
            </w:pPr>
          </w:p>
        </w:tc>
        <w:tc>
          <w:tcPr>
            <w:tcW w:w="2940" w:type="dxa"/>
            <w:vAlign w:val="bottom"/>
          </w:tcPr>
          <w:p>
            <w:pPr>
              <w:ind w:left="440"/>
              <w:spacing w:after="0"/>
              <w:rPr>
                <w:sz w:val="20"/>
                <w:szCs w:val="20"/>
                <w:color w:val="auto"/>
              </w:rPr>
            </w:pPr>
            <w:r>
              <w:rPr>
                <w:rFonts w:ascii="Arial" w:cs="Arial" w:eastAsia="Arial" w:hAnsi="Arial"/>
                <w:sz w:val="13"/>
                <w:szCs w:val="13"/>
                <w:color w:val="auto"/>
              </w:rPr>
              <w:t>United Kingdom</w:t>
            </w:r>
          </w:p>
        </w:tc>
        <w:tc>
          <w:tcPr>
            <w:tcW w:w="22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6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Clinical Research (U.K.) No. 3 Limited</w:t>
            </w:r>
          </w:p>
        </w:tc>
        <w:tc>
          <w:tcPr>
            <w:tcW w:w="2940" w:type="dxa"/>
            <w:vAlign w:val="bottom"/>
            <w:shd w:val="clear" w:color="auto" w:fill="CCEEFF"/>
          </w:tcPr>
          <w:p>
            <w:pPr>
              <w:ind w:left="440"/>
              <w:spacing w:after="0" w:line="129" w:lineRule="exact"/>
              <w:rPr>
                <w:sz w:val="20"/>
                <w:szCs w:val="20"/>
                <w:color w:val="auto"/>
              </w:rPr>
            </w:pPr>
            <w:r>
              <w:rPr>
                <w:rFonts w:ascii="Arial" w:cs="Arial" w:eastAsia="Arial" w:hAnsi="Arial"/>
                <w:sz w:val="13"/>
                <w:szCs w:val="13"/>
                <w:color w:val="auto"/>
              </w:rPr>
              <w:t>500 South Oak Way Green Park</w:t>
            </w:r>
          </w:p>
        </w:tc>
        <w:tc>
          <w:tcPr>
            <w:tcW w:w="2240" w:type="dxa"/>
            <w:vAlign w:val="bottom"/>
            <w:shd w:val="clear" w:color="auto" w:fill="CCEEFF"/>
          </w:tcPr>
          <w:p>
            <w:pPr>
              <w:ind w:left="60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27"/>
        </w:trPr>
        <w:tc>
          <w:tcPr>
            <w:tcW w:w="3640" w:type="dxa"/>
            <w:vAlign w:val="bottom"/>
            <w:shd w:val="clear" w:color="auto" w:fill="CCEEFF"/>
          </w:tcPr>
          <w:p>
            <w:pPr>
              <w:spacing w:after="0"/>
              <w:rPr>
                <w:sz w:val="11"/>
                <w:szCs w:val="11"/>
                <w:color w:val="auto"/>
              </w:rPr>
            </w:pPr>
          </w:p>
        </w:tc>
        <w:tc>
          <w:tcPr>
            <w:tcW w:w="294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Reading</w:t>
            </w:r>
          </w:p>
        </w:tc>
        <w:tc>
          <w:tcPr>
            <w:tcW w:w="22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640" w:type="dxa"/>
            <w:vAlign w:val="bottom"/>
            <w:shd w:val="clear" w:color="auto" w:fill="CCEEFF"/>
          </w:tcPr>
          <w:p>
            <w:pPr>
              <w:spacing w:after="0"/>
              <w:rPr>
                <w:sz w:val="11"/>
                <w:szCs w:val="11"/>
                <w:color w:val="auto"/>
              </w:rPr>
            </w:pPr>
          </w:p>
        </w:tc>
        <w:tc>
          <w:tcPr>
            <w:tcW w:w="294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RG2 6AD</w:t>
            </w:r>
          </w:p>
        </w:tc>
        <w:tc>
          <w:tcPr>
            <w:tcW w:w="22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3640" w:type="dxa"/>
            <w:vAlign w:val="bottom"/>
            <w:shd w:val="clear" w:color="auto" w:fill="CCEEFF"/>
          </w:tcPr>
          <w:p>
            <w:pPr>
              <w:spacing w:after="0"/>
              <w:rPr>
                <w:sz w:val="14"/>
                <w:szCs w:val="14"/>
                <w:color w:val="auto"/>
              </w:rPr>
            </w:pPr>
          </w:p>
        </w:tc>
        <w:tc>
          <w:tcPr>
            <w:tcW w:w="2940" w:type="dxa"/>
            <w:vAlign w:val="bottom"/>
            <w:shd w:val="clear" w:color="auto" w:fill="CCEEFF"/>
          </w:tcPr>
          <w:p>
            <w:pPr>
              <w:ind w:left="440"/>
              <w:spacing w:after="0"/>
              <w:rPr>
                <w:sz w:val="20"/>
                <w:szCs w:val="20"/>
                <w:color w:val="auto"/>
              </w:rPr>
            </w:pPr>
            <w:r>
              <w:rPr>
                <w:rFonts w:ascii="Arial" w:cs="Arial" w:eastAsia="Arial" w:hAnsi="Arial"/>
                <w:sz w:val="13"/>
                <w:szCs w:val="13"/>
                <w:color w:val="auto"/>
              </w:rPr>
              <w:t>United Kingdom</w:t>
            </w:r>
          </w:p>
        </w:tc>
        <w:tc>
          <w:tcPr>
            <w:tcW w:w="224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3640" w:type="dxa"/>
            <w:vAlign w:val="bottom"/>
          </w:tcPr>
          <w:p>
            <w:pPr>
              <w:ind w:left="20"/>
              <w:spacing w:after="0" w:line="128" w:lineRule="exact"/>
              <w:rPr>
                <w:sz w:val="20"/>
                <w:szCs w:val="20"/>
                <w:color w:val="auto"/>
              </w:rPr>
            </w:pPr>
            <w:r>
              <w:rPr>
                <w:rFonts w:ascii="Arial" w:cs="Arial" w:eastAsia="Arial" w:hAnsi="Arial"/>
                <w:sz w:val="13"/>
                <w:szCs w:val="13"/>
                <w:color w:val="auto"/>
              </w:rPr>
              <w:t>ICON Clinical Research (U.K.) No. 4 Limited</w:t>
            </w:r>
          </w:p>
        </w:tc>
        <w:tc>
          <w:tcPr>
            <w:tcW w:w="2940" w:type="dxa"/>
            <w:vAlign w:val="bottom"/>
          </w:tcPr>
          <w:p>
            <w:pPr>
              <w:ind w:left="440"/>
              <w:spacing w:after="0" w:line="128" w:lineRule="exact"/>
              <w:rPr>
                <w:sz w:val="20"/>
                <w:szCs w:val="20"/>
                <w:color w:val="auto"/>
              </w:rPr>
            </w:pPr>
            <w:r>
              <w:rPr>
                <w:rFonts w:ascii="Arial" w:cs="Arial" w:eastAsia="Arial" w:hAnsi="Arial"/>
                <w:sz w:val="13"/>
                <w:szCs w:val="13"/>
                <w:color w:val="auto"/>
              </w:rPr>
              <w:t>500 South Oak Way Green Park</w:t>
            </w:r>
          </w:p>
        </w:tc>
        <w:tc>
          <w:tcPr>
            <w:tcW w:w="2240" w:type="dxa"/>
            <w:vAlign w:val="bottom"/>
            <w:vMerge w:val="restart"/>
          </w:tcPr>
          <w:p>
            <w:pPr>
              <w:ind w:left="600"/>
              <w:spacing w:after="0"/>
              <w:rPr>
                <w:sz w:val="20"/>
                <w:szCs w:val="20"/>
                <w:color w:val="auto"/>
              </w:rPr>
            </w:pPr>
            <w:r>
              <w:rPr>
                <w:rFonts w:ascii="Arial" w:cs="Arial" w:eastAsia="Arial" w:hAnsi="Arial"/>
                <w:sz w:val="13"/>
                <w:szCs w:val="13"/>
                <w:color w:val="auto"/>
              </w:rPr>
              <w:t>Clinical research services</w:t>
            </w:r>
          </w:p>
        </w:tc>
        <w:tc>
          <w:tcPr>
            <w:tcW w:w="2440" w:type="dxa"/>
            <w:vAlign w:val="bottom"/>
            <w:vMerge w:val="restart"/>
          </w:tcPr>
          <w:p>
            <w:pPr>
              <w:ind w:left="200"/>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27"/>
        </w:trPr>
        <w:tc>
          <w:tcPr>
            <w:tcW w:w="3640" w:type="dxa"/>
            <w:vAlign w:val="bottom"/>
          </w:tcPr>
          <w:p>
            <w:pPr>
              <w:spacing w:after="0"/>
              <w:rPr>
                <w:sz w:val="11"/>
                <w:szCs w:val="11"/>
                <w:color w:val="auto"/>
              </w:rPr>
            </w:pPr>
          </w:p>
        </w:tc>
        <w:tc>
          <w:tcPr>
            <w:tcW w:w="2940" w:type="dxa"/>
            <w:vAlign w:val="bottom"/>
          </w:tcPr>
          <w:p>
            <w:pPr>
              <w:ind w:left="440"/>
              <w:spacing w:after="0" w:line="128" w:lineRule="exact"/>
              <w:rPr>
                <w:sz w:val="20"/>
                <w:szCs w:val="20"/>
                <w:color w:val="auto"/>
              </w:rPr>
            </w:pPr>
            <w:r>
              <w:rPr>
                <w:rFonts w:ascii="Arial" w:cs="Arial" w:eastAsia="Arial" w:hAnsi="Arial"/>
                <w:sz w:val="13"/>
                <w:szCs w:val="13"/>
                <w:color w:val="auto"/>
              </w:rPr>
              <w:t>Reading</w:t>
            </w:r>
          </w:p>
        </w:tc>
        <w:tc>
          <w:tcPr>
            <w:tcW w:w="2240" w:type="dxa"/>
            <w:vAlign w:val="bottom"/>
            <w:vMerge w:val="continue"/>
          </w:tcPr>
          <w:p>
            <w:pPr>
              <w:spacing w:after="0"/>
              <w:rPr>
                <w:sz w:val="11"/>
                <w:szCs w:val="11"/>
                <w:color w:val="auto"/>
              </w:rPr>
            </w:pPr>
          </w:p>
        </w:tc>
        <w:tc>
          <w:tcPr>
            <w:tcW w:w="2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640" w:type="dxa"/>
            <w:vAlign w:val="bottom"/>
          </w:tcPr>
          <w:p>
            <w:pPr>
              <w:spacing w:after="0"/>
              <w:rPr>
                <w:sz w:val="11"/>
                <w:szCs w:val="11"/>
                <w:color w:val="auto"/>
              </w:rPr>
            </w:pPr>
          </w:p>
        </w:tc>
        <w:tc>
          <w:tcPr>
            <w:tcW w:w="2940" w:type="dxa"/>
            <w:vAlign w:val="bottom"/>
          </w:tcPr>
          <w:p>
            <w:pPr>
              <w:ind w:left="440"/>
              <w:spacing w:after="0" w:line="128" w:lineRule="exact"/>
              <w:rPr>
                <w:sz w:val="20"/>
                <w:szCs w:val="20"/>
                <w:color w:val="auto"/>
              </w:rPr>
            </w:pPr>
            <w:r>
              <w:rPr>
                <w:rFonts w:ascii="Arial" w:cs="Arial" w:eastAsia="Arial" w:hAnsi="Arial"/>
                <w:sz w:val="13"/>
                <w:szCs w:val="13"/>
                <w:color w:val="auto"/>
              </w:rPr>
              <w:t>RG2 6AD</w:t>
            </w:r>
          </w:p>
        </w:tc>
        <w:tc>
          <w:tcPr>
            <w:tcW w:w="22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3640" w:type="dxa"/>
            <w:vAlign w:val="bottom"/>
          </w:tcPr>
          <w:p>
            <w:pPr>
              <w:spacing w:after="0"/>
              <w:rPr>
                <w:sz w:val="14"/>
                <w:szCs w:val="14"/>
                <w:color w:val="auto"/>
              </w:rPr>
            </w:pPr>
          </w:p>
        </w:tc>
        <w:tc>
          <w:tcPr>
            <w:tcW w:w="2940" w:type="dxa"/>
            <w:vAlign w:val="bottom"/>
          </w:tcPr>
          <w:p>
            <w:pPr>
              <w:ind w:left="440"/>
              <w:spacing w:after="0"/>
              <w:rPr>
                <w:sz w:val="20"/>
                <w:szCs w:val="20"/>
                <w:color w:val="auto"/>
              </w:rPr>
            </w:pPr>
            <w:r>
              <w:rPr>
                <w:rFonts w:ascii="Arial" w:cs="Arial" w:eastAsia="Arial" w:hAnsi="Arial"/>
                <w:sz w:val="13"/>
                <w:szCs w:val="13"/>
                <w:color w:val="auto"/>
              </w:rPr>
              <w:t>United Kingdom</w:t>
            </w:r>
          </w:p>
        </w:tc>
        <w:tc>
          <w:tcPr>
            <w:tcW w:w="22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6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Clinical Research (U.K.) No. 5 Limited</w:t>
            </w:r>
          </w:p>
        </w:tc>
        <w:tc>
          <w:tcPr>
            <w:tcW w:w="2940" w:type="dxa"/>
            <w:vAlign w:val="bottom"/>
            <w:shd w:val="clear" w:color="auto" w:fill="CCEEFF"/>
          </w:tcPr>
          <w:p>
            <w:pPr>
              <w:ind w:left="440"/>
              <w:spacing w:after="0" w:line="129" w:lineRule="exact"/>
              <w:rPr>
                <w:sz w:val="20"/>
                <w:szCs w:val="20"/>
                <w:color w:val="auto"/>
              </w:rPr>
            </w:pPr>
            <w:r>
              <w:rPr>
                <w:rFonts w:ascii="Arial" w:cs="Arial" w:eastAsia="Arial" w:hAnsi="Arial"/>
                <w:sz w:val="13"/>
                <w:szCs w:val="13"/>
                <w:color w:val="auto"/>
              </w:rPr>
              <w:t>500 South Oak Way Green Park</w:t>
            </w:r>
          </w:p>
        </w:tc>
        <w:tc>
          <w:tcPr>
            <w:tcW w:w="2240" w:type="dxa"/>
            <w:vAlign w:val="bottom"/>
            <w:shd w:val="clear" w:color="auto" w:fill="CCEEFF"/>
          </w:tcPr>
          <w:p>
            <w:pPr>
              <w:ind w:left="60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27"/>
        </w:trPr>
        <w:tc>
          <w:tcPr>
            <w:tcW w:w="3640" w:type="dxa"/>
            <w:vAlign w:val="bottom"/>
            <w:shd w:val="clear" w:color="auto" w:fill="CCEEFF"/>
          </w:tcPr>
          <w:p>
            <w:pPr>
              <w:spacing w:after="0"/>
              <w:rPr>
                <w:sz w:val="11"/>
                <w:szCs w:val="11"/>
                <w:color w:val="auto"/>
              </w:rPr>
            </w:pPr>
          </w:p>
        </w:tc>
        <w:tc>
          <w:tcPr>
            <w:tcW w:w="294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Reading</w:t>
            </w:r>
          </w:p>
        </w:tc>
        <w:tc>
          <w:tcPr>
            <w:tcW w:w="22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640" w:type="dxa"/>
            <w:vAlign w:val="bottom"/>
            <w:shd w:val="clear" w:color="auto" w:fill="CCEEFF"/>
          </w:tcPr>
          <w:p>
            <w:pPr>
              <w:spacing w:after="0"/>
              <w:rPr>
                <w:sz w:val="11"/>
                <w:szCs w:val="11"/>
                <w:color w:val="auto"/>
              </w:rPr>
            </w:pPr>
          </w:p>
        </w:tc>
        <w:tc>
          <w:tcPr>
            <w:tcW w:w="2940" w:type="dxa"/>
            <w:vAlign w:val="bottom"/>
            <w:shd w:val="clear" w:color="auto" w:fill="CCEEFF"/>
          </w:tcPr>
          <w:p>
            <w:pPr>
              <w:ind w:left="440"/>
              <w:spacing w:after="0" w:line="128" w:lineRule="exact"/>
              <w:rPr>
                <w:sz w:val="20"/>
                <w:szCs w:val="20"/>
                <w:color w:val="auto"/>
              </w:rPr>
            </w:pPr>
            <w:r>
              <w:rPr>
                <w:rFonts w:ascii="Arial" w:cs="Arial" w:eastAsia="Arial" w:hAnsi="Arial"/>
                <w:sz w:val="13"/>
                <w:szCs w:val="13"/>
                <w:color w:val="auto"/>
              </w:rPr>
              <w:t>RG2 6AD</w:t>
            </w:r>
          </w:p>
        </w:tc>
        <w:tc>
          <w:tcPr>
            <w:tcW w:w="22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3640" w:type="dxa"/>
            <w:vAlign w:val="bottom"/>
            <w:shd w:val="clear" w:color="auto" w:fill="CCEEFF"/>
          </w:tcPr>
          <w:p>
            <w:pPr>
              <w:spacing w:after="0"/>
              <w:rPr>
                <w:sz w:val="14"/>
                <w:szCs w:val="14"/>
                <w:color w:val="auto"/>
              </w:rPr>
            </w:pPr>
          </w:p>
        </w:tc>
        <w:tc>
          <w:tcPr>
            <w:tcW w:w="2940" w:type="dxa"/>
            <w:vAlign w:val="bottom"/>
            <w:shd w:val="clear" w:color="auto" w:fill="CCEEFF"/>
          </w:tcPr>
          <w:p>
            <w:pPr>
              <w:ind w:left="440"/>
              <w:spacing w:after="0"/>
              <w:rPr>
                <w:sz w:val="20"/>
                <w:szCs w:val="20"/>
                <w:color w:val="auto"/>
              </w:rPr>
            </w:pPr>
            <w:r>
              <w:rPr>
                <w:rFonts w:ascii="Arial" w:cs="Arial" w:eastAsia="Arial" w:hAnsi="Arial"/>
                <w:sz w:val="13"/>
                <w:szCs w:val="13"/>
                <w:color w:val="auto"/>
              </w:rPr>
              <w:t>United Kingdom</w:t>
            </w:r>
          </w:p>
        </w:tc>
        <w:tc>
          <w:tcPr>
            <w:tcW w:w="224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130</w:t>
      </w:r>
    </w:p>
    <w:p>
      <w:pPr>
        <w:sectPr>
          <w:pgSz w:w="11900" w:h="16838" w:orient="portrait"/>
          <w:cols w:equalWidth="0" w:num="1">
            <w:col w:w="11260"/>
          </w:cols>
          <w:pgMar w:left="300" w:top="697" w:right="33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32.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2960" w:type="dxa"/>
            <w:vAlign w:val="bottom"/>
            <w:shd w:val="clear" w:color="auto" w:fill="CCEEFF"/>
          </w:tcPr>
          <w:p>
            <w:pPr>
              <w:ind w:left="80"/>
              <w:spacing w:after="0"/>
              <w:rPr>
                <w:sz w:val="20"/>
                <w:szCs w:val="20"/>
                <w:color w:val="auto"/>
              </w:rPr>
            </w:pPr>
            <w:r>
              <w:rPr>
                <w:rFonts w:ascii="Arial" w:cs="Arial" w:eastAsia="Arial" w:hAnsi="Arial"/>
                <w:sz w:val="13"/>
                <w:szCs w:val="13"/>
                <w:b w:val="1"/>
                <w:bCs w:val="1"/>
                <w:color w:val="auto"/>
              </w:rPr>
              <w:t>Registered Office</w:t>
            </w:r>
          </w:p>
        </w:tc>
        <w:tc>
          <w:tcPr>
            <w:tcW w:w="1940" w:type="dxa"/>
            <w:vAlign w:val="bottom"/>
            <w:shd w:val="clear" w:color="auto" w:fill="CCEEFF"/>
          </w:tcPr>
          <w:p>
            <w:pPr>
              <w:ind w:left="220"/>
              <w:spacing w:after="0"/>
              <w:rPr>
                <w:sz w:val="20"/>
                <w:szCs w:val="20"/>
                <w:color w:val="auto"/>
              </w:rPr>
            </w:pPr>
            <w:r>
              <w:rPr>
                <w:rFonts w:ascii="Arial" w:cs="Arial" w:eastAsia="Arial" w:hAnsi="Arial"/>
                <w:sz w:val="13"/>
                <w:szCs w:val="13"/>
                <w:b w:val="1"/>
                <w:bCs w:val="1"/>
                <w:color w:val="auto"/>
              </w:rPr>
              <w:t>Nature of business</w:t>
            </w:r>
          </w:p>
        </w:tc>
        <w:tc>
          <w:tcPr>
            <w:tcW w:w="236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Proportion held by</w:t>
            </w:r>
          </w:p>
        </w:tc>
      </w:tr>
      <w:tr>
        <w:trPr>
          <w:trHeight w:val="170"/>
        </w:trPr>
        <w:tc>
          <w:tcPr>
            <w:tcW w:w="4000" w:type="dxa"/>
            <w:vAlign w:val="bottom"/>
            <w:tcBorders>
              <w:bottom w:val="single" w:sz="8" w:color="auto"/>
            </w:tcBorders>
            <w:shd w:val="clear" w:color="auto" w:fill="CCEEFF"/>
          </w:tcPr>
          <w:p>
            <w:pPr>
              <w:spacing w:after="0"/>
              <w:rPr>
                <w:sz w:val="14"/>
                <w:szCs w:val="14"/>
                <w:color w:val="auto"/>
              </w:rPr>
            </w:pPr>
          </w:p>
        </w:tc>
        <w:tc>
          <w:tcPr>
            <w:tcW w:w="2960" w:type="dxa"/>
            <w:vAlign w:val="bottom"/>
            <w:tcBorders>
              <w:bottom w:val="single" w:sz="8" w:color="auto"/>
            </w:tcBorders>
            <w:shd w:val="clear" w:color="auto" w:fill="CCEEFF"/>
          </w:tcPr>
          <w:p>
            <w:pPr>
              <w:spacing w:after="0"/>
              <w:rPr>
                <w:sz w:val="14"/>
                <w:szCs w:val="14"/>
                <w:color w:val="auto"/>
              </w:rPr>
            </w:pPr>
          </w:p>
        </w:tc>
        <w:tc>
          <w:tcPr>
            <w:tcW w:w="1940" w:type="dxa"/>
            <w:vAlign w:val="bottom"/>
            <w:tcBorders>
              <w:bottom w:val="single" w:sz="8" w:color="auto"/>
            </w:tcBorders>
            <w:shd w:val="clear" w:color="auto" w:fill="CCEEFF"/>
          </w:tcPr>
          <w:p>
            <w:pPr>
              <w:spacing w:after="0"/>
              <w:rPr>
                <w:sz w:val="14"/>
                <w:szCs w:val="14"/>
                <w:color w:val="auto"/>
              </w:rPr>
            </w:pPr>
          </w:p>
        </w:tc>
        <w:tc>
          <w:tcPr>
            <w:tcW w:w="23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3"/>
                <w:szCs w:val="13"/>
                <w:b w:val="1"/>
                <w:bCs w:val="1"/>
                <w:color w:val="auto"/>
              </w:rPr>
              <w:t>Group</w:t>
            </w:r>
          </w:p>
        </w:tc>
      </w:tr>
      <w:tr>
        <w:trPr>
          <w:trHeight w:val="118"/>
        </w:trPr>
        <w:tc>
          <w:tcPr>
            <w:tcW w:w="4000" w:type="dxa"/>
            <w:vAlign w:val="bottom"/>
          </w:tcPr>
          <w:p>
            <w:pPr>
              <w:ind w:left="20"/>
              <w:spacing w:after="0" w:line="118" w:lineRule="exact"/>
              <w:rPr>
                <w:sz w:val="20"/>
                <w:szCs w:val="20"/>
                <w:color w:val="auto"/>
              </w:rPr>
            </w:pPr>
            <w:r>
              <w:rPr>
                <w:rFonts w:ascii="Arial" w:cs="Arial" w:eastAsia="Arial" w:hAnsi="Arial"/>
                <w:sz w:val="13"/>
                <w:szCs w:val="13"/>
                <w:color w:val="auto"/>
              </w:rPr>
              <w:t>ICON Development Solutions Limited</w:t>
            </w:r>
          </w:p>
        </w:tc>
        <w:tc>
          <w:tcPr>
            <w:tcW w:w="2960" w:type="dxa"/>
            <w:vAlign w:val="bottom"/>
          </w:tcPr>
          <w:p>
            <w:pPr>
              <w:ind w:left="80"/>
              <w:spacing w:after="0" w:line="118" w:lineRule="exact"/>
              <w:rPr>
                <w:sz w:val="20"/>
                <w:szCs w:val="20"/>
                <w:color w:val="auto"/>
              </w:rPr>
            </w:pPr>
            <w:r>
              <w:rPr>
                <w:rFonts w:ascii="Arial" w:cs="Arial" w:eastAsia="Arial" w:hAnsi="Arial"/>
                <w:sz w:val="13"/>
                <w:szCs w:val="13"/>
                <w:color w:val="auto"/>
              </w:rPr>
              <w:t>500 South Oak Way Green Park</w:t>
            </w:r>
          </w:p>
        </w:tc>
        <w:tc>
          <w:tcPr>
            <w:tcW w:w="1940" w:type="dxa"/>
            <w:vAlign w:val="bottom"/>
          </w:tcPr>
          <w:p>
            <w:pPr>
              <w:ind w:left="220"/>
              <w:spacing w:after="0" w:line="118" w:lineRule="exact"/>
              <w:rPr>
                <w:sz w:val="20"/>
                <w:szCs w:val="20"/>
                <w:color w:val="auto"/>
              </w:rPr>
            </w:pPr>
            <w:r>
              <w:rPr>
                <w:rFonts w:ascii="Arial" w:cs="Arial" w:eastAsia="Arial" w:hAnsi="Arial"/>
                <w:sz w:val="13"/>
                <w:szCs w:val="13"/>
                <w:color w:val="auto"/>
              </w:rPr>
              <w:t>Clinical research services</w:t>
            </w:r>
          </w:p>
        </w:tc>
        <w:tc>
          <w:tcPr>
            <w:tcW w:w="2360" w:type="dxa"/>
            <w:vAlign w:val="bottom"/>
          </w:tcPr>
          <w:p>
            <w:pPr>
              <w:ind w:left="120"/>
              <w:spacing w:after="0" w:line="118" w:lineRule="exact"/>
              <w:rPr>
                <w:sz w:val="20"/>
                <w:szCs w:val="20"/>
                <w:color w:val="auto"/>
              </w:rPr>
            </w:pPr>
            <w:r>
              <w:rPr>
                <w:rFonts w:ascii="Arial" w:cs="Arial" w:eastAsia="Arial" w:hAnsi="Arial"/>
                <w:sz w:val="13"/>
                <w:szCs w:val="13"/>
                <w:color w:val="auto"/>
              </w:rPr>
              <w:t>100%</w:t>
            </w:r>
          </w:p>
        </w:tc>
      </w:tr>
      <w:tr>
        <w:trPr>
          <w:trHeight w:val="127"/>
        </w:trPr>
        <w:tc>
          <w:tcPr>
            <w:tcW w:w="4000" w:type="dxa"/>
            <w:vAlign w:val="bottom"/>
          </w:tcPr>
          <w:p>
            <w:pPr>
              <w:spacing w:after="0"/>
              <w:rPr>
                <w:sz w:val="11"/>
                <w:szCs w:val="11"/>
                <w:color w:val="auto"/>
              </w:rPr>
            </w:pPr>
          </w:p>
        </w:tc>
        <w:tc>
          <w:tcPr>
            <w:tcW w:w="2960" w:type="dxa"/>
            <w:vAlign w:val="bottom"/>
          </w:tcPr>
          <w:p>
            <w:pPr>
              <w:ind w:left="80"/>
              <w:spacing w:after="0" w:line="128" w:lineRule="exact"/>
              <w:rPr>
                <w:sz w:val="20"/>
                <w:szCs w:val="20"/>
                <w:color w:val="auto"/>
              </w:rPr>
            </w:pPr>
            <w:r>
              <w:rPr>
                <w:rFonts w:ascii="Arial" w:cs="Arial" w:eastAsia="Arial" w:hAnsi="Arial"/>
                <w:sz w:val="13"/>
                <w:szCs w:val="13"/>
                <w:color w:val="auto"/>
              </w:rPr>
              <w:t>Reading</w:t>
            </w:r>
          </w:p>
        </w:tc>
        <w:tc>
          <w:tcPr>
            <w:tcW w:w="194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127"/>
        </w:trPr>
        <w:tc>
          <w:tcPr>
            <w:tcW w:w="4000" w:type="dxa"/>
            <w:vAlign w:val="bottom"/>
          </w:tcPr>
          <w:p>
            <w:pPr>
              <w:spacing w:after="0"/>
              <w:rPr>
                <w:sz w:val="11"/>
                <w:szCs w:val="11"/>
                <w:color w:val="auto"/>
              </w:rPr>
            </w:pPr>
          </w:p>
        </w:tc>
        <w:tc>
          <w:tcPr>
            <w:tcW w:w="2960" w:type="dxa"/>
            <w:vAlign w:val="bottom"/>
          </w:tcPr>
          <w:p>
            <w:pPr>
              <w:ind w:left="80"/>
              <w:spacing w:after="0" w:line="128" w:lineRule="exact"/>
              <w:rPr>
                <w:sz w:val="20"/>
                <w:szCs w:val="20"/>
                <w:color w:val="auto"/>
              </w:rPr>
            </w:pPr>
            <w:r>
              <w:rPr>
                <w:rFonts w:ascii="Arial" w:cs="Arial" w:eastAsia="Arial" w:hAnsi="Arial"/>
                <w:sz w:val="13"/>
                <w:szCs w:val="13"/>
                <w:color w:val="auto"/>
              </w:rPr>
              <w:t>RG2 6AD</w:t>
            </w:r>
          </w:p>
        </w:tc>
        <w:tc>
          <w:tcPr>
            <w:tcW w:w="194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168"/>
        </w:trPr>
        <w:tc>
          <w:tcPr>
            <w:tcW w:w="4000" w:type="dxa"/>
            <w:vAlign w:val="bottom"/>
          </w:tcPr>
          <w:p>
            <w:pPr>
              <w:spacing w:after="0"/>
              <w:rPr>
                <w:sz w:val="14"/>
                <w:szCs w:val="14"/>
                <w:color w:val="auto"/>
              </w:rPr>
            </w:pPr>
          </w:p>
        </w:tc>
        <w:tc>
          <w:tcPr>
            <w:tcW w:w="2960" w:type="dxa"/>
            <w:vAlign w:val="bottom"/>
          </w:tcPr>
          <w:p>
            <w:pPr>
              <w:ind w:left="80"/>
              <w:spacing w:after="0"/>
              <w:rPr>
                <w:sz w:val="20"/>
                <w:szCs w:val="20"/>
                <w:color w:val="auto"/>
              </w:rPr>
            </w:pPr>
            <w:r>
              <w:rPr>
                <w:rFonts w:ascii="Arial" w:cs="Arial" w:eastAsia="Arial" w:hAnsi="Arial"/>
                <w:sz w:val="13"/>
                <w:szCs w:val="13"/>
                <w:color w:val="auto"/>
              </w:rPr>
              <w:t>United Kingdom</w:t>
            </w:r>
          </w:p>
        </w:tc>
        <w:tc>
          <w:tcPr>
            <w:tcW w:w="194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29"/>
        </w:trPr>
        <w:tc>
          <w:tcPr>
            <w:tcW w:w="40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Investments (UK) Ltd</w:t>
            </w:r>
          </w:p>
        </w:tc>
        <w:tc>
          <w:tcPr>
            <w:tcW w:w="2960" w:type="dxa"/>
            <w:vAlign w:val="bottom"/>
            <w:shd w:val="clear" w:color="auto" w:fill="CCEEFF"/>
          </w:tcPr>
          <w:p>
            <w:pPr>
              <w:ind w:left="80"/>
              <w:spacing w:after="0" w:line="129" w:lineRule="exact"/>
              <w:rPr>
                <w:sz w:val="20"/>
                <w:szCs w:val="20"/>
                <w:color w:val="auto"/>
              </w:rPr>
            </w:pPr>
            <w:r>
              <w:rPr>
                <w:rFonts w:ascii="Arial" w:cs="Arial" w:eastAsia="Arial" w:hAnsi="Arial"/>
                <w:sz w:val="13"/>
                <w:szCs w:val="13"/>
                <w:color w:val="auto"/>
              </w:rPr>
              <w:t>500 South Oak Way Green Park</w:t>
            </w:r>
          </w:p>
        </w:tc>
        <w:tc>
          <w:tcPr>
            <w:tcW w:w="1940" w:type="dxa"/>
            <w:vAlign w:val="bottom"/>
            <w:shd w:val="clear" w:color="auto" w:fill="CCEEFF"/>
          </w:tcPr>
          <w:p>
            <w:pPr>
              <w:ind w:left="220"/>
              <w:spacing w:after="0" w:line="129" w:lineRule="exact"/>
              <w:rPr>
                <w:sz w:val="20"/>
                <w:szCs w:val="20"/>
                <w:color w:val="auto"/>
              </w:rPr>
            </w:pPr>
            <w:r>
              <w:rPr>
                <w:rFonts w:ascii="Arial" w:cs="Arial" w:eastAsia="Arial" w:hAnsi="Arial"/>
                <w:sz w:val="13"/>
                <w:szCs w:val="13"/>
                <w:color w:val="auto"/>
              </w:rPr>
              <w:t>Clinical research services</w:t>
            </w:r>
          </w:p>
        </w:tc>
        <w:tc>
          <w:tcPr>
            <w:tcW w:w="2360" w:type="dxa"/>
            <w:vAlign w:val="bottom"/>
            <w:shd w:val="clear" w:color="auto" w:fill="CCEEFF"/>
          </w:tcPr>
          <w:p>
            <w:pPr>
              <w:ind w:left="1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4000" w:type="dxa"/>
            <w:vAlign w:val="bottom"/>
            <w:shd w:val="clear" w:color="auto" w:fill="CCEEFF"/>
          </w:tcPr>
          <w:p>
            <w:pPr>
              <w:spacing w:after="0"/>
              <w:rPr>
                <w:sz w:val="11"/>
                <w:szCs w:val="11"/>
                <w:color w:val="auto"/>
              </w:rPr>
            </w:pPr>
          </w:p>
        </w:tc>
        <w:tc>
          <w:tcPr>
            <w:tcW w:w="2960" w:type="dxa"/>
            <w:vAlign w:val="bottom"/>
            <w:shd w:val="clear" w:color="auto" w:fill="CCEEFF"/>
          </w:tcPr>
          <w:p>
            <w:pPr>
              <w:ind w:left="80"/>
              <w:spacing w:after="0" w:line="128" w:lineRule="exact"/>
              <w:rPr>
                <w:sz w:val="20"/>
                <w:szCs w:val="20"/>
                <w:color w:val="auto"/>
              </w:rPr>
            </w:pPr>
            <w:r>
              <w:rPr>
                <w:rFonts w:ascii="Arial" w:cs="Arial" w:eastAsia="Arial" w:hAnsi="Arial"/>
                <w:sz w:val="13"/>
                <w:szCs w:val="13"/>
                <w:color w:val="auto"/>
              </w:rPr>
              <w:t>Reading</w:t>
            </w:r>
          </w:p>
        </w:tc>
        <w:tc>
          <w:tcPr>
            <w:tcW w:w="194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r>
      <w:tr>
        <w:trPr>
          <w:trHeight w:val="127"/>
        </w:trPr>
        <w:tc>
          <w:tcPr>
            <w:tcW w:w="4000" w:type="dxa"/>
            <w:vAlign w:val="bottom"/>
            <w:shd w:val="clear" w:color="auto" w:fill="CCEEFF"/>
          </w:tcPr>
          <w:p>
            <w:pPr>
              <w:spacing w:after="0"/>
              <w:rPr>
                <w:sz w:val="11"/>
                <w:szCs w:val="11"/>
                <w:color w:val="auto"/>
              </w:rPr>
            </w:pPr>
          </w:p>
        </w:tc>
        <w:tc>
          <w:tcPr>
            <w:tcW w:w="2960" w:type="dxa"/>
            <w:vAlign w:val="bottom"/>
            <w:shd w:val="clear" w:color="auto" w:fill="CCEEFF"/>
          </w:tcPr>
          <w:p>
            <w:pPr>
              <w:ind w:left="80"/>
              <w:spacing w:after="0" w:line="128" w:lineRule="exact"/>
              <w:rPr>
                <w:sz w:val="20"/>
                <w:szCs w:val="20"/>
                <w:color w:val="auto"/>
              </w:rPr>
            </w:pPr>
            <w:r>
              <w:rPr>
                <w:rFonts w:ascii="Arial" w:cs="Arial" w:eastAsia="Arial" w:hAnsi="Arial"/>
                <w:sz w:val="13"/>
                <w:szCs w:val="13"/>
                <w:color w:val="auto"/>
              </w:rPr>
              <w:t>RG2 6AD</w:t>
            </w:r>
          </w:p>
        </w:tc>
        <w:tc>
          <w:tcPr>
            <w:tcW w:w="194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r>
      <w:tr>
        <w:trPr>
          <w:trHeight w:val="170"/>
        </w:trPr>
        <w:tc>
          <w:tcPr>
            <w:tcW w:w="4000" w:type="dxa"/>
            <w:vAlign w:val="bottom"/>
            <w:shd w:val="clear" w:color="auto" w:fill="CCEEFF"/>
          </w:tcPr>
          <w:p>
            <w:pPr>
              <w:spacing w:after="0"/>
              <w:rPr>
                <w:sz w:val="14"/>
                <w:szCs w:val="14"/>
                <w:color w:val="auto"/>
              </w:rPr>
            </w:pPr>
          </w:p>
        </w:tc>
        <w:tc>
          <w:tcPr>
            <w:tcW w:w="2960" w:type="dxa"/>
            <w:vAlign w:val="bottom"/>
            <w:shd w:val="clear" w:color="auto" w:fill="CCEEFF"/>
          </w:tcPr>
          <w:p>
            <w:pPr>
              <w:ind w:left="80"/>
              <w:spacing w:after="0"/>
              <w:rPr>
                <w:sz w:val="20"/>
                <w:szCs w:val="20"/>
                <w:color w:val="auto"/>
              </w:rPr>
            </w:pPr>
            <w:r>
              <w:rPr>
                <w:rFonts w:ascii="Arial" w:cs="Arial" w:eastAsia="Arial" w:hAnsi="Arial"/>
                <w:sz w:val="13"/>
                <w:szCs w:val="13"/>
                <w:color w:val="auto"/>
              </w:rPr>
              <w:t>United Kingdom</w:t>
            </w:r>
          </w:p>
        </w:tc>
        <w:tc>
          <w:tcPr>
            <w:tcW w:w="194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r>
      <w:tr>
        <w:trPr>
          <w:trHeight w:val="127"/>
        </w:trPr>
        <w:tc>
          <w:tcPr>
            <w:tcW w:w="4000" w:type="dxa"/>
            <w:vAlign w:val="bottom"/>
          </w:tcPr>
          <w:p>
            <w:pPr>
              <w:ind w:left="20"/>
              <w:spacing w:after="0" w:line="128" w:lineRule="exact"/>
              <w:rPr>
                <w:sz w:val="20"/>
                <w:szCs w:val="20"/>
                <w:color w:val="auto"/>
              </w:rPr>
            </w:pPr>
            <w:r>
              <w:rPr>
                <w:rFonts w:ascii="Arial" w:cs="Arial" w:eastAsia="Arial" w:hAnsi="Arial"/>
                <w:sz w:val="13"/>
                <w:szCs w:val="13"/>
                <w:color w:val="auto"/>
              </w:rPr>
              <w:t>Improving Treatments Limited</w:t>
            </w:r>
          </w:p>
        </w:tc>
        <w:tc>
          <w:tcPr>
            <w:tcW w:w="2960" w:type="dxa"/>
            <w:vAlign w:val="bottom"/>
          </w:tcPr>
          <w:p>
            <w:pPr>
              <w:ind w:left="80"/>
              <w:spacing w:after="0" w:line="128" w:lineRule="exact"/>
              <w:rPr>
                <w:sz w:val="20"/>
                <w:szCs w:val="20"/>
                <w:color w:val="auto"/>
              </w:rPr>
            </w:pPr>
            <w:r>
              <w:rPr>
                <w:rFonts w:ascii="Arial" w:cs="Arial" w:eastAsia="Arial" w:hAnsi="Arial"/>
                <w:sz w:val="13"/>
                <w:szCs w:val="13"/>
                <w:color w:val="auto"/>
              </w:rPr>
              <w:t>500 South Oak Way Green Park</w:t>
            </w:r>
          </w:p>
        </w:tc>
        <w:tc>
          <w:tcPr>
            <w:tcW w:w="1940" w:type="dxa"/>
            <w:vAlign w:val="bottom"/>
          </w:tcPr>
          <w:p>
            <w:pPr>
              <w:ind w:left="220"/>
              <w:spacing w:after="0" w:line="128" w:lineRule="exact"/>
              <w:rPr>
                <w:sz w:val="20"/>
                <w:szCs w:val="20"/>
                <w:color w:val="auto"/>
              </w:rPr>
            </w:pPr>
            <w:r>
              <w:rPr>
                <w:rFonts w:ascii="Arial" w:cs="Arial" w:eastAsia="Arial" w:hAnsi="Arial"/>
                <w:sz w:val="13"/>
                <w:szCs w:val="13"/>
                <w:color w:val="auto"/>
              </w:rPr>
              <w:t>Clinical research services</w:t>
            </w:r>
          </w:p>
        </w:tc>
        <w:tc>
          <w:tcPr>
            <w:tcW w:w="2360" w:type="dxa"/>
            <w:vAlign w:val="bottom"/>
          </w:tcPr>
          <w:p>
            <w:pPr>
              <w:ind w:left="1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4000" w:type="dxa"/>
            <w:vAlign w:val="bottom"/>
          </w:tcPr>
          <w:p>
            <w:pPr>
              <w:spacing w:after="0"/>
              <w:rPr>
                <w:sz w:val="11"/>
                <w:szCs w:val="11"/>
                <w:color w:val="auto"/>
              </w:rPr>
            </w:pPr>
          </w:p>
        </w:tc>
        <w:tc>
          <w:tcPr>
            <w:tcW w:w="2960" w:type="dxa"/>
            <w:vAlign w:val="bottom"/>
          </w:tcPr>
          <w:p>
            <w:pPr>
              <w:ind w:left="80"/>
              <w:spacing w:after="0" w:line="128" w:lineRule="exact"/>
              <w:rPr>
                <w:sz w:val="20"/>
                <w:szCs w:val="20"/>
                <w:color w:val="auto"/>
              </w:rPr>
            </w:pPr>
            <w:r>
              <w:rPr>
                <w:rFonts w:ascii="Arial" w:cs="Arial" w:eastAsia="Arial" w:hAnsi="Arial"/>
                <w:sz w:val="13"/>
                <w:szCs w:val="13"/>
                <w:color w:val="auto"/>
              </w:rPr>
              <w:t>Reading</w:t>
            </w:r>
          </w:p>
        </w:tc>
        <w:tc>
          <w:tcPr>
            <w:tcW w:w="194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127"/>
        </w:trPr>
        <w:tc>
          <w:tcPr>
            <w:tcW w:w="4000" w:type="dxa"/>
            <w:vAlign w:val="bottom"/>
          </w:tcPr>
          <w:p>
            <w:pPr>
              <w:spacing w:after="0"/>
              <w:rPr>
                <w:sz w:val="11"/>
                <w:szCs w:val="11"/>
                <w:color w:val="auto"/>
              </w:rPr>
            </w:pPr>
          </w:p>
        </w:tc>
        <w:tc>
          <w:tcPr>
            <w:tcW w:w="2960" w:type="dxa"/>
            <w:vAlign w:val="bottom"/>
          </w:tcPr>
          <w:p>
            <w:pPr>
              <w:ind w:left="80"/>
              <w:spacing w:after="0" w:line="128" w:lineRule="exact"/>
              <w:rPr>
                <w:sz w:val="20"/>
                <w:szCs w:val="20"/>
                <w:color w:val="auto"/>
              </w:rPr>
            </w:pPr>
            <w:r>
              <w:rPr>
                <w:rFonts w:ascii="Arial" w:cs="Arial" w:eastAsia="Arial" w:hAnsi="Arial"/>
                <w:sz w:val="13"/>
                <w:szCs w:val="13"/>
                <w:color w:val="auto"/>
              </w:rPr>
              <w:t>RG2 6AD</w:t>
            </w:r>
          </w:p>
        </w:tc>
        <w:tc>
          <w:tcPr>
            <w:tcW w:w="194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168"/>
        </w:trPr>
        <w:tc>
          <w:tcPr>
            <w:tcW w:w="4000" w:type="dxa"/>
            <w:vAlign w:val="bottom"/>
          </w:tcPr>
          <w:p>
            <w:pPr>
              <w:spacing w:after="0"/>
              <w:rPr>
                <w:sz w:val="14"/>
                <w:szCs w:val="14"/>
                <w:color w:val="auto"/>
              </w:rPr>
            </w:pPr>
          </w:p>
        </w:tc>
        <w:tc>
          <w:tcPr>
            <w:tcW w:w="2960" w:type="dxa"/>
            <w:vAlign w:val="bottom"/>
          </w:tcPr>
          <w:p>
            <w:pPr>
              <w:ind w:left="80"/>
              <w:spacing w:after="0"/>
              <w:rPr>
                <w:sz w:val="20"/>
                <w:szCs w:val="20"/>
                <w:color w:val="auto"/>
              </w:rPr>
            </w:pPr>
            <w:r>
              <w:rPr>
                <w:rFonts w:ascii="Arial" w:cs="Arial" w:eastAsia="Arial" w:hAnsi="Arial"/>
                <w:sz w:val="13"/>
                <w:szCs w:val="13"/>
                <w:color w:val="auto"/>
              </w:rPr>
              <w:t>United Kingdom</w:t>
            </w:r>
          </w:p>
        </w:tc>
        <w:tc>
          <w:tcPr>
            <w:tcW w:w="194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29"/>
        </w:trPr>
        <w:tc>
          <w:tcPr>
            <w:tcW w:w="40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Medeval Group Limited</w:t>
            </w:r>
          </w:p>
        </w:tc>
        <w:tc>
          <w:tcPr>
            <w:tcW w:w="2960" w:type="dxa"/>
            <w:vAlign w:val="bottom"/>
            <w:shd w:val="clear" w:color="auto" w:fill="CCEEFF"/>
          </w:tcPr>
          <w:p>
            <w:pPr>
              <w:ind w:left="80"/>
              <w:spacing w:after="0" w:line="129" w:lineRule="exact"/>
              <w:rPr>
                <w:sz w:val="20"/>
                <w:szCs w:val="20"/>
                <w:color w:val="auto"/>
              </w:rPr>
            </w:pPr>
            <w:r>
              <w:rPr>
                <w:rFonts w:ascii="Arial" w:cs="Arial" w:eastAsia="Arial" w:hAnsi="Arial"/>
                <w:sz w:val="13"/>
                <w:szCs w:val="13"/>
                <w:color w:val="auto"/>
              </w:rPr>
              <w:t>500 South Oak Way Green Park</w:t>
            </w:r>
          </w:p>
        </w:tc>
        <w:tc>
          <w:tcPr>
            <w:tcW w:w="1940" w:type="dxa"/>
            <w:vAlign w:val="bottom"/>
            <w:shd w:val="clear" w:color="auto" w:fill="CCEEFF"/>
          </w:tcPr>
          <w:p>
            <w:pPr>
              <w:ind w:left="220"/>
              <w:spacing w:after="0" w:line="129" w:lineRule="exact"/>
              <w:rPr>
                <w:sz w:val="20"/>
                <w:szCs w:val="20"/>
                <w:color w:val="auto"/>
              </w:rPr>
            </w:pPr>
            <w:r>
              <w:rPr>
                <w:rFonts w:ascii="Arial" w:cs="Arial" w:eastAsia="Arial" w:hAnsi="Arial"/>
                <w:sz w:val="13"/>
                <w:szCs w:val="13"/>
                <w:color w:val="auto"/>
              </w:rPr>
              <w:t>Clinical research services</w:t>
            </w:r>
          </w:p>
        </w:tc>
        <w:tc>
          <w:tcPr>
            <w:tcW w:w="2360" w:type="dxa"/>
            <w:vAlign w:val="bottom"/>
            <w:shd w:val="clear" w:color="auto" w:fill="CCEEFF"/>
          </w:tcPr>
          <w:p>
            <w:pPr>
              <w:ind w:left="1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4000" w:type="dxa"/>
            <w:vAlign w:val="bottom"/>
            <w:shd w:val="clear" w:color="auto" w:fill="CCEEFF"/>
          </w:tcPr>
          <w:p>
            <w:pPr>
              <w:spacing w:after="0"/>
              <w:rPr>
                <w:sz w:val="11"/>
                <w:szCs w:val="11"/>
                <w:color w:val="auto"/>
              </w:rPr>
            </w:pPr>
          </w:p>
        </w:tc>
        <w:tc>
          <w:tcPr>
            <w:tcW w:w="2960" w:type="dxa"/>
            <w:vAlign w:val="bottom"/>
            <w:shd w:val="clear" w:color="auto" w:fill="CCEEFF"/>
          </w:tcPr>
          <w:p>
            <w:pPr>
              <w:ind w:left="80"/>
              <w:spacing w:after="0" w:line="128" w:lineRule="exact"/>
              <w:rPr>
                <w:sz w:val="20"/>
                <w:szCs w:val="20"/>
                <w:color w:val="auto"/>
              </w:rPr>
            </w:pPr>
            <w:r>
              <w:rPr>
                <w:rFonts w:ascii="Arial" w:cs="Arial" w:eastAsia="Arial" w:hAnsi="Arial"/>
                <w:sz w:val="13"/>
                <w:szCs w:val="13"/>
                <w:color w:val="auto"/>
              </w:rPr>
              <w:t>Reading</w:t>
            </w:r>
          </w:p>
        </w:tc>
        <w:tc>
          <w:tcPr>
            <w:tcW w:w="194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r>
      <w:tr>
        <w:trPr>
          <w:trHeight w:val="127"/>
        </w:trPr>
        <w:tc>
          <w:tcPr>
            <w:tcW w:w="4000" w:type="dxa"/>
            <w:vAlign w:val="bottom"/>
            <w:shd w:val="clear" w:color="auto" w:fill="CCEEFF"/>
          </w:tcPr>
          <w:p>
            <w:pPr>
              <w:spacing w:after="0"/>
              <w:rPr>
                <w:sz w:val="11"/>
                <w:szCs w:val="11"/>
                <w:color w:val="auto"/>
              </w:rPr>
            </w:pPr>
          </w:p>
        </w:tc>
        <w:tc>
          <w:tcPr>
            <w:tcW w:w="2960" w:type="dxa"/>
            <w:vAlign w:val="bottom"/>
            <w:shd w:val="clear" w:color="auto" w:fill="CCEEFF"/>
          </w:tcPr>
          <w:p>
            <w:pPr>
              <w:ind w:left="80"/>
              <w:spacing w:after="0" w:line="128" w:lineRule="exact"/>
              <w:rPr>
                <w:sz w:val="20"/>
                <w:szCs w:val="20"/>
                <w:color w:val="auto"/>
              </w:rPr>
            </w:pPr>
            <w:r>
              <w:rPr>
                <w:rFonts w:ascii="Arial" w:cs="Arial" w:eastAsia="Arial" w:hAnsi="Arial"/>
                <w:sz w:val="13"/>
                <w:szCs w:val="13"/>
                <w:color w:val="auto"/>
              </w:rPr>
              <w:t>RG2 6AD</w:t>
            </w:r>
          </w:p>
        </w:tc>
        <w:tc>
          <w:tcPr>
            <w:tcW w:w="194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r>
      <w:tr>
        <w:trPr>
          <w:trHeight w:val="170"/>
        </w:trPr>
        <w:tc>
          <w:tcPr>
            <w:tcW w:w="4000" w:type="dxa"/>
            <w:vAlign w:val="bottom"/>
            <w:shd w:val="clear" w:color="auto" w:fill="CCEEFF"/>
          </w:tcPr>
          <w:p>
            <w:pPr>
              <w:spacing w:after="0"/>
              <w:rPr>
                <w:sz w:val="14"/>
                <w:szCs w:val="14"/>
                <w:color w:val="auto"/>
              </w:rPr>
            </w:pPr>
          </w:p>
        </w:tc>
        <w:tc>
          <w:tcPr>
            <w:tcW w:w="2960" w:type="dxa"/>
            <w:vAlign w:val="bottom"/>
            <w:shd w:val="clear" w:color="auto" w:fill="CCEEFF"/>
          </w:tcPr>
          <w:p>
            <w:pPr>
              <w:ind w:left="80"/>
              <w:spacing w:after="0"/>
              <w:rPr>
                <w:sz w:val="20"/>
                <w:szCs w:val="20"/>
                <w:color w:val="auto"/>
              </w:rPr>
            </w:pPr>
            <w:r>
              <w:rPr>
                <w:rFonts w:ascii="Arial" w:cs="Arial" w:eastAsia="Arial" w:hAnsi="Arial"/>
                <w:sz w:val="13"/>
                <w:szCs w:val="13"/>
                <w:color w:val="auto"/>
              </w:rPr>
              <w:t>United Kingdom</w:t>
            </w:r>
          </w:p>
        </w:tc>
        <w:tc>
          <w:tcPr>
            <w:tcW w:w="194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r>
      <w:tr>
        <w:trPr>
          <w:trHeight w:val="127"/>
        </w:trPr>
        <w:tc>
          <w:tcPr>
            <w:tcW w:w="4000" w:type="dxa"/>
            <w:vAlign w:val="bottom"/>
          </w:tcPr>
          <w:p>
            <w:pPr>
              <w:ind w:left="20"/>
              <w:spacing w:after="0" w:line="128" w:lineRule="exact"/>
              <w:rPr>
                <w:sz w:val="20"/>
                <w:szCs w:val="20"/>
                <w:color w:val="auto"/>
              </w:rPr>
            </w:pPr>
            <w:r>
              <w:rPr>
                <w:rFonts w:ascii="Arial" w:cs="Arial" w:eastAsia="Arial" w:hAnsi="Arial"/>
                <w:sz w:val="13"/>
                <w:szCs w:val="13"/>
                <w:color w:val="auto"/>
              </w:rPr>
              <w:t>MeDiNova Lakeside Clinical Research Limited</w:t>
            </w:r>
          </w:p>
        </w:tc>
        <w:tc>
          <w:tcPr>
            <w:tcW w:w="2960" w:type="dxa"/>
            <w:vAlign w:val="bottom"/>
          </w:tcPr>
          <w:p>
            <w:pPr>
              <w:ind w:left="80"/>
              <w:spacing w:after="0" w:line="128" w:lineRule="exact"/>
              <w:rPr>
                <w:sz w:val="20"/>
                <w:szCs w:val="20"/>
                <w:color w:val="auto"/>
              </w:rPr>
            </w:pPr>
            <w:r>
              <w:rPr>
                <w:rFonts w:ascii="Arial" w:cs="Arial" w:eastAsia="Arial" w:hAnsi="Arial"/>
                <w:sz w:val="13"/>
                <w:szCs w:val="13"/>
                <w:color w:val="auto"/>
              </w:rPr>
              <w:t>500 South Oak Way Green Park</w:t>
            </w:r>
          </w:p>
        </w:tc>
        <w:tc>
          <w:tcPr>
            <w:tcW w:w="1940" w:type="dxa"/>
            <w:vAlign w:val="bottom"/>
          </w:tcPr>
          <w:p>
            <w:pPr>
              <w:ind w:left="220"/>
              <w:spacing w:after="0" w:line="128" w:lineRule="exact"/>
              <w:rPr>
                <w:sz w:val="20"/>
                <w:szCs w:val="20"/>
                <w:color w:val="auto"/>
              </w:rPr>
            </w:pPr>
            <w:r>
              <w:rPr>
                <w:rFonts w:ascii="Arial" w:cs="Arial" w:eastAsia="Arial" w:hAnsi="Arial"/>
                <w:sz w:val="13"/>
                <w:szCs w:val="13"/>
                <w:color w:val="auto"/>
              </w:rPr>
              <w:t>Clinical research services</w:t>
            </w:r>
          </w:p>
        </w:tc>
        <w:tc>
          <w:tcPr>
            <w:tcW w:w="2360" w:type="dxa"/>
            <w:vAlign w:val="bottom"/>
          </w:tcPr>
          <w:p>
            <w:pPr>
              <w:ind w:left="1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4000" w:type="dxa"/>
            <w:vAlign w:val="bottom"/>
          </w:tcPr>
          <w:p>
            <w:pPr>
              <w:spacing w:after="0"/>
              <w:rPr>
                <w:sz w:val="11"/>
                <w:szCs w:val="11"/>
                <w:color w:val="auto"/>
              </w:rPr>
            </w:pPr>
          </w:p>
        </w:tc>
        <w:tc>
          <w:tcPr>
            <w:tcW w:w="2960" w:type="dxa"/>
            <w:vAlign w:val="bottom"/>
          </w:tcPr>
          <w:p>
            <w:pPr>
              <w:ind w:left="80"/>
              <w:spacing w:after="0" w:line="128" w:lineRule="exact"/>
              <w:rPr>
                <w:sz w:val="20"/>
                <w:szCs w:val="20"/>
                <w:color w:val="auto"/>
              </w:rPr>
            </w:pPr>
            <w:r>
              <w:rPr>
                <w:rFonts w:ascii="Arial" w:cs="Arial" w:eastAsia="Arial" w:hAnsi="Arial"/>
                <w:sz w:val="13"/>
                <w:szCs w:val="13"/>
                <w:color w:val="auto"/>
              </w:rPr>
              <w:t>Reading</w:t>
            </w:r>
          </w:p>
        </w:tc>
        <w:tc>
          <w:tcPr>
            <w:tcW w:w="194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127"/>
        </w:trPr>
        <w:tc>
          <w:tcPr>
            <w:tcW w:w="4000" w:type="dxa"/>
            <w:vAlign w:val="bottom"/>
          </w:tcPr>
          <w:p>
            <w:pPr>
              <w:spacing w:after="0"/>
              <w:rPr>
                <w:sz w:val="11"/>
                <w:szCs w:val="11"/>
                <w:color w:val="auto"/>
              </w:rPr>
            </w:pPr>
          </w:p>
        </w:tc>
        <w:tc>
          <w:tcPr>
            <w:tcW w:w="2960" w:type="dxa"/>
            <w:vAlign w:val="bottom"/>
          </w:tcPr>
          <w:p>
            <w:pPr>
              <w:ind w:left="80"/>
              <w:spacing w:after="0" w:line="128" w:lineRule="exact"/>
              <w:rPr>
                <w:sz w:val="20"/>
                <w:szCs w:val="20"/>
                <w:color w:val="auto"/>
              </w:rPr>
            </w:pPr>
            <w:r>
              <w:rPr>
                <w:rFonts w:ascii="Arial" w:cs="Arial" w:eastAsia="Arial" w:hAnsi="Arial"/>
                <w:sz w:val="13"/>
                <w:szCs w:val="13"/>
                <w:color w:val="auto"/>
              </w:rPr>
              <w:t>RG2 6AD</w:t>
            </w:r>
          </w:p>
        </w:tc>
        <w:tc>
          <w:tcPr>
            <w:tcW w:w="194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168"/>
        </w:trPr>
        <w:tc>
          <w:tcPr>
            <w:tcW w:w="4000" w:type="dxa"/>
            <w:vAlign w:val="bottom"/>
          </w:tcPr>
          <w:p>
            <w:pPr>
              <w:spacing w:after="0"/>
              <w:rPr>
                <w:sz w:val="14"/>
                <w:szCs w:val="14"/>
                <w:color w:val="auto"/>
              </w:rPr>
            </w:pPr>
          </w:p>
        </w:tc>
        <w:tc>
          <w:tcPr>
            <w:tcW w:w="2960" w:type="dxa"/>
            <w:vAlign w:val="bottom"/>
          </w:tcPr>
          <w:p>
            <w:pPr>
              <w:ind w:left="80"/>
              <w:spacing w:after="0"/>
              <w:rPr>
                <w:sz w:val="20"/>
                <w:szCs w:val="20"/>
                <w:color w:val="auto"/>
              </w:rPr>
            </w:pPr>
            <w:r>
              <w:rPr>
                <w:rFonts w:ascii="Arial" w:cs="Arial" w:eastAsia="Arial" w:hAnsi="Arial"/>
                <w:sz w:val="13"/>
                <w:szCs w:val="13"/>
                <w:color w:val="auto"/>
              </w:rPr>
              <w:t>United Kingdom</w:t>
            </w:r>
          </w:p>
        </w:tc>
        <w:tc>
          <w:tcPr>
            <w:tcW w:w="194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29"/>
        </w:trPr>
        <w:tc>
          <w:tcPr>
            <w:tcW w:w="40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MeDiNova Merc (UK) Limited</w:t>
            </w:r>
          </w:p>
        </w:tc>
        <w:tc>
          <w:tcPr>
            <w:tcW w:w="2960" w:type="dxa"/>
            <w:vAlign w:val="bottom"/>
            <w:shd w:val="clear" w:color="auto" w:fill="CCEEFF"/>
          </w:tcPr>
          <w:p>
            <w:pPr>
              <w:ind w:left="80"/>
              <w:spacing w:after="0" w:line="129" w:lineRule="exact"/>
              <w:rPr>
                <w:sz w:val="20"/>
                <w:szCs w:val="20"/>
                <w:color w:val="auto"/>
              </w:rPr>
            </w:pPr>
            <w:r>
              <w:rPr>
                <w:rFonts w:ascii="Arial" w:cs="Arial" w:eastAsia="Arial" w:hAnsi="Arial"/>
                <w:sz w:val="13"/>
                <w:szCs w:val="13"/>
                <w:color w:val="auto"/>
              </w:rPr>
              <w:t>500 South Oak Way Green Park</w:t>
            </w:r>
          </w:p>
        </w:tc>
        <w:tc>
          <w:tcPr>
            <w:tcW w:w="1940" w:type="dxa"/>
            <w:vAlign w:val="bottom"/>
            <w:shd w:val="clear" w:color="auto" w:fill="CCEEFF"/>
          </w:tcPr>
          <w:p>
            <w:pPr>
              <w:ind w:left="220"/>
              <w:spacing w:after="0" w:line="129" w:lineRule="exact"/>
              <w:rPr>
                <w:sz w:val="20"/>
                <w:szCs w:val="20"/>
                <w:color w:val="auto"/>
              </w:rPr>
            </w:pPr>
            <w:r>
              <w:rPr>
                <w:rFonts w:ascii="Arial" w:cs="Arial" w:eastAsia="Arial" w:hAnsi="Arial"/>
                <w:sz w:val="13"/>
                <w:szCs w:val="13"/>
                <w:color w:val="auto"/>
              </w:rPr>
              <w:t>Clinical research services</w:t>
            </w:r>
          </w:p>
        </w:tc>
        <w:tc>
          <w:tcPr>
            <w:tcW w:w="2360" w:type="dxa"/>
            <w:vAlign w:val="bottom"/>
            <w:shd w:val="clear" w:color="auto" w:fill="CCEEFF"/>
          </w:tcPr>
          <w:p>
            <w:pPr>
              <w:ind w:left="1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4000" w:type="dxa"/>
            <w:vAlign w:val="bottom"/>
            <w:shd w:val="clear" w:color="auto" w:fill="CCEEFF"/>
          </w:tcPr>
          <w:p>
            <w:pPr>
              <w:spacing w:after="0"/>
              <w:rPr>
                <w:sz w:val="11"/>
                <w:szCs w:val="11"/>
                <w:color w:val="auto"/>
              </w:rPr>
            </w:pPr>
          </w:p>
        </w:tc>
        <w:tc>
          <w:tcPr>
            <w:tcW w:w="2960" w:type="dxa"/>
            <w:vAlign w:val="bottom"/>
            <w:shd w:val="clear" w:color="auto" w:fill="CCEEFF"/>
          </w:tcPr>
          <w:p>
            <w:pPr>
              <w:ind w:left="80"/>
              <w:spacing w:after="0" w:line="128" w:lineRule="exact"/>
              <w:rPr>
                <w:sz w:val="20"/>
                <w:szCs w:val="20"/>
                <w:color w:val="auto"/>
              </w:rPr>
            </w:pPr>
            <w:r>
              <w:rPr>
                <w:rFonts w:ascii="Arial" w:cs="Arial" w:eastAsia="Arial" w:hAnsi="Arial"/>
                <w:sz w:val="13"/>
                <w:szCs w:val="13"/>
                <w:color w:val="auto"/>
              </w:rPr>
              <w:t>Reading</w:t>
            </w:r>
          </w:p>
        </w:tc>
        <w:tc>
          <w:tcPr>
            <w:tcW w:w="194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r>
      <w:tr>
        <w:trPr>
          <w:trHeight w:val="127"/>
        </w:trPr>
        <w:tc>
          <w:tcPr>
            <w:tcW w:w="4000" w:type="dxa"/>
            <w:vAlign w:val="bottom"/>
            <w:shd w:val="clear" w:color="auto" w:fill="CCEEFF"/>
          </w:tcPr>
          <w:p>
            <w:pPr>
              <w:spacing w:after="0"/>
              <w:rPr>
                <w:sz w:val="11"/>
                <w:szCs w:val="11"/>
                <w:color w:val="auto"/>
              </w:rPr>
            </w:pPr>
          </w:p>
        </w:tc>
        <w:tc>
          <w:tcPr>
            <w:tcW w:w="2960" w:type="dxa"/>
            <w:vAlign w:val="bottom"/>
            <w:shd w:val="clear" w:color="auto" w:fill="CCEEFF"/>
          </w:tcPr>
          <w:p>
            <w:pPr>
              <w:ind w:left="80"/>
              <w:spacing w:after="0" w:line="128" w:lineRule="exact"/>
              <w:rPr>
                <w:sz w:val="20"/>
                <w:szCs w:val="20"/>
                <w:color w:val="auto"/>
              </w:rPr>
            </w:pPr>
            <w:r>
              <w:rPr>
                <w:rFonts w:ascii="Arial" w:cs="Arial" w:eastAsia="Arial" w:hAnsi="Arial"/>
                <w:sz w:val="13"/>
                <w:szCs w:val="13"/>
                <w:color w:val="auto"/>
              </w:rPr>
              <w:t>RG2 6AD</w:t>
            </w:r>
          </w:p>
        </w:tc>
        <w:tc>
          <w:tcPr>
            <w:tcW w:w="194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r>
      <w:tr>
        <w:trPr>
          <w:trHeight w:val="170"/>
        </w:trPr>
        <w:tc>
          <w:tcPr>
            <w:tcW w:w="4000" w:type="dxa"/>
            <w:vAlign w:val="bottom"/>
            <w:shd w:val="clear" w:color="auto" w:fill="CCEEFF"/>
          </w:tcPr>
          <w:p>
            <w:pPr>
              <w:spacing w:after="0"/>
              <w:rPr>
                <w:sz w:val="14"/>
                <w:szCs w:val="14"/>
                <w:color w:val="auto"/>
              </w:rPr>
            </w:pPr>
          </w:p>
        </w:tc>
        <w:tc>
          <w:tcPr>
            <w:tcW w:w="2960" w:type="dxa"/>
            <w:vAlign w:val="bottom"/>
            <w:shd w:val="clear" w:color="auto" w:fill="CCEEFF"/>
          </w:tcPr>
          <w:p>
            <w:pPr>
              <w:ind w:left="80"/>
              <w:spacing w:after="0"/>
              <w:rPr>
                <w:sz w:val="20"/>
                <w:szCs w:val="20"/>
                <w:color w:val="auto"/>
              </w:rPr>
            </w:pPr>
            <w:r>
              <w:rPr>
                <w:rFonts w:ascii="Arial" w:cs="Arial" w:eastAsia="Arial" w:hAnsi="Arial"/>
                <w:sz w:val="13"/>
                <w:szCs w:val="13"/>
                <w:color w:val="auto"/>
              </w:rPr>
              <w:t>United Kingdom</w:t>
            </w:r>
          </w:p>
        </w:tc>
        <w:tc>
          <w:tcPr>
            <w:tcW w:w="194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r>
      <w:tr>
        <w:trPr>
          <w:trHeight w:val="127"/>
        </w:trPr>
        <w:tc>
          <w:tcPr>
            <w:tcW w:w="4000" w:type="dxa"/>
            <w:vAlign w:val="bottom"/>
          </w:tcPr>
          <w:p>
            <w:pPr>
              <w:ind w:left="20"/>
              <w:spacing w:after="0" w:line="128" w:lineRule="exact"/>
              <w:rPr>
                <w:sz w:val="20"/>
                <w:szCs w:val="20"/>
                <w:color w:val="auto"/>
              </w:rPr>
            </w:pPr>
            <w:r>
              <w:rPr>
                <w:rFonts w:ascii="Arial" w:cs="Arial" w:eastAsia="Arial" w:hAnsi="Arial"/>
                <w:sz w:val="13"/>
                <w:szCs w:val="13"/>
                <w:color w:val="auto"/>
              </w:rPr>
              <w:t>VSK (Kenilworth) Limited</w:t>
            </w:r>
          </w:p>
        </w:tc>
        <w:tc>
          <w:tcPr>
            <w:tcW w:w="2960" w:type="dxa"/>
            <w:vAlign w:val="bottom"/>
          </w:tcPr>
          <w:p>
            <w:pPr>
              <w:ind w:left="80"/>
              <w:spacing w:after="0" w:line="128" w:lineRule="exact"/>
              <w:rPr>
                <w:sz w:val="20"/>
                <w:szCs w:val="20"/>
                <w:color w:val="auto"/>
              </w:rPr>
            </w:pPr>
            <w:r>
              <w:rPr>
                <w:rFonts w:ascii="Arial" w:cs="Arial" w:eastAsia="Arial" w:hAnsi="Arial"/>
                <w:sz w:val="13"/>
                <w:szCs w:val="13"/>
                <w:color w:val="auto"/>
              </w:rPr>
              <w:t>500 South Oak Way Green Park</w:t>
            </w:r>
          </w:p>
        </w:tc>
        <w:tc>
          <w:tcPr>
            <w:tcW w:w="1940" w:type="dxa"/>
            <w:vAlign w:val="bottom"/>
          </w:tcPr>
          <w:p>
            <w:pPr>
              <w:ind w:left="220"/>
              <w:spacing w:after="0" w:line="128" w:lineRule="exact"/>
              <w:rPr>
                <w:sz w:val="20"/>
                <w:szCs w:val="20"/>
                <w:color w:val="auto"/>
              </w:rPr>
            </w:pPr>
            <w:r>
              <w:rPr>
                <w:rFonts w:ascii="Arial" w:cs="Arial" w:eastAsia="Arial" w:hAnsi="Arial"/>
                <w:sz w:val="13"/>
                <w:szCs w:val="13"/>
                <w:color w:val="auto"/>
              </w:rPr>
              <w:t>Clinical research services</w:t>
            </w:r>
          </w:p>
        </w:tc>
        <w:tc>
          <w:tcPr>
            <w:tcW w:w="2360" w:type="dxa"/>
            <w:vAlign w:val="bottom"/>
          </w:tcPr>
          <w:p>
            <w:pPr>
              <w:ind w:left="12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4000" w:type="dxa"/>
            <w:vAlign w:val="bottom"/>
          </w:tcPr>
          <w:p>
            <w:pPr>
              <w:spacing w:after="0"/>
              <w:rPr>
                <w:sz w:val="11"/>
                <w:szCs w:val="11"/>
                <w:color w:val="auto"/>
              </w:rPr>
            </w:pPr>
          </w:p>
        </w:tc>
        <w:tc>
          <w:tcPr>
            <w:tcW w:w="2960" w:type="dxa"/>
            <w:vAlign w:val="bottom"/>
          </w:tcPr>
          <w:p>
            <w:pPr>
              <w:ind w:left="80"/>
              <w:spacing w:after="0" w:line="128" w:lineRule="exact"/>
              <w:rPr>
                <w:sz w:val="20"/>
                <w:szCs w:val="20"/>
                <w:color w:val="auto"/>
              </w:rPr>
            </w:pPr>
            <w:r>
              <w:rPr>
                <w:rFonts w:ascii="Arial" w:cs="Arial" w:eastAsia="Arial" w:hAnsi="Arial"/>
                <w:sz w:val="13"/>
                <w:szCs w:val="13"/>
                <w:color w:val="auto"/>
              </w:rPr>
              <w:t>Reading</w:t>
            </w:r>
          </w:p>
        </w:tc>
        <w:tc>
          <w:tcPr>
            <w:tcW w:w="194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127"/>
        </w:trPr>
        <w:tc>
          <w:tcPr>
            <w:tcW w:w="4000" w:type="dxa"/>
            <w:vAlign w:val="bottom"/>
          </w:tcPr>
          <w:p>
            <w:pPr>
              <w:spacing w:after="0"/>
              <w:rPr>
                <w:sz w:val="11"/>
                <w:szCs w:val="11"/>
                <w:color w:val="auto"/>
              </w:rPr>
            </w:pPr>
          </w:p>
        </w:tc>
        <w:tc>
          <w:tcPr>
            <w:tcW w:w="2960" w:type="dxa"/>
            <w:vAlign w:val="bottom"/>
          </w:tcPr>
          <w:p>
            <w:pPr>
              <w:ind w:left="80"/>
              <w:spacing w:after="0" w:line="128" w:lineRule="exact"/>
              <w:rPr>
                <w:sz w:val="20"/>
                <w:szCs w:val="20"/>
                <w:color w:val="auto"/>
              </w:rPr>
            </w:pPr>
            <w:r>
              <w:rPr>
                <w:rFonts w:ascii="Arial" w:cs="Arial" w:eastAsia="Arial" w:hAnsi="Arial"/>
                <w:sz w:val="13"/>
                <w:szCs w:val="13"/>
                <w:color w:val="auto"/>
              </w:rPr>
              <w:t>RG2 6AD</w:t>
            </w:r>
          </w:p>
        </w:tc>
        <w:tc>
          <w:tcPr>
            <w:tcW w:w="194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168"/>
        </w:trPr>
        <w:tc>
          <w:tcPr>
            <w:tcW w:w="4000" w:type="dxa"/>
            <w:vAlign w:val="bottom"/>
          </w:tcPr>
          <w:p>
            <w:pPr>
              <w:spacing w:after="0"/>
              <w:rPr>
                <w:sz w:val="14"/>
                <w:szCs w:val="14"/>
                <w:color w:val="auto"/>
              </w:rPr>
            </w:pPr>
          </w:p>
        </w:tc>
        <w:tc>
          <w:tcPr>
            <w:tcW w:w="2960" w:type="dxa"/>
            <w:vAlign w:val="bottom"/>
          </w:tcPr>
          <w:p>
            <w:pPr>
              <w:ind w:left="80"/>
              <w:spacing w:after="0"/>
              <w:rPr>
                <w:sz w:val="20"/>
                <w:szCs w:val="20"/>
                <w:color w:val="auto"/>
              </w:rPr>
            </w:pPr>
            <w:r>
              <w:rPr>
                <w:rFonts w:ascii="Arial" w:cs="Arial" w:eastAsia="Arial" w:hAnsi="Arial"/>
                <w:sz w:val="13"/>
                <w:szCs w:val="13"/>
                <w:color w:val="auto"/>
              </w:rPr>
              <w:t>United Kingdom</w:t>
            </w:r>
          </w:p>
        </w:tc>
        <w:tc>
          <w:tcPr>
            <w:tcW w:w="194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29"/>
        </w:trPr>
        <w:tc>
          <w:tcPr>
            <w:tcW w:w="40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IMP Logistics UK Limited</w:t>
            </w:r>
          </w:p>
        </w:tc>
        <w:tc>
          <w:tcPr>
            <w:tcW w:w="2960" w:type="dxa"/>
            <w:vAlign w:val="bottom"/>
            <w:shd w:val="clear" w:color="auto" w:fill="CCEEFF"/>
          </w:tcPr>
          <w:p>
            <w:pPr>
              <w:ind w:left="80"/>
              <w:spacing w:after="0" w:line="129" w:lineRule="exact"/>
              <w:rPr>
                <w:sz w:val="20"/>
                <w:szCs w:val="20"/>
                <w:color w:val="auto"/>
              </w:rPr>
            </w:pPr>
            <w:r>
              <w:rPr>
                <w:rFonts w:ascii="Arial" w:cs="Arial" w:eastAsia="Arial" w:hAnsi="Arial"/>
                <w:sz w:val="13"/>
                <w:szCs w:val="13"/>
                <w:color w:val="auto"/>
              </w:rPr>
              <w:t>Cannon Place, 78 Cannon Street</w:t>
            </w:r>
          </w:p>
        </w:tc>
        <w:tc>
          <w:tcPr>
            <w:tcW w:w="1940" w:type="dxa"/>
            <w:vAlign w:val="bottom"/>
            <w:shd w:val="clear" w:color="auto" w:fill="CCEEFF"/>
          </w:tcPr>
          <w:p>
            <w:pPr>
              <w:ind w:left="220"/>
              <w:spacing w:after="0" w:line="129" w:lineRule="exact"/>
              <w:rPr>
                <w:sz w:val="20"/>
                <w:szCs w:val="20"/>
                <w:color w:val="auto"/>
              </w:rPr>
            </w:pPr>
            <w:r>
              <w:rPr>
                <w:rFonts w:ascii="Arial" w:cs="Arial" w:eastAsia="Arial" w:hAnsi="Arial"/>
                <w:sz w:val="13"/>
                <w:szCs w:val="13"/>
                <w:color w:val="auto"/>
              </w:rPr>
              <w:t>Clinical research services</w:t>
            </w:r>
          </w:p>
        </w:tc>
        <w:tc>
          <w:tcPr>
            <w:tcW w:w="2360" w:type="dxa"/>
            <w:vAlign w:val="bottom"/>
            <w:shd w:val="clear" w:color="auto" w:fill="CCEEFF"/>
          </w:tcPr>
          <w:p>
            <w:pPr>
              <w:ind w:left="120"/>
              <w:spacing w:after="0" w:line="129" w:lineRule="exact"/>
              <w:rPr>
                <w:sz w:val="20"/>
                <w:szCs w:val="20"/>
                <w:color w:val="auto"/>
              </w:rPr>
            </w:pPr>
            <w:r>
              <w:rPr>
                <w:rFonts w:ascii="Arial" w:cs="Arial" w:eastAsia="Arial" w:hAnsi="Arial"/>
                <w:sz w:val="13"/>
                <w:szCs w:val="13"/>
                <w:color w:val="auto"/>
              </w:rPr>
              <w:t>100%</w:t>
            </w:r>
          </w:p>
        </w:tc>
      </w:tr>
      <w:tr>
        <w:trPr>
          <w:trHeight w:val="170"/>
        </w:trPr>
        <w:tc>
          <w:tcPr>
            <w:tcW w:w="4000" w:type="dxa"/>
            <w:vAlign w:val="bottom"/>
            <w:shd w:val="clear" w:color="auto" w:fill="CCEEFF"/>
          </w:tcPr>
          <w:p>
            <w:pPr>
              <w:spacing w:after="0"/>
              <w:rPr>
                <w:sz w:val="14"/>
                <w:szCs w:val="14"/>
                <w:color w:val="auto"/>
              </w:rPr>
            </w:pPr>
          </w:p>
        </w:tc>
        <w:tc>
          <w:tcPr>
            <w:tcW w:w="2960" w:type="dxa"/>
            <w:vAlign w:val="bottom"/>
            <w:shd w:val="clear" w:color="auto" w:fill="CCEEFF"/>
          </w:tcPr>
          <w:p>
            <w:pPr>
              <w:ind w:left="80"/>
              <w:spacing w:after="0"/>
              <w:rPr>
                <w:sz w:val="20"/>
                <w:szCs w:val="20"/>
                <w:color w:val="auto"/>
              </w:rPr>
            </w:pPr>
            <w:r>
              <w:rPr>
                <w:rFonts w:ascii="Arial" w:cs="Arial" w:eastAsia="Arial" w:hAnsi="Arial"/>
                <w:sz w:val="13"/>
                <w:szCs w:val="13"/>
                <w:color w:val="auto"/>
              </w:rPr>
              <w:t>London EC4N 6AF England</w:t>
            </w:r>
          </w:p>
        </w:tc>
        <w:tc>
          <w:tcPr>
            <w:tcW w:w="194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r>
      <w:tr>
        <w:trPr>
          <w:trHeight w:val="127"/>
        </w:trPr>
        <w:tc>
          <w:tcPr>
            <w:tcW w:w="4000" w:type="dxa"/>
            <w:vAlign w:val="bottom"/>
          </w:tcPr>
          <w:p>
            <w:pPr>
              <w:ind w:left="20"/>
              <w:spacing w:after="0" w:line="128" w:lineRule="exact"/>
              <w:rPr>
                <w:sz w:val="20"/>
                <w:szCs w:val="20"/>
                <w:color w:val="auto"/>
              </w:rPr>
            </w:pPr>
            <w:r>
              <w:rPr>
                <w:rFonts w:ascii="Arial" w:cs="Arial" w:eastAsia="Arial" w:hAnsi="Arial"/>
                <w:sz w:val="13"/>
                <w:szCs w:val="13"/>
                <w:color w:val="auto"/>
              </w:rPr>
              <w:t>Pharm Research Associates (UK) Limited</w:t>
            </w:r>
          </w:p>
        </w:tc>
        <w:tc>
          <w:tcPr>
            <w:tcW w:w="2960" w:type="dxa"/>
            <w:vAlign w:val="bottom"/>
          </w:tcPr>
          <w:p>
            <w:pPr>
              <w:ind w:left="80"/>
              <w:spacing w:after="0" w:line="128" w:lineRule="exact"/>
              <w:rPr>
                <w:sz w:val="20"/>
                <w:szCs w:val="20"/>
                <w:color w:val="auto"/>
              </w:rPr>
            </w:pPr>
            <w:r>
              <w:rPr>
                <w:rFonts w:ascii="Arial" w:cs="Arial" w:eastAsia="Arial" w:hAnsi="Arial"/>
                <w:sz w:val="13"/>
                <w:szCs w:val="13"/>
                <w:color w:val="auto"/>
              </w:rPr>
              <w:t>Cannon Place, 78 Cannon Street</w:t>
            </w:r>
          </w:p>
        </w:tc>
        <w:tc>
          <w:tcPr>
            <w:tcW w:w="1940" w:type="dxa"/>
            <w:vAlign w:val="bottom"/>
          </w:tcPr>
          <w:p>
            <w:pPr>
              <w:ind w:left="220"/>
              <w:spacing w:after="0" w:line="128" w:lineRule="exact"/>
              <w:rPr>
                <w:sz w:val="20"/>
                <w:szCs w:val="20"/>
                <w:color w:val="auto"/>
              </w:rPr>
            </w:pPr>
            <w:r>
              <w:rPr>
                <w:rFonts w:ascii="Arial" w:cs="Arial" w:eastAsia="Arial" w:hAnsi="Arial"/>
                <w:sz w:val="13"/>
                <w:szCs w:val="13"/>
                <w:color w:val="auto"/>
              </w:rPr>
              <w:t>Clinical research services</w:t>
            </w:r>
          </w:p>
        </w:tc>
        <w:tc>
          <w:tcPr>
            <w:tcW w:w="2360" w:type="dxa"/>
            <w:vAlign w:val="bottom"/>
          </w:tcPr>
          <w:p>
            <w:pPr>
              <w:ind w:left="120"/>
              <w:spacing w:after="0" w:line="128" w:lineRule="exact"/>
              <w:rPr>
                <w:sz w:val="20"/>
                <w:szCs w:val="20"/>
                <w:color w:val="auto"/>
              </w:rPr>
            </w:pPr>
            <w:r>
              <w:rPr>
                <w:rFonts w:ascii="Arial" w:cs="Arial" w:eastAsia="Arial" w:hAnsi="Arial"/>
                <w:sz w:val="13"/>
                <w:szCs w:val="13"/>
                <w:color w:val="auto"/>
              </w:rPr>
              <w:t>100%</w:t>
            </w:r>
          </w:p>
        </w:tc>
      </w:tr>
      <w:tr>
        <w:trPr>
          <w:trHeight w:val="168"/>
        </w:trPr>
        <w:tc>
          <w:tcPr>
            <w:tcW w:w="4000" w:type="dxa"/>
            <w:vAlign w:val="bottom"/>
          </w:tcPr>
          <w:p>
            <w:pPr>
              <w:spacing w:after="0"/>
              <w:rPr>
                <w:sz w:val="14"/>
                <w:szCs w:val="14"/>
                <w:color w:val="auto"/>
              </w:rPr>
            </w:pPr>
          </w:p>
        </w:tc>
        <w:tc>
          <w:tcPr>
            <w:tcW w:w="2960" w:type="dxa"/>
            <w:vAlign w:val="bottom"/>
          </w:tcPr>
          <w:p>
            <w:pPr>
              <w:ind w:left="80"/>
              <w:spacing w:after="0"/>
              <w:rPr>
                <w:sz w:val="20"/>
                <w:szCs w:val="20"/>
                <w:color w:val="auto"/>
              </w:rPr>
            </w:pPr>
            <w:r>
              <w:rPr>
                <w:rFonts w:ascii="Arial" w:cs="Arial" w:eastAsia="Arial" w:hAnsi="Arial"/>
                <w:sz w:val="13"/>
                <w:szCs w:val="13"/>
                <w:color w:val="auto"/>
              </w:rPr>
              <w:t>London EC4N 6AF England</w:t>
            </w:r>
          </w:p>
        </w:tc>
        <w:tc>
          <w:tcPr>
            <w:tcW w:w="194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29"/>
        </w:trPr>
        <w:tc>
          <w:tcPr>
            <w:tcW w:w="40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98"/>
              </w:rPr>
              <w:t>Pharm Research Associates Russia Limited (in Voluntary Liquidation)</w:t>
            </w:r>
          </w:p>
        </w:tc>
        <w:tc>
          <w:tcPr>
            <w:tcW w:w="2960" w:type="dxa"/>
            <w:vAlign w:val="bottom"/>
            <w:shd w:val="clear" w:color="auto" w:fill="CCEEFF"/>
          </w:tcPr>
          <w:p>
            <w:pPr>
              <w:ind w:left="80"/>
              <w:spacing w:after="0" w:line="129" w:lineRule="exact"/>
              <w:rPr>
                <w:sz w:val="20"/>
                <w:szCs w:val="20"/>
                <w:color w:val="auto"/>
              </w:rPr>
            </w:pPr>
            <w:r>
              <w:rPr>
                <w:rFonts w:ascii="Arial" w:cs="Arial" w:eastAsia="Arial" w:hAnsi="Arial"/>
                <w:sz w:val="13"/>
                <w:szCs w:val="13"/>
                <w:color w:val="auto"/>
              </w:rPr>
              <w:t>The Pinnacle 170 Midsummer Boulevard Milton</w:t>
            </w:r>
          </w:p>
        </w:tc>
        <w:tc>
          <w:tcPr>
            <w:tcW w:w="1940" w:type="dxa"/>
            <w:vAlign w:val="bottom"/>
            <w:shd w:val="clear" w:color="auto" w:fill="CCEEFF"/>
          </w:tcPr>
          <w:p>
            <w:pPr>
              <w:ind w:left="220"/>
              <w:spacing w:after="0" w:line="129" w:lineRule="exact"/>
              <w:rPr>
                <w:sz w:val="20"/>
                <w:szCs w:val="20"/>
                <w:color w:val="auto"/>
              </w:rPr>
            </w:pPr>
            <w:r>
              <w:rPr>
                <w:rFonts w:ascii="Arial" w:cs="Arial" w:eastAsia="Arial" w:hAnsi="Arial"/>
                <w:sz w:val="13"/>
                <w:szCs w:val="13"/>
                <w:color w:val="auto"/>
              </w:rPr>
              <w:t>Clinical research services</w:t>
            </w:r>
          </w:p>
        </w:tc>
        <w:tc>
          <w:tcPr>
            <w:tcW w:w="2360" w:type="dxa"/>
            <w:vAlign w:val="bottom"/>
            <w:shd w:val="clear" w:color="auto" w:fill="CCEEFF"/>
          </w:tcPr>
          <w:p>
            <w:pPr>
              <w:ind w:left="120"/>
              <w:spacing w:after="0" w:line="129" w:lineRule="exact"/>
              <w:rPr>
                <w:sz w:val="20"/>
                <w:szCs w:val="20"/>
                <w:color w:val="auto"/>
              </w:rPr>
            </w:pPr>
            <w:r>
              <w:rPr>
                <w:rFonts w:ascii="Arial" w:cs="Arial" w:eastAsia="Arial" w:hAnsi="Arial"/>
                <w:sz w:val="13"/>
                <w:szCs w:val="13"/>
                <w:color w:val="auto"/>
              </w:rPr>
              <w:t>100%</w:t>
            </w:r>
          </w:p>
        </w:tc>
      </w:tr>
      <w:tr>
        <w:trPr>
          <w:trHeight w:val="170"/>
        </w:trPr>
        <w:tc>
          <w:tcPr>
            <w:tcW w:w="4000" w:type="dxa"/>
            <w:vAlign w:val="bottom"/>
            <w:shd w:val="clear" w:color="auto" w:fill="CCEEFF"/>
          </w:tcPr>
          <w:p>
            <w:pPr>
              <w:spacing w:after="0"/>
              <w:rPr>
                <w:sz w:val="14"/>
                <w:szCs w:val="14"/>
                <w:color w:val="auto"/>
              </w:rPr>
            </w:pPr>
          </w:p>
        </w:tc>
        <w:tc>
          <w:tcPr>
            <w:tcW w:w="2960" w:type="dxa"/>
            <w:vAlign w:val="bottom"/>
            <w:shd w:val="clear" w:color="auto" w:fill="CCEEFF"/>
          </w:tcPr>
          <w:p>
            <w:pPr>
              <w:ind w:left="80"/>
              <w:spacing w:after="0"/>
              <w:rPr>
                <w:sz w:val="20"/>
                <w:szCs w:val="20"/>
                <w:color w:val="auto"/>
              </w:rPr>
            </w:pPr>
            <w:r>
              <w:rPr>
                <w:rFonts w:ascii="Arial" w:cs="Arial" w:eastAsia="Arial" w:hAnsi="Arial"/>
                <w:sz w:val="13"/>
                <w:szCs w:val="13"/>
                <w:color w:val="auto"/>
              </w:rPr>
              <w:t>Keynes MK9 1BP</w:t>
            </w:r>
          </w:p>
        </w:tc>
        <w:tc>
          <w:tcPr>
            <w:tcW w:w="194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r>
      <w:tr>
        <w:trPr>
          <w:trHeight w:val="127"/>
        </w:trPr>
        <w:tc>
          <w:tcPr>
            <w:tcW w:w="4000" w:type="dxa"/>
            <w:vAlign w:val="bottom"/>
          </w:tcPr>
          <w:p>
            <w:pPr>
              <w:ind w:left="20"/>
              <w:spacing w:after="0" w:line="128" w:lineRule="exact"/>
              <w:rPr>
                <w:sz w:val="20"/>
                <w:szCs w:val="20"/>
                <w:color w:val="auto"/>
              </w:rPr>
            </w:pPr>
            <w:r>
              <w:rPr>
                <w:rFonts w:ascii="Arial" w:cs="Arial" w:eastAsia="Arial" w:hAnsi="Arial"/>
                <w:sz w:val="13"/>
                <w:szCs w:val="13"/>
                <w:color w:val="auto"/>
              </w:rPr>
              <w:t>Sterling Synergy Systems Limited</w:t>
            </w:r>
          </w:p>
        </w:tc>
        <w:tc>
          <w:tcPr>
            <w:tcW w:w="2960" w:type="dxa"/>
            <w:vAlign w:val="bottom"/>
          </w:tcPr>
          <w:p>
            <w:pPr>
              <w:ind w:left="80"/>
              <w:spacing w:after="0" w:line="128" w:lineRule="exact"/>
              <w:rPr>
                <w:sz w:val="20"/>
                <w:szCs w:val="20"/>
                <w:color w:val="auto"/>
              </w:rPr>
            </w:pPr>
            <w:r>
              <w:rPr>
                <w:rFonts w:ascii="Arial" w:cs="Arial" w:eastAsia="Arial" w:hAnsi="Arial"/>
                <w:sz w:val="13"/>
                <w:szCs w:val="13"/>
                <w:color w:val="auto"/>
              </w:rPr>
              <w:t>Cannon Place, 78 Cannon Street</w:t>
            </w:r>
          </w:p>
        </w:tc>
        <w:tc>
          <w:tcPr>
            <w:tcW w:w="1940" w:type="dxa"/>
            <w:vAlign w:val="bottom"/>
          </w:tcPr>
          <w:p>
            <w:pPr>
              <w:ind w:left="220"/>
              <w:spacing w:after="0" w:line="128" w:lineRule="exact"/>
              <w:rPr>
                <w:sz w:val="20"/>
                <w:szCs w:val="20"/>
                <w:color w:val="auto"/>
              </w:rPr>
            </w:pPr>
            <w:r>
              <w:rPr>
                <w:rFonts w:ascii="Arial" w:cs="Arial" w:eastAsia="Arial" w:hAnsi="Arial"/>
                <w:sz w:val="13"/>
                <w:szCs w:val="13"/>
                <w:color w:val="auto"/>
              </w:rPr>
              <w:t>Clinical research services</w:t>
            </w:r>
          </w:p>
        </w:tc>
        <w:tc>
          <w:tcPr>
            <w:tcW w:w="2360" w:type="dxa"/>
            <w:vAlign w:val="bottom"/>
          </w:tcPr>
          <w:p>
            <w:pPr>
              <w:ind w:left="120"/>
              <w:spacing w:after="0" w:line="128" w:lineRule="exact"/>
              <w:rPr>
                <w:sz w:val="20"/>
                <w:szCs w:val="20"/>
                <w:color w:val="auto"/>
              </w:rPr>
            </w:pPr>
            <w:r>
              <w:rPr>
                <w:rFonts w:ascii="Arial" w:cs="Arial" w:eastAsia="Arial" w:hAnsi="Arial"/>
                <w:sz w:val="13"/>
                <w:szCs w:val="13"/>
                <w:color w:val="auto"/>
              </w:rPr>
              <w:t>100%</w:t>
            </w:r>
          </w:p>
        </w:tc>
      </w:tr>
      <w:tr>
        <w:trPr>
          <w:trHeight w:val="168"/>
        </w:trPr>
        <w:tc>
          <w:tcPr>
            <w:tcW w:w="4000" w:type="dxa"/>
            <w:vAlign w:val="bottom"/>
          </w:tcPr>
          <w:p>
            <w:pPr>
              <w:spacing w:after="0"/>
              <w:rPr>
                <w:sz w:val="14"/>
                <w:szCs w:val="14"/>
                <w:color w:val="auto"/>
              </w:rPr>
            </w:pPr>
          </w:p>
        </w:tc>
        <w:tc>
          <w:tcPr>
            <w:tcW w:w="2960" w:type="dxa"/>
            <w:vAlign w:val="bottom"/>
          </w:tcPr>
          <w:p>
            <w:pPr>
              <w:ind w:left="80"/>
              <w:spacing w:after="0"/>
              <w:rPr>
                <w:sz w:val="20"/>
                <w:szCs w:val="20"/>
                <w:color w:val="auto"/>
              </w:rPr>
            </w:pPr>
            <w:r>
              <w:rPr>
                <w:rFonts w:ascii="Arial" w:cs="Arial" w:eastAsia="Arial" w:hAnsi="Arial"/>
                <w:sz w:val="13"/>
                <w:szCs w:val="13"/>
                <w:color w:val="auto"/>
              </w:rPr>
              <w:t>London EC4N 6AF England</w:t>
            </w:r>
          </w:p>
        </w:tc>
        <w:tc>
          <w:tcPr>
            <w:tcW w:w="194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29"/>
        </w:trPr>
        <w:tc>
          <w:tcPr>
            <w:tcW w:w="40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Clinical Research Holdings (U.K.) Limited</w:t>
            </w:r>
          </w:p>
        </w:tc>
        <w:tc>
          <w:tcPr>
            <w:tcW w:w="2960" w:type="dxa"/>
            <w:vAlign w:val="bottom"/>
            <w:shd w:val="clear" w:color="auto" w:fill="CCEEFF"/>
          </w:tcPr>
          <w:p>
            <w:pPr>
              <w:ind w:left="80"/>
              <w:spacing w:after="0" w:line="129" w:lineRule="exact"/>
              <w:rPr>
                <w:sz w:val="20"/>
                <w:szCs w:val="20"/>
                <w:color w:val="auto"/>
              </w:rPr>
            </w:pPr>
            <w:r>
              <w:rPr>
                <w:rFonts w:ascii="Arial" w:cs="Arial" w:eastAsia="Arial" w:hAnsi="Arial"/>
                <w:sz w:val="13"/>
                <w:szCs w:val="13"/>
                <w:color w:val="auto"/>
              </w:rPr>
              <w:t>500 South Oak Way Green Park</w:t>
            </w:r>
          </w:p>
        </w:tc>
        <w:tc>
          <w:tcPr>
            <w:tcW w:w="1940" w:type="dxa"/>
            <w:vAlign w:val="bottom"/>
            <w:shd w:val="clear" w:color="auto" w:fill="CCEEFF"/>
          </w:tcPr>
          <w:p>
            <w:pPr>
              <w:ind w:left="220"/>
              <w:spacing w:after="0" w:line="129" w:lineRule="exact"/>
              <w:rPr>
                <w:sz w:val="20"/>
                <w:szCs w:val="20"/>
                <w:color w:val="auto"/>
              </w:rPr>
            </w:pPr>
            <w:r>
              <w:rPr>
                <w:rFonts w:ascii="Arial" w:cs="Arial" w:eastAsia="Arial" w:hAnsi="Arial"/>
                <w:sz w:val="13"/>
                <w:szCs w:val="13"/>
                <w:color w:val="auto"/>
              </w:rPr>
              <w:t>Investment holding company</w:t>
            </w:r>
          </w:p>
        </w:tc>
        <w:tc>
          <w:tcPr>
            <w:tcW w:w="2360" w:type="dxa"/>
            <w:vAlign w:val="bottom"/>
            <w:shd w:val="clear" w:color="auto" w:fill="CCEEFF"/>
          </w:tcPr>
          <w:p>
            <w:pPr>
              <w:ind w:left="12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4000" w:type="dxa"/>
            <w:vAlign w:val="bottom"/>
            <w:shd w:val="clear" w:color="auto" w:fill="CCEEFF"/>
          </w:tcPr>
          <w:p>
            <w:pPr>
              <w:spacing w:after="0"/>
              <w:rPr>
                <w:sz w:val="11"/>
                <w:szCs w:val="11"/>
                <w:color w:val="auto"/>
              </w:rPr>
            </w:pPr>
          </w:p>
        </w:tc>
        <w:tc>
          <w:tcPr>
            <w:tcW w:w="2960" w:type="dxa"/>
            <w:vAlign w:val="bottom"/>
            <w:shd w:val="clear" w:color="auto" w:fill="CCEEFF"/>
          </w:tcPr>
          <w:p>
            <w:pPr>
              <w:ind w:left="80"/>
              <w:spacing w:after="0" w:line="128" w:lineRule="exact"/>
              <w:rPr>
                <w:sz w:val="20"/>
                <w:szCs w:val="20"/>
                <w:color w:val="auto"/>
              </w:rPr>
            </w:pPr>
            <w:r>
              <w:rPr>
                <w:rFonts w:ascii="Arial" w:cs="Arial" w:eastAsia="Arial" w:hAnsi="Arial"/>
                <w:sz w:val="13"/>
                <w:szCs w:val="13"/>
                <w:color w:val="auto"/>
              </w:rPr>
              <w:t>Reading</w:t>
            </w:r>
          </w:p>
        </w:tc>
        <w:tc>
          <w:tcPr>
            <w:tcW w:w="194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r>
      <w:tr>
        <w:trPr>
          <w:trHeight w:val="127"/>
        </w:trPr>
        <w:tc>
          <w:tcPr>
            <w:tcW w:w="4000" w:type="dxa"/>
            <w:vAlign w:val="bottom"/>
            <w:shd w:val="clear" w:color="auto" w:fill="CCEEFF"/>
          </w:tcPr>
          <w:p>
            <w:pPr>
              <w:spacing w:after="0"/>
              <w:rPr>
                <w:sz w:val="11"/>
                <w:szCs w:val="11"/>
                <w:color w:val="auto"/>
              </w:rPr>
            </w:pPr>
          </w:p>
        </w:tc>
        <w:tc>
          <w:tcPr>
            <w:tcW w:w="2960" w:type="dxa"/>
            <w:vAlign w:val="bottom"/>
            <w:shd w:val="clear" w:color="auto" w:fill="CCEEFF"/>
          </w:tcPr>
          <w:p>
            <w:pPr>
              <w:ind w:left="80"/>
              <w:spacing w:after="0" w:line="128" w:lineRule="exact"/>
              <w:rPr>
                <w:sz w:val="20"/>
                <w:szCs w:val="20"/>
                <w:color w:val="auto"/>
              </w:rPr>
            </w:pPr>
            <w:r>
              <w:rPr>
                <w:rFonts w:ascii="Arial" w:cs="Arial" w:eastAsia="Arial" w:hAnsi="Arial"/>
                <w:sz w:val="13"/>
                <w:szCs w:val="13"/>
                <w:color w:val="auto"/>
              </w:rPr>
              <w:t>RG2 6AD</w:t>
            </w:r>
          </w:p>
        </w:tc>
        <w:tc>
          <w:tcPr>
            <w:tcW w:w="194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r>
      <w:tr>
        <w:trPr>
          <w:trHeight w:val="170"/>
        </w:trPr>
        <w:tc>
          <w:tcPr>
            <w:tcW w:w="4000" w:type="dxa"/>
            <w:vAlign w:val="bottom"/>
            <w:shd w:val="clear" w:color="auto" w:fill="CCEEFF"/>
          </w:tcPr>
          <w:p>
            <w:pPr>
              <w:spacing w:after="0"/>
              <w:rPr>
                <w:sz w:val="14"/>
                <w:szCs w:val="14"/>
                <w:color w:val="auto"/>
              </w:rPr>
            </w:pPr>
          </w:p>
        </w:tc>
        <w:tc>
          <w:tcPr>
            <w:tcW w:w="2960" w:type="dxa"/>
            <w:vAlign w:val="bottom"/>
            <w:shd w:val="clear" w:color="auto" w:fill="CCEEFF"/>
          </w:tcPr>
          <w:p>
            <w:pPr>
              <w:ind w:left="80"/>
              <w:spacing w:after="0"/>
              <w:rPr>
                <w:sz w:val="20"/>
                <w:szCs w:val="20"/>
                <w:color w:val="auto"/>
              </w:rPr>
            </w:pPr>
            <w:r>
              <w:rPr>
                <w:rFonts w:ascii="Arial" w:cs="Arial" w:eastAsia="Arial" w:hAnsi="Arial"/>
                <w:sz w:val="13"/>
                <w:szCs w:val="13"/>
                <w:color w:val="auto"/>
              </w:rPr>
              <w:t>United Kingdom</w:t>
            </w:r>
          </w:p>
        </w:tc>
        <w:tc>
          <w:tcPr>
            <w:tcW w:w="194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r>
    </w:tbl>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131</w:t>
      </w:r>
    </w:p>
    <w:p>
      <w:pPr>
        <w:sectPr>
          <w:pgSz w:w="11900" w:h="16838" w:orient="portrait"/>
          <w:cols w:equalWidth="0" w:num="1">
            <w:col w:w="11260"/>
          </w:cols>
          <w:pgMar w:left="300" w:top="698" w:right="3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32.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3320" w:type="dxa"/>
            <w:vAlign w:val="bottom"/>
            <w:shd w:val="clear" w:color="auto" w:fill="CCEEFF"/>
          </w:tcPr>
          <w:p>
            <w:pPr>
              <w:ind w:left="360"/>
              <w:spacing w:after="0"/>
              <w:rPr>
                <w:sz w:val="20"/>
                <w:szCs w:val="20"/>
                <w:color w:val="auto"/>
              </w:rPr>
            </w:pPr>
            <w:r>
              <w:rPr>
                <w:rFonts w:ascii="Arial" w:cs="Arial" w:eastAsia="Arial" w:hAnsi="Arial"/>
                <w:sz w:val="13"/>
                <w:szCs w:val="13"/>
                <w:b w:val="1"/>
                <w:bCs w:val="1"/>
                <w:color w:val="auto"/>
              </w:rPr>
              <w:t>Registered Office</w:t>
            </w:r>
          </w:p>
        </w:tc>
        <w:tc>
          <w:tcPr>
            <w:tcW w:w="178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rPr>
              <w:t>Nature of business</w:t>
            </w:r>
          </w:p>
        </w:tc>
        <w:tc>
          <w:tcPr>
            <w:tcW w:w="244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Proportion held by</w:t>
            </w:r>
          </w:p>
        </w:tc>
      </w:tr>
      <w:tr>
        <w:trPr>
          <w:trHeight w:val="170"/>
        </w:trPr>
        <w:tc>
          <w:tcPr>
            <w:tcW w:w="3720" w:type="dxa"/>
            <w:vAlign w:val="bottom"/>
            <w:tcBorders>
              <w:bottom w:val="single" w:sz="8" w:color="auto"/>
            </w:tcBorders>
            <w:shd w:val="clear" w:color="auto" w:fill="CCEEFF"/>
          </w:tcPr>
          <w:p>
            <w:pPr>
              <w:spacing w:after="0"/>
              <w:rPr>
                <w:sz w:val="14"/>
                <w:szCs w:val="14"/>
                <w:color w:val="auto"/>
              </w:rPr>
            </w:pPr>
          </w:p>
        </w:tc>
        <w:tc>
          <w:tcPr>
            <w:tcW w:w="3320" w:type="dxa"/>
            <w:vAlign w:val="bottom"/>
            <w:tcBorders>
              <w:bottom w:val="single" w:sz="8" w:color="auto"/>
            </w:tcBorders>
            <w:shd w:val="clear" w:color="auto" w:fill="CCEEFF"/>
          </w:tcPr>
          <w:p>
            <w:pPr>
              <w:spacing w:after="0"/>
              <w:rPr>
                <w:sz w:val="14"/>
                <w:szCs w:val="14"/>
                <w:color w:val="auto"/>
              </w:rPr>
            </w:pPr>
          </w:p>
        </w:tc>
        <w:tc>
          <w:tcPr>
            <w:tcW w:w="1780" w:type="dxa"/>
            <w:vAlign w:val="bottom"/>
            <w:tcBorders>
              <w:bottom w:val="single" w:sz="8" w:color="auto"/>
            </w:tcBorders>
            <w:shd w:val="clear" w:color="auto" w:fill="CCEEFF"/>
          </w:tcPr>
          <w:p>
            <w:pPr>
              <w:spacing w:after="0"/>
              <w:rPr>
                <w:sz w:val="14"/>
                <w:szCs w:val="14"/>
                <w:color w:val="auto"/>
              </w:rPr>
            </w:pPr>
          </w:p>
        </w:tc>
        <w:tc>
          <w:tcPr>
            <w:tcW w:w="24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3"/>
                <w:szCs w:val="13"/>
                <w:b w:val="1"/>
                <w:bCs w:val="1"/>
                <w:color w:val="auto"/>
              </w:rPr>
              <w:t>Group</w:t>
            </w:r>
          </w:p>
        </w:tc>
      </w:tr>
      <w:tr>
        <w:trPr>
          <w:trHeight w:val="118"/>
        </w:trPr>
        <w:tc>
          <w:tcPr>
            <w:tcW w:w="3720" w:type="dxa"/>
            <w:vAlign w:val="bottom"/>
          </w:tcPr>
          <w:p>
            <w:pPr>
              <w:ind w:left="20"/>
              <w:spacing w:after="0" w:line="118" w:lineRule="exact"/>
              <w:rPr>
                <w:sz w:val="20"/>
                <w:szCs w:val="20"/>
                <w:color w:val="auto"/>
              </w:rPr>
            </w:pPr>
            <w:r>
              <w:rPr>
                <w:rFonts w:ascii="Arial" w:cs="Arial" w:eastAsia="Arial" w:hAnsi="Arial"/>
                <w:sz w:val="13"/>
                <w:szCs w:val="13"/>
                <w:color w:val="auto"/>
              </w:rPr>
              <w:t>ICON Clinical Research (U.K.) No. 6 Limited</w:t>
            </w:r>
          </w:p>
        </w:tc>
        <w:tc>
          <w:tcPr>
            <w:tcW w:w="3320" w:type="dxa"/>
            <w:vAlign w:val="bottom"/>
          </w:tcPr>
          <w:p>
            <w:pPr>
              <w:ind w:left="360"/>
              <w:spacing w:after="0" w:line="118" w:lineRule="exact"/>
              <w:rPr>
                <w:sz w:val="20"/>
                <w:szCs w:val="20"/>
                <w:color w:val="auto"/>
              </w:rPr>
            </w:pPr>
            <w:r>
              <w:rPr>
                <w:rFonts w:ascii="Arial" w:cs="Arial" w:eastAsia="Arial" w:hAnsi="Arial"/>
                <w:sz w:val="13"/>
                <w:szCs w:val="13"/>
                <w:color w:val="auto"/>
              </w:rPr>
              <w:t>500 South Oak Way Green Park</w:t>
            </w:r>
          </w:p>
        </w:tc>
        <w:tc>
          <w:tcPr>
            <w:tcW w:w="1780" w:type="dxa"/>
            <w:vAlign w:val="bottom"/>
          </w:tcPr>
          <w:p>
            <w:pPr>
              <w:ind w:left="140"/>
              <w:spacing w:after="0" w:line="11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18" w:lineRule="exact"/>
              <w:rPr>
                <w:sz w:val="20"/>
                <w:szCs w:val="20"/>
                <w:color w:val="auto"/>
              </w:rPr>
            </w:pPr>
            <w:r>
              <w:rPr>
                <w:rFonts w:ascii="Arial" w:cs="Arial" w:eastAsia="Arial" w:hAnsi="Arial"/>
                <w:sz w:val="13"/>
                <w:szCs w:val="13"/>
                <w:color w:val="auto"/>
              </w:rPr>
              <w:t>100%</w:t>
            </w:r>
          </w:p>
        </w:tc>
      </w:tr>
      <w:tr>
        <w:trPr>
          <w:trHeight w:val="127"/>
        </w:trPr>
        <w:tc>
          <w:tcPr>
            <w:tcW w:w="3720" w:type="dxa"/>
            <w:vAlign w:val="bottom"/>
          </w:tcPr>
          <w:p>
            <w:pPr>
              <w:spacing w:after="0"/>
              <w:rPr>
                <w:sz w:val="11"/>
                <w:szCs w:val="11"/>
                <w:color w:val="auto"/>
              </w:rPr>
            </w:pPr>
          </w:p>
        </w:tc>
        <w:tc>
          <w:tcPr>
            <w:tcW w:w="3320" w:type="dxa"/>
            <w:vAlign w:val="bottom"/>
          </w:tcPr>
          <w:p>
            <w:pPr>
              <w:ind w:left="360"/>
              <w:spacing w:after="0" w:line="128" w:lineRule="exact"/>
              <w:rPr>
                <w:sz w:val="20"/>
                <w:szCs w:val="20"/>
                <w:color w:val="auto"/>
              </w:rPr>
            </w:pPr>
            <w:r>
              <w:rPr>
                <w:rFonts w:ascii="Arial" w:cs="Arial" w:eastAsia="Arial" w:hAnsi="Arial"/>
                <w:sz w:val="13"/>
                <w:szCs w:val="13"/>
                <w:color w:val="auto"/>
              </w:rPr>
              <w:t>Reading</w:t>
            </w:r>
          </w:p>
        </w:tc>
        <w:tc>
          <w:tcPr>
            <w:tcW w:w="178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720" w:type="dxa"/>
            <w:vAlign w:val="bottom"/>
          </w:tcPr>
          <w:p>
            <w:pPr>
              <w:spacing w:after="0"/>
              <w:rPr>
                <w:sz w:val="11"/>
                <w:szCs w:val="11"/>
                <w:color w:val="auto"/>
              </w:rPr>
            </w:pPr>
          </w:p>
        </w:tc>
        <w:tc>
          <w:tcPr>
            <w:tcW w:w="3320" w:type="dxa"/>
            <w:vAlign w:val="bottom"/>
          </w:tcPr>
          <w:p>
            <w:pPr>
              <w:ind w:left="360"/>
              <w:spacing w:after="0" w:line="128" w:lineRule="exact"/>
              <w:rPr>
                <w:sz w:val="20"/>
                <w:szCs w:val="20"/>
                <w:color w:val="auto"/>
              </w:rPr>
            </w:pPr>
            <w:r>
              <w:rPr>
                <w:rFonts w:ascii="Arial" w:cs="Arial" w:eastAsia="Arial" w:hAnsi="Arial"/>
                <w:sz w:val="13"/>
                <w:szCs w:val="13"/>
                <w:color w:val="auto"/>
              </w:rPr>
              <w:t>RG2 6AD</w:t>
            </w:r>
          </w:p>
        </w:tc>
        <w:tc>
          <w:tcPr>
            <w:tcW w:w="178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3720" w:type="dxa"/>
            <w:vAlign w:val="bottom"/>
          </w:tcPr>
          <w:p>
            <w:pPr>
              <w:spacing w:after="0"/>
              <w:rPr>
                <w:sz w:val="14"/>
                <w:szCs w:val="14"/>
                <w:color w:val="auto"/>
              </w:rPr>
            </w:pPr>
          </w:p>
        </w:tc>
        <w:tc>
          <w:tcPr>
            <w:tcW w:w="3320" w:type="dxa"/>
            <w:vAlign w:val="bottom"/>
          </w:tcPr>
          <w:p>
            <w:pPr>
              <w:ind w:left="360"/>
              <w:spacing w:after="0"/>
              <w:rPr>
                <w:sz w:val="20"/>
                <w:szCs w:val="20"/>
                <w:color w:val="auto"/>
              </w:rPr>
            </w:pPr>
            <w:r>
              <w:rPr>
                <w:rFonts w:ascii="Arial" w:cs="Arial" w:eastAsia="Arial" w:hAnsi="Arial"/>
                <w:sz w:val="13"/>
                <w:szCs w:val="13"/>
                <w:color w:val="auto"/>
              </w:rPr>
              <w:t>United Kingdom</w:t>
            </w:r>
          </w:p>
        </w:tc>
        <w:tc>
          <w:tcPr>
            <w:tcW w:w="178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7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RPS Global S.A.</w:t>
            </w:r>
          </w:p>
        </w:tc>
        <w:tc>
          <w:tcPr>
            <w:tcW w:w="3320" w:type="dxa"/>
            <w:vAlign w:val="bottom"/>
            <w:shd w:val="clear" w:color="auto" w:fill="CCEEFF"/>
          </w:tcPr>
          <w:p>
            <w:pPr>
              <w:ind w:left="360"/>
              <w:spacing w:after="0" w:line="129" w:lineRule="exact"/>
              <w:rPr>
                <w:sz w:val="20"/>
                <w:szCs w:val="20"/>
                <w:color w:val="auto"/>
              </w:rPr>
            </w:pPr>
            <w:r>
              <w:rPr>
                <w:rFonts w:ascii="Arial" w:cs="Arial" w:eastAsia="Arial" w:hAnsi="Arial"/>
                <w:sz w:val="13"/>
                <w:szCs w:val="13"/>
                <w:color w:val="auto"/>
              </w:rPr>
              <w:t>Plaza Cagancha 1145, 4th Floor</w:t>
            </w:r>
          </w:p>
        </w:tc>
        <w:tc>
          <w:tcPr>
            <w:tcW w:w="178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70"/>
        </w:trPr>
        <w:tc>
          <w:tcPr>
            <w:tcW w:w="3720" w:type="dxa"/>
            <w:vAlign w:val="bottom"/>
            <w:shd w:val="clear" w:color="auto" w:fill="CCEEFF"/>
          </w:tcPr>
          <w:p>
            <w:pPr>
              <w:spacing w:after="0"/>
              <w:rPr>
                <w:sz w:val="14"/>
                <w:szCs w:val="14"/>
                <w:color w:val="auto"/>
              </w:rPr>
            </w:pPr>
          </w:p>
        </w:tc>
        <w:tc>
          <w:tcPr>
            <w:tcW w:w="33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Montevideo, Uruguay 11100</w:t>
            </w:r>
          </w:p>
        </w:tc>
        <w:tc>
          <w:tcPr>
            <w:tcW w:w="178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3720" w:type="dxa"/>
            <w:vAlign w:val="bottom"/>
          </w:tcPr>
          <w:p>
            <w:pPr>
              <w:ind w:left="20"/>
              <w:spacing w:after="0" w:line="128" w:lineRule="exact"/>
              <w:rPr>
                <w:sz w:val="20"/>
                <w:szCs w:val="20"/>
                <w:color w:val="auto"/>
              </w:rPr>
            </w:pPr>
            <w:r>
              <w:rPr>
                <w:rFonts w:ascii="Arial" w:cs="Arial" w:eastAsia="Arial" w:hAnsi="Arial"/>
                <w:sz w:val="13"/>
                <w:szCs w:val="13"/>
                <w:color w:val="auto"/>
              </w:rPr>
              <w:t>RPS Latin America S.A</w:t>
            </w:r>
          </w:p>
        </w:tc>
        <w:tc>
          <w:tcPr>
            <w:tcW w:w="3320" w:type="dxa"/>
            <w:vAlign w:val="bottom"/>
          </w:tcPr>
          <w:p>
            <w:pPr>
              <w:ind w:left="360"/>
              <w:spacing w:after="0" w:line="128" w:lineRule="exact"/>
              <w:rPr>
                <w:sz w:val="20"/>
                <w:szCs w:val="20"/>
                <w:color w:val="auto"/>
              </w:rPr>
            </w:pPr>
            <w:r>
              <w:rPr>
                <w:rFonts w:ascii="Arial" w:cs="Arial" w:eastAsia="Arial" w:hAnsi="Arial"/>
                <w:sz w:val="13"/>
                <w:szCs w:val="13"/>
                <w:color w:val="auto"/>
              </w:rPr>
              <w:t>Plaza Cagancha 1145, 4th Floor</w:t>
            </w:r>
          </w:p>
        </w:tc>
        <w:tc>
          <w:tcPr>
            <w:tcW w:w="1780" w:type="dxa"/>
            <w:vAlign w:val="bottom"/>
          </w:tcPr>
          <w:p>
            <w:pPr>
              <w:ind w:left="14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68"/>
        </w:trPr>
        <w:tc>
          <w:tcPr>
            <w:tcW w:w="3720" w:type="dxa"/>
            <w:vAlign w:val="bottom"/>
          </w:tcPr>
          <w:p>
            <w:pPr>
              <w:spacing w:after="0"/>
              <w:rPr>
                <w:sz w:val="14"/>
                <w:szCs w:val="14"/>
                <w:color w:val="auto"/>
              </w:rPr>
            </w:pPr>
          </w:p>
        </w:tc>
        <w:tc>
          <w:tcPr>
            <w:tcW w:w="3320" w:type="dxa"/>
            <w:vAlign w:val="bottom"/>
          </w:tcPr>
          <w:p>
            <w:pPr>
              <w:ind w:left="360"/>
              <w:spacing w:after="0"/>
              <w:rPr>
                <w:sz w:val="20"/>
                <w:szCs w:val="20"/>
                <w:color w:val="auto"/>
              </w:rPr>
            </w:pPr>
            <w:r>
              <w:rPr>
                <w:rFonts w:ascii="Arial" w:cs="Arial" w:eastAsia="Arial" w:hAnsi="Arial"/>
                <w:sz w:val="13"/>
                <w:szCs w:val="13"/>
                <w:color w:val="auto"/>
              </w:rPr>
              <w:t>Montevideo, Uruguay 11100</w:t>
            </w:r>
          </w:p>
        </w:tc>
        <w:tc>
          <w:tcPr>
            <w:tcW w:w="178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69"/>
        </w:trPr>
        <w:tc>
          <w:tcPr>
            <w:tcW w:w="3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ICON Early Phase Services, LLC</w:t>
            </w:r>
          </w:p>
        </w:tc>
        <w:tc>
          <w:tcPr>
            <w:tcW w:w="33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Registered Agent: Corporation Services Company</w:t>
            </w:r>
          </w:p>
        </w:tc>
        <w:tc>
          <w:tcPr>
            <w:tcW w:w="1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100%</w:t>
            </w:r>
          </w:p>
        </w:tc>
      </w:tr>
      <w:tr>
        <w:trPr>
          <w:trHeight w:val="130"/>
        </w:trPr>
        <w:tc>
          <w:tcPr>
            <w:tcW w:w="3720" w:type="dxa"/>
            <w:vAlign w:val="bottom"/>
            <w:shd w:val="clear" w:color="auto" w:fill="CCEEFF"/>
          </w:tcPr>
          <w:p>
            <w:pPr>
              <w:spacing w:after="0"/>
              <w:rPr>
                <w:sz w:val="11"/>
                <w:szCs w:val="11"/>
                <w:color w:val="auto"/>
              </w:rPr>
            </w:pPr>
          </w:p>
        </w:tc>
        <w:tc>
          <w:tcPr>
            <w:tcW w:w="332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720" w:type="dxa"/>
            <w:vAlign w:val="bottom"/>
          </w:tcPr>
          <w:p>
            <w:pPr>
              <w:ind w:left="20"/>
              <w:spacing w:after="0" w:line="128" w:lineRule="exact"/>
              <w:rPr>
                <w:sz w:val="20"/>
                <w:szCs w:val="20"/>
                <w:color w:val="auto"/>
              </w:rPr>
            </w:pPr>
            <w:r>
              <w:rPr>
                <w:rFonts w:ascii="Arial" w:cs="Arial" w:eastAsia="Arial" w:hAnsi="Arial"/>
                <w:sz w:val="13"/>
                <w:szCs w:val="13"/>
                <w:color w:val="auto"/>
              </w:rPr>
              <w:t>Pharmaceutical Research Associates, Inc.</w:t>
            </w:r>
          </w:p>
        </w:tc>
        <w:tc>
          <w:tcPr>
            <w:tcW w:w="3320" w:type="dxa"/>
            <w:vAlign w:val="bottom"/>
          </w:tcPr>
          <w:p>
            <w:pPr>
              <w:ind w:left="360"/>
              <w:spacing w:after="0" w:line="128" w:lineRule="exact"/>
              <w:rPr>
                <w:sz w:val="20"/>
                <w:szCs w:val="20"/>
                <w:color w:val="auto"/>
              </w:rPr>
            </w:pPr>
            <w:r>
              <w:rPr>
                <w:rFonts w:ascii="Arial" w:cs="Arial" w:eastAsia="Arial" w:hAnsi="Arial"/>
                <w:sz w:val="13"/>
                <w:szCs w:val="13"/>
                <w:color w:val="auto"/>
              </w:rPr>
              <w:t>4130 Parklake Avenue</w:t>
            </w:r>
          </w:p>
        </w:tc>
        <w:tc>
          <w:tcPr>
            <w:tcW w:w="1780" w:type="dxa"/>
            <w:vAlign w:val="bottom"/>
          </w:tcPr>
          <w:p>
            <w:pPr>
              <w:ind w:left="14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720" w:type="dxa"/>
            <w:vAlign w:val="bottom"/>
          </w:tcPr>
          <w:p>
            <w:pPr>
              <w:spacing w:after="0"/>
              <w:rPr>
                <w:sz w:val="11"/>
                <w:szCs w:val="11"/>
                <w:color w:val="auto"/>
              </w:rPr>
            </w:pPr>
          </w:p>
        </w:tc>
        <w:tc>
          <w:tcPr>
            <w:tcW w:w="3320" w:type="dxa"/>
            <w:vAlign w:val="bottom"/>
          </w:tcPr>
          <w:p>
            <w:pPr>
              <w:ind w:left="360"/>
              <w:spacing w:after="0" w:line="128" w:lineRule="exact"/>
              <w:rPr>
                <w:sz w:val="20"/>
                <w:szCs w:val="20"/>
                <w:color w:val="auto"/>
              </w:rPr>
            </w:pPr>
            <w:r>
              <w:rPr>
                <w:rFonts w:ascii="Arial" w:cs="Arial" w:eastAsia="Arial" w:hAnsi="Arial"/>
                <w:sz w:val="13"/>
                <w:szCs w:val="13"/>
                <w:color w:val="auto"/>
              </w:rPr>
              <w:t>Suite 400</w:t>
            </w:r>
          </w:p>
        </w:tc>
        <w:tc>
          <w:tcPr>
            <w:tcW w:w="178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3720" w:type="dxa"/>
            <w:vAlign w:val="bottom"/>
          </w:tcPr>
          <w:p>
            <w:pPr>
              <w:spacing w:after="0"/>
              <w:rPr>
                <w:sz w:val="14"/>
                <w:szCs w:val="14"/>
                <w:color w:val="auto"/>
              </w:rPr>
            </w:pPr>
          </w:p>
        </w:tc>
        <w:tc>
          <w:tcPr>
            <w:tcW w:w="3320" w:type="dxa"/>
            <w:vAlign w:val="bottom"/>
          </w:tcPr>
          <w:p>
            <w:pPr>
              <w:ind w:left="360"/>
              <w:spacing w:after="0"/>
              <w:rPr>
                <w:sz w:val="20"/>
                <w:szCs w:val="20"/>
                <w:color w:val="auto"/>
              </w:rPr>
            </w:pPr>
            <w:r>
              <w:rPr>
                <w:rFonts w:ascii="Arial" w:cs="Arial" w:eastAsia="Arial" w:hAnsi="Arial"/>
                <w:sz w:val="13"/>
                <w:szCs w:val="13"/>
                <w:color w:val="auto"/>
              </w:rPr>
              <w:t>Raleigh, NC 27612</w:t>
            </w:r>
          </w:p>
        </w:tc>
        <w:tc>
          <w:tcPr>
            <w:tcW w:w="178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7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ClinStar LLC</w:t>
            </w:r>
          </w:p>
        </w:tc>
        <w:tc>
          <w:tcPr>
            <w:tcW w:w="3320" w:type="dxa"/>
            <w:vAlign w:val="bottom"/>
            <w:shd w:val="clear" w:color="auto" w:fill="CCEEFF"/>
          </w:tcPr>
          <w:p>
            <w:pPr>
              <w:ind w:left="360"/>
              <w:spacing w:after="0" w:line="129" w:lineRule="exact"/>
              <w:rPr>
                <w:sz w:val="20"/>
                <w:szCs w:val="20"/>
                <w:color w:val="auto"/>
              </w:rPr>
            </w:pPr>
            <w:r>
              <w:rPr>
                <w:rFonts w:ascii="Arial" w:cs="Arial" w:eastAsia="Arial" w:hAnsi="Arial"/>
                <w:sz w:val="13"/>
                <w:szCs w:val="13"/>
                <w:color w:val="auto"/>
              </w:rPr>
              <w:t>4130 Parklake Avenue</w:t>
            </w:r>
          </w:p>
        </w:tc>
        <w:tc>
          <w:tcPr>
            <w:tcW w:w="178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720" w:type="dxa"/>
            <w:vAlign w:val="bottom"/>
            <w:shd w:val="clear" w:color="auto" w:fill="CCEEFF"/>
          </w:tcPr>
          <w:p>
            <w:pPr>
              <w:spacing w:after="0"/>
              <w:rPr>
                <w:sz w:val="11"/>
                <w:szCs w:val="11"/>
                <w:color w:val="auto"/>
              </w:rPr>
            </w:pPr>
          </w:p>
        </w:tc>
        <w:tc>
          <w:tcPr>
            <w:tcW w:w="3320" w:type="dxa"/>
            <w:vAlign w:val="bottom"/>
            <w:shd w:val="clear" w:color="auto" w:fill="CCEEFF"/>
          </w:tcPr>
          <w:p>
            <w:pPr>
              <w:ind w:left="360"/>
              <w:spacing w:after="0" w:line="128" w:lineRule="exact"/>
              <w:rPr>
                <w:sz w:val="20"/>
                <w:szCs w:val="20"/>
                <w:color w:val="auto"/>
              </w:rPr>
            </w:pPr>
            <w:r>
              <w:rPr>
                <w:rFonts w:ascii="Arial" w:cs="Arial" w:eastAsia="Arial" w:hAnsi="Arial"/>
                <w:sz w:val="13"/>
                <w:szCs w:val="13"/>
                <w:color w:val="auto"/>
              </w:rPr>
              <w:t>Suite 400</w:t>
            </w:r>
          </w:p>
        </w:tc>
        <w:tc>
          <w:tcPr>
            <w:tcW w:w="178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3720" w:type="dxa"/>
            <w:vAlign w:val="bottom"/>
            <w:shd w:val="clear" w:color="auto" w:fill="CCEEFF"/>
          </w:tcPr>
          <w:p>
            <w:pPr>
              <w:spacing w:after="0"/>
              <w:rPr>
                <w:sz w:val="14"/>
                <w:szCs w:val="14"/>
                <w:color w:val="auto"/>
              </w:rPr>
            </w:pPr>
          </w:p>
        </w:tc>
        <w:tc>
          <w:tcPr>
            <w:tcW w:w="33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Raleigh, NC 27612</w:t>
            </w:r>
          </w:p>
        </w:tc>
        <w:tc>
          <w:tcPr>
            <w:tcW w:w="178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3720" w:type="dxa"/>
            <w:vAlign w:val="bottom"/>
          </w:tcPr>
          <w:p>
            <w:pPr>
              <w:ind w:left="20"/>
              <w:spacing w:after="0" w:line="128" w:lineRule="exact"/>
              <w:rPr>
                <w:sz w:val="20"/>
                <w:szCs w:val="20"/>
                <w:color w:val="auto"/>
              </w:rPr>
            </w:pPr>
            <w:r>
              <w:rPr>
                <w:rFonts w:ascii="Arial" w:cs="Arial" w:eastAsia="Arial" w:hAnsi="Arial"/>
                <w:sz w:val="13"/>
                <w:szCs w:val="13"/>
                <w:color w:val="auto"/>
              </w:rPr>
              <w:t>Nextrials, Inc.</w:t>
            </w:r>
          </w:p>
        </w:tc>
        <w:tc>
          <w:tcPr>
            <w:tcW w:w="3320" w:type="dxa"/>
            <w:vAlign w:val="bottom"/>
          </w:tcPr>
          <w:p>
            <w:pPr>
              <w:ind w:left="360"/>
              <w:spacing w:after="0" w:line="128" w:lineRule="exact"/>
              <w:rPr>
                <w:sz w:val="20"/>
                <w:szCs w:val="20"/>
                <w:color w:val="auto"/>
              </w:rPr>
            </w:pPr>
            <w:r>
              <w:rPr>
                <w:rFonts w:ascii="Arial" w:cs="Arial" w:eastAsia="Arial" w:hAnsi="Arial"/>
                <w:sz w:val="13"/>
                <w:szCs w:val="13"/>
                <w:color w:val="auto"/>
              </w:rPr>
              <w:t>2010 Crow Canyon Place, Ste. 410</w:t>
            </w:r>
          </w:p>
        </w:tc>
        <w:tc>
          <w:tcPr>
            <w:tcW w:w="1780" w:type="dxa"/>
            <w:vAlign w:val="bottom"/>
          </w:tcPr>
          <w:p>
            <w:pPr>
              <w:ind w:left="14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68"/>
        </w:trPr>
        <w:tc>
          <w:tcPr>
            <w:tcW w:w="3720" w:type="dxa"/>
            <w:vAlign w:val="bottom"/>
          </w:tcPr>
          <w:p>
            <w:pPr>
              <w:spacing w:after="0"/>
              <w:rPr>
                <w:sz w:val="14"/>
                <w:szCs w:val="14"/>
                <w:color w:val="auto"/>
              </w:rPr>
            </w:pPr>
          </w:p>
        </w:tc>
        <w:tc>
          <w:tcPr>
            <w:tcW w:w="3320" w:type="dxa"/>
            <w:vAlign w:val="bottom"/>
          </w:tcPr>
          <w:p>
            <w:pPr>
              <w:ind w:left="360"/>
              <w:spacing w:after="0"/>
              <w:rPr>
                <w:sz w:val="20"/>
                <w:szCs w:val="20"/>
                <w:color w:val="auto"/>
              </w:rPr>
            </w:pPr>
            <w:r>
              <w:rPr>
                <w:rFonts w:ascii="Arial" w:cs="Arial" w:eastAsia="Arial" w:hAnsi="Arial"/>
                <w:sz w:val="13"/>
                <w:szCs w:val="13"/>
                <w:color w:val="auto"/>
              </w:rPr>
              <w:t>San Ramon, CA 94583</w:t>
            </w:r>
          </w:p>
        </w:tc>
        <w:tc>
          <w:tcPr>
            <w:tcW w:w="178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7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Pharmaceutical Research Associates CIS, LLC</w:t>
            </w:r>
          </w:p>
        </w:tc>
        <w:tc>
          <w:tcPr>
            <w:tcW w:w="3320" w:type="dxa"/>
            <w:vAlign w:val="bottom"/>
            <w:shd w:val="clear" w:color="auto" w:fill="CCEEFF"/>
          </w:tcPr>
          <w:p>
            <w:pPr>
              <w:ind w:left="360"/>
              <w:spacing w:after="0" w:line="129" w:lineRule="exact"/>
              <w:rPr>
                <w:sz w:val="20"/>
                <w:szCs w:val="20"/>
                <w:color w:val="auto"/>
              </w:rPr>
            </w:pPr>
            <w:r>
              <w:rPr>
                <w:rFonts w:ascii="Arial" w:cs="Arial" w:eastAsia="Arial" w:hAnsi="Arial"/>
                <w:sz w:val="13"/>
                <w:szCs w:val="13"/>
                <w:color w:val="auto"/>
              </w:rPr>
              <w:t>4130 Parklake Avenue</w:t>
            </w:r>
          </w:p>
        </w:tc>
        <w:tc>
          <w:tcPr>
            <w:tcW w:w="178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720" w:type="dxa"/>
            <w:vAlign w:val="bottom"/>
            <w:shd w:val="clear" w:color="auto" w:fill="CCEEFF"/>
          </w:tcPr>
          <w:p>
            <w:pPr>
              <w:spacing w:after="0"/>
              <w:rPr>
                <w:sz w:val="11"/>
                <w:szCs w:val="11"/>
                <w:color w:val="auto"/>
              </w:rPr>
            </w:pPr>
          </w:p>
        </w:tc>
        <w:tc>
          <w:tcPr>
            <w:tcW w:w="3320" w:type="dxa"/>
            <w:vAlign w:val="bottom"/>
            <w:shd w:val="clear" w:color="auto" w:fill="CCEEFF"/>
          </w:tcPr>
          <w:p>
            <w:pPr>
              <w:ind w:left="360"/>
              <w:spacing w:after="0" w:line="128" w:lineRule="exact"/>
              <w:rPr>
                <w:sz w:val="20"/>
                <w:szCs w:val="20"/>
                <w:color w:val="auto"/>
              </w:rPr>
            </w:pPr>
            <w:r>
              <w:rPr>
                <w:rFonts w:ascii="Arial" w:cs="Arial" w:eastAsia="Arial" w:hAnsi="Arial"/>
                <w:sz w:val="13"/>
                <w:szCs w:val="13"/>
                <w:color w:val="auto"/>
              </w:rPr>
              <w:t>Suite 400</w:t>
            </w:r>
          </w:p>
        </w:tc>
        <w:tc>
          <w:tcPr>
            <w:tcW w:w="178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3720" w:type="dxa"/>
            <w:vAlign w:val="bottom"/>
            <w:shd w:val="clear" w:color="auto" w:fill="CCEEFF"/>
          </w:tcPr>
          <w:p>
            <w:pPr>
              <w:spacing w:after="0"/>
              <w:rPr>
                <w:sz w:val="14"/>
                <w:szCs w:val="14"/>
                <w:color w:val="auto"/>
              </w:rPr>
            </w:pPr>
          </w:p>
        </w:tc>
        <w:tc>
          <w:tcPr>
            <w:tcW w:w="33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Raleigh, NC 27612</w:t>
            </w:r>
          </w:p>
        </w:tc>
        <w:tc>
          <w:tcPr>
            <w:tcW w:w="178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3720" w:type="dxa"/>
            <w:vAlign w:val="bottom"/>
          </w:tcPr>
          <w:p>
            <w:pPr>
              <w:ind w:left="20"/>
              <w:spacing w:after="0" w:line="128" w:lineRule="exact"/>
              <w:rPr>
                <w:sz w:val="20"/>
                <w:szCs w:val="20"/>
                <w:color w:val="auto"/>
              </w:rPr>
            </w:pPr>
            <w:r>
              <w:rPr>
                <w:rFonts w:ascii="Arial" w:cs="Arial" w:eastAsia="Arial" w:hAnsi="Arial"/>
                <w:sz w:val="13"/>
                <w:szCs w:val="13"/>
                <w:color w:val="auto"/>
              </w:rPr>
              <w:t>Pharmaceutical Research Associates Eastern Europe, LLC</w:t>
            </w:r>
          </w:p>
        </w:tc>
        <w:tc>
          <w:tcPr>
            <w:tcW w:w="3320" w:type="dxa"/>
            <w:vAlign w:val="bottom"/>
          </w:tcPr>
          <w:p>
            <w:pPr>
              <w:ind w:left="360"/>
              <w:spacing w:after="0" w:line="128" w:lineRule="exact"/>
              <w:rPr>
                <w:sz w:val="20"/>
                <w:szCs w:val="20"/>
                <w:color w:val="auto"/>
              </w:rPr>
            </w:pPr>
            <w:r>
              <w:rPr>
                <w:rFonts w:ascii="Arial" w:cs="Arial" w:eastAsia="Arial" w:hAnsi="Arial"/>
                <w:sz w:val="13"/>
                <w:szCs w:val="13"/>
                <w:color w:val="auto"/>
              </w:rPr>
              <w:t>4130 Parklake Avenue</w:t>
            </w:r>
          </w:p>
        </w:tc>
        <w:tc>
          <w:tcPr>
            <w:tcW w:w="1780" w:type="dxa"/>
            <w:vAlign w:val="bottom"/>
          </w:tcPr>
          <w:p>
            <w:pPr>
              <w:ind w:left="14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720" w:type="dxa"/>
            <w:vAlign w:val="bottom"/>
          </w:tcPr>
          <w:p>
            <w:pPr>
              <w:spacing w:after="0"/>
              <w:rPr>
                <w:sz w:val="11"/>
                <w:szCs w:val="11"/>
                <w:color w:val="auto"/>
              </w:rPr>
            </w:pPr>
          </w:p>
        </w:tc>
        <w:tc>
          <w:tcPr>
            <w:tcW w:w="3320" w:type="dxa"/>
            <w:vAlign w:val="bottom"/>
          </w:tcPr>
          <w:p>
            <w:pPr>
              <w:ind w:left="360"/>
              <w:spacing w:after="0" w:line="128" w:lineRule="exact"/>
              <w:rPr>
                <w:sz w:val="20"/>
                <w:szCs w:val="20"/>
                <w:color w:val="auto"/>
              </w:rPr>
            </w:pPr>
            <w:r>
              <w:rPr>
                <w:rFonts w:ascii="Arial" w:cs="Arial" w:eastAsia="Arial" w:hAnsi="Arial"/>
                <w:sz w:val="13"/>
                <w:szCs w:val="13"/>
                <w:color w:val="auto"/>
              </w:rPr>
              <w:t>Suite 400</w:t>
            </w:r>
          </w:p>
        </w:tc>
        <w:tc>
          <w:tcPr>
            <w:tcW w:w="178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3720" w:type="dxa"/>
            <w:vAlign w:val="bottom"/>
          </w:tcPr>
          <w:p>
            <w:pPr>
              <w:spacing w:after="0"/>
              <w:rPr>
                <w:sz w:val="14"/>
                <w:szCs w:val="14"/>
                <w:color w:val="auto"/>
              </w:rPr>
            </w:pPr>
          </w:p>
        </w:tc>
        <w:tc>
          <w:tcPr>
            <w:tcW w:w="3320" w:type="dxa"/>
            <w:vAlign w:val="bottom"/>
          </w:tcPr>
          <w:p>
            <w:pPr>
              <w:ind w:left="360"/>
              <w:spacing w:after="0"/>
              <w:rPr>
                <w:sz w:val="20"/>
                <w:szCs w:val="20"/>
                <w:color w:val="auto"/>
              </w:rPr>
            </w:pPr>
            <w:r>
              <w:rPr>
                <w:rFonts w:ascii="Arial" w:cs="Arial" w:eastAsia="Arial" w:hAnsi="Arial"/>
                <w:sz w:val="13"/>
                <w:szCs w:val="13"/>
                <w:color w:val="auto"/>
              </w:rPr>
              <w:t>Raleigh, NC 27612</w:t>
            </w:r>
          </w:p>
        </w:tc>
        <w:tc>
          <w:tcPr>
            <w:tcW w:w="178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7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CRN NORTH AMERICA, LLC</w:t>
            </w:r>
          </w:p>
        </w:tc>
        <w:tc>
          <w:tcPr>
            <w:tcW w:w="3320" w:type="dxa"/>
            <w:vAlign w:val="bottom"/>
            <w:shd w:val="clear" w:color="auto" w:fill="CCEEFF"/>
          </w:tcPr>
          <w:p>
            <w:pPr>
              <w:ind w:left="360"/>
              <w:spacing w:after="0" w:line="129" w:lineRule="exact"/>
              <w:rPr>
                <w:sz w:val="20"/>
                <w:szCs w:val="20"/>
                <w:color w:val="auto"/>
              </w:rPr>
            </w:pPr>
            <w:r>
              <w:rPr>
                <w:rFonts w:ascii="Arial" w:cs="Arial" w:eastAsia="Arial" w:hAnsi="Arial"/>
                <w:sz w:val="13"/>
                <w:szCs w:val="13"/>
                <w:color w:val="auto"/>
              </w:rPr>
              <w:t>700 Deerpath Drive</w:t>
            </w:r>
          </w:p>
        </w:tc>
        <w:tc>
          <w:tcPr>
            <w:tcW w:w="178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72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DBA</w:t>
            </w:r>
          </w:p>
        </w:tc>
        <w:tc>
          <w:tcPr>
            <w:tcW w:w="3320" w:type="dxa"/>
            <w:vAlign w:val="bottom"/>
            <w:shd w:val="clear" w:color="auto" w:fill="CCEEFF"/>
          </w:tcPr>
          <w:p>
            <w:pPr>
              <w:ind w:left="360"/>
              <w:spacing w:after="0" w:line="128" w:lineRule="exact"/>
              <w:rPr>
                <w:sz w:val="20"/>
                <w:szCs w:val="20"/>
                <w:color w:val="auto"/>
              </w:rPr>
            </w:pPr>
            <w:r>
              <w:rPr>
                <w:rFonts w:ascii="Arial" w:cs="Arial" w:eastAsia="Arial" w:hAnsi="Arial"/>
                <w:sz w:val="13"/>
                <w:szCs w:val="13"/>
                <w:color w:val="auto"/>
              </w:rPr>
              <w:t>Vernon Hills, IL.</w:t>
            </w:r>
          </w:p>
        </w:tc>
        <w:tc>
          <w:tcPr>
            <w:tcW w:w="178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3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SYMPHONY CLINICAL STAFFING**********</w:t>
            </w:r>
          </w:p>
        </w:tc>
        <w:tc>
          <w:tcPr>
            <w:tcW w:w="33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60061-1801</w:t>
            </w:r>
          </w:p>
        </w:tc>
        <w:tc>
          <w:tcPr>
            <w:tcW w:w="178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3720" w:type="dxa"/>
            <w:vAlign w:val="bottom"/>
          </w:tcPr>
          <w:p>
            <w:pPr>
              <w:ind w:left="20"/>
              <w:spacing w:after="0" w:line="128" w:lineRule="exact"/>
              <w:rPr>
                <w:sz w:val="20"/>
                <w:szCs w:val="20"/>
                <w:color w:val="auto"/>
              </w:rPr>
            </w:pPr>
            <w:r>
              <w:rPr>
                <w:rFonts w:ascii="Arial" w:cs="Arial" w:eastAsia="Arial" w:hAnsi="Arial"/>
                <w:sz w:val="13"/>
                <w:szCs w:val="13"/>
                <w:color w:val="auto"/>
              </w:rPr>
              <w:t>ICON Clinical Research, LP</w:t>
            </w:r>
          </w:p>
        </w:tc>
        <w:tc>
          <w:tcPr>
            <w:tcW w:w="3320" w:type="dxa"/>
            <w:vAlign w:val="bottom"/>
          </w:tcPr>
          <w:p>
            <w:pPr>
              <w:ind w:left="360"/>
              <w:spacing w:after="0" w:line="128" w:lineRule="exact"/>
              <w:rPr>
                <w:sz w:val="20"/>
                <w:szCs w:val="20"/>
                <w:color w:val="auto"/>
              </w:rPr>
            </w:pPr>
            <w:r>
              <w:rPr>
                <w:rFonts w:ascii="Arial" w:cs="Arial" w:eastAsia="Arial" w:hAnsi="Arial"/>
                <w:sz w:val="13"/>
                <w:szCs w:val="13"/>
                <w:color w:val="auto"/>
              </w:rPr>
              <w:t>731 Arbor Way, Suite 100, Blue Bell, PA, United</w:t>
            </w:r>
          </w:p>
        </w:tc>
        <w:tc>
          <w:tcPr>
            <w:tcW w:w="1780" w:type="dxa"/>
            <w:vAlign w:val="bottom"/>
          </w:tcPr>
          <w:p>
            <w:pPr>
              <w:ind w:left="14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68"/>
        </w:trPr>
        <w:tc>
          <w:tcPr>
            <w:tcW w:w="3720" w:type="dxa"/>
            <w:vAlign w:val="bottom"/>
          </w:tcPr>
          <w:p>
            <w:pPr>
              <w:spacing w:after="0"/>
              <w:rPr>
                <w:sz w:val="14"/>
                <w:szCs w:val="14"/>
                <w:color w:val="auto"/>
              </w:rPr>
            </w:pPr>
          </w:p>
        </w:tc>
        <w:tc>
          <w:tcPr>
            <w:tcW w:w="3320" w:type="dxa"/>
            <w:vAlign w:val="bottom"/>
          </w:tcPr>
          <w:p>
            <w:pPr>
              <w:ind w:left="360"/>
              <w:spacing w:after="0"/>
              <w:rPr>
                <w:sz w:val="20"/>
                <w:szCs w:val="20"/>
                <w:color w:val="auto"/>
              </w:rPr>
            </w:pPr>
            <w:r>
              <w:rPr>
                <w:rFonts w:ascii="Arial" w:cs="Arial" w:eastAsia="Arial" w:hAnsi="Arial"/>
                <w:sz w:val="13"/>
                <w:szCs w:val="13"/>
                <w:color w:val="auto"/>
              </w:rPr>
              <w:t>States, 19422</w:t>
            </w:r>
          </w:p>
        </w:tc>
        <w:tc>
          <w:tcPr>
            <w:tcW w:w="178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7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Addplan, Inc.</w:t>
            </w:r>
          </w:p>
        </w:tc>
        <w:tc>
          <w:tcPr>
            <w:tcW w:w="3320" w:type="dxa"/>
            <w:vAlign w:val="bottom"/>
            <w:shd w:val="clear" w:color="auto" w:fill="CCEEFF"/>
          </w:tcPr>
          <w:p>
            <w:pPr>
              <w:ind w:left="360"/>
              <w:spacing w:after="0" w:line="129" w:lineRule="exact"/>
              <w:rPr>
                <w:sz w:val="20"/>
                <w:szCs w:val="20"/>
                <w:color w:val="auto"/>
              </w:rPr>
            </w:pPr>
            <w:r>
              <w:rPr>
                <w:rFonts w:ascii="Arial" w:cs="Arial" w:eastAsia="Arial" w:hAnsi="Arial"/>
                <w:sz w:val="13"/>
                <w:szCs w:val="13"/>
                <w:color w:val="auto"/>
              </w:rPr>
              <w:t>731 Arbor Way, Suite 100, Blue Bell, PA, United</w:t>
            </w:r>
          </w:p>
        </w:tc>
        <w:tc>
          <w:tcPr>
            <w:tcW w:w="178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70"/>
        </w:trPr>
        <w:tc>
          <w:tcPr>
            <w:tcW w:w="3720" w:type="dxa"/>
            <w:vAlign w:val="bottom"/>
            <w:shd w:val="clear" w:color="auto" w:fill="CCEEFF"/>
          </w:tcPr>
          <w:p>
            <w:pPr>
              <w:spacing w:after="0"/>
              <w:rPr>
                <w:sz w:val="14"/>
                <w:szCs w:val="14"/>
                <w:color w:val="auto"/>
              </w:rPr>
            </w:pPr>
          </w:p>
        </w:tc>
        <w:tc>
          <w:tcPr>
            <w:tcW w:w="33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States, 19422</w:t>
            </w:r>
          </w:p>
        </w:tc>
        <w:tc>
          <w:tcPr>
            <w:tcW w:w="178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bl>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132</w:t>
      </w:r>
    </w:p>
    <w:p>
      <w:pPr>
        <w:sectPr>
          <w:pgSz w:w="11900" w:h="16838" w:orient="portrait"/>
          <w:cols w:equalWidth="0" w:num="1">
            <w:col w:w="11260"/>
          </w:cols>
          <w:pgMar w:left="300" w:top="697" w:right="3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32.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3720" w:type="dxa"/>
            <w:vAlign w:val="bottom"/>
            <w:shd w:val="clear" w:color="auto" w:fill="CCEEFF"/>
          </w:tcPr>
          <w:p>
            <w:pPr>
              <w:ind w:left="740"/>
              <w:spacing w:after="0"/>
              <w:rPr>
                <w:sz w:val="20"/>
                <w:szCs w:val="20"/>
                <w:color w:val="auto"/>
              </w:rPr>
            </w:pPr>
            <w:r>
              <w:rPr>
                <w:rFonts w:ascii="Arial" w:cs="Arial" w:eastAsia="Arial" w:hAnsi="Arial"/>
                <w:sz w:val="13"/>
                <w:szCs w:val="13"/>
                <w:b w:val="1"/>
                <w:bCs w:val="1"/>
                <w:color w:val="auto"/>
              </w:rPr>
              <w:t>Registered Office</w:t>
            </w:r>
          </w:p>
        </w:tc>
        <w:tc>
          <w:tcPr>
            <w:tcW w:w="176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Nature of business</w:t>
            </w:r>
          </w:p>
        </w:tc>
        <w:tc>
          <w:tcPr>
            <w:tcW w:w="244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Proportion held by</w:t>
            </w:r>
          </w:p>
        </w:tc>
      </w:tr>
      <w:tr>
        <w:trPr>
          <w:trHeight w:val="170"/>
        </w:trPr>
        <w:tc>
          <w:tcPr>
            <w:tcW w:w="3340" w:type="dxa"/>
            <w:vAlign w:val="bottom"/>
            <w:tcBorders>
              <w:bottom w:val="single" w:sz="8" w:color="auto"/>
            </w:tcBorders>
            <w:shd w:val="clear" w:color="auto" w:fill="CCEEFF"/>
          </w:tcPr>
          <w:p>
            <w:pPr>
              <w:spacing w:after="0"/>
              <w:rPr>
                <w:sz w:val="14"/>
                <w:szCs w:val="14"/>
                <w:color w:val="auto"/>
              </w:rPr>
            </w:pPr>
          </w:p>
        </w:tc>
        <w:tc>
          <w:tcPr>
            <w:tcW w:w="3720" w:type="dxa"/>
            <w:vAlign w:val="bottom"/>
            <w:tcBorders>
              <w:bottom w:val="single" w:sz="8" w:color="auto"/>
            </w:tcBorders>
            <w:shd w:val="clear" w:color="auto" w:fill="CCEEFF"/>
          </w:tcPr>
          <w:p>
            <w:pPr>
              <w:spacing w:after="0"/>
              <w:rPr>
                <w:sz w:val="14"/>
                <w:szCs w:val="14"/>
                <w:color w:val="auto"/>
              </w:rPr>
            </w:pPr>
          </w:p>
        </w:tc>
        <w:tc>
          <w:tcPr>
            <w:tcW w:w="1760" w:type="dxa"/>
            <w:vAlign w:val="bottom"/>
            <w:tcBorders>
              <w:bottom w:val="single" w:sz="8" w:color="auto"/>
            </w:tcBorders>
            <w:shd w:val="clear" w:color="auto" w:fill="CCEEFF"/>
          </w:tcPr>
          <w:p>
            <w:pPr>
              <w:spacing w:after="0"/>
              <w:rPr>
                <w:sz w:val="14"/>
                <w:szCs w:val="14"/>
                <w:color w:val="auto"/>
              </w:rPr>
            </w:pPr>
          </w:p>
        </w:tc>
        <w:tc>
          <w:tcPr>
            <w:tcW w:w="24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3"/>
                <w:szCs w:val="13"/>
                <w:b w:val="1"/>
                <w:bCs w:val="1"/>
                <w:color w:val="auto"/>
              </w:rPr>
              <w:t>Group</w:t>
            </w:r>
          </w:p>
        </w:tc>
      </w:tr>
      <w:tr>
        <w:trPr>
          <w:trHeight w:val="118"/>
        </w:trPr>
        <w:tc>
          <w:tcPr>
            <w:tcW w:w="3340" w:type="dxa"/>
            <w:vAlign w:val="bottom"/>
          </w:tcPr>
          <w:p>
            <w:pPr>
              <w:ind w:left="20"/>
              <w:spacing w:after="0" w:line="118" w:lineRule="exact"/>
              <w:rPr>
                <w:sz w:val="20"/>
                <w:szCs w:val="20"/>
                <w:color w:val="auto"/>
              </w:rPr>
            </w:pPr>
            <w:r>
              <w:rPr>
                <w:rFonts w:ascii="Arial" w:cs="Arial" w:eastAsia="Arial" w:hAnsi="Arial"/>
                <w:sz w:val="13"/>
                <w:szCs w:val="13"/>
                <w:color w:val="auto"/>
              </w:rPr>
              <w:t>Beacon Bioscience, Inc</w:t>
            </w:r>
          </w:p>
        </w:tc>
        <w:tc>
          <w:tcPr>
            <w:tcW w:w="3720" w:type="dxa"/>
            <w:vAlign w:val="bottom"/>
          </w:tcPr>
          <w:p>
            <w:pPr>
              <w:ind w:left="740"/>
              <w:spacing w:after="0" w:line="118" w:lineRule="exact"/>
              <w:rPr>
                <w:sz w:val="20"/>
                <w:szCs w:val="20"/>
                <w:color w:val="auto"/>
              </w:rPr>
            </w:pPr>
            <w:r>
              <w:rPr>
                <w:rFonts w:ascii="Arial" w:cs="Arial" w:eastAsia="Arial" w:hAnsi="Arial"/>
                <w:sz w:val="13"/>
                <w:szCs w:val="13"/>
                <w:color w:val="auto"/>
              </w:rPr>
              <w:t>731 Arbor Way, Suite 100, Blue Bell, PA, United</w:t>
            </w:r>
          </w:p>
        </w:tc>
        <w:tc>
          <w:tcPr>
            <w:tcW w:w="1760" w:type="dxa"/>
            <w:vAlign w:val="bottom"/>
          </w:tcPr>
          <w:p>
            <w:pPr>
              <w:ind w:left="120"/>
              <w:spacing w:after="0" w:line="11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18" w:lineRule="exact"/>
              <w:rPr>
                <w:sz w:val="20"/>
                <w:szCs w:val="20"/>
                <w:color w:val="auto"/>
              </w:rPr>
            </w:pPr>
            <w:r>
              <w:rPr>
                <w:rFonts w:ascii="Arial" w:cs="Arial" w:eastAsia="Arial" w:hAnsi="Arial"/>
                <w:sz w:val="13"/>
                <w:szCs w:val="13"/>
                <w:color w:val="auto"/>
              </w:rPr>
              <w:t>100%</w:t>
            </w:r>
          </w:p>
        </w:tc>
      </w:tr>
      <w:tr>
        <w:trPr>
          <w:trHeight w:val="168"/>
        </w:trPr>
        <w:tc>
          <w:tcPr>
            <w:tcW w:w="3340" w:type="dxa"/>
            <w:vAlign w:val="bottom"/>
          </w:tcPr>
          <w:p>
            <w:pPr>
              <w:spacing w:after="0"/>
              <w:rPr>
                <w:sz w:val="14"/>
                <w:szCs w:val="14"/>
                <w:color w:val="auto"/>
              </w:rPr>
            </w:pPr>
          </w:p>
        </w:tc>
        <w:tc>
          <w:tcPr>
            <w:tcW w:w="3720" w:type="dxa"/>
            <w:vAlign w:val="bottom"/>
          </w:tcPr>
          <w:p>
            <w:pPr>
              <w:ind w:left="740"/>
              <w:spacing w:after="0"/>
              <w:rPr>
                <w:sz w:val="20"/>
                <w:szCs w:val="20"/>
                <w:color w:val="auto"/>
              </w:rPr>
            </w:pPr>
            <w:r>
              <w:rPr>
                <w:rFonts w:ascii="Arial" w:cs="Arial" w:eastAsia="Arial" w:hAnsi="Arial"/>
                <w:sz w:val="13"/>
                <w:szCs w:val="13"/>
                <w:color w:val="auto"/>
              </w:rPr>
              <w:t>States, 19422</w:t>
            </w:r>
          </w:p>
        </w:tc>
        <w:tc>
          <w:tcPr>
            <w:tcW w:w="176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3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C4 MedSolutions, LLC</w:t>
            </w:r>
          </w:p>
        </w:tc>
        <w:tc>
          <w:tcPr>
            <w:tcW w:w="3720" w:type="dxa"/>
            <w:vAlign w:val="bottom"/>
            <w:shd w:val="clear" w:color="auto" w:fill="CCEEFF"/>
          </w:tcPr>
          <w:p>
            <w:pPr>
              <w:ind w:left="740"/>
              <w:spacing w:after="0" w:line="129" w:lineRule="exact"/>
              <w:rPr>
                <w:sz w:val="20"/>
                <w:szCs w:val="20"/>
                <w:color w:val="auto"/>
              </w:rPr>
            </w:pPr>
            <w:r>
              <w:rPr>
                <w:rFonts w:ascii="Arial" w:cs="Arial" w:eastAsia="Arial" w:hAnsi="Arial"/>
                <w:sz w:val="13"/>
                <w:szCs w:val="13"/>
                <w:color w:val="auto"/>
              </w:rPr>
              <w:t>731 Arbor Way, Suite 100, Blue Bell, PA, United</w:t>
            </w:r>
          </w:p>
        </w:tc>
        <w:tc>
          <w:tcPr>
            <w:tcW w:w="1760" w:type="dxa"/>
            <w:vAlign w:val="bottom"/>
            <w:shd w:val="clear" w:color="auto" w:fill="CCEEFF"/>
          </w:tcPr>
          <w:p>
            <w:pPr>
              <w:ind w:left="12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70"/>
        </w:trPr>
        <w:tc>
          <w:tcPr>
            <w:tcW w:w="3340" w:type="dxa"/>
            <w:vAlign w:val="bottom"/>
            <w:shd w:val="clear" w:color="auto" w:fill="CCEEFF"/>
          </w:tcPr>
          <w:p>
            <w:pPr>
              <w:spacing w:after="0"/>
              <w:rPr>
                <w:sz w:val="14"/>
                <w:szCs w:val="14"/>
                <w:color w:val="auto"/>
              </w:rPr>
            </w:pPr>
          </w:p>
        </w:tc>
        <w:tc>
          <w:tcPr>
            <w:tcW w:w="3720" w:type="dxa"/>
            <w:vAlign w:val="bottom"/>
            <w:shd w:val="clear" w:color="auto" w:fill="CCEEFF"/>
          </w:tcPr>
          <w:p>
            <w:pPr>
              <w:ind w:left="740"/>
              <w:spacing w:after="0"/>
              <w:rPr>
                <w:sz w:val="20"/>
                <w:szCs w:val="20"/>
                <w:color w:val="auto"/>
              </w:rPr>
            </w:pPr>
            <w:r>
              <w:rPr>
                <w:rFonts w:ascii="Arial" w:cs="Arial" w:eastAsia="Arial" w:hAnsi="Arial"/>
                <w:sz w:val="13"/>
                <w:szCs w:val="13"/>
                <w:color w:val="auto"/>
              </w:rPr>
              <w:t>States, 19422</w:t>
            </w:r>
          </w:p>
        </w:tc>
        <w:tc>
          <w:tcPr>
            <w:tcW w:w="176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3340" w:type="dxa"/>
            <w:vAlign w:val="bottom"/>
          </w:tcPr>
          <w:p>
            <w:pPr>
              <w:ind w:left="20"/>
              <w:spacing w:after="0" w:line="128" w:lineRule="exact"/>
              <w:rPr>
                <w:sz w:val="20"/>
                <w:szCs w:val="20"/>
                <w:color w:val="auto"/>
              </w:rPr>
            </w:pPr>
            <w:r>
              <w:rPr>
                <w:rFonts w:ascii="Arial" w:cs="Arial" w:eastAsia="Arial" w:hAnsi="Arial"/>
                <w:sz w:val="13"/>
                <w:szCs w:val="13"/>
                <w:color w:val="auto"/>
              </w:rPr>
              <w:t>CHC Group, LLC</w:t>
            </w:r>
          </w:p>
        </w:tc>
        <w:tc>
          <w:tcPr>
            <w:tcW w:w="3720" w:type="dxa"/>
            <w:vAlign w:val="bottom"/>
          </w:tcPr>
          <w:p>
            <w:pPr>
              <w:ind w:left="740"/>
              <w:spacing w:after="0" w:line="128" w:lineRule="exact"/>
              <w:rPr>
                <w:sz w:val="20"/>
                <w:szCs w:val="20"/>
                <w:color w:val="auto"/>
              </w:rPr>
            </w:pPr>
            <w:r>
              <w:rPr>
                <w:rFonts w:ascii="Arial" w:cs="Arial" w:eastAsia="Arial" w:hAnsi="Arial"/>
                <w:sz w:val="13"/>
                <w:szCs w:val="13"/>
                <w:color w:val="auto"/>
              </w:rPr>
              <w:t>731 Arbor Way, Suite 100, Blue Bell, PA, United</w:t>
            </w:r>
          </w:p>
        </w:tc>
        <w:tc>
          <w:tcPr>
            <w:tcW w:w="1760" w:type="dxa"/>
            <w:vAlign w:val="bottom"/>
          </w:tcPr>
          <w:p>
            <w:pPr>
              <w:ind w:left="12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68"/>
        </w:trPr>
        <w:tc>
          <w:tcPr>
            <w:tcW w:w="3340" w:type="dxa"/>
            <w:vAlign w:val="bottom"/>
          </w:tcPr>
          <w:p>
            <w:pPr>
              <w:spacing w:after="0"/>
              <w:rPr>
                <w:sz w:val="14"/>
                <w:szCs w:val="14"/>
                <w:color w:val="auto"/>
              </w:rPr>
            </w:pPr>
          </w:p>
        </w:tc>
        <w:tc>
          <w:tcPr>
            <w:tcW w:w="3720" w:type="dxa"/>
            <w:vAlign w:val="bottom"/>
          </w:tcPr>
          <w:p>
            <w:pPr>
              <w:ind w:left="740"/>
              <w:spacing w:after="0"/>
              <w:rPr>
                <w:sz w:val="20"/>
                <w:szCs w:val="20"/>
                <w:color w:val="auto"/>
              </w:rPr>
            </w:pPr>
            <w:r>
              <w:rPr>
                <w:rFonts w:ascii="Arial" w:cs="Arial" w:eastAsia="Arial" w:hAnsi="Arial"/>
                <w:sz w:val="13"/>
                <w:szCs w:val="13"/>
                <w:color w:val="auto"/>
              </w:rPr>
              <w:t>States, 19422</w:t>
            </w:r>
          </w:p>
        </w:tc>
        <w:tc>
          <w:tcPr>
            <w:tcW w:w="176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3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CRN Holdings, LLC***********</w:t>
            </w:r>
          </w:p>
        </w:tc>
        <w:tc>
          <w:tcPr>
            <w:tcW w:w="3720" w:type="dxa"/>
            <w:vAlign w:val="bottom"/>
            <w:shd w:val="clear" w:color="auto" w:fill="CCEEFF"/>
          </w:tcPr>
          <w:p>
            <w:pPr>
              <w:ind w:left="740"/>
              <w:spacing w:after="0" w:line="129" w:lineRule="exact"/>
              <w:rPr>
                <w:sz w:val="20"/>
                <w:szCs w:val="20"/>
                <w:color w:val="auto"/>
              </w:rPr>
            </w:pPr>
            <w:r>
              <w:rPr>
                <w:rFonts w:ascii="Arial" w:cs="Arial" w:eastAsia="Arial" w:hAnsi="Arial"/>
                <w:sz w:val="13"/>
                <w:szCs w:val="13"/>
                <w:color w:val="auto"/>
              </w:rPr>
              <w:t>700 Deerpath Drive</w:t>
            </w:r>
          </w:p>
        </w:tc>
        <w:tc>
          <w:tcPr>
            <w:tcW w:w="1760" w:type="dxa"/>
            <w:vAlign w:val="bottom"/>
            <w:shd w:val="clear" w:color="auto" w:fill="CCEEFF"/>
          </w:tcPr>
          <w:p>
            <w:pPr>
              <w:ind w:left="12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340" w:type="dxa"/>
            <w:vAlign w:val="bottom"/>
            <w:shd w:val="clear" w:color="auto" w:fill="CCEEFF"/>
          </w:tcPr>
          <w:p>
            <w:pPr>
              <w:spacing w:after="0"/>
              <w:rPr>
                <w:sz w:val="11"/>
                <w:szCs w:val="11"/>
                <w:color w:val="auto"/>
              </w:rPr>
            </w:pPr>
          </w:p>
        </w:tc>
        <w:tc>
          <w:tcPr>
            <w:tcW w:w="3720" w:type="dxa"/>
            <w:vAlign w:val="bottom"/>
            <w:shd w:val="clear" w:color="auto" w:fill="CCEEFF"/>
          </w:tcPr>
          <w:p>
            <w:pPr>
              <w:ind w:left="740"/>
              <w:spacing w:after="0" w:line="128" w:lineRule="exact"/>
              <w:rPr>
                <w:sz w:val="20"/>
                <w:szCs w:val="20"/>
                <w:color w:val="auto"/>
              </w:rPr>
            </w:pPr>
            <w:r>
              <w:rPr>
                <w:rFonts w:ascii="Arial" w:cs="Arial" w:eastAsia="Arial" w:hAnsi="Arial"/>
                <w:sz w:val="13"/>
                <w:szCs w:val="13"/>
                <w:color w:val="auto"/>
              </w:rPr>
              <w:t>Vernon Hills, IL.</w:t>
            </w:r>
          </w:p>
        </w:tc>
        <w:tc>
          <w:tcPr>
            <w:tcW w:w="176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3340" w:type="dxa"/>
            <w:vAlign w:val="bottom"/>
            <w:shd w:val="clear" w:color="auto" w:fill="CCEEFF"/>
          </w:tcPr>
          <w:p>
            <w:pPr>
              <w:spacing w:after="0"/>
              <w:rPr>
                <w:sz w:val="14"/>
                <w:szCs w:val="14"/>
                <w:color w:val="auto"/>
              </w:rPr>
            </w:pPr>
          </w:p>
        </w:tc>
        <w:tc>
          <w:tcPr>
            <w:tcW w:w="3720" w:type="dxa"/>
            <w:vAlign w:val="bottom"/>
            <w:shd w:val="clear" w:color="auto" w:fill="CCEEFF"/>
          </w:tcPr>
          <w:p>
            <w:pPr>
              <w:ind w:left="740"/>
              <w:spacing w:after="0"/>
              <w:rPr>
                <w:sz w:val="20"/>
                <w:szCs w:val="20"/>
                <w:color w:val="auto"/>
              </w:rPr>
            </w:pPr>
            <w:r>
              <w:rPr>
                <w:rFonts w:ascii="Arial" w:cs="Arial" w:eastAsia="Arial" w:hAnsi="Arial"/>
                <w:sz w:val="13"/>
                <w:szCs w:val="13"/>
                <w:color w:val="auto"/>
              </w:rPr>
              <w:t>60061-1801</w:t>
            </w:r>
          </w:p>
        </w:tc>
        <w:tc>
          <w:tcPr>
            <w:tcW w:w="176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3340" w:type="dxa"/>
            <w:vAlign w:val="bottom"/>
          </w:tcPr>
          <w:p>
            <w:pPr>
              <w:ind w:left="20"/>
              <w:spacing w:after="0" w:line="128" w:lineRule="exact"/>
              <w:rPr>
                <w:sz w:val="20"/>
                <w:szCs w:val="20"/>
                <w:color w:val="auto"/>
              </w:rPr>
            </w:pPr>
            <w:r>
              <w:rPr>
                <w:rFonts w:ascii="Arial" w:cs="Arial" w:eastAsia="Arial" w:hAnsi="Arial"/>
                <w:sz w:val="13"/>
                <w:szCs w:val="13"/>
                <w:color w:val="auto"/>
              </w:rPr>
              <w:t>Global Pharmaceutical Strategies Group, LLC</w:t>
            </w:r>
          </w:p>
        </w:tc>
        <w:tc>
          <w:tcPr>
            <w:tcW w:w="3720" w:type="dxa"/>
            <w:vAlign w:val="bottom"/>
          </w:tcPr>
          <w:p>
            <w:pPr>
              <w:ind w:left="740"/>
              <w:spacing w:after="0" w:line="128" w:lineRule="exact"/>
              <w:rPr>
                <w:sz w:val="20"/>
                <w:szCs w:val="20"/>
                <w:color w:val="auto"/>
              </w:rPr>
            </w:pPr>
            <w:r>
              <w:rPr>
                <w:rFonts w:ascii="Arial" w:cs="Arial" w:eastAsia="Arial" w:hAnsi="Arial"/>
                <w:sz w:val="13"/>
                <w:szCs w:val="13"/>
                <w:color w:val="auto"/>
              </w:rPr>
              <w:t>731 Arbor Way, Suite 100, Blue Bell, PA, United</w:t>
            </w:r>
          </w:p>
        </w:tc>
        <w:tc>
          <w:tcPr>
            <w:tcW w:w="1760" w:type="dxa"/>
            <w:vAlign w:val="bottom"/>
          </w:tcPr>
          <w:p>
            <w:pPr>
              <w:ind w:left="12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68"/>
        </w:trPr>
        <w:tc>
          <w:tcPr>
            <w:tcW w:w="3340" w:type="dxa"/>
            <w:vAlign w:val="bottom"/>
          </w:tcPr>
          <w:p>
            <w:pPr>
              <w:spacing w:after="0"/>
              <w:rPr>
                <w:sz w:val="14"/>
                <w:szCs w:val="14"/>
                <w:color w:val="auto"/>
              </w:rPr>
            </w:pPr>
          </w:p>
        </w:tc>
        <w:tc>
          <w:tcPr>
            <w:tcW w:w="3720" w:type="dxa"/>
            <w:vAlign w:val="bottom"/>
          </w:tcPr>
          <w:p>
            <w:pPr>
              <w:ind w:left="740"/>
              <w:spacing w:after="0"/>
              <w:rPr>
                <w:sz w:val="20"/>
                <w:szCs w:val="20"/>
                <w:color w:val="auto"/>
              </w:rPr>
            </w:pPr>
            <w:r>
              <w:rPr>
                <w:rFonts w:ascii="Arial" w:cs="Arial" w:eastAsia="Arial" w:hAnsi="Arial"/>
                <w:sz w:val="13"/>
                <w:szCs w:val="13"/>
                <w:color w:val="auto"/>
              </w:rPr>
              <w:t>States, 19422</w:t>
            </w:r>
          </w:p>
        </w:tc>
        <w:tc>
          <w:tcPr>
            <w:tcW w:w="176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3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Clinical Investments, LLC</w:t>
            </w:r>
          </w:p>
        </w:tc>
        <w:tc>
          <w:tcPr>
            <w:tcW w:w="3720" w:type="dxa"/>
            <w:vAlign w:val="bottom"/>
            <w:shd w:val="clear" w:color="auto" w:fill="CCEEFF"/>
          </w:tcPr>
          <w:p>
            <w:pPr>
              <w:ind w:left="740"/>
              <w:spacing w:after="0" w:line="129" w:lineRule="exact"/>
              <w:rPr>
                <w:sz w:val="20"/>
                <w:szCs w:val="20"/>
                <w:color w:val="auto"/>
              </w:rPr>
            </w:pPr>
            <w:r>
              <w:rPr>
                <w:rFonts w:ascii="Arial" w:cs="Arial" w:eastAsia="Arial" w:hAnsi="Arial"/>
                <w:sz w:val="13"/>
                <w:szCs w:val="13"/>
                <w:color w:val="auto"/>
              </w:rPr>
              <w:t>731 Arbor Way</w:t>
            </w:r>
          </w:p>
        </w:tc>
        <w:tc>
          <w:tcPr>
            <w:tcW w:w="1760" w:type="dxa"/>
            <w:vAlign w:val="bottom"/>
            <w:shd w:val="clear" w:color="auto" w:fill="CCEEFF"/>
          </w:tcPr>
          <w:p>
            <w:pPr>
              <w:ind w:left="120"/>
              <w:spacing w:after="0" w:line="129" w:lineRule="exact"/>
              <w:rPr>
                <w:sz w:val="20"/>
                <w:szCs w:val="20"/>
                <w:color w:val="auto"/>
              </w:rPr>
            </w:pPr>
            <w:r>
              <w:rPr>
                <w:rFonts w:ascii="Arial" w:cs="Arial" w:eastAsia="Arial" w:hAnsi="Arial"/>
                <w:sz w:val="13"/>
                <w:szCs w:val="13"/>
                <w:color w:val="auto"/>
              </w:rPr>
              <w:t>Investment company</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340" w:type="dxa"/>
            <w:vAlign w:val="bottom"/>
            <w:shd w:val="clear" w:color="auto" w:fill="CCEEFF"/>
          </w:tcPr>
          <w:p>
            <w:pPr>
              <w:spacing w:after="0"/>
              <w:rPr>
                <w:sz w:val="11"/>
                <w:szCs w:val="11"/>
                <w:color w:val="auto"/>
              </w:rPr>
            </w:pPr>
          </w:p>
        </w:tc>
        <w:tc>
          <w:tcPr>
            <w:tcW w:w="3720" w:type="dxa"/>
            <w:vAlign w:val="bottom"/>
            <w:shd w:val="clear" w:color="auto" w:fill="CCEEFF"/>
          </w:tcPr>
          <w:p>
            <w:pPr>
              <w:ind w:left="740"/>
              <w:spacing w:after="0" w:line="128" w:lineRule="exact"/>
              <w:rPr>
                <w:sz w:val="20"/>
                <w:szCs w:val="20"/>
                <w:color w:val="auto"/>
              </w:rPr>
            </w:pPr>
            <w:r>
              <w:rPr>
                <w:rFonts w:ascii="Arial" w:cs="Arial" w:eastAsia="Arial" w:hAnsi="Arial"/>
                <w:sz w:val="13"/>
                <w:szCs w:val="13"/>
                <w:color w:val="auto"/>
              </w:rPr>
              <w:t>Suite 100</w:t>
            </w:r>
          </w:p>
        </w:tc>
        <w:tc>
          <w:tcPr>
            <w:tcW w:w="176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340" w:type="dxa"/>
            <w:vAlign w:val="bottom"/>
            <w:shd w:val="clear" w:color="auto" w:fill="CCEEFF"/>
          </w:tcPr>
          <w:p>
            <w:pPr>
              <w:spacing w:after="0"/>
              <w:rPr>
                <w:sz w:val="11"/>
                <w:szCs w:val="11"/>
                <w:color w:val="auto"/>
              </w:rPr>
            </w:pPr>
          </w:p>
        </w:tc>
        <w:tc>
          <w:tcPr>
            <w:tcW w:w="3720" w:type="dxa"/>
            <w:vAlign w:val="bottom"/>
            <w:shd w:val="clear" w:color="auto" w:fill="CCEEFF"/>
          </w:tcPr>
          <w:p>
            <w:pPr>
              <w:ind w:left="740"/>
              <w:spacing w:after="0" w:line="128" w:lineRule="exact"/>
              <w:rPr>
                <w:sz w:val="20"/>
                <w:szCs w:val="20"/>
                <w:color w:val="auto"/>
              </w:rPr>
            </w:pPr>
            <w:r>
              <w:rPr>
                <w:rFonts w:ascii="Arial" w:cs="Arial" w:eastAsia="Arial" w:hAnsi="Arial"/>
                <w:sz w:val="13"/>
                <w:szCs w:val="13"/>
                <w:color w:val="auto"/>
              </w:rPr>
              <w:t>Blue Bell, PA</w:t>
            </w:r>
          </w:p>
        </w:tc>
        <w:tc>
          <w:tcPr>
            <w:tcW w:w="176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3340" w:type="dxa"/>
            <w:vAlign w:val="bottom"/>
            <w:shd w:val="clear" w:color="auto" w:fill="CCEEFF"/>
          </w:tcPr>
          <w:p>
            <w:pPr>
              <w:spacing w:after="0"/>
              <w:rPr>
                <w:sz w:val="14"/>
                <w:szCs w:val="14"/>
                <w:color w:val="auto"/>
              </w:rPr>
            </w:pPr>
          </w:p>
        </w:tc>
        <w:tc>
          <w:tcPr>
            <w:tcW w:w="3720" w:type="dxa"/>
            <w:vAlign w:val="bottom"/>
            <w:shd w:val="clear" w:color="auto" w:fill="CCEEFF"/>
          </w:tcPr>
          <w:p>
            <w:pPr>
              <w:ind w:left="740"/>
              <w:spacing w:after="0"/>
              <w:rPr>
                <w:sz w:val="20"/>
                <w:szCs w:val="20"/>
                <w:color w:val="auto"/>
              </w:rPr>
            </w:pPr>
            <w:r>
              <w:rPr>
                <w:rFonts w:ascii="Arial" w:cs="Arial" w:eastAsia="Arial" w:hAnsi="Arial"/>
                <w:sz w:val="13"/>
                <w:szCs w:val="13"/>
                <w:color w:val="auto"/>
              </w:rPr>
              <w:t>United States, 19422</w:t>
            </w:r>
          </w:p>
        </w:tc>
        <w:tc>
          <w:tcPr>
            <w:tcW w:w="176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3340" w:type="dxa"/>
            <w:vAlign w:val="bottom"/>
          </w:tcPr>
          <w:p>
            <w:pPr>
              <w:ind w:left="20"/>
              <w:spacing w:after="0" w:line="128" w:lineRule="exact"/>
              <w:rPr>
                <w:sz w:val="20"/>
                <w:szCs w:val="20"/>
                <w:color w:val="auto"/>
              </w:rPr>
            </w:pPr>
            <w:r>
              <w:rPr>
                <w:rFonts w:ascii="Arial" w:cs="Arial" w:eastAsia="Arial" w:hAnsi="Arial"/>
                <w:sz w:val="13"/>
                <w:szCs w:val="13"/>
                <w:color w:val="auto"/>
              </w:rPr>
              <w:t>ICON Clinical Research LLC</w:t>
            </w:r>
          </w:p>
        </w:tc>
        <w:tc>
          <w:tcPr>
            <w:tcW w:w="3720" w:type="dxa"/>
            <w:vAlign w:val="bottom"/>
          </w:tcPr>
          <w:p>
            <w:pPr>
              <w:ind w:left="740"/>
              <w:spacing w:after="0" w:line="128" w:lineRule="exact"/>
              <w:rPr>
                <w:sz w:val="20"/>
                <w:szCs w:val="20"/>
                <w:color w:val="auto"/>
              </w:rPr>
            </w:pPr>
            <w:r>
              <w:rPr>
                <w:rFonts w:ascii="Arial" w:cs="Arial" w:eastAsia="Arial" w:hAnsi="Arial"/>
                <w:sz w:val="13"/>
                <w:szCs w:val="13"/>
                <w:color w:val="auto"/>
              </w:rPr>
              <w:t>731 Arbor Way</w:t>
            </w:r>
          </w:p>
        </w:tc>
        <w:tc>
          <w:tcPr>
            <w:tcW w:w="1760" w:type="dxa"/>
            <w:vAlign w:val="bottom"/>
          </w:tcPr>
          <w:p>
            <w:pPr>
              <w:ind w:left="12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340" w:type="dxa"/>
            <w:vAlign w:val="bottom"/>
          </w:tcPr>
          <w:p>
            <w:pPr>
              <w:spacing w:after="0"/>
              <w:rPr>
                <w:sz w:val="11"/>
                <w:szCs w:val="11"/>
                <w:color w:val="auto"/>
              </w:rPr>
            </w:pPr>
          </w:p>
        </w:tc>
        <w:tc>
          <w:tcPr>
            <w:tcW w:w="3720" w:type="dxa"/>
            <w:vAlign w:val="bottom"/>
          </w:tcPr>
          <w:p>
            <w:pPr>
              <w:ind w:left="740"/>
              <w:spacing w:after="0" w:line="128" w:lineRule="exact"/>
              <w:rPr>
                <w:sz w:val="20"/>
                <w:szCs w:val="20"/>
                <w:color w:val="auto"/>
              </w:rPr>
            </w:pPr>
            <w:r>
              <w:rPr>
                <w:rFonts w:ascii="Arial" w:cs="Arial" w:eastAsia="Arial" w:hAnsi="Arial"/>
                <w:sz w:val="13"/>
                <w:szCs w:val="13"/>
                <w:color w:val="auto"/>
              </w:rPr>
              <w:t>Suite 100</w:t>
            </w:r>
          </w:p>
        </w:tc>
        <w:tc>
          <w:tcPr>
            <w:tcW w:w="176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340" w:type="dxa"/>
            <w:vAlign w:val="bottom"/>
          </w:tcPr>
          <w:p>
            <w:pPr>
              <w:spacing w:after="0"/>
              <w:rPr>
                <w:sz w:val="11"/>
                <w:szCs w:val="11"/>
                <w:color w:val="auto"/>
              </w:rPr>
            </w:pPr>
          </w:p>
        </w:tc>
        <w:tc>
          <w:tcPr>
            <w:tcW w:w="3720" w:type="dxa"/>
            <w:vAlign w:val="bottom"/>
          </w:tcPr>
          <w:p>
            <w:pPr>
              <w:ind w:left="740"/>
              <w:spacing w:after="0" w:line="128" w:lineRule="exact"/>
              <w:rPr>
                <w:sz w:val="20"/>
                <w:szCs w:val="20"/>
                <w:color w:val="auto"/>
              </w:rPr>
            </w:pPr>
            <w:r>
              <w:rPr>
                <w:rFonts w:ascii="Arial" w:cs="Arial" w:eastAsia="Arial" w:hAnsi="Arial"/>
                <w:sz w:val="13"/>
                <w:szCs w:val="13"/>
                <w:color w:val="auto"/>
              </w:rPr>
              <w:t>Blue Bell, PA</w:t>
            </w:r>
          </w:p>
        </w:tc>
        <w:tc>
          <w:tcPr>
            <w:tcW w:w="176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3340" w:type="dxa"/>
            <w:vAlign w:val="bottom"/>
          </w:tcPr>
          <w:p>
            <w:pPr>
              <w:spacing w:after="0"/>
              <w:rPr>
                <w:sz w:val="14"/>
                <w:szCs w:val="14"/>
                <w:color w:val="auto"/>
              </w:rPr>
            </w:pPr>
          </w:p>
        </w:tc>
        <w:tc>
          <w:tcPr>
            <w:tcW w:w="3720" w:type="dxa"/>
            <w:vAlign w:val="bottom"/>
          </w:tcPr>
          <w:p>
            <w:pPr>
              <w:ind w:left="740"/>
              <w:spacing w:after="0"/>
              <w:rPr>
                <w:sz w:val="20"/>
                <w:szCs w:val="20"/>
                <w:color w:val="auto"/>
              </w:rPr>
            </w:pPr>
            <w:r>
              <w:rPr>
                <w:rFonts w:ascii="Arial" w:cs="Arial" w:eastAsia="Arial" w:hAnsi="Arial"/>
                <w:sz w:val="13"/>
                <w:szCs w:val="13"/>
                <w:color w:val="auto"/>
              </w:rPr>
              <w:t>United States, 19422</w:t>
            </w:r>
          </w:p>
        </w:tc>
        <w:tc>
          <w:tcPr>
            <w:tcW w:w="176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3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Laboratory Services, Inc.</w:t>
            </w:r>
          </w:p>
        </w:tc>
        <w:tc>
          <w:tcPr>
            <w:tcW w:w="3720" w:type="dxa"/>
            <w:vAlign w:val="bottom"/>
            <w:shd w:val="clear" w:color="auto" w:fill="CCEEFF"/>
          </w:tcPr>
          <w:p>
            <w:pPr>
              <w:ind w:left="740"/>
              <w:spacing w:after="0" w:line="129" w:lineRule="exact"/>
              <w:rPr>
                <w:sz w:val="20"/>
                <w:szCs w:val="20"/>
                <w:color w:val="auto"/>
              </w:rPr>
            </w:pPr>
            <w:r>
              <w:rPr>
                <w:rFonts w:ascii="Arial" w:cs="Arial" w:eastAsia="Arial" w:hAnsi="Arial"/>
                <w:sz w:val="13"/>
                <w:szCs w:val="13"/>
                <w:color w:val="auto"/>
              </w:rPr>
              <w:t>123 Smith Street,</w:t>
            </w:r>
          </w:p>
        </w:tc>
        <w:tc>
          <w:tcPr>
            <w:tcW w:w="1760" w:type="dxa"/>
            <w:vAlign w:val="bottom"/>
            <w:shd w:val="clear" w:color="auto" w:fill="CCEEFF"/>
          </w:tcPr>
          <w:p>
            <w:pPr>
              <w:ind w:left="12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340" w:type="dxa"/>
            <w:vAlign w:val="bottom"/>
            <w:shd w:val="clear" w:color="auto" w:fill="CCEEFF"/>
          </w:tcPr>
          <w:p>
            <w:pPr>
              <w:spacing w:after="0"/>
              <w:rPr>
                <w:sz w:val="11"/>
                <w:szCs w:val="11"/>
                <w:color w:val="auto"/>
              </w:rPr>
            </w:pPr>
          </w:p>
        </w:tc>
        <w:tc>
          <w:tcPr>
            <w:tcW w:w="3720" w:type="dxa"/>
            <w:vAlign w:val="bottom"/>
            <w:shd w:val="clear" w:color="auto" w:fill="CCEEFF"/>
          </w:tcPr>
          <w:p>
            <w:pPr>
              <w:ind w:left="740"/>
              <w:spacing w:after="0" w:line="128" w:lineRule="exact"/>
              <w:rPr>
                <w:sz w:val="20"/>
                <w:szCs w:val="20"/>
                <w:color w:val="auto"/>
              </w:rPr>
            </w:pPr>
            <w:r>
              <w:rPr>
                <w:rFonts w:ascii="Arial" w:cs="Arial" w:eastAsia="Arial" w:hAnsi="Arial"/>
                <w:sz w:val="13"/>
                <w:szCs w:val="13"/>
                <w:color w:val="auto"/>
              </w:rPr>
              <w:t>Farmingdale,</w:t>
            </w:r>
          </w:p>
        </w:tc>
        <w:tc>
          <w:tcPr>
            <w:tcW w:w="176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340" w:type="dxa"/>
            <w:vAlign w:val="bottom"/>
            <w:shd w:val="clear" w:color="auto" w:fill="CCEEFF"/>
          </w:tcPr>
          <w:p>
            <w:pPr>
              <w:spacing w:after="0"/>
              <w:rPr>
                <w:sz w:val="11"/>
                <w:szCs w:val="11"/>
                <w:color w:val="auto"/>
              </w:rPr>
            </w:pPr>
          </w:p>
        </w:tc>
        <w:tc>
          <w:tcPr>
            <w:tcW w:w="3720" w:type="dxa"/>
            <w:vAlign w:val="bottom"/>
            <w:shd w:val="clear" w:color="auto" w:fill="CCEEFF"/>
          </w:tcPr>
          <w:p>
            <w:pPr>
              <w:ind w:left="740"/>
              <w:spacing w:after="0" w:line="128" w:lineRule="exact"/>
              <w:rPr>
                <w:sz w:val="20"/>
                <w:szCs w:val="20"/>
                <w:color w:val="auto"/>
              </w:rPr>
            </w:pPr>
            <w:r>
              <w:rPr>
                <w:rFonts w:ascii="Arial" w:cs="Arial" w:eastAsia="Arial" w:hAnsi="Arial"/>
                <w:sz w:val="13"/>
                <w:szCs w:val="13"/>
                <w:color w:val="auto"/>
              </w:rPr>
              <w:t>NY 11735</w:t>
            </w:r>
          </w:p>
        </w:tc>
        <w:tc>
          <w:tcPr>
            <w:tcW w:w="176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3340" w:type="dxa"/>
            <w:vAlign w:val="bottom"/>
            <w:shd w:val="clear" w:color="auto" w:fill="CCEEFF"/>
          </w:tcPr>
          <w:p>
            <w:pPr>
              <w:spacing w:after="0"/>
              <w:rPr>
                <w:sz w:val="14"/>
                <w:szCs w:val="14"/>
                <w:color w:val="auto"/>
              </w:rPr>
            </w:pPr>
          </w:p>
        </w:tc>
        <w:tc>
          <w:tcPr>
            <w:tcW w:w="3720" w:type="dxa"/>
            <w:vAlign w:val="bottom"/>
            <w:shd w:val="clear" w:color="auto" w:fill="CCEEFF"/>
          </w:tcPr>
          <w:p>
            <w:pPr>
              <w:ind w:left="740"/>
              <w:spacing w:after="0"/>
              <w:rPr>
                <w:sz w:val="20"/>
                <w:szCs w:val="20"/>
                <w:color w:val="auto"/>
              </w:rPr>
            </w:pPr>
            <w:r>
              <w:rPr>
                <w:rFonts w:ascii="Arial" w:cs="Arial" w:eastAsia="Arial" w:hAnsi="Arial"/>
                <w:sz w:val="13"/>
                <w:szCs w:val="13"/>
                <w:color w:val="auto"/>
              </w:rPr>
              <w:t>United States</w:t>
            </w:r>
          </w:p>
        </w:tc>
        <w:tc>
          <w:tcPr>
            <w:tcW w:w="176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3340" w:type="dxa"/>
            <w:vAlign w:val="bottom"/>
          </w:tcPr>
          <w:p>
            <w:pPr>
              <w:ind w:left="20"/>
              <w:spacing w:after="0" w:line="128" w:lineRule="exact"/>
              <w:rPr>
                <w:sz w:val="20"/>
                <w:szCs w:val="20"/>
                <w:color w:val="auto"/>
              </w:rPr>
            </w:pPr>
            <w:r>
              <w:rPr>
                <w:rFonts w:ascii="Arial" w:cs="Arial" w:eastAsia="Arial" w:hAnsi="Arial"/>
                <w:sz w:val="13"/>
                <w:szCs w:val="13"/>
                <w:color w:val="auto"/>
              </w:rPr>
              <w:t>ICON Tennessee, LLC</w:t>
            </w:r>
          </w:p>
        </w:tc>
        <w:tc>
          <w:tcPr>
            <w:tcW w:w="3720" w:type="dxa"/>
            <w:vAlign w:val="bottom"/>
          </w:tcPr>
          <w:p>
            <w:pPr>
              <w:ind w:left="740"/>
              <w:spacing w:after="0" w:line="128" w:lineRule="exact"/>
              <w:rPr>
                <w:sz w:val="20"/>
                <w:szCs w:val="20"/>
                <w:color w:val="auto"/>
              </w:rPr>
            </w:pPr>
            <w:r>
              <w:rPr>
                <w:rFonts w:ascii="Arial" w:cs="Arial" w:eastAsia="Arial" w:hAnsi="Arial"/>
                <w:sz w:val="13"/>
                <w:szCs w:val="13"/>
                <w:color w:val="auto"/>
              </w:rPr>
              <w:t>320 Seven Springs Way,</w:t>
            </w:r>
          </w:p>
        </w:tc>
        <w:tc>
          <w:tcPr>
            <w:tcW w:w="1760" w:type="dxa"/>
            <w:vAlign w:val="bottom"/>
          </w:tcPr>
          <w:p>
            <w:pPr>
              <w:ind w:left="12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340" w:type="dxa"/>
            <w:vAlign w:val="bottom"/>
          </w:tcPr>
          <w:p>
            <w:pPr>
              <w:spacing w:after="0"/>
              <w:rPr>
                <w:sz w:val="11"/>
                <w:szCs w:val="11"/>
                <w:color w:val="auto"/>
              </w:rPr>
            </w:pPr>
          </w:p>
        </w:tc>
        <w:tc>
          <w:tcPr>
            <w:tcW w:w="3720" w:type="dxa"/>
            <w:vAlign w:val="bottom"/>
          </w:tcPr>
          <w:p>
            <w:pPr>
              <w:ind w:left="740"/>
              <w:spacing w:after="0" w:line="128" w:lineRule="exact"/>
              <w:rPr>
                <w:sz w:val="20"/>
                <w:szCs w:val="20"/>
                <w:color w:val="auto"/>
              </w:rPr>
            </w:pPr>
            <w:r>
              <w:rPr>
                <w:rFonts w:ascii="Arial" w:cs="Arial" w:eastAsia="Arial" w:hAnsi="Arial"/>
                <w:sz w:val="13"/>
                <w:szCs w:val="13"/>
                <w:color w:val="auto"/>
              </w:rPr>
              <w:t>Suite 500 (Davidson County), Brentwood TN37027</w:t>
            </w:r>
          </w:p>
        </w:tc>
        <w:tc>
          <w:tcPr>
            <w:tcW w:w="176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3340" w:type="dxa"/>
            <w:vAlign w:val="bottom"/>
          </w:tcPr>
          <w:p>
            <w:pPr>
              <w:spacing w:after="0"/>
              <w:rPr>
                <w:sz w:val="14"/>
                <w:szCs w:val="14"/>
                <w:color w:val="auto"/>
              </w:rPr>
            </w:pPr>
          </w:p>
        </w:tc>
        <w:tc>
          <w:tcPr>
            <w:tcW w:w="3720" w:type="dxa"/>
            <w:vAlign w:val="bottom"/>
          </w:tcPr>
          <w:p>
            <w:pPr>
              <w:ind w:left="740"/>
              <w:spacing w:after="0"/>
              <w:rPr>
                <w:sz w:val="20"/>
                <w:szCs w:val="20"/>
                <w:color w:val="auto"/>
              </w:rPr>
            </w:pPr>
            <w:r>
              <w:rPr>
                <w:rFonts w:ascii="Arial" w:cs="Arial" w:eastAsia="Arial" w:hAnsi="Arial"/>
                <w:sz w:val="13"/>
                <w:szCs w:val="13"/>
                <w:color w:val="auto"/>
              </w:rPr>
              <w:t>United States</w:t>
            </w:r>
          </w:p>
        </w:tc>
        <w:tc>
          <w:tcPr>
            <w:tcW w:w="176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3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ICON US Holdings Inc.</w:t>
            </w:r>
          </w:p>
        </w:tc>
        <w:tc>
          <w:tcPr>
            <w:tcW w:w="3720" w:type="dxa"/>
            <w:vAlign w:val="bottom"/>
            <w:shd w:val="clear" w:color="auto" w:fill="CCEEFF"/>
          </w:tcPr>
          <w:p>
            <w:pPr>
              <w:ind w:left="740"/>
              <w:spacing w:after="0" w:line="129" w:lineRule="exact"/>
              <w:rPr>
                <w:sz w:val="20"/>
                <w:szCs w:val="20"/>
                <w:color w:val="auto"/>
              </w:rPr>
            </w:pPr>
            <w:r>
              <w:rPr>
                <w:rFonts w:ascii="Arial" w:cs="Arial" w:eastAsia="Arial" w:hAnsi="Arial"/>
                <w:sz w:val="13"/>
                <w:szCs w:val="13"/>
                <w:color w:val="auto"/>
              </w:rPr>
              <w:t>731 Arbor Way</w:t>
            </w:r>
          </w:p>
        </w:tc>
        <w:tc>
          <w:tcPr>
            <w:tcW w:w="1760" w:type="dxa"/>
            <w:vAlign w:val="bottom"/>
            <w:shd w:val="clear" w:color="auto" w:fill="CCEEFF"/>
          </w:tcPr>
          <w:p>
            <w:pPr>
              <w:ind w:left="12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340" w:type="dxa"/>
            <w:vAlign w:val="bottom"/>
            <w:shd w:val="clear" w:color="auto" w:fill="CCEEFF"/>
          </w:tcPr>
          <w:p>
            <w:pPr>
              <w:spacing w:after="0"/>
              <w:rPr>
                <w:sz w:val="11"/>
                <w:szCs w:val="11"/>
                <w:color w:val="auto"/>
              </w:rPr>
            </w:pPr>
          </w:p>
        </w:tc>
        <w:tc>
          <w:tcPr>
            <w:tcW w:w="3720" w:type="dxa"/>
            <w:vAlign w:val="bottom"/>
            <w:shd w:val="clear" w:color="auto" w:fill="CCEEFF"/>
          </w:tcPr>
          <w:p>
            <w:pPr>
              <w:ind w:left="740"/>
              <w:spacing w:after="0" w:line="128" w:lineRule="exact"/>
              <w:rPr>
                <w:sz w:val="20"/>
                <w:szCs w:val="20"/>
                <w:color w:val="auto"/>
              </w:rPr>
            </w:pPr>
            <w:r>
              <w:rPr>
                <w:rFonts w:ascii="Arial" w:cs="Arial" w:eastAsia="Arial" w:hAnsi="Arial"/>
                <w:sz w:val="13"/>
                <w:szCs w:val="13"/>
                <w:color w:val="auto"/>
              </w:rPr>
              <w:t>Suite 100</w:t>
            </w:r>
          </w:p>
        </w:tc>
        <w:tc>
          <w:tcPr>
            <w:tcW w:w="176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340" w:type="dxa"/>
            <w:vAlign w:val="bottom"/>
            <w:shd w:val="clear" w:color="auto" w:fill="CCEEFF"/>
          </w:tcPr>
          <w:p>
            <w:pPr>
              <w:spacing w:after="0"/>
              <w:rPr>
                <w:sz w:val="11"/>
                <w:szCs w:val="11"/>
                <w:color w:val="auto"/>
              </w:rPr>
            </w:pPr>
          </w:p>
        </w:tc>
        <w:tc>
          <w:tcPr>
            <w:tcW w:w="3720" w:type="dxa"/>
            <w:vAlign w:val="bottom"/>
            <w:shd w:val="clear" w:color="auto" w:fill="CCEEFF"/>
          </w:tcPr>
          <w:p>
            <w:pPr>
              <w:ind w:left="740"/>
              <w:spacing w:after="0" w:line="128" w:lineRule="exact"/>
              <w:rPr>
                <w:sz w:val="20"/>
                <w:szCs w:val="20"/>
                <w:color w:val="auto"/>
              </w:rPr>
            </w:pPr>
            <w:r>
              <w:rPr>
                <w:rFonts w:ascii="Arial" w:cs="Arial" w:eastAsia="Arial" w:hAnsi="Arial"/>
                <w:sz w:val="13"/>
                <w:szCs w:val="13"/>
                <w:color w:val="auto"/>
              </w:rPr>
              <w:t>Blue Bell, PA</w:t>
            </w:r>
          </w:p>
        </w:tc>
        <w:tc>
          <w:tcPr>
            <w:tcW w:w="176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3340" w:type="dxa"/>
            <w:vAlign w:val="bottom"/>
            <w:shd w:val="clear" w:color="auto" w:fill="CCEEFF"/>
          </w:tcPr>
          <w:p>
            <w:pPr>
              <w:spacing w:after="0"/>
              <w:rPr>
                <w:sz w:val="14"/>
                <w:szCs w:val="14"/>
                <w:color w:val="auto"/>
              </w:rPr>
            </w:pPr>
          </w:p>
        </w:tc>
        <w:tc>
          <w:tcPr>
            <w:tcW w:w="3720" w:type="dxa"/>
            <w:vAlign w:val="bottom"/>
            <w:shd w:val="clear" w:color="auto" w:fill="CCEEFF"/>
          </w:tcPr>
          <w:p>
            <w:pPr>
              <w:ind w:left="740"/>
              <w:spacing w:after="0"/>
              <w:rPr>
                <w:sz w:val="20"/>
                <w:szCs w:val="20"/>
                <w:color w:val="auto"/>
              </w:rPr>
            </w:pPr>
            <w:r>
              <w:rPr>
                <w:rFonts w:ascii="Arial" w:cs="Arial" w:eastAsia="Arial" w:hAnsi="Arial"/>
                <w:sz w:val="13"/>
                <w:szCs w:val="13"/>
                <w:color w:val="auto"/>
              </w:rPr>
              <w:t>United States, 19422</w:t>
            </w:r>
          </w:p>
        </w:tc>
        <w:tc>
          <w:tcPr>
            <w:tcW w:w="176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3340" w:type="dxa"/>
            <w:vAlign w:val="bottom"/>
          </w:tcPr>
          <w:p>
            <w:pPr>
              <w:ind w:left="20"/>
              <w:spacing w:after="0" w:line="128" w:lineRule="exact"/>
              <w:rPr>
                <w:sz w:val="20"/>
                <w:szCs w:val="20"/>
                <w:color w:val="auto"/>
              </w:rPr>
            </w:pPr>
            <w:r>
              <w:rPr>
                <w:rFonts w:ascii="Arial" w:cs="Arial" w:eastAsia="Arial" w:hAnsi="Arial"/>
                <w:sz w:val="13"/>
                <w:szCs w:val="13"/>
                <w:color w:val="auto"/>
              </w:rPr>
              <w:t>MMMM Consulting, LLC</w:t>
            </w:r>
          </w:p>
        </w:tc>
        <w:tc>
          <w:tcPr>
            <w:tcW w:w="3720" w:type="dxa"/>
            <w:vAlign w:val="bottom"/>
          </w:tcPr>
          <w:p>
            <w:pPr>
              <w:ind w:left="740"/>
              <w:spacing w:after="0" w:line="128" w:lineRule="exact"/>
              <w:rPr>
                <w:sz w:val="20"/>
                <w:szCs w:val="20"/>
                <w:color w:val="auto"/>
              </w:rPr>
            </w:pPr>
            <w:r>
              <w:rPr>
                <w:rFonts w:ascii="Arial" w:cs="Arial" w:eastAsia="Arial" w:hAnsi="Arial"/>
                <w:sz w:val="13"/>
                <w:szCs w:val="13"/>
                <w:color w:val="auto"/>
              </w:rPr>
              <w:t>19 West College Ave</w:t>
            </w:r>
          </w:p>
        </w:tc>
        <w:tc>
          <w:tcPr>
            <w:tcW w:w="1760" w:type="dxa"/>
            <w:vAlign w:val="bottom"/>
          </w:tcPr>
          <w:p>
            <w:pPr>
              <w:ind w:left="12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340" w:type="dxa"/>
            <w:vAlign w:val="bottom"/>
          </w:tcPr>
          <w:p>
            <w:pPr>
              <w:spacing w:after="0"/>
              <w:rPr>
                <w:sz w:val="11"/>
                <w:szCs w:val="11"/>
                <w:color w:val="auto"/>
              </w:rPr>
            </w:pPr>
          </w:p>
        </w:tc>
        <w:tc>
          <w:tcPr>
            <w:tcW w:w="3720" w:type="dxa"/>
            <w:vAlign w:val="bottom"/>
          </w:tcPr>
          <w:p>
            <w:pPr>
              <w:ind w:left="740"/>
              <w:spacing w:after="0" w:line="128" w:lineRule="exact"/>
              <w:rPr>
                <w:sz w:val="20"/>
                <w:szCs w:val="20"/>
                <w:color w:val="auto"/>
              </w:rPr>
            </w:pPr>
            <w:r>
              <w:rPr>
                <w:rFonts w:ascii="Arial" w:cs="Arial" w:eastAsia="Arial" w:hAnsi="Arial"/>
                <w:sz w:val="13"/>
                <w:szCs w:val="13"/>
                <w:color w:val="auto"/>
              </w:rPr>
              <w:t>Suite 100</w:t>
            </w:r>
          </w:p>
        </w:tc>
        <w:tc>
          <w:tcPr>
            <w:tcW w:w="176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340" w:type="dxa"/>
            <w:vAlign w:val="bottom"/>
          </w:tcPr>
          <w:p>
            <w:pPr>
              <w:spacing w:after="0"/>
              <w:rPr>
                <w:sz w:val="11"/>
                <w:szCs w:val="11"/>
                <w:color w:val="auto"/>
              </w:rPr>
            </w:pPr>
          </w:p>
        </w:tc>
        <w:tc>
          <w:tcPr>
            <w:tcW w:w="3720" w:type="dxa"/>
            <w:vAlign w:val="bottom"/>
          </w:tcPr>
          <w:p>
            <w:pPr>
              <w:ind w:left="740"/>
              <w:spacing w:after="0" w:line="128" w:lineRule="exact"/>
              <w:rPr>
                <w:sz w:val="20"/>
                <w:szCs w:val="20"/>
                <w:color w:val="auto"/>
              </w:rPr>
            </w:pPr>
            <w:r>
              <w:rPr>
                <w:rFonts w:ascii="Arial" w:cs="Arial" w:eastAsia="Arial" w:hAnsi="Arial"/>
                <w:sz w:val="13"/>
                <w:szCs w:val="13"/>
                <w:color w:val="auto"/>
              </w:rPr>
              <w:t>Yardley,</w:t>
            </w:r>
          </w:p>
        </w:tc>
        <w:tc>
          <w:tcPr>
            <w:tcW w:w="176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340" w:type="dxa"/>
            <w:vAlign w:val="bottom"/>
          </w:tcPr>
          <w:p>
            <w:pPr>
              <w:spacing w:after="0"/>
              <w:rPr>
                <w:sz w:val="11"/>
                <w:szCs w:val="11"/>
                <w:color w:val="auto"/>
              </w:rPr>
            </w:pPr>
          </w:p>
        </w:tc>
        <w:tc>
          <w:tcPr>
            <w:tcW w:w="3720" w:type="dxa"/>
            <w:vAlign w:val="bottom"/>
          </w:tcPr>
          <w:p>
            <w:pPr>
              <w:ind w:left="740"/>
              <w:spacing w:after="0" w:line="128" w:lineRule="exact"/>
              <w:rPr>
                <w:sz w:val="20"/>
                <w:szCs w:val="20"/>
                <w:color w:val="auto"/>
              </w:rPr>
            </w:pPr>
            <w:r>
              <w:rPr>
                <w:rFonts w:ascii="Arial" w:cs="Arial" w:eastAsia="Arial" w:hAnsi="Arial"/>
                <w:sz w:val="13"/>
                <w:szCs w:val="13"/>
                <w:color w:val="auto"/>
              </w:rPr>
              <w:t>PA 19067</w:t>
            </w:r>
          </w:p>
        </w:tc>
        <w:tc>
          <w:tcPr>
            <w:tcW w:w="176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3340" w:type="dxa"/>
            <w:vAlign w:val="bottom"/>
          </w:tcPr>
          <w:p>
            <w:pPr>
              <w:spacing w:after="0"/>
              <w:rPr>
                <w:sz w:val="14"/>
                <w:szCs w:val="14"/>
                <w:color w:val="auto"/>
              </w:rPr>
            </w:pPr>
          </w:p>
        </w:tc>
        <w:tc>
          <w:tcPr>
            <w:tcW w:w="3720" w:type="dxa"/>
            <w:vAlign w:val="bottom"/>
          </w:tcPr>
          <w:p>
            <w:pPr>
              <w:ind w:left="740"/>
              <w:spacing w:after="0"/>
              <w:rPr>
                <w:sz w:val="20"/>
                <w:szCs w:val="20"/>
                <w:color w:val="auto"/>
              </w:rPr>
            </w:pPr>
            <w:r>
              <w:rPr>
                <w:rFonts w:ascii="Arial" w:cs="Arial" w:eastAsia="Arial" w:hAnsi="Arial"/>
                <w:sz w:val="13"/>
                <w:szCs w:val="13"/>
                <w:color w:val="auto"/>
              </w:rPr>
              <w:t>United States</w:t>
            </w:r>
          </w:p>
        </w:tc>
        <w:tc>
          <w:tcPr>
            <w:tcW w:w="176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3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MMMM Group, LLC</w:t>
            </w:r>
          </w:p>
        </w:tc>
        <w:tc>
          <w:tcPr>
            <w:tcW w:w="3720" w:type="dxa"/>
            <w:vAlign w:val="bottom"/>
            <w:shd w:val="clear" w:color="auto" w:fill="CCEEFF"/>
          </w:tcPr>
          <w:p>
            <w:pPr>
              <w:ind w:left="740"/>
              <w:spacing w:after="0" w:line="129" w:lineRule="exact"/>
              <w:rPr>
                <w:sz w:val="20"/>
                <w:szCs w:val="20"/>
                <w:color w:val="auto"/>
              </w:rPr>
            </w:pPr>
            <w:r>
              <w:rPr>
                <w:rFonts w:ascii="Arial" w:cs="Arial" w:eastAsia="Arial" w:hAnsi="Arial"/>
                <w:sz w:val="13"/>
                <w:szCs w:val="13"/>
                <w:color w:val="auto"/>
              </w:rPr>
              <w:t>19 West College Ave</w:t>
            </w:r>
          </w:p>
        </w:tc>
        <w:tc>
          <w:tcPr>
            <w:tcW w:w="1760" w:type="dxa"/>
            <w:vAlign w:val="bottom"/>
            <w:shd w:val="clear" w:color="auto" w:fill="CCEEFF"/>
          </w:tcPr>
          <w:p>
            <w:pPr>
              <w:ind w:left="12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340" w:type="dxa"/>
            <w:vAlign w:val="bottom"/>
            <w:shd w:val="clear" w:color="auto" w:fill="CCEEFF"/>
          </w:tcPr>
          <w:p>
            <w:pPr>
              <w:spacing w:after="0"/>
              <w:rPr>
                <w:sz w:val="11"/>
                <w:szCs w:val="11"/>
                <w:color w:val="auto"/>
              </w:rPr>
            </w:pPr>
          </w:p>
        </w:tc>
        <w:tc>
          <w:tcPr>
            <w:tcW w:w="3720" w:type="dxa"/>
            <w:vAlign w:val="bottom"/>
            <w:shd w:val="clear" w:color="auto" w:fill="CCEEFF"/>
          </w:tcPr>
          <w:p>
            <w:pPr>
              <w:ind w:left="740"/>
              <w:spacing w:after="0" w:line="128" w:lineRule="exact"/>
              <w:rPr>
                <w:sz w:val="20"/>
                <w:szCs w:val="20"/>
                <w:color w:val="auto"/>
              </w:rPr>
            </w:pPr>
            <w:r>
              <w:rPr>
                <w:rFonts w:ascii="Arial" w:cs="Arial" w:eastAsia="Arial" w:hAnsi="Arial"/>
                <w:sz w:val="13"/>
                <w:szCs w:val="13"/>
                <w:color w:val="auto"/>
              </w:rPr>
              <w:t>Suite 100</w:t>
            </w:r>
          </w:p>
        </w:tc>
        <w:tc>
          <w:tcPr>
            <w:tcW w:w="176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340" w:type="dxa"/>
            <w:vAlign w:val="bottom"/>
            <w:shd w:val="clear" w:color="auto" w:fill="CCEEFF"/>
          </w:tcPr>
          <w:p>
            <w:pPr>
              <w:spacing w:after="0"/>
              <w:rPr>
                <w:sz w:val="11"/>
                <w:szCs w:val="11"/>
                <w:color w:val="auto"/>
              </w:rPr>
            </w:pPr>
          </w:p>
        </w:tc>
        <w:tc>
          <w:tcPr>
            <w:tcW w:w="3720" w:type="dxa"/>
            <w:vAlign w:val="bottom"/>
            <w:shd w:val="clear" w:color="auto" w:fill="CCEEFF"/>
          </w:tcPr>
          <w:p>
            <w:pPr>
              <w:ind w:left="740"/>
              <w:spacing w:after="0" w:line="128" w:lineRule="exact"/>
              <w:rPr>
                <w:sz w:val="20"/>
                <w:szCs w:val="20"/>
                <w:color w:val="auto"/>
              </w:rPr>
            </w:pPr>
            <w:r>
              <w:rPr>
                <w:rFonts w:ascii="Arial" w:cs="Arial" w:eastAsia="Arial" w:hAnsi="Arial"/>
                <w:sz w:val="13"/>
                <w:szCs w:val="13"/>
                <w:color w:val="auto"/>
              </w:rPr>
              <w:t>Yardley,</w:t>
            </w:r>
          </w:p>
        </w:tc>
        <w:tc>
          <w:tcPr>
            <w:tcW w:w="176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340" w:type="dxa"/>
            <w:vAlign w:val="bottom"/>
            <w:shd w:val="clear" w:color="auto" w:fill="CCEEFF"/>
          </w:tcPr>
          <w:p>
            <w:pPr>
              <w:spacing w:after="0"/>
              <w:rPr>
                <w:sz w:val="11"/>
                <w:szCs w:val="11"/>
                <w:color w:val="auto"/>
              </w:rPr>
            </w:pPr>
          </w:p>
        </w:tc>
        <w:tc>
          <w:tcPr>
            <w:tcW w:w="3720" w:type="dxa"/>
            <w:vAlign w:val="bottom"/>
            <w:shd w:val="clear" w:color="auto" w:fill="CCEEFF"/>
          </w:tcPr>
          <w:p>
            <w:pPr>
              <w:ind w:left="740"/>
              <w:spacing w:after="0" w:line="128" w:lineRule="exact"/>
              <w:rPr>
                <w:sz w:val="20"/>
                <w:szCs w:val="20"/>
                <w:color w:val="auto"/>
              </w:rPr>
            </w:pPr>
            <w:r>
              <w:rPr>
                <w:rFonts w:ascii="Arial" w:cs="Arial" w:eastAsia="Arial" w:hAnsi="Arial"/>
                <w:sz w:val="13"/>
                <w:szCs w:val="13"/>
                <w:color w:val="auto"/>
              </w:rPr>
              <w:t>PA 19067</w:t>
            </w:r>
          </w:p>
        </w:tc>
        <w:tc>
          <w:tcPr>
            <w:tcW w:w="176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3340" w:type="dxa"/>
            <w:vAlign w:val="bottom"/>
            <w:shd w:val="clear" w:color="auto" w:fill="CCEEFF"/>
          </w:tcPr>
          <w:p>
            <w:pPr>
              <w:spacing w:after="0"/>
              <w:rPr>
                <w:sz w:val="14"/>
                <w:szCs w:val="14"/>
                <w:color w:val="auto"/>
              </w:rPr>
            </w:pPr>
          </w:p>
        </w:tc>
        <w:tc>
          <w:tcPr>
            <w:tcW w:w="3720" w:type="dxa"/>
            <w:vAlign w:val="bottom"/>
            <w:shd w:val="clear" w:color="auto" w:fill="CCEEFF"/>
          </w:tcPr>
          <w:p>
            <w:pPr>
              <w:ind w:left="740"/>
              <w:spacing w:after="0"/>
              <w:rPr>
                <w:sz w:val="20"/>
                <w:szCs w:val="20"/>
                <w:color w:val="auto"/>
              </w:rPr>
            </w:pPr>
            <w:r>
              <w:rPr>
                <w:rFonts w:ascii="Arial" w:cs="Arial" w:eastAsia="Arial" w:hAnsi="Arial"/>
                <w:sz w:val="13"/>
                <w:szCs w:val="13"/>
                <w:color w:val="auto"/>
              </w:rPr>
              <w:t>United States</w:t>
            </w:r>
          </w:p>
        </w:tc>
        <w:tc>
          <w:tcPr>
            <w:tcW w:w="176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bl>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133</w:t>
      </w:r>
    </w:p>
    <w:p>
      <w:pPr>
        <w:sectPr>
          <w:pgSz w:w="11900" w:h="16838" w:orient="portrait"/>
          <w:cols w:equalWidth="0" w:num="1">
            <w:col w:w="11260"/>
          </w:cols>
          <w:pgMar w:left="300" w:top="698" w:right="33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32.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3040" w:type="dxa"/>
            <w:vAlign w:val="bottom"/>
            <w:shd w:val="clear" w:color="auto" w:fill="CCEEFF"/>
          </w:tcPr>
          <w:p>
            <w:pPr>
              <w:ind w:left="660"/>
              <w:spacing w:after="0"/>
              <w:rPr>
                <w:sz w:val="20"/>
                <w:szCs w:val="20"/>
                <w:color w:val="auto"/>
              </w:rPr>
            </w:pPr>
            <w:r>
              <w:rPr>
                <w:rFonts w:ascii="Arial" w:cs="Arial" w:eastAsia="Arial" w:hAnsi="Arial"/>
                <w:sz w:val="13"/>
                <w:szCs w:val="13"/>
                <w:b w:val="1"/>
                <w:bCs w:val="1"/>
                <w:color w:val="auto"/>
              </w:rPr>
              <w:t>Registered Office</w:t>
            </w:r>
          </w:p>
        </w:tc>
        <w:tc>
          <w:tcPr>
            <w:tcW w:w="2360" w:type="dxa"/>
            <w:vAlign w:val="bottom"/>
            <w:shd w:val="clear" w:color="auto" w:fill="CCEEFF"/>
          </w:tcPr>
          <w:p>
            <w:pPr>
              <w:ind w:left="720"/>
              <w:spacing w:after="0"/>
              <w:rPr>
                <w:sz w:val="20"/>
                <w:szCs w:val="20"/>
                <w:color w:val="auto"/>
              </w:rPr>
            </w:pPr>
            <w:r>
              <w:rPr>
                <w:rFonts w:ascii="Arial" w:cs="Arial" w:eastAsia="Arial" w:hAnsi="Arial"/>
                <w:sz w:val="13"/>
                <w:szCs w:val="13"/>
                <w:b w:val="1"/>
                <w:bCs w:val="1"/>
                <w:color w:val="auto"/>
              </w:rPr>
              <w:t>Nature of business</w:t>
            </w:r>
          </w:p>
        </w:tc>
        <w:tc>
          <w:tcPr>
            <w:tcW w:w="244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Proportion held by</w:t>
            </w:r>
          </w:p>
        </w:tc>
      </w:tr>
      <w:tr>
        <w:trPr>
          <w:trHeight w:val="170"/>
        </w:trPr>
        <w:tc>
          <w:tcPr>
            <w:tcW w:w="3420" w:type="dxa"/>
            <w:vAlign w:val="bottom"/>
            <w:tcBorders>
              <w:bottom w:val="single" w:sz="8" w:color="auto"/>
            </w:tcBorders>
            <w:shd w:val="clear" w:color="auto" w:fill="CCEEFF"/>
          </w:tcPr>
          <w:p>
            <w:pPr>
              <w:spacing w:after="0"/>
              <w:rPr>
                <w:sz w:val="14"/>
                <w:szCs w:val="14"/>
                <w:color w:val="auto"/>
              </w:rPr>
            </w:pPr>
          </w:p>
        </w:tc>
        <w:tc>
          <w:tcPr>
            <w:tcW w:w="3040" w:type="dxa"/>
            <w:vAlign w:val="bottom"/>
            <w:tcBorders>
              <w:bottom w:val="single" w:sz="8" w:color="auto"/>
            </w:tcBorders>
            <w:shd w:val="clear" w:color="auto" w:fill="CCEEFF"/>
          </w:tcPr>
          <w:p>
            <w:pPr>
              <w:spacing w:after="0"/>
              <w:rPr>
                <w:sz w:val="14"/>
                <w:szCs w:val="14"/>
                <w:color w:val="auto"/>
              </w:rPr>
            </w:pPr>
          </w:p>
        </w:tc>
        <w:tc>
          <w:tcPr>
            <w:tcW w:w="2360" w:type="dxa"/>
            <w:vAlign w:val="bottom"/>
            <w:tcBorders>
              <w:bottom w:val="single" w:sz="8" w:color="auto"/>
            </w:tcBorders>
            <w:shd w:val="clear" w:color="auto" w:fill="CCEEFF"/>
          </w:tcPr>
          <w:p>
            <w:pPr>
              <w:spacing w:after="0"/>
              <w:rPr>
                <w:sz w:val="14"/>
                <w:szCs w:val="14"/>
                <w:color w:val="auto"/>
              </w:rPr>
            </w:pPr>
          </w:p>
        </w:tc>
        <w:tc>
          <w:tcPr>
            <w:tcW w:w="24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3"/>
                <w:szCs w:val="13"/>
                <w:b w:val="1"/>
                <w:bCs w:val="1"/>
                <w:color w:val="auto"/>
              </w:rPr>
              <w:t>Group</w:t>
            </w:r>
          </w:p>
        </w:tc>
      </w:tr>
      <w:tr>
        <w:trPr>
          <w:trHeight w:val="118"/>
        </w:trPr>
        <w:tc>
          <w:tcPr>
            <w:tcW w:w="3420" w:type="dxa"/>
            <w:vAlign w:val="bottom"/>
          </w:tcPr>
          <w:p>
            <w:pPr>
              <w:ind w:left="20"/>
              <w:spacing w:after="0" w:line="118" w:lineRule="exact"/>
              <w:rPr>
                <w:sz w:val="20"/>
                <w:szCs w:val="20"/>
                <w:color w:val="auto"/>
              </w:rPr>
            </w:pPr>
            <w:r>
              <w:rPr>
                <w:rFonts w:ascii="Arial" w:cs="Arial" w:eastAsia="Arial" w:hAnsi="Arial"/>
                <w:sz w:val="13"/>
                <w:szCs w:val="13"/>
                <w:color w:val="auto"/>
              </w:rPr>
              <w:t>MolecularMD Corp.</w:t>
            </w:r>
          </w:p>
        </w:tc>
        <w:tc>
          <w:tcPr>
            <w:tcW w:w="3040" w:type="dxa"/>
            <w:vAlign w:val="bottom"/>
          </w:tcPr>
          <w:p>
            <w:pPr>
              <w:ind w:left="660"/>
              <w:spacing w:after="0" w:line="118" w:lineRule="exact"/>
              <w:rPr>
                <w:sz w:val="20"/>
                <w:szCs w:val="20"/>
                <w:color w:val="auto"/>
              </w:rPr>
            </w:pPr>
            <w:r>
              <w:rPr>
                <w:rFonts w:ascii="Arial" w:cs="Arial" w:eastAsia="Arial" w:hAnsi="Arial"/>
                <w:sz w:val="13"/>
                <w:szCs w:val="13"/>
                <w:color w:val="auto"/>
              </w:rPr>
              <w:t>2100 Pennbrook Parkway,</w:t>
            </w:r>
          </w:p>
        </w:tc>
        <w:tc>
          <w:tcPr>
            <w:tcW w:w="2360" w:type="dxa"/>
            <w:vAlign w:val="bottom"/>
          </w:tcPr>
          <w:p>
            <w:pPr>
              <w:ind w:left="720"/>
              <w:spacing w:after="0" w:line="11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18" w:lineRule="exact"/>
              <w:rPr>
                <w:sz w:val="20"/>
                <w:szCs w:val="20"/>
                <w:color w:val="auto"/>
              </w:rPr>
            </w:pPr>
            <w:r>
              <w:rPr>
                <w:rFonts w:ascii="Arial" w:cs="Arial" w:eastAsia="Arial" w:hAnsi="Arial"/>
                <w:sz w:val="13"/>
                <w:szCs w:val="13"/>
                <w:color w:val="auto"/>
              </w:rPr>
              <w:t>100%</w:t>
            </w:r>
          </w:p>
        </w:tc>
      </w:tr>
      <w:tr>
        <w:trPr>
          <w:trHeight w:val="127"/>
        </w:trPr>
        <w:tc>
          <w:tcPr>
            <w:tcW w:w="3420" w:type="dxa"/>
            <w:vAlign w:val="bottom"/>
          </w:tcPr>
          <w:p>
            <w:pPr>
              <w:spacing w:after="0"/>
              <w:rPr>
                <w:sz w:val="11"/>
                <w:szCs w:val="11"/>
                <w:color w:val="auto"/>
              </w:rPr>
            </w:pPr>
          </w:p>
        </w:tc>
        <w:tc>
          <w:tcPr>
            <w:tcW w:w="3040" w:type="dxa"/>
            <w:vAlign w:val="bottom"/>
          </w:tcPr>
          <w:p>
            <w:pPr>
              <w:ind w:left="660"/>
              <w:spacing w:after="0" w:line="128" w:lineRule="exact"/>
              <w:rPr>
                <w:sz w:val="20"/>
                <w:szCs w:val="20"/>
                <w:color w:val="auto"/>
              </w:rPr>
            </w:pPr>
            <w:r>
              <w:rPr>
                <w:rFonts w:ascii="Arial" w:cs="Arial" w:eastAsia="Arial" w:hAnsi="Arial"/>
                <w:sz w:val="13"/>
                <w:szCs w:val="13"/>
                <w:color w:val="auto"/>
              </w:rPr>
              <w:t>North Wales,</w:t>
            </w:r>
          </w:p>
        </w:tc>
        <w:tc>
          <w:tcPr>
            <w:tcW w:w="236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420" w:type="dxa"/>
            <w:vAlign w:val="bottom"/>
          </w:tcPr>
          <w:p>
            <w:pPr>
              <w:spacing w:after="0"/>
              <w:rPr>
                <w:sz w:val="11"/>
                <w:szCs w:val="11"/>
                <w:color w:val="auto"/>
              </w:rPr>
            </w:pPr>
          </w:p>
        </w:tc>
        <w:tc>
          <w:tcPr>
            <w:tcW w:w="3040" w:type="dxa"/>
            <w:vAlign w:val="bottom"/>
          </w:tcPr>
          <w:p>
            <w:pPr>
              <w:ind w:left="660"/>
              <w:spacing w:after="0" w:line="128" w:lineRule="exact"/>
              <w:rPr>
                <w:sz w:val="20"/>
                <w:szCs w:val="20"/>
                <w:color w:val="auto"/>
              </w:rPr>
            </w:pPr>
            <w:r>
              <w:rPr>
                <w:rFonts w:ascii="Arial" w:cs="Arial" w:eastAsia="Arial" w:hAnsi="Arial"/>
                <w:sz w:val="13"/>
                <w:szCs w:val="13"/>
                <w:color w:val="auto"/>
              </w:rPr>
              <w:t>PA 19454</w:t>
            </w:r>
          </w:p>
        </w:tc>
        <w:tc>
          <w:tcPr>
            <w:tcW w:w="236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3420" w:type="dxa"/>
            <w:vAlign w:val="bottom"/>
          </w:tcPr>
          <w:p>
            <w:pPr>
              <w:spacing w:after="0"/>
              <w:rPr>
                <w:sz w:val="14"/>
                <w:szCs w:val="14"/>
                <w:color w:val="auto"/>
              </w:rPr>
            </w:pPr>
          </w:p>
        </w:tc>
        <w:tc>
          <w:tcPr>
            <w:tcW w:w="3040" w:type="dxa"/>
            <w:vAlign w:val="bottom"/>
          </w:tcPr>
          <w:p>
            <w:pPr>
              <w:ind w:left="660"/>
              <w:spacing w:after="0"/>
              <w:rPr>
                <w:sz w:val="20"/>
                <w:szCs w:val="20"/>
                <w:color w:val="auto"/>
              </w:rPr>
            </w:pPr>
            <w:r>
              <w:rPr>
                <w:rFonts w:ascii="Arial" w:cs="Arial" w:eastAsia="Arial" w:hAnsi="Arial"/>
                <w:sz w:val="13"/>
                <w:szCs w:val="13"/>
                <w:color w:val="auto"/>
              </w:rPr>
              <w:t>United States</w:t>
            </w:r>
          </w:p>
        </w:tc>
        <w:tc>
          <w:tcPr>
            <w:tcW w:w="236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4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PriceSpective LLC</w:t>
            </w:r>
          </w:p>
        </w:tc>
        <w:tc>
          <w:tcPr>
            <w:tcW w:w="3040" w:type="dxa"/>
            <w:vAlign w:val="bottom"/>
            <w:shd w:val="clear" w:color="auto" w:fill="CCEEFF"/>
          </w:tcPr>
          <w:p>
            <w:pPr>
              <w:ind w:left="660"/>
              <w:spacing w:after="0" w:line="129" w:lineRule="exact"/>
              <w:rPr>
                <w:sz w:val="20"/>
                <w:szCs w:val="20"/>
                <w:color w:val="auto"/>
              </w:rPr>
            </w:pPr>
            <w:r>
              <w:rPr>
                <w:rFonts w:ascii="Arial" w:cs="Arial" w:eastAsia="Arial" w:hAnsi="Arial"/>
                <w:sz w:val="13"/>
                <w:szCs w:val="13"/>
                <w:color w:val="auto"/>
              </w:rPr>
              <w:t>2100 Pennbrook Parkway,</w:t>
            </w:r>
          </w:p>
        </w:tc>
        <w:tc>
          <w:tcPr>
            <w:tcW w:w="2360" w:type="dxa"/>
            <w:vAlign w:val="bottom"/>
            <w:shd w:val="clear" w:color="auto" w:fill="CCEEFF"/>
          </w:tcPr>
          <w:p>
            <w:pPr>
              <w:ind w:left="72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420" w:type="dxa"/>
            <w:vAlign w:val="bottom"/>
            <w:shd w:val="clear" w:color="auto" w:fill="CCEEFF"/>
          </w:tcPr>
          <w:p>
            <w:pPr>
              <w:spacing w:after="0"/>
              <w:rPr>
                <w:sz w:val="11"/>
                <w:szCs w:val="11"/>
                <w:color w:val="auto"/>
              </w:rPr>
            </w:pPr>
          </w:p>
        </w:tc>
        <w:tc>
          <w:tcPr>
            <w:tcW w:w="3040" w:type="dxa"/>
            <w:vAlign w:val="bottom"/>
            <w:shd w:val="clear" w:color="auto" w:fill="CCEEFF"/>
          </w:tcPr>
          <w:p>
            <w:pPr>
              <w:ind w:left="660"/>
              <w:spacing w:after="0" w:line="128" w:lineRule="exact"/>
              <w:rPr>
                <w:sz w:val="20"/>
                <w:szCs w:val="20"/>
                <w:color w:val="auto"/>
              </w:rPr>
            </w:pPr>
            <w:r>
              <w:rPr>
                <w:rFonts w:ascii="Arial" w:cs="Arial" w:eastAsia="Arial" w:hAnsi="Arial"/>
                <w:sz w:val="13"/>
                <w:szCs w:val="13"/>
                <w:color w:val="auto"/>
              </w:rPr>
              <w:t>North Wales,</w:t>
            </w:r>
          </w:p>
        </w:tc>
        <w:tc>
          <w:tcPr>
            <w:tcW w:w="236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420" w:type="dxa"/>
            <w:vAlign w:val="bottom"/>
            <w:shd w:val="clear" w:color="auto" w:fill="CCEEFF"/>
          </w:tcPr>
          <w:p>
            <w:pPr>
              <w:spacing w:after="0"/>
              <w:rPr>
                <w:sz w:val="11"/>
                <w:szCs w:val="11"/>
                <w:color w:val="auto"/>
              </w:rPr>
            </w:pPr>
          </w:p>
        </w:tc>
        <w:tc>
          <w:tcPr>
            <w:tcW w:w="3040" w:type="dxa"/>
            <w:vAlign w:val="bottom"/>
            <w:shd w:val="clear" w:color="auto" w:fill="CCEEFF"/>
          </w:tcPr>
          <w:p>
            <w:pPr>
              <w:ind w:left="660"/>
              <w:spacing w:after="0" w:line="128" w:lineRule="exact"/>
              <w:rPr>
                <w:sz w:val="20"/>
                <w:szCs w:val="20"/>
                <w:color w:val="auto"/>
              </w:rPr>
            </w:pPr>
            <w:r>
              <w:rPr>
                <w:rFonts w:ascii="Arial" w:cs="Arial" w:eastAsia="Arial" w:hAnsi="Arial"/>
                <w:sz w:val="13"/>
                <w:szCs w:val="13"/>
                <w:color w:val="auto"/>
              </w:rPr>
              <w:t>PA 19454</w:t>
            </w:r>
          </w:p>
        </w:tc>
        <w:tc>
          <w:tcPr>
            <w:tcW w:w="236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3420" w:type="dxa"/>
            <w:vAlign w:val="bottom"/>
            <w:shd w:val="clear" w:color="auto" w:fill="CCEEFF"/>
          </w:tcPr>
          <w:p>
            <w:pPr>
              <w:spacing w:after="0"/>
              <w:rPr>
                <w:sz w:val="14"/>
                <w:szCs w:val="14"/>
                <w:color w:val="auto"/>
              </w:rPr>
            </w:pPr>
          </w:p>
        </w:tc>
        <w:tc>
          <w:tcPr>
            <w:tcW w:w="3040" w:type="dxa"/>
            <w:vAlign w:val="bottom"/>
            <w:shd w:val="clear" w:color="auto" w:fill="CCEEFF"/>
          </w:tcPr>
          <w:p>
            <w:pPr>
              <w:ind w:left="660"/>
              <w:spacing w:after="0"/>
              <w:rPr>
                <w:sz w:val="20"/>
                <w:szCs w:val="20"/>
                <w:color w:val="auto"/>
              </w:rPr>
            </w:pPr>
            <w:r>
              <w:rPr>
                <w:rFonts w:ascii="Arial" w:cs="Arial" w:eastAsia="Arial" w:hAnsi="Arial"/>
                <w:sz w:val="13"/>
                <w:szCs w:val="13"/>
                <w:color w:val="auto"/>
              </w:rPr>
              <w:t>United States</w:t>
            </w:r>
          </w:p>
        </w:tc>
        <w:tc>
          <w:tcPr>
            <w:tcW w:w="236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3420" w:type="dxa"/>
            <w:vAlign w:val="bottom"/>
          </w:tcPr>
          <w:p>
            <w:pPr>
              <w:ind w:left="20"/>
              <w:spacing w:after="0" w:line="128" w:lineRule="exact"/>
              <w:rPr>
                <w:sz w:val="20"/>
                <w:szCs w:val="20"/>
                <w:color w:val="auto"/>
              </w:rPr>
            </w:pPr>
            <w:r>
              <w:rPr>
                <w:rFonts w:ascii="Arial" w:cs="Arial" w:eastAsia="Arial" w:hAnsi="Arial"/>
                <w:sz w:val="13"/>
                <w:szCs w:val="13"/>
                <w:color w:val="auto"/>
              </w:rPr>
              <w:t>PubsHub LLC</w:t>
            </w:r>
          </w:p>
        </w:tc>
        <w:tc>
          <w:tcPr>
            <w:tcW w:w="3040" w:type="dxa"/>
            <w:vAlign w:val="bottom"/>
          </w:tcPr>
          <w:p>
            <w:pPr>
              <w:ind w:left="660"/>
              <w:spacing w:after="0" w:line="128" w:lineRule="exact"/>
              <w:rPr>
                <w:sz w:val="20"/>
                <w:szCs w:val="20"/>
                <w:color w:val="auto"/>
              </w:rPr>
            </w:pPr>
            <w:r>
              <w:rPr>
                <w:rFonts w:ascii="Arial" w:cs="Arial" w:eastAsia="Arial" w:hAnsi="Arial"/>
                <w:sz w:val="13"/>
                <w:szCs w:val="13"/>
                <w:color w:val="auto"/>
              </w:rPr>
              <w:t>731 Arbor Way</w:t>
            </w:r>
          </w:p>
        </w:tc>
        <w:tc>
          <w:tcPr>
            <w:tcW w:w="2360" w:type="dxa"/>
            <w:vAlign w:val="bottom"/>
          </w:tcPr>
          <w:p>
            <w:pPr>
              <w:ind w:left="72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420" w:type="dxa"/>
            <w:vAlign w:val="bottom"/>
          </w:tcPr>
          <w:p>
            <w:pPr>
              <w:spacing w:after="0"/>
              <w:rPr>
                <w:sz w:val="11"/>
                <w:szCs w:val="11"/>
                <w:color w:val="auto"/>
              </w:rPr>
            </w:pPr>
          </w:p>
        </w:tc>
        <w:tc>
          <w:tcPr>
            <w:tcW w:w="3040" w:type="dxa"/>
            <w:vAlign w:val="bottom"/>
          </w:tcPr>
          <w:p>
            <w:pPr>
              <w:ind w:left="660"/>
              <w:spacing w:after="0" w:line="128" w:lineRule="exact"/>
              <w:rPr>
                <w:sz w:val="20"/>
                <w:szCs w:val="20"/>
                <w:color w:val="auto"/>
              </w:rPr>
            </w:pPr>
            <w:r>
              <w:rPr>
                <w:rFonts w:ascii="Arial" w:cs="Arial" w:eastAsia="Arial" w:hAnsi="Arial"/>
                <w:sz w:val="13"/>
                <w:szCs w:val="13"/>
                <w:color w:val="auto"/>
              </w:rPr>
              <w:t>Suite 100</w:t>
            </w:r>
          </w:p>
        </w:tc>
        <w:tc>
          <w:tcPr>
            <w:tcW w:w="236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420" w:type="dxa"/>
            <w:vAlign w:val="bottom"/>
          </w:tcPr>
          <w:p>
            <w:pPr>
              <w:spacing w:after="0"/>
              <w:rPr>
                <w:sz w:val="11"/>
                <w:szCs w:val="11"/>
                <w:color w:val="auto"/>
              </w:rPr>
            </w:pPr>
          </w:p>
        </w:tc>
        <w:tc>
          <w:tcPr>
            <w:tcW w:w="3040" w:type="dxa"/>
            <w:vAlign w:val="bottom"/>
          </w:tcPr>
          <w:p>
            <w:pPr>
              <w:ind w:left="660"/>
              <w:spacing w:after="0" w:line="128" w:lineRule="exact"/>
              <w:rPr>
                <w:sz w:val="20"/>
                <w:szCs w:val="20"/>
                <w:color w:val="auto"/>
              </w:rPr>
            </w:pPr>
            <w:r>
              <w:rPr>
                <w:rFonts w:ascii="Arial" w:cs="Arial" w:eastAsia="Arial" w:hAnsi="Arial"/>
                <w:sz w:val="13"/>
                <w:szCs w:val="13"/>
                <w:color w:val="auto"/>
              </w:rPr>
              <w:t>Blue Bell, PA</w:t>
            </w:r>
          </w:p>
        </w:tc>
        <w:tc>
          <w:tcPr>
            <w:tcW w:w="236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3420" w:type="dxa"/>
            <w:vAlign w:val="bottom"/>
          </w:tcPr>
          <w:p>
            <w:pPr>
              <w:spacing w:after="0"/>
              <w:rPr>
                <w:sz w:val="14"/>
                <w:szCs w:val="14"/>
                <w:color w:val="auto"/>
              </w:rPr>
            </w:pPr>
          </w:p>
        </w:tc>
        <w:tc>
          <w:tcPr>
            <w:tcW w:w="3040" w:type="dxa"/>
            <w:vAlign w:val="bottom"/>
          </w:tcPr>
          <w:p>
            <w:pPr>
              <w:ind w:left="660"/>
              <w:spacing w:after="0"/>
              <w:rPr>
                <w:sz w:val="20"/>
                <w:szCs w:val="20"/>
                <w:color w:val="auto"/>
              </w:rPr>
            </w:pPr>
            <w:r>
              <w:rPr>
                <w:rFonts w:ascii="Arial" w:cs="Arial" w:eastAsia="Arial" w:hAnsi="Arial"/>
                <w:sz w:val="13"/>
                <w:szCs w:val="13"/>
                <w:color w:val="auto"/>
              </w:rPr>
              <w:t>United States, 19422</w:t>
            </w:r>
          </w:p>
        </w:tc>
        <w:tc>
          <w:tcPr>
            <w:tcW w:w="236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4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Care Innovations, Inc.</w:t>
            </w:r>
          </w:p>
        </w:tc>
        <w:tc>
          <w:tcPr>
            <w:tcW w:w="3040" w:type="dxa"/>
            <w:vAlign w:val="bottom"/>
            <w:shd w:val="clear" w:color="auto" w:fill="CCEEFF"/>
          </w:tcPr>
          <w:p>
            <w:pPr>
              <w:ind w:left="660"/>
              <w:spacing w:after="0" w:line="129" w:lineRule="exact"/>
              <w:rPr>
                <w:sz w:val="20"/>
                <w:szCs w:val="20"/>
                <w:color w:val="auto"/>
              </w:rPr>
            </w:pPr>
            <w:r>
              <w:rPr>
                <w:rFonts w:ascii="Arial" w:cs="Arial" w:eastAsia="Arial" w:hAnsi="Arial"/>
                <w:sz w:val="13"/>
                <w:szCs w:val="13"/>
                <w:color w:val="auto"/>
              </w:rPr>
              <w:t>950 Iron Point Road, Ste. 160</w:t>
            </w:r>
          </w:p>
        </w:tc>
        <w:tc>
          <w:tcPr>
            <w:tcW w:w="2360" w:type="dxa"/>
            <w:vAlign w:val="bottom"/>
            <w:shd w:val="clear" w:color="auto" w:fill="CCEEFF"/>
          </w:tcPr>
          <w:p>
            <w:pPr>
              <w:ind w:left="72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70"/>
        </w:trPr>
        <w:tc>
          <w:tcPr>
            <w:tcW w:w="3420" w:type="dxa"/>
            <w:vAlign w:val="bottom"/>
            <w:shd w:val="clear" w:color="auto" w:fill="CCEEFF"/>
          </w:tcPr>
          <w:p>
            <w:pPr>
              <w:spacing w:after="0"/>
              <w:rPr>
                <w:sz w:val="14"/>
                <w:szCs w:val="14"/>
                <w:color w:val="auto"/>
              </w:rPr>
            </w:pPr>
          </w:p>
        </w:tc>
        <w:tc>
          <w:tcPr>
            <w:tcW w:w="3040" w:type="dxa"/>
            <w:vAlign w:val="bottom"/>
            <w:shd w:val="clear" w:color="auto" w:fill="CCEEFF"/>
          </w:tcPr>
          <w:p>
            <w:pPr>
              <w:ind w:left="660"/>
              <w:spacing w:after="0"/>
              <w:rPr>
                <w:sz w:val="20"/>
                <w:szCs w:val="20"/>
                <w:color w:val="auto"/>
              </w:rPr>
            </w:pPr>
            <w:r>
              <w:rPr>
                <w:rFonts w:ascii="Arial" w:cs="Arial" w:eastAsia="Arial" w:hAnsi="Arial"/>
                <w:sz w:val="13"/>
                <w:szCs w:val="13"/>
                <w:color w:val="auto"/>
              </w:rPr>
              <w:t>Folsom, CA 95630</w:t>
            </w:r>
          </w:p>
        </w:tc>
        <w:tc>
          <w:tcPr>
            <w:tcW w:w="236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3420" w:type="dxa"/>
            <w:vAlign w:val="bottom"/>
          </w:tcPr>
          <w:p>
            <w:pPr>
              <w:ind w:left="20"/>
              <w:spacing w:after="0" w:line="128" w:lineRule="exact"/>
              <w:rPr>
                <w:sz w:val="20"/>
                <w:szCs w:val="20"/>
                <w:color w:val="auto"/>
              </w:rPr>
            </w:pPr>
            <w:r>
              <w:rPr>
                <w:rFonts w:ascii="Arial" w:cs="Arial" w:eastAsia="Arial" w:hAnsi="Arial"/>
                <w:sz w:val="13"/>
                <w:szCs w:val="13"/>
                <w:color w:val="auto"/>
              </w:rPr>
              <w:t>Care Innovations, LLC</w:t>
            </w:r>
          </w:p>
        </w:tc>
        <w:tc>
          <w:tcPr>
            <w:tcW w:w="3040" w:type="dxa"/>
            <w:vAlign w:val="bottom"/>
          </w:tcPr>
          <w:p>
            <w:pPr>
              <w:ind w:left="660"/>
              <w:spacing w:after="0" w:line="128" w:lineRule="exact"/>
              <w:rPr>
                <w:sz w:val="20"/>
                <w:szCs w:val="20"/>
                <w:color w:val="auto"/>
              </w:rPr>
            </w:pPr>
            <w:r>
              <w:rPr>
                <w:rFonts w:ascii="Arial" w:cs="Arial" w:eastAsia="Arial" w:hAnsi="Arial"/>
                <w:sz w:val="13"/>
                <w:szCs w:val="13"/>
                <w:color w:val="auto"/>
              </w:rPr>
              <w:t>950 Iron Point Road, Ste. 160</w:t>
            </w:r>
          </w:p>
        </w:tc>
        <w:tc>
          <w:tcPr>
            <w:tcW w:w="2360" w:type="dxa"/>
            <w:vAlign w:val="bottom"/>
          </w:tcPr>
          <w:p>
            <w:pPr>
              <w:ind w:left="72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68"/>
        </w:trPr>
        <w:tc>
          <w:tcPr>
            <w:tcW w:w="3420" w:type="dxa"/>
            <w:vAlign w:val="bottom"/>
          </w:tcPr>
          <w:p>
            <w:pPr>
              <w:spacing w:after="0"/>
              <w:rPr>
                <w:sz w:val="14"/>
                <w:szCs w:val="14"/>
                <w:color w:val="auto"/>
              </w:rPr>
            </w:pPr>
          </w:p>
        </w:tc>
        <w:tc>
          <w:tcPr>
            <w:tcW w:w="3040" w:type="dxa"/>
            <w:vAlign w:val="bottom"/>
          </w:tcPr>
          <w:p>
            <w:pPr>
              <w:ind w:left="660"/>
              <w:spacing w:after="0"/>
              <w:rPr>
                <w:sz w:val="20"/>
                <w:szCs w:val="20"/>
                <w:color w:val="auto"/>
              </w:rPr>
            </w:pPr>
            <w:r>
              <w:rPr>
                <w:rFonts w:ascii="Arial" w:cs="Arial" w:eastAsia="Arial" w:hAnsi="Arial"/>
                <w:sz w:val="13"/>
                <w:szCs w:val="13"/>
                <w:color w:val="auto"/>
              </w:rPr>
              <w:t>Folsom, CA 95630</w:t>
            </w:r>
          </w:p>
        </w:tc>
        <w:tc>
          <w:tcPr>
            <w:tcW w:w="236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4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CRI NewCo, Inc.</w:t>
            </w:r>
          </w:p>
        </w:tc>
        <w:tc>
          <w:tcPr>
            <w:tcW w:w="3040" w:type="dxa"/>
            <w:vAlign w:val="bottom"/>
            <w:shd w:val="clear" w:color="auto" w:fill="CCEEFF"/>
          </w:tcPr>
          <w:p>
            <w:pPr>
              <w:ind w:left="660"/>
              <w:spacing w:after="0" w:line="129" w:lineRule="exact"/>
              <w:rPr>
                <w:sz w:val="20"/>
                <w:szCs w:val="20"/>
                <w:color w:val="auto"/>
              </w:rPr>
            </w:pPr>
            <w:r>
              <w:rPr>
                <w:rFonts w:ascii="Arial" w:cs="Arial" w:eastAsia="Arial" w:hAnsi="Arial"/>
                <w:sz w:val="13"/>
                <w:szCs w:val="13"/>
                <w:color w:val="auto"/>
              </w:rPr>
              <w:t>4130 Parklake Avenue</w:t>
            </w:r>
          </w:p>
        </w:tc>
        <w:tc>
          <w:tcPr>
            <w:tcW w:w="2360" w:type="dxa"/>
            <w:vAlign w:val="bottom"/>
            <w:shd w:val="clear" w:color="auto" w:fill="CCEEFF"/>
          </w:tcPr>
          <w:p>
            <w:pPr>
              <w:ind w:left="72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420" w:type="dxa"/>
            <w:vAlign w:val="bottom"/>
            <w:shd w:val="clear" w:color="auto" w:fill="CCEEFF"/>
          </w:tcPr>
          <w:p>
            <w:pPr>
              <w:spacing w:after="0"/>
              <w:rPr>
                <w:sz w:val="11"/>
                <w:szCs w:val="11"/>
                <w:color w:val="auto"/>
              </w:rPr>
            </w:pPr>
          </w:p>
        </w:tc>
        <w:tc>
          <w:tcPr>
            <w:tcW w:w="3040" w:type="dxa"/>
            <w:vAlign w:val="bottom"/>
            <w:shd w:val="clear" w:color="auto" w:fill="CCEEFF"/>
          </w:tcPr>
          <w:p>
            <w:pPr>
              <w:ind w:left="660"/>
              <w:spacing w:after="0" w:line="128" w:lineRule="exact"/>
              <w:rPr>
                <w:sz w:val="20"/>
                <w:szCs w:val="20"/>
                <w:color w:val="auto"/>
              </w:rPr>
            </w:pPr>
            <w:r>
              <w:rPr>
                <w:rFonts w:ascii="Arial" w:cs="Arial" w:eastAsia="Arial" w:hAnsi="Arial"/>
                <w:sz w:val="13"/>
                <w:szCs w:val="13"/>
                <w:color w:val="auto"/>
              </w:rPr>
              <w:t>Suite 400</w:t>
            </w:r>
          </w:p>
        </w:tc>
        <w:tc>
          <w:tcPr>
            <w:tcW w:w="236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3420" w:type="dxa"/>
            <w:vAlign w:val="bottom"/>
            <w:shd w:val="clear" w:color="auto" w:fill="CCEEFF"/>
          </w:tcPr>
          <w:p>
            <w:pPr>
              <w:spacing w:after="0"/>
              <w:rPr>
                <w:sz w:val="14"/>
                <w:szCs w:val="14"/>
                <w:color w:val="auto"/>
              </w:rPr>
            </w:pPr>
          </w:p>
        </w:tc>
        <w:tc>
          <w:tcPr>
            <w:tcW w:w="3040" w:type="dxa"/>
            <w:vAlign w:val="bottom"/>
            <w:shd w:val="clear" w:color="auto" w:fill="CCEEFF"/>
          </w:tcPr>
          <w:p>
            <w:pPr>
              <w:ind w:left="660"/>
              <w:spacing w:after="0"/>
              <w:rPr>
                <w:sz w:val="20"/>
                <w:szCs w:val="20"/>
                <w:color w:val="auto"/>
              </w:rPr>
            </w:pPr>
            <w:r>
              <w:rPr>
                <w:rFonts w:ascii="Arial" w:cs="Arial" w:eastAsia="Arial" w:hAnsi="Arial"/>
                <w:sz w:val="13"/>
                <w:szCs w:val="13"/>
                <w:color w:val="auto"/>
              </w:rPr>
              <w:t>Raleigh, NC 27612</w:t>
            </w:r>
          </w:p>
        </w:tc>
        <w:tc>
          <w:tcPr>
            <w:tcW w:w="236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3420" w:type="dxa"/>
            <w:vAlign w:val="bottom"/>
          </w:tcPr>
          <w:p>
            <w:pPr>
              <w:ind w:left="20"/>
              <w:spacing w:after="0" w:line="128" w:lineRule="exact"/>
              <w:rPr>
                <w:sz w:val="20"/>
                <w:szCs w:val="20"/>
                <w:color w:val="auto"/>
              </w:rPr>
            </w:pPr>
            <w:r>
              <w:rPr>
                <w:rFonts w:ascii="Arial" w:cs="Arial" w:eastAsia="Arial" w:hAnsi="Arial"/>
                <w:sz w:val="13"/>
                <w:szCs w:val="13"/>
                <w:color w:val="auto"/>
              </w:rPr>
              <w:t>CRI Worldwide, LLC</w:t>
            </w:r>
          </w:p>
        </w:tc>
        <w:tc>
          <w:tcPr>
            <w:tcW w:w="3040" w:type="dxa"/>
            <w:vAlign w:val="bottom"/>
          </w:tcPr>
          <w:p>
            <w:pPr>
              <w:ind w:left="660"/>
              <w:spacing w:after="0" w:line="128" w:lineRule="exact"/>
              <w:rPr>
                <w:sz w:val="20"/>
                <w:szCs w:val="20"/>
                <w:color w:val="auto"/>
              </w:rPr>
            </w:pPr>
            <w:r>
              <w:rPr>
                <w:rFonts w:ascii="Arial" w:cs="Arial" w:eastAsia="Arial" w:hAnsi="Arial"/>
                <w:sz w:val="13"/>
                <w:szCs w:val="13"/>
                <w:color w:val="auto"/>
              </w:rPr>
              <w:t>4130 Parklake Avenue</w:t>
            </w:r>
          </w:p>
        </w:tc>
        <w:tc>
          <w:tcPr>
            <w:tcW w:w="2360" w:type="dxa"/>
            <w:vAlign w:val="bottom"/>
          </w:tcPr>
          <w:p>
            <w:pPr>
              <w:ind w:left="72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420" w:type="dxa"/>
            <w:vAlign w:val="bottom"/>
          </w:tcPr>
          <w:p>
            <w:pPr>
              <w:spacing w:after="0"/>
              <w:rPr>
                <w:sz w:val="11"/>
                <w:szCs w:val="11"/>
                <w:color w:val="auto"/>
              </w:rPr>
            </w:pPr>
          </w:p>
        </w:tc>
        <w:tc>
          <w:tcPr>
            <w:tcW w:w="3040" w:type="dxa"/>
            <w:vAlign w:val="bottom"/>
          </w:tcPr>
          <w:p>
            <w:pPr>
              <w:ind w:left="660"/>
              <w:spacing w:after="0" w:line="128" w:lineRule="exact"/>
              <w:rPr>
                <w:sz w:val="20"/>
                <w:szCs w:val="20"/>
                <w:color w:val="auto"/>
              </w:rPr>
            </w:pPr>
            <w:r>
              <w:rPr>
                <w:rFonts w:ascii="Arial" w:cs="Arial" w:eastAsia="Arial" w:hAnsi="Arial"/>
                <w:sz w:val="13"/>
                <w:szCs w:val="13"/>
                <w:color w:val="auto"/>
              </w:rPr>
              <w:t>Suite 400</w:t>
            </w:r>
          </w:p>
        </w:tc>
        <w:tc>
          <w:tcPr>
            <w:tcW w:w="236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3420" w:type="dxa"/>
            <w:vAlign w:val="bottom"/>
          </w:tcPr>
          <w:p>
            <w:pPr>
              <w:spacing w:after="0"/>
              <w:rPr>
                <w:sz w:val="14"/>
                <w:szCs w:val="14"/>
                <w:color w:val="auto"/>
              </w:rPr>
            </w:pPr>
          </w:p>
        </w:tc>
        <w:tc>
          <w:tcPr>
            <w:tcW w:w="3040" w:type="dxa"/>
            <w:vAlign w:val="bottom"/>
          </w:tcPr>
          <w:p>
            <w:pPr>
              <w:ind w:left="660"/>
              <w:spacing w:after="0"/>
              <w:rPr>
                <w:sz w:val="20"/>
                <w:szCs w:val="20"/>
                <w:color w:val="auto"/>
              </w:rPr>
            </w:pPr>
            <w:r>
              <w:rPr>
                <w:rFonts w:ascii="Arial" w:cs="Arial" w:eastAsia="Arial" w:hAnsi="Arial"/>
                <w:sz w:val="13"/>
                <w:szCs w:val="13"/>
                <w:color w:val="auto"/>
              </w:rPr>
              <w:t>Raleigh, NC 27612</w:t>
            </w:r>
          </w:p>
        </w:tc>
        <w:tc>
          <w:tcPr>
            <w:tcW w:w="236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4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International Medical Technical Consultants, LLC</w:t>
            </w:r>
          </w:p>
        </w:tc>
        <w:tc>
          <w:tcPr>
            <w:tcW w:w="3040" w:type="dxa"/>
            <w:vAlign w:val="bottom"/>
            <w:shd w:val="clear" w:color="auto" w:fill="CCEEFF"/>
          </w:tcPr>
          <w:p>
            <w:pPr>
              <w:ind w:left="660"/>
              <w:spacing w:after="0" w:line="129" w:lineRule="exact"/>
              <w:rPr>
                <w:sz w:val="20"/>
                <w:szCs w:val="20"/>
                <w:color w:val="auto"/>
              </w:rPr>
            </w:pPr>
            <w:r>
              <w:rPr>
                <w:rFonts w:ascii="Arial" w:cs="Arial" w:eastAsia="Arial" w:hAnsi="Arial"/>
                <w:sz w:val="13"/>
                <w:szCs w:val="13"/>
                <w:color w:val="auto"/>
              </w:rPr>
              <w:t>4130 Parklake Avenue</w:t>
            </w:r>
          </w:p>
        </w:tc>
        <w:tc>
          <w:tcPr>
            <w:tcW w:w="2360" w:type="dxa"/>
            <w:vAlign w:val="bottom"/>
            <w:shd w:val="clear" w:color="auto" w:fill="CCEEFF"/>
          </w:tcPr>
          <w:p>
            <w:pPr>
              <w:ind w:left="72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420" w:type="dxa"/>
            <w:vAlign w:val="bottom"/>
            <w:shd w:val="clear" w:color="auto" w:fill="CCEEFF"/>
          </w:tcPr>
          <w:p>
            <w:pPr>
              <w:spacing w:after="0"/>
              <w:rPr>
                <w:sz w:val="11"/>
                <w:szCs w:val="11"/>
                <w:color w:val="auto"/>
              </w:rPr>
            </w:pPr>
          </w:p>
        </w:tc>
        <w:tc>
          <w:tcPr>
            <w:tcW w:w="3040" w:type="dxa"/>
            <w:vAlign w:val="bottom"/>
            <w:shd w:val="clear" w:color="auto" w:fill="CCEEFF"/>
          </w:tcPr>
          <w:p>
            <w:pPr>
              <w:ind w:left="660"/>
              <w:spacing w:after="0" w:line="128" w:lineRule="exact"/>
              <w:rPr>
                <w:sz w:val="20"/>
                <w:szCs w:val="20"/>
                <w:color w:val="auto"/>
              </w:rPr>
            </w:pPr>
            <w:r>
              <w:rPr>
                <w:rFonts w:ascii="Arial" w:cs="Arial" w:eastAsia="Arial" w:hAnsi="Arial"/>
                <w:sz w:val="13"/>
                <w:szCs w:val="13"/>
                <w:color w:val="auto"/>
              </w:rPr>
              <w:t>Suite 400</w:t>
            </w:r>
          </w:p>
        </w:tc>
        <w:tc>
          <w:tcPr>
            <w:tcW w:w="236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3420" w:type="dxa"/>
            <w:vAlign w:val="bottom"/>
            <w:shd w:val="clear" w:color="auto" w:fill="CCEEFF"/>
          </w:tcPr>
          <w:p>
            <w:pPr>
              <w:spacing w:after="0"/>
              <w:rPr>
                <w:sz w:val="14"/>
                <w:szCs w:val="14"/>
                <w:color w:val="auto"/>
              </w:rPr>
            </w:pPr>
          </w:p>
        </w:tc>
        <w:tc>
          <w:tcPr>
            <w:tcW w:w="3040" w:type="dxa"/>
            <w:vAlign w:val="bottom"/>
            <w:shd w:val="clear" w:color="auto" w:fill="CCEEFF"/>
          </w:tcPr>
          <w:p>
            <w:pPr>
              <w:ind w:left="660"/>
              <w:spacing w:after="0"/>
              <w:rPr>
                <w:sz w:val="20"/>
                <w:szCs w:val="20"/>
                <w:color w:val="auto"/>
              </w:rPr>
            </w:pPr>
            <w:r>
              <w:rPr>
                <w:rFonts w:ascii="Arial" w:cs="Arial" w:eastAsia="Arial" w:hAnsi="Arial"/>
                <w:sz w:val="13"/>
                <w:szCs w:val="13"/>
                <w:color w:val="auto"/>
              </w:rPr>
              <w:t>Raleigh, NC 27612</w:t>
            </w:r>
          </w:p>
        </w:tc>
        <w:tc>
          <w:tcPr>
            <w:tcW w:w="236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3420" w:type="dxa"/>
            <w:vAlign w:val="bottom"/>
          </w:tcPr>
          <w:p>
            <w:pPr>
              <w:ind w:left="20"/>
              <w:spacing w:after="0" w:line="128" w:lineRule="exact"/>
              <w:rPr>
                <w:sz w:val="20"/>
                <w:szCs w:val="20"/>
                <w:color w:val="auto"/>
              </w:rPr>
            </w:pPr>
            <w:r>
              <w:rPr>
                <w:rFonts w:ascii="Arial" w:cs="Arial" w:eastAsia="Arial" w:hAnsi="Arial"/>
                <w:sz w:val="13"/>
                <w:szCs w:val="13"/>
                <w:color w:val="auto"/>
              </w:rPr>
              <w:t>Parallel 6, Inc.</w:t>
            </w:r>
          </w:p>
        </w:tc>
        <w:tc>
          <w:tcPr>
            <w:tcW w:w="3040" w:type="dxa"/>
            <w:vAlign w:val="bottom"/>
          </w:tcPr>
          <w:p>
            <w:pPr>
              <w:ind w:left="660"/>
              <w:spacing w:after="0" w:line="128" w:lineRule="exact"/>
              <w:rPr>
                <w:sz w:val="20"/>
                <w:szCs w:val="20"/>
                <w:color w:val="auto"/>
              </w:rPr>
            </w:pPr>
            <w:r>
              <w:rPr>
                <w:rFonts w:ascii="Arial" w:cs="Arial" w:eastAsia="Arial" w:hAnsi="Arial"/>
                <w:sz w:val="13"/>
                <w:szCs w:val="13"/>
                <w:color w:val="auto"/>
              </w:rPr>
              <w:t>Pacific Center I</w:t>
            </w:r>
          </w:p>
        </w:tc>
        <w:tc>
          <w:tcPr>
            <w:tcW w:w="2360" w:type="dxa"/>
            <w:vAlign w:val="bottom"/>
          </w:tcPr>
          <w:p>
            <w:pPr>
              <w:ind w:left="72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420" w:type="dxa"/>
            <w:vAlign w:val="bottom"/>
          </w:tcPr>
          <w:p>
            <w:pPr>
              <w:spacing w:after="0"/>
              <w:rPr>
                <w:sz w:val="11"/>
                <w:szCs w:val="11"/>
                <w:color w:val="auto"/>
              </w:rPr>
            </w:pPr>
          </w:p>
        </w:tc>
        <w:tc>
          <w:tcPr>
            <w:tcW w:w="3040" w:type="dxa"/>
            <w:vAlign w:val="bottom"/>
          </w:tcPr>
          <w:p>
            <w:pPr>
              <w:ind w:left="660"/>
              <w:spacing w:after="0" w:line="128" w:lineRule="exact"/>
              <w:rPr>
                <w:sz w:val="20"/>
                <w:szCs w:val="20"/>
                <w:color w:val="auto"/>
              </w:rPr>
            </w:pPr>
            <w:r>
              <w:rPr>
                <w:rFonts w:ascii="Arial" w:cs="Arial" w:eastAsia="Arial" w:hAnsi="Arial"/>
                <w:sz w:val="13"/>
                <w:szCs w:val="13"/>
                <w:color w:val="auto"/>
              </w:rPr>
              <w:t>1455 Frazee Road, Ste. 900</w:t>
            </w:r>
          </w:p>
        </w:tc>
        <w:tc>
          <w:tcPr>
            <w:tcW w:w="236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3420" w:type="dxa"/>
            <w:vAlign w:val="bottom"/>
          </w:tcPr>
          <w:p>
            <w:pPr>
              <w:spacing w:after="0"/>
              <w:rPr>
                <w:sz w:val="14"/>
                <w:szCs w:val="14"/>
                <w:color w:val="auto"/>
              </w:rPr>
            </w:pPr>
          </w:p>
        </w:tc>
        <w:tc>
          <w:tcPr>
            <w:tcW w:w="3040" w:type="dxa"/>
            <w:vAlign w:val="bottom"/>
          </w:tcPr>
          <w:p>
            <w:pPr>
              <w:ind w:left="660"/>
              <w:spacing w:after="0"/>
              <w:rPr>
                <w:sz w:val="20"/>
                <w:szCs w:val="20"/>
                <w:color w:val="auto"/>
              </w:rPr>
            </w:pPr>
            <w:r>
              <w:rPr>
                <w:rFonts w:ascii="Arial" w:cs="Arial" w:eastAsia="Arial" w:hAnsi="Arial"/>
                <w:sz w:val="13"/>
                <w:szCs w:val="13"/>
                <w:color w:val="auto"/>
              </w:rPr>
              <w:t>San Diego, CA 92108</w:t>
            </w:r>
          </w:p>
        </w:tc>
        <w:tc>
          <w:tcPr>
            <w:tcW w:w="236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4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PRA Early Development Research, Inc.</w:t>
            </w:r>
          </w:p>
        </w:tc>
        <w:tc>
          <w:tcPr>
            <w:tcW w:w="3040" w:type="dxa"/>
            <w:vAlign w:val="bottom"/>
            <w:shd w:val="clear" w:color="auto" w:fill="CCEEFF"/>
          </w:tcPr>
          <w:p>
            <w:pPr>
              <w:ind w:left="660"/>
              <w:spacing w:after="0" w:line="129" w:lineRule="exact"/>
              <w:rPr>
                <w:sz w:val="20"/>
                <w:szCs w:val="20"/>
                <w:color w:val="auto"/>
              </w:rPr>
            </w:pPr>
            <w:r>
              <w:rPr>
                <w:rFonts w:ascii="Arial" w:cs="Arial" w:eastAsia="Arial" w:hAnsi="Arial"/>
                <w:sz w:val="13"/>
                <w:szCs w:val="13"/>
                <w:color w:val="auto"/>
              </w:rPr>
              <w:t>9755 Ridge Drive</w:t>
            </w:r>
          </w:p>
        </w:tc>
        <w:tc>
          <w:tcPr>
            <w:tcW w:w="2360" w:type="dxa"/>
            <w:vAlign w:val="bottom"/>
            <w:shd w:val="clear" w:color="auto" w:fill="CCEEFF"/>
          </w:tcPr>
          <w:p>
            <w:pPr>
              <w:ind w:left="72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70"/>
        </w:trPr>
        <w:tc>
          <w:tcPr>
            <w:tcW w:w="3420" w:type="dxa"/>
            <w:vAlign w:val="bottom"/>
            <w:shd w:val="clear" w:color="auto" w:fill="CCEEFF"/>
          </w:tcPr>
          <w:p>
            <w:pPr>
              <w:spacing w:after="0"/>
              <w:rPr>
                <w:sz w:val="14"/>
                <w:szCs w:val="14"/>
                <w:color w:val="auto"/>
              </w:rPr>
            </w:pPr>
          </w:p>
        </w:tc>
        <w:tc>
          <w:tcPr>
            <w:tcW w:w="3040" w:type="dxa"/>
            <w:vAlign w:val="bottom"/>
            <w:shd w:val="clear" w:color="auto" w:fill="CCEEFF"/>
          </w:tcPr>
          <w:p>
            <w:pPr>
              <w:ind w:left="660"/>
              <w:spacing w:after="0"/>
              <w:rPr>
                <w:sz w:val="20"/>
                <w:szCs w:val="20"/>
                <w:color w:val="auto"/>
              </w:rPr>
            </w:pPr>
            <w:r>
              <w:rPr>
                <w:rFonts w:ascii="Arial" w:cs="Arial" w:eastAsia="Arial" w:hAnsi="Arial"/>
                <w:sz w:val="13"/>
                <w:szCs w:val="13"/>
                <w:color w:val="auto"/>
              </w:rPr>
              <w:t>Lenexa, Kansas 66219</w:t>
            </w:r>
          </w:p>
        </w:tc>
        <w:tc>
          <w:tcPr>
            <w:tcW w:w="236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3420" w:type="dxa"/>
            <w:vAlign w:val="bottom"/>
          </w:tcPr>
          <w:p>
            <w:pPr>
              <w:ind w:left="20"/>
              <w:spacing w:after="0" w:line="128" w:lineRule="exact"/>
              <w:rPr>
                <w:sz w:val="20"/>
                <w:szCs w:val="20"/>
                <w:color w:val="auto"/>
              </w:rPr>
            </w:pPr>
            <w:r>
              <w:rPr>
                <w:rFonts w:ascii="Arial" w:cs="Arial" w:eastAsia="Arial" w:hAnsi="Arial"/>
                <w:sz w:val="13"/>
                <w:szCs w:val="13"/>
                <w:color w:val="auto"/>
              </w:rPr>
              <w:t>PRA Health Sciences, Inc.</w:t>
            </w:r>
          </w:p>
        </w:tc>
        <w:tc>
          <w:tcPr>
            <w:tcW w:w="3040" w:type="dxa"/>
            <w:vAlign w:val="bottom"/>
          </w:tcPr>
          <w:p>
            <w:pPr>
              <w:ind w:left="660"/>
              <w:spacing w:after="0" w:line="128" w:lineRule="exact"/>
              <w:rPr>
                <w:sz w:val="20"/>
                <w:szCs w:val="20"/>
                <w:color w:val="auto"/>
              </w:rPr>
            </w:pPr>
            <w:r>
              <w:rPr>
                <w:rFonts w:ascii="Arial" w:cs="Arial" w:eastAsia="Arial" w:hAnsi="Arial"/>
                <w:sz w:val="13"/>
                <w:szCs w:val="13"/>
                <w:color w:val="auto"/>
              </w:rPr>
              <w:t>4130 Parklake Avenue</w:t>
            </w:r>
          </w:p>
        </w:tc>
        <w:tc>
          <w:tcPr>
            <w:tcW w:w="2360" w:type="dxa"/>
            <w:vAlign w:val="bottom"/>
          </w:tcPr>
          <w:p>
            <w:pPr>
              <w:ind w:left="72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420" w:type="dxa"/>
            <w:vAlign w:val="bottom"/>
          </w:tcPr>
          <w:p>
            <w:pPr>
              <w:spacing w:after="0"/>
              <w:rPr>
                <w:sz w:val="11"/>
                <w:szCs w:val="11"/>
                <w:color w:val="auto"/>
              </w:rPr>
            </w:pPr>
          </w:p>
        </w:tc>
        <w:tc>
          <w:tcPr>
            <w:tcW w:w="3040" w:type="dxa"/>
            <w:vAlign w:val="bottom"/>
          </w:tcPr>
          <w:p>
            <w:pPr>
              <w:ind w:left="660"/>
              <w:spacing w:after="0" w:line="128" w:lineRule="exact"/>
              <w:rPr>
                <w:sz w:val="20"/>
                <w:szCs w:val="20"/>
                <w:color w:val="auto"/>
              </w:rPr>
            </w:pPr>
            <w:r>
              <w:rPr>
                <w:rFonts w:ascii="Arial" w:cs="Arial" w:eastAsia="Arial" w:hAnsi="Arial"/>
                <w:sz w:val="13"/>
                <w:szCs w:val="13"/>
                <w:color w:val="auto"/>
              </w:rPr>
              <w:t>Suite 400</w:t>
            </w:r>
          </w:p>
        </w:tc>
        <w:tc>
          <w:tcPr>
            <w:tcW w:w="236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3420" w:type="dxa"/>
            <w:vAlign w:val="bottom"/>
          </w:tcPr>
          <w:p>
            <w:pPr>
              <w:spacing w:after="0"/>
              <w:rPr>
                <w:sz w:val="14"/>
                <w:szCs w:val="14"/>
                <w:color w:val="auto"/>
              </w:rPr>
            </w:pPr>
          </w:p>
        </w:tc>
        <w:tc>
          <w:tcPr>
            <w:tcW w:w="3040" w:type="dxa"/>
            <w:vAlign w:val="bottom"/>
          </w:tcPr>
          <w:p>
            <w:pPr>
              <w:ind w:left="660"/>
              <w:spacing w:after="0"/>
              <w:rPr>
                <w:sz w:val="20"/>
                <w:szCs w:val="20"/>
                <w:color w:val="auto"/>
              </w:rPr>
            </w:pPr>
            <w:r>
              <w:rPr>
                <w:rFonts w:ascii="Arial" w:cs="Arial" w:eastAsia="Arial" w:hAnsi="Arial"/>
                <w:sz w:val="13"/>
                <w:szCs w:val="13"/>
                <w:color w:val="auto"/>
              </w:rPr>
              <w:t>Raleigh, NC 27612</w:t>
            </w:r>
          </w:p>
        </w:tc>
        <w:tc>
          <w:tcPr>
            <w:tcW w:w="236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4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PRA Holdings, Inc.</w:t>
            </w:r>
          </w:p>
        </w:tc>
        <w:tc>
          <w:tcPr>
            <w:tcW w:w="3040" w:type="dxa"/>
            <w:vAlign w:val="bottom"/>
            <w:shd w:val="clear" w:color="auto" w:fill="CCEEFF"/>
          </w:tcPr>
          <w:p>
            <w:pPr>
              <w:ind w:left="660"/>
              <w:spacing w:after="0" w:line="129" w:lineRule="exact"/>
              <w:rPr>
                <w:sz w:val="20"/>
                <w:szCs w:val="20"/>
                <w:color w:val="auto"/>
              </w:rPr>
            </w:pPr>
            <w:r>
              <w:rPr>
                <w:rFonts w:ascii="Arial" w:cs="Arial" w:eastAsia="Arial" w:hAnsi="Arial"/>
                <w:sz w:val="13"/>
                <w:szCs w:val="13"/>
                <w:color w:val="auto"/>
              </w:rPr>
              <w:t>4130 Parklake Avenue</w:t>
            </w:r>
          </w:p>
        </w:tc>
        <w:tc>
          <w:tcPr>
            <w:tcW w:w="2360" w:type="dxa"/>
            <w:vAlign w:val="bottom"/>
            <w:shd w:val="clear" w:color="auto" w:fill="CCEEFF"/>
          </w:tcPr>
          <w:p>
            <w:pPr>
              <w:ind w:left="72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420" w:type="dxa"/>
            <w:vAlign w:val="bottom"/>
            <w:shd w:val="clear" w:color="auto" w:fill="CCEEFF"/>
          </w:tcPr>
          <w:p>
            <w:pPr>
              <w:spacing w:after="0"/>
              <w:rPr>
                <w:sz w:val="11"/>
                <w:szCs w:val="11"/>
                <w:color w:val="auto"/>
              </w:rPr>
            </w:pPr>
          </w:p>
        </w:tc>
        <w:tc>
          <w:tcPr>
            <w:tcW w:w="3040" w:type="dxa"/>
            <w:vAlign w:val="bottom"/>
            <w:shd w:val="clear" w:color="auto" w:fill="CCEEFF"/>
          </w:tcPr>
          <w:p>
            <w:pPr>
              <w:ind w:left="660"/>
              <w:spacing w:after="0" w:line="128" w:lineRule="exact"/>
              <w:rPr>
                <w:sz w:val="20"/>
                <w:szCs w:val="20"/>
                <w:color w:val="auto"/>
              </w:rPr>
            </w:pPr>
            <w:r>
              <w:rPr>
                <w:rFonts w:ascii="Arial" w:cs="Arial" w:eastAsia="Arial" w:hAnsi="Arial"/>
                <w:sz w:val="13"/>
                <w:szCs w:val="13"/>
                <w:color w:val="auto"/>
              </w:rPr>
              <w:t>Suite 400</w:t>
            </w:r>
          </w:p>
        </w:tc>
        <w:tc>
          <w:tcPr>
            <w:tcW w:w="236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3420" w:type="dxa"/>
            <w:vAlign w:val="bottom"/>
            <w:shd w:val="clear" w:color="auto" w:fill="CCEEFF"/>
          </w:tcPr>
          <w:p>
            <w:pPr>
              <w:spacing w:after="0"/>
              <w:rPr>
                <w:sz w:val="14"/>
                <w:szCs w:val="14"/>
                <w:color w:val="auto"/>
              </w:rPr>
            </w:pPr>
          </w:p>
        </w:tc>
        <w:tc>
          <w:tcPr>
            <w:tcW w:w="3040" w:type="dxa"/>
            <w:vAlign w:val="bottom"/>
            <w:shd w:val="clear" w:color="auto" w:fill="CCEEFF"/>
          </w:tcPr>
          <w:p>
            <w:pPr>
              <w:ind w:left="660"/>
              <w:spacing w:after="0"/>
              <w:rPr>
                <w:sz w:val="20"/>
                <w:szCs w:val="20"/>
                <w:color w:val="auto"/>
              </w:rPr>
            </w:pPr>
            <w:r>
              <w:rPr>
                <w:rFonts w:ascii="Arial" w:cs="Arial" w:eastAsia="Arial" w:hAnsi="Arial"/>
                <w:sz w:val="13"/>
                <w:szCs w:val="13"/>
                <w:color w:val="auto"/>
              </w:rPr>
              <w:t>Raleigh, NC 27612</w:t>
            </w:r>
          </w:p>
        </w:tc>
        <w:tc>
          <w:tcPr>
            <w:tcW w:w="236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bl>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134</w:t>
      </w:r>
    </w:p>
    <w:p>
      <w:pPr>
        <w:sectPr>
          <w:pgSz w:w="11900" w:h="16838" w:orient="portrait"/>
          <w:cols w:equalWidth="0" w:num="1">
            <w:col w:w="11260"/>
          </w:cols>
          <w:pgMar w:left="300" w:top="698" w:right="33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32.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3460" w:type="dxa"/>
            <w:vAlign w:val="bottom"/>
            <w:shd w:val="clear" w:color="auto" w:fill="CCEEFF"/>
          </w:tcPr>
          <w:p>
            <w:pPr>
              <w:ind w:left="700"/>
              <w:spacing w:after="0"/>
              <w:rPr>
                <w:sz w:val="20"/>
                <w:szCs w:val="20"/>
                <w:color w:val="auto"/>
              </w:rPr>
            </w:pPr>
            <w:r>
              <w:rPr>
                <w:rFonts w:ascii="Arial" w:cs="Arial" w:eastAsia="Arial" w:hAnsi="Arial"/>
                <w:sz w:val="13"/>
                <w:szCs w:val="13"/>
                <w:b w:val="1"/>
                <w:bCs w:val="1"/>
                <w:color w:val="auto"/>
              </w:rPr>
              <w:t>Registered Office</w:t>
            </w:r>
          </w:p>
        </w:tc>
        <w:tc>
          <w:tcPr>
            <w:tcW w:w="1980" w:type="dxa"/>
            <w:vAlign w:val="bottom"/>
            <w:shd w:val="clear" w:color="auto" w:fill="CCEEFF"/>
          </w:tcPr>
          <w:p>
            <w:pPr>
              <w:ind w:left="340"/>
              <w:spacing w:after="0"/>
              <w:rPr>
                <w:sz w:val="20"/>
                <w:szCs w:val="20"/>
                <w:color w:val="auto"/>
              </w:rPr>
            </w:pPr>
            <w:r>
              <w:rPr>
                <w:rFonts w:ascii="Arial" w:cs="Arial" w:eastAsia="Arial" w:hAnsi="Arial"/>
                <w:sz w:val="13"/>
                <w:szCs w:val="13"/>
                <w:b w:val="1"/>
                <w:bCs w:val="1"/>
                <w:color w:val="auto"/>
              </w:rPr>
              <w:t>Nature of business</w:t>
            </w:r>
          </w:p>
        </w:tc>
        <w:tc>
          <w:tcPr>
            <w:tcW w:w="244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Proportion held by</w:t>
            </w:r>
          </w:p>
        </w:tc>
      </w:tr>
      <w:tr>
        <w:trPr>
          <w:trHeight w:val="170"/>
        </w:trPr>
        <w:tc>
          <w:tcPr>
            <w:tcW w:w="3380" w:type="dxa"/>
            <w:vAlign w:val="bottom"/>
            <w:tcBorders>
              <w:bottom w:val="single" w:sz="8" w:color="auto"/>
            </w:tcBorders>
            <w:shd w:val="clear" w:color="auto" w:fill="CCEEFF"/>
          </w:tcPr>
          <w:p>
            <w:pPr>
              <w:spacing w:after="0"/>
              <w:rPr>
                <w:sz w:val="14"/>
                <w:szCs w:val="14"/>
                <w:color w:val="auto"/>
              </w:rPr>
            </w:pPr>
          </w:p>
        </w:tc>
        <w:tc>
          <w:tcPr>
            <w:tcW w:w="3460" w:type="dxa"/>
            <w:vAlign w:val="bottom"/>
            <w:tcBorders>
              <w:bottom w:val="single" w:sz="8" w:color="auto"/>
            </w:tcBorders>
            <w:shd w:val="clear" w:color="auto" w:fill="CCEEFF"/>
          </w:tcPr>
          <w:p>
            <w:pPr>
              <w:spacing w:after="0"/>
              <w:rPr>
                <w:sz w:val="14"/>
                <w:szCs w:val="14"/>
                <w:color w:val="auto"/>
              </w:rPr>
            </w:pPr>
          </w:p>
        </w:tc>
        <w:tc>
          <w:tcPr>
            <w:tcW w:w="1980" w:type="dxa"/>
            <w:vAlign w:val="bottom"/>
            <w:tcBorders>
              <w:bottom w:val="single" w:sz="8" w:color="auto"/>
            </w:tcBorders>
            <w:shd w:val="clear" w:color="auto" w:fill="CCEEFF"/>
          </w:tcPr>
          <w:p>
            <w:pPr>
              <w:spacing w:after="0"/>
              <w:rPr>
                <w:sz w:val="14"/>
                <w:szCs w:val="14"/>
                <w:color w:val="auto"/>
              </w:rPr>
            </w:pPr>
          </w:p>
        </w:tc>
        <w:tc>
          <w:tcPr>
            <w:tcW w:w="24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3"/>
                <w:szCs w:val="13"/>
                <w:b w:val="1"/>
                <w:bCs w:val="1"/>
                <w:color w:val="auto"/>
              </w:rPr>
              <w:t>Group</w:t>
            </w:r>
          </w:p>
        </w:tc>
      </w:tr>
      <w:tr>
        <w:trPr>
          <w:trHeight w:val="118"/>
        </w:trPr>
        <w:tc>
          <w:tcPr>
            <w:tcW w:w="3380" w:type="dxa"/>
            <w:vAlign w:val="bottom"/>
          </w:tcPr>
          <w:p>
            <w:pPr>
              <w:ind w:left="20"/>
              <w:spacing w:after="0" w:line="118" w:lineRule="exact"/>
              <w:rPr>
                <w:sz w:val="20"/>
                <w:szCs w:val="20"/>
                <w:color w:val="auto"/>
              </w:rPr>
            </w:pPr>
            <w:r>
              <w:rPr>
                <w:rFonts w:ascii="Arial" w:cs="Arial" w:eastAsia="Arial" w:hAnsi="Arial"/>
                <w:sz w:val="13"/>
                <w:szCs w:val="13"/>
                <w:color w:val="auto"/>
              </w:rPr>
              <w:t>PRA International, LLC</w:t>
            </w:r>
          </w:p>
        </w:tc>
        <w:tc>
          <w:tcPr>
            <w:tcW w:w="3460" w:type="dxa"/>
            <w:vAlign w:val="bottom"/>
          </w:tcPr>
          <w:p>
            <w:pPr>
              <w:ind w:left="700"/>
              <w:spacing w:after="0" w:line="118" w:lineRule="exact"/>
              <w:rPr>
                <w:sz w:val="20"/>
                <w:szCs w:val="20"/>
                <w:color w:val="auto"/>
              </w:rPr>
            </w:pPr>
            <w:r>
              <w:rPr>
                <w:rFonts w:ascii="Arial" w:cs="Arial" w:eastAsia="Arial" w:hAnsi="Arial"/>
                <w:sz w:val="13"/>
                <w:szCs w:val="13"/>
                <w:color w:val="auto"/>
              </w:rPr>
              <w:t>4130 Parklake Avenue</w:t>
            </w:r>
          </w:p>
        </w:tc>
        <w:tc>
          <w:tcPr>
            <w:tcW w:w="1980" w:type="dxa"/>
            <w:vAlign w:val="bottom"/>
          </w:tcPr>
          <w:p>
            <w:pPr>
              <w:ind w:left="340"/>
              <w:spacing w:after="0" w:line="11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18" w:lineRule="exact"/>
              <w:rPr>
                <w:sz w:val="20"/>
                <w:szCs w:val="20"/>
                <w:color w:val="auto"/>
              </w:rPr>
            </w:pPr>
            <w:r>
              <w:rPr>
                <w:rFonts w:ascii="Arial" w:cs="Arial" w:eastAsia="Arial" w:hAnsi="Arial"/>
                <w:sz w:val="13"/>
                <w:szCs w:val="13"/>
                <w:color w:val="auto"/>
              </w:rPr>
              <w:t>100%</w:t>
            </w:r>
          </w:p>
        </w:tc>
      </w:tr>
      <w:tr>
        <w:trPr>
          <w:trHeight w:val="127"/>
        </w:trPr>
        <w:tc>
          <w:tcPr>
            <w:tcW w:w="3380" w:type="dxa"/>
            <w:vAlign w:val="bottom"/>
          </w:tcPr>
          <w:p>
            <w:pPr>
              <w:spacing w:after="0"/>
              <w:rPr>
                <w:sz w:val="11"/>
                <w:szCs w:val="11"/>
                <w:color w:val="auto"/>
              </w:rPr>
            </w:pPr>
          </w:p>
        </w:tc>
        <w:tc>
          <w:tcPr>
            <w:tcW w:w="3460" w:type="dxa"/>
            <w:vAlign w:val="bottom"/>
          </w:tcPr>
          <w:p>
            <w:pPr>
              <w:ind w:left="700"/>
              <w:spacing w:after="0" w:line="128" w:lineRule="exact"/>
              <w:rPr>
                <w:sz w:val="20"/>
                <w:szCs w:val="20"/>
                <w:color w:val="auto"/>
              </w:rPr>
            </w:pPr>
            <w:r>
              <w:rPr>
                <w:rFonts w:ascii="Arial" w:cs="Arial" w:eastAsia="Arial" w:hAnsi="Arial"/>
                <w:sz w:val="13"/>
                <w:szCs w:val="13"/>
                <w:color w:val="auto"/>
              </w:rPr>
              <w:t>Suite 400</w:t>
            </w:r>
          </w:p>
        </w:tc>
        <w:tc>
          <w:tcPr>
            <w:tcW w:w="198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3380" w:type="dxa"/>
            <w:vAlign w:val="bottom"/>
          </w:tcPr>
          <w:p>
            <w:pPr>
              <w:spacing w:after="0"/>
              <w:rPr>
                <w:sz w:val="14"/>
                <w:szCs w:val="14"/>
                <w:color w:val="auto"/>
              </w:rPr>
            </w:pPr>
          </w:p>
        </w:tc>
        <w:tc>
          <w:tcPr>
            <w:tcW w:w="3460" w:type="dxa"/>
            <w:vAlign w:val="bottom"/>
          </w:tcPr>
          <w:p>
            <w:pPr>
              <w:ind w:left="700"/>
              <w:spacing w:after="0"/>
              <w:rPr>
                <w:sz w:val="20"/>
                <w:szCs w:val="20"/>
                <w:color w:val="auto"/>
              </w:rPr>
            </w:pPr>
            <w:r>
              <w:rPr>
                <w:rFonts w:ascii="Arial" w:cs="Arial" w:eastAsia="Arial" w:hAnsi="Arial"/>
                <w:sz w:val="13"/>
                <w:szCs w:val="13"/>
                <w:color w:val="auto"/>
              </w:rPr>
              <w:t>Raleigh, NC 27612</w:t>
            </w:r>
          </w:p>
        </w:tc>
        <w:tc>
          <w:tcPr>
            <w:tcW w:w="198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3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PRA Receivables, LLC</w:t>
            </w:r>
          </w:p>
        </w:tc>
        <w:tc>
          <w:tcPr>
            <w:tcW w:w="3460" w:type="dxa"/>
            <w:vAlign w:val="bottom"/>
            <w:shd w:val="clear" w:color="auto" w:fill="CCEEFF"/>
          </w:tcPr>
          <w:p>
            <w:pPr>
              <w:ind w:left="700"/>
              <w:spacing w:after="0" w:line="129" w:lineRule="exact"/>
              <w:rPr>
                <w:sz w:val="20"/>
                <w:szCs w:val="20"/>
                <w:color w:val="auto"/>
              </w:rPr>
            </w:pPr>
            <w:r>
              <w:rPr>
                <w:rFonts w:ascii="Arial" w:cs="Arial" w:eastAsia="Arial" w:hAnsi="Arial"/>
                <w:sz w:val="13"/>
                <w:szCs w:val="13"/>
                <w:color w:val="auto"/>
              </w:rPr>
              <w:t>4130 Parklake Avenue</w:t>
            </w:r>
          </w:p>
        </w:tc>
        <w:tc>
          <w:tcPr>
            <w:tcW w:w="1980" w:type="dxa"/>
            <w:vAlign w:val="bottom"/>
            <w:shd w:val="clear" w:color="auto" w:fill="CCEEFF"/>
          </w:tcPr>
          <w:p>
            <w:pPr>
              <w:ind w:left="34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380" w:type="dxa"/>
            <w:vAlign w:val="bottom"/>
            <w:shd w:val="clear" w:color="auto" w:fill="CCEEFF"/>
          </w:tcPr>
          <w:p>
            <w:pPr>
              <w:spacing w:after="0"/>
              <w:rPr>
                <w:sz w:val="11"/>
                <w:szCs w:val="11"/>
                <w:color w:val="auto"/>
              </w:rPr>
            </w:pPr>
          </w:p>
        </w:tc>
        <w:tc>
          <w:tcPr>
            <w:tcW w:w="3460" w:type="dxa"/>
            <w:vAlign w:val="bottom"/>
            <w:shd w:val="clear" w:color="auto" w:fill="CCEEFF"/>
          </w:tcPr>
          <w:p>
            <w:pPr>
              <w:ind w:left="700"/>
              <w:spacing w:after="0" w:line="128" w:lineRule="exact"/>
              <w:rPr>
                <w:sz w:val="20"/>
                <w:szCs w:val="20"/>
                <w:color w:val="auto"/>
              </w:rPr>
            </w:pPr>
            <w:r>
              <w:rPr>
                <w:rFonts w:ascii="Arial" w:cs="Arial" w:eastAsia="Arial" w:hAnsi="Arial"/>
                <w:sz w:val="13"/>
                <w:szCs w:val="13"/>
                <w:color w:val="auto"/>
              </w:rPr>
              <w:t>Suite 400</w:t>
            </w:r>
          </w:p>
        </w:tc>
        <w:tc>
          <w:tcPr>
            <w:tcW w:w="198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3380" w:type="dxa"/>
            <w:vAlign w:val="bottom"/>
            <w:shd w:val="clear" w:color="auto" w:fill="CCEEFF"/>
          </w:tcPr>
          <w:p>
            <w:pPr>
              <w:spacing w:after="0"/>
              <w:rPr>
                <w:sz w:val="14"/>
                <w:szCs w:val="14"/>
                <w:color w:val="auto"/>
              </w:rPr>
            </w:pPr>
          </w:p>
        </w:tc>
        <w:tc>
          <w:tcPr>
            <w:tcW w:w="3460" w:type="dxa"/>
            <w:vAlign w:val="bottom"/>
            <w:shd w:val="clear" w:color="auto" w:fill="CCEEFF"/>
          </w:tcPr>
          <w:p>
            <w:pPr>
              <w:ind w:left="700"/>
              <w:spacing w:after="0"/>
              <w:rPr>
                <w:sz w:val="20"/>
                <w:szCs w:val="20"/>
                <w:color w:val="auto"/>
              </w:rPr>
            </w:pPr>
            <w:r>
              <w:rPr>
                <w:rFonts w:ascii="Arial" w:cs="Arial" w:eastAsia="Arial" w:hAnsi="Arial"/>
                <w:sz w:val="13"/>
                <w:szCs w:val="13"/>
                <w:color w:val="auto"/>
              </w:rPr>
              <w:t>Raleigh, NC 27612</w:t>
            </w:r>
          </w:p>
        </w:tc>
        <w:tc>
          <w:tcPr>
            <w:tcW w:w="198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3380" w:type="dxa"/>
            <w:vAlign w:val="bottom"/>
          </w:tcPr>
          <w:p>
            <w:pPr>
              <w:ind w:left="20"/>
              <w:spacing w:after="0" w:line="128" w:lineRule="exact"/>
              <w:rPr>
                <w:sz w:val="20"/>
                <w:szCs w:val="20"/>
                <w:color w:val="auto"/>
              </w:rPr>
            </w:pPr>
            <w:r>
              <w:rPr>
                <w:rFonts w:ascii="Arial" w:cs="Arial" w:eastAsia="Arial" w:hAnsi="Arial"/>
                <w:sz w:val="13"/>
                <w:szCs w:val="13"/>
                <w:color w:val="auto"/>
              </w:rPr>
              <w:t>ReSearch Pharmaceutical Services, LLC</w:t>
            </w:r>
          </w:p>
        </w:tc>
        <w:tc>
          <w:tcPr>
            <w:tcW w:w="3460" w:type="dxa"/>
            <w:vAlign w:val="bottom"/>
          </w:tcPr>
          <w:p>
            <w:pPr>
              <w:ind w:left="700"/>
              <w:spacing w:after="0" w:line="128" w:lineRule="exact"/>
              <w:rPr>
                <w:sz w:val="20"/>
                <w:szCs w:val="20"/>
                <w:color w:val="auto"/>
              </w:rPr>
            </w:pPr>
            <w:r>
              <w:rPr>
                <w:rFonts w:ascii="Arial" w:cs="Arial" w:eastAsia="Arial" w:hAnsi="Arial"/>
                <w:sz w:val="13"/>
                <w:szCs w:val="13"/>
                <w:color w:val="auto"/>
              </w:rPr>
              <w:t>4130 Parklake Avenue, Suite 400</w:t>
            </w:r>
          </w:p>
        </w:tc>
        <w:tc>
          <w:tcPr>
            <w:tcW w:w="1980" w:type="dxa"/>
            <w:vAlign w:val="bottom"/>
          </w:tcPr>
          <w:p>
            <w:pPr>
              <w:ind w:left="34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68"/>
        </w:trPr>
        <w:tc>
          <w:tcPr>
            <w:tcW w:w="3380" w:type="dxa"/>
            <w:vAlign w:val="bottom"/>
          </w:tcPr>
          <w:p>
            <w:pPr>
              <w:spacing w:after="0"/>
              <w:rPr>
                <w:sz w:val="14"/>
                <w:szCs w:val="14"/>
                <w:color w:val="auto"/>
              </w:rPr>
            </w:pPr>
          </w:p>
        </w:tc>
        <w:tc>
          <w:tcPr>
            <w:tcW w:w="3460" w:type="dxa"/>
            <w:vAlign w:val="bottom"/>
          </w:tcPr>
          <w:p>
            <w:pPr>
              <w:ind w:left="700"/>
              <w:spacing w:after="0"/>
              <w:rPr>
                <w:sz w:val="20"/>
                <w:szCs w:val="20"/>
                <w:color w:val="auto"/>
              </w:rPr>
            </w:pPr>
            <w:r>
              <w:rPr>
                <w:rFonts w:ascii="Arial" w:cs="Arial" w:eastAsia="Arial" w:hAnsi="Arial"/>
                <w:sz w:val="13"/>
                <w:szCs w:val="13"/>
                <w:color w:val="auto"/>
              </w:rPr>
              <w:t>Raleigh, NC 27612</w:t>
            </w:r>
          </w:p>
        </w:tc>
        <w:tc>
          <w:tcPr>
            <w:tcW w:w="198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3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ReSearch Pharmaceutical Services, Inc.</w:t>
            </w:r>
          </w:p>
        </w:tc>
        <w:tc>
          <w:tcPr>
            <w:tcW w:w="3460" w:type="dxa"/>
            <w:vAlign w:val="bottom"/>
            <w:shd w:val="clear" w:color="auto" w:fill="CCEEFF"/>
          </w:tcPr>
          <w:p>
            <w:pPr>
              <w:ind w:left="700"/>
              <w:spacing w:after="0" w:line="129" w:lineRule="exact"/>
              <w:rPr>
                <w:sz w:val="20"/>
                <w:szCs w:val="20"/>
                <w:color w:val="auto"/>
              </w:rPr>
            </w:pPr>
            <w:r>
              <w:rPr>
                <w:rFonts w:ascii="Arial" w:cs="Arial" w:eastAsia="Arial" w:hAnsi="Arial"/>
                <w:sz w:val="13"/>
                <w:szCs w:val="13"/>
                <w:color w:val="auto"/>
              </w:rPr>
              <w:t>731 Arbor Way, Suite 100</w:t>
            </w:r>
          </w:p>
        </w:tc>
        <w:tc>
          <w:tcPr>
            <w:tcW w:w="1980" w:type="dxa"/>
            <w:vAlign w:val="bottom"/>
            <w:shd w:val="clear" w:color="auto" w:fill="CCEEFF"/>
          </w:tcPr>
          <w:p>
            <w:pPr>
              <w:ind w:left="34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70"/>
        </w:trPr>
        <w:tc>
          <w:tcPr>
            <w:tcW w:w="3380" w:type="dxa"/>
            <w:vAlign w:val="bottom"/>
            <w:shd w:val="clear" w:color="auto" w:fill="CCEEFF"/>
          </w:tcPr>
          <w:p>
            <w:pPr>
              <w:spacing w:after="0"/>
              <w:rPr>
                <w:sz w:val="14"/>
                <w:szCs w:val="14"/>
                <w:color w:val="auto"/>
              </w:rPr>
            </w:pPr>
          </w:p>
        </w:tc>
        <w:tc>
          <w:tcPr>
            <w:tcW w:w="3460" w:type="dxa"/>
            <w:vAlign w:val="bottom"/>
            <w:shd w:val="clear" w:color="auto" w:fill="CCEEFF"/>
          </w:tcPr>
          <w:p>
            <w:pPr>
              <w:ind w:left="700"/>
              <w:spacing w:after="0"/>
              <w:rPr>
                <w:sz w:val="20"/>
                <w:szCs w:val="20"/>
                <w:color w:val="auto"/>
              </w:rPr>
            </w:pPr>
            <w:r>
              <w:rPr>
                <w:rFonts w:ascii="Arial" w:cs="Arial" w:eastAsia="Arial" w:hAnsi="Arial"/>
                <w:sz w:val="13"/>
                <w:szCs w:val="13"/>
                <w:color w:val="auto"/>
              </w:rPr>
              <w:t>Blue Bell, PA 19422</w:t>
            </w:r>
          </w:p>
        </w:tc>
        <w:tc>
          <w:tcPr>
            <w:tcW w:w="198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3380" w:type="dxa"/>
            <w:vAlign w:val="bottom"/>
          </w:tcPr>
          <w:p>
            <w:pPr>
              <w:ind w:left="20"/>
              <w:spacing w:after="0" w:line="128" w:lineRule="exact"/>
              <w:rPr>
                <w:sz w:val="20"/>
                <w:szCs w:val="20"/>
                <w:color w:val="auto"/>
              </w:rPr>
            </w:pPr>
            <w:r>
              <w:rPr>
                <w:rFonts w:ascii="Arial" w:cs="Arial" w:eastAsia="Arial" w:hAnsi="Arial"/>
                <w:sz w:val="13"/>
                <w:szCs w:val="13"/>
                <w:color w:val="auto"/>
              </w:rPr>
              <w:t>Roy RPS Holdings LLC</w:t>
            </w:r>
          </w:p>
        </w:tc>
        <w:tc>
          <w:tcPr>
            <w:tcW w:w="3460" w:type="dxa"/>
            <w:vAlign w:val="bottom"/>
          </w:tcPr>
          <w:p>
            <w:pPr>
              <w:ind w:left="700"/>
              <w:spacing w:after="0" w:line="128" w:lineRule="exact"/>
              <w:rPr>
                <w:sz w:val="20"/>
                <w:szCs w:val="20"/>
                <w:color w:val="auto"/>
              </w:rPr>
            </w:pPr>
            <w:r>
              <w:rPr>
                <w:rFonts w:ascii="Arial" w:cs="Arial" w:eastAsia="Arial" w:hAnsi="Arial"/>
                <w:sz w:val="13"/>
                <w:szCs w:val="13"/>
                <w:color w:val="auto"/>
              </w:rPr>
              <w:t>4130 Parklake Avenue, Suite 400</w:t>
            </w:r>
          </w:p>
        </w:tc>
        <w:tc>
          <w:tcPr>
            <w:tcW w:w="1980" w:type="dxa"/>
            <w:vAlign w:val="bottom"/>
          </w:tcPr>
          <w:p>
            <w:pPr>
              <w:ind w:left="34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68"/>
        </w:trPr>
        <w:tc>
          <w:tcPr>
            <w:tcW w:w="3380" w:type="dxa"/>
            <w:vAlign w:val="bottom"/>
          </w:tcPr>
          <w:p>
            <w:pPr>
              <w:spacing w:after="0"/>
              <w:rPr>
                <w:sz w:val="14"/>
                <w:szCs w:val="14"/>
                <w:color w:val="auto"/>
              </w:rPr>
            </w:pPr>
          </w:p>
        </w:tc>
        <w:tc>
          <w:tcPr>
            <w:tcW w:w="3460" w:type="dxa"/>
            <w:vAlign w:val="bottom"/>
          </w:tcPr>
          <w:p>
            <w:pPr>
              <w:ind w:left="700"/>
              <w:spacing w:after="0"/>
              <w:rPr>
                <w:sz w:val="20"/>
                <w:szCs w:val="20"/>
                <w:color w:val="auto"/>
              </w:rPr>
            </w:pPr>
            <w:r>
              <w:rPr>
                <w:rFonts w:ascii="Arial" w:cs="Arial" w:eastAsia="Arial" w:hAnsi="Arial"/>
                <w:sz w:val="13"/>
                <w:szCs w:val="13"/>
                <w:color w:val="auto"/>
              </w:rPr>
              <w:t>Raleigh, NC 27612</w:t>
            </w:r>
          </w:p>
        </w:tc>
        <w:tc>
          <w:tcPr>
            <w:tcW w:w="198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3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RPS Global Holdings, LLC</w:t>
            </w:r>
          </w:p>
        </w:tc>
        <w:tc>
          <w:tcPr>
            <w:tcW w:w="3460" w:type="dxa"/>
            <w:vAlign w:val="bottom"/>
            <w:shd w:val="clear" w:color="auto" w:fill="CCEEFF"/>
          </w:tcPr>
          <w:p>
            <w:pPr>
              <w:ind w:left="700"/>
              <w:spacing w:after="0" w:line="129" w:lineRule="exact"/>
              <w:rPr>
                <w:sz w:val="20"/>
                <w:szCs w:val="20"/>
                <w:color w:val="auto"/>
              </w:rPr>
            </w:pPr>
            <w:r>
              <w:rPr>
                <w:rFonts w:ascii="Arial" w:cs="Arial" w:eastAsia="Arial" w:hAnsi="Arial"/>
                <w:sz w:val="13"/>
                <w:szCs w:val="13"/>
                <w:color w:val="auto"/>
              </w:rPr>
              <w:t>4130 Parklake Avenue, Suite 400</w:t>
            </w:r>
          </w:p>
        </w:tc>
        <w:tc>
          <w:tcPr>
            <w:tcW w:w="1980" w:type="dxa"/>
            <w:vAlign w:val="bottom"/>
            <w:shd w:val="clear" w:color="auto" w:fill="CCEEFF"/>
          </w:tcPr>
          <w:p>
            <w:pPr>
              <w:ind w:left="34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70"/>
        </w:trPr>
        <w:tc>
          <w:tcPr>
            <w:tcW w:w="3380" w:type="dxa"/>
            <w:vAlign w:val="bottom"/>
            <w:shd w:val="clear" w:color="auto" w:fill="CCEEFF"/>
          </w:tcPr>
          <w:p>
            <w:pPr>
              <w:spacing w:after="0"/>
              <w:rPr>
                <w:sz w:val="14"/>
                <w:szCs w:val="14"/>
                <w:color w:val="auto"/>
              </w:rPr>
            </w:pPr>
          </w:p>
        </w:tc>
        <w:tc>
          <w:tcPr>
            <w:tcW w:w="3460" w:type="dxa"/>
            <w:vAlign w:val="bottom"/>
            <w:shd w:val="clear" w:color="auto" w:fill="CCEEFF"/>
          </w:tcPr>
          <w:p>
            <w:pPr>
              <w:ind w:left="700"/>
              <w:spacing w:after="0"/>
              <w:rPr>
                <w:sz w:val="20"/>
                <w:szCs w:val="20"/>
                <w:color w:val="auto"/>
              </w:rPr>
            </w:pPr>
            <w:r>
              <w:rPr>
                <w:rFonts w:ascii="Arial" w:cs="Arial" w:eastAsia="Arial" w:hAnsi="Arial"/>
                <w:sz w:val="13"/>
                <w:szCs w:val="13"/>
                <w:color w:val="auto"/>
              </w:rPr>
              <w:t>Raleigh, NC 27612</w:t>
            </w:r>
          </w:p>
        </w:tc>
        <w:tc>
          <w:tcPr>
            <w:tcW w:w="198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3380" w:type="dxa"/>
            <w:vAlign w:val="bottom"/>
          </w:tcPr>
          <w:p>
            <w:pPr>
              <w:ind w:left="20"/>
              <w:spacing w:after="0" w:line="128" w:lineRule="exact"/>
              <w:rPr>
                <w:sz w:val="20"/>
                <w:szCs w:val="20"/>
                <w:color w:val="auto"/>
              </w:rPr>
            </w:pPr>
            <w:r>
              <w:rPr>
                <w:rFonts w:ascii="Arial" w:cs="Arial" w:eastAsia="Arial" w:hAnsi="Arial"/>
                <w:sz w:val="13"/>
                <w:szCs w:val="13"/>
                <w:color w:val="auto"/>
              </w:rPr>
              <w:t>RPS Parent Holding LLC</w:t>
            </w:r>
          </w:p>
        </w:tc>
        <w:tc>
          <w:tcPr>
            <w:tcW w:w="3460" w:type="dxa"/>
            <w:vAlign w:val="bottom"/>
          </w:tcPr>
          <w:p>
            <w:pPr>
              <w:ind w:left="700"/>
              <w:spacing w:after="0" w:line="128" w:lineRule="exact"/>
              <w:rPr>
                <w:sz w:val="20"/>
                <w:szCs w:val="20"/>
                <w:color w:val="auto"/>
              </w:rPr>
            </w:pPr>
            <w:r>
              <w:rPr>
                <w:rFonts w:ascii="Arial" w:cs="Arial" w:eastAsia="Arial" w:hAnsi="Arial"/>
                <w:sz w:val="13"/>
                <w:szCs w:val="13"/>
                <w:color w:val="auto"/>
              </w:rPr>
              <w:t>4130 Parklake Avenue, Suite 400</w:t>
            </w:r>
          </w:p>
        </w:tc>
        <w:tc>
          <w:tcPr>
            <w:tcW w:w="1980" w:type="dxa"/>
            <w:vAlign w:val="bottom"/>
          </w:tcPr>
          <w:p>
            <w:pPr>
              <w:ind w:left="34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68"/>
        </w:trPr>
        <w:tc>
          <w:tcPr>
            <w:tcW w:w="3380" w:type="dxa"/>
            <w:vAlign w:val="bottom"/>
          </w:tcPr>
          <w:p>
            <w:pPr>
              <w:spacing w:after="0"/>
              <w:rPr>
                <w:sz w:val="14"/>
                <w:szCs w:val="14"/>
                <w:color w:val="auto"/>
              </w:rPr>
            </w:pPr>
          </w:p>
        </w:tc>
        <w:tc>
          <w:tcPr>
            <w:tcW w:w="3460" w:type="dxa"/>
            <w:vAlign w:val="bottom"/>
          </w:tcPr>
          <w:p>
            <w:pPr>
              <w:ind w:left="700"/>
              <w:spacing w:after="0"/>
              <w:rPr>
                <w:sz w:val="20"/>
                <w:szCs w:val="20"/>
                <w:color w:val="auto"/>
              </w:rPr>
            </w:pPr>
            <w:r>
              <w:rPr>
                <w:rFonts w:ascii="Arial" w:cs="Arial" w:eastAsia="Arial" w:hAnsi="Arial"/>
                <w:sz w:val="13"/>
                <w:szCs w:val="13"/>
                <w:color w:val="auto"/>
              </w:rPr>
              <w:t>Raleigh, NC 27612</w:t>
            </w:r>
          </w:p>
        </w:tc>
        <w:tc>
          <w:tcPr>
            <w:tcW w:w="198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3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Source Healthcare Analytics, LLC</w:t>
            </w:r>
          </w:p>
        </w:tc>
        <w:tc>
          <w:tcPr>
            <w:tcW w:w="3460" w:type="dxa"/>
            <w:vAlign w:val="bottom"/>
            <w:shd w:val="clear" w:color="auto" w:fill="CCEEFF"/>
          </w:tcPr>
          <w:p>
            <w:pPr>
              <w:ind w:left="700"/>
              <w:spacing w:after="0" w:line="129" w:lineRule="exact"/>
              <w:rPr>
                <w:sz w:val="20"/>
                <w:szCs w:val="20"/>
                <w:color w:val="auto"/>
              </w:rPr>
            </w:pPr>
            <w:r>
              <w:rPr>
                <w:rFonts w:ascii="Arial" w:cs="Arial" w:eastAsia="Arial" w:hAnsi="Arial"/>
                <w:sz w:val="13"/>
                <w:szCs w:val="13"/>
                <w:color w:val="auto"/>
              </w:rPr>
              <w:t>731 Arbor Way</w:t>
            </w:r>
          </w:p>
        </w:tc>
        <w:tc>
          <w:tcPr>
            <w:tcW w:w="1980" w:type="dxa"/>
            <w:vAlign w:val="bottom"/>
            <w:shd w:val="clear" w:color="auto" w:fill="CCEEFF"/>
          </w:tcPr>
          <w:p>
            <w:pPr>
              <w:ind w:left="34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380" w:type="dxa"/>
            <w:vAlign w:val="bottom"/>
            <w:shd w:val="clear" w:color="auto" w:fill="CCEEFF"/>
          </w:tcPr>
          <w:p>
            <w:pPr>
              <w:spacing w:after="0"/>
              <w:rPr>
                <w:sz w:val="11"/>
                <w:szCs w:val="11"/>
                <w:color w:val="auto"/>
              </w:rPr>
            </w:pPr>
          </w:p>
        </w:tc>
        <w:tc>
          <w:tcPr>
            <w:tcW w:w="3460" w:type="dxa"/>
            <w:vAlign w:val="bottom"/>
            <w:shd w:val="clear" w:color="auto" w:fill="CCEEFF"/>
          </w:tcPr>
          <w:p>
            <w:pPr>
              <w:ind w:left="700"/>
              <w:spacing w:after="0" w:line="128" w:lineRule="exact"/>
              <w:rPr>
                <w:sz w:val="20"/>
                <w:szCs w:val="20"/>
                <w:color w:val="auto"/>
              </w:rPr>
            </w:pPr>
            <w:r>
              <w:rPr>
                <w:rFonts w:ascii="Arial" w:cs="Arial" w:eastAsia="Arial" w:hAnsi="Arial"/>
                <w:sz w:val="13"/>
                <w:szCs w:val="13"/>
                <w:color w:val="auto"/>
              </w:rPr>
              <w:t>Suite 100</w:t>
            </w:r>
          </w:p>
        </w:tc>
        <w:tc>
          <w:tcPr>
            <w:tcW w:w="198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3380" w:type="dxa"/>
            <w:vAlign w:val="bottom"/>
            <w:shd w:val="clear" w:color="auto" w:fill="CCEEFF"/>
          </w:tcPr>
          <w:p>
            <w:pPr>
              <w:spacing w:after="0"/>
              <w:rPr>
                <w:sz w:val="14"/>
                <w:szCs w:val="14"/>
                <w:color w:val="auto"/>
              </w:rPr>
            </w:pPr>
          </w:p>
        </w:tc>
        <w:tc>
          <w:tcPr>
            <w:tcW w:w="3460" w:type="dxa"/>
            <w:vAlign w:val="bottom"/>
            <w:shd w:val="clear" w:color="auto" w:fill="CCEEFF"/>
          </w:tcPr>
          <w:p>
            <w:pPr>
              <w:ind w:left="700"/>
              <w:spacing w:after="0"/>
              <w:rPr>
                <w:sz w:val="20"/>
                <w:szCs w:val="20"/>
                <w:color w:val="auto"/>
              </w:rPr>
            </w:pPr>
            <w:r>
              <w:rPr>
                <w:rFonts w:ascii="Arial" w:cs="Arial" w:eastAsia="Arial" w:hAnsi="Arial"/>
                <w:sz w:val="13"/>
                <w:szCs w:val="13"/>
                <w:color w:val="auto"/>
              </w:rPr>
              <w:t>Blue Bell, PA 19422</w:t>
            </w:r>
          </w:p>
        </w:tc>
        <w:tc>
          <w:tcPr>
            <w:tcW w:w="198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3380" w:type="dxa"/>
            <w:vAlign w:val="bottom"/>
          </w:tcPr>
          <w:p>
            <w:pPr>
              <w:ind w:left="20"/>
              <w:spacing w:after="0" w:line="128" w:lineRule="exact"/>
              <w:rPr>
                <w:sz w:val="20"/>
                <w:szCs w:val="20"/>
                <w:color w:val="auto"/>
              </w:rPr>
            </w:pPr>
            <w:r>
              <w:rPr>
                <w:rFonts w:ascii="Arial" w:cs="Arial" w:eastAsia="Arial" w:hAnsi="Arial"/>
                <w:sz w:val="13"/>
                <w:szCs w:val="13"/>
                <w:color w:val="auto"/>
              </w:rPr>
              <w:t>Sunset Hills, LLC</w:t>
            </w:r>
          </w:p>
        </w:tc>
        <w:tc>
          <w:tcPr>
            <w:tcW w:w="3460" w:type="dxa"/>
            <w:vAlign w:val="bottom"/>
          </w:tcPr>
          <w:p>
            <w:pPr>
              <w:ind w:left="700"/>
              <w:spacing w:after="0" w:line="128" w:lineRule="exact"/>
              <w:rPr>
                <w:sz w:val="20"/>
                <w:szCs w:val="20"/>
                <w:color w:val="auto"/>
              </w:rPr>
            </w:pPr>
            <w:r>
              <w:rPr>
                <w:rFonts w:ascii="Arial" w:cs="Arial" w:eastAsia="Arial" w:hAnsi="Arial"/>
                <w:sz w:val="13"/>
                <w:szCs w:val="13"/>
                <w:color w:val="auto"/>
              </w:rPr>
              <w:t>4130 Parklake Avenue</w:t>
            </w:r>
          </w:p>
        </w:tc>
        <w:tc>
          <w:tcPr>
            <w:tcW w:w="1980" w:type="dxa"/>
            <w:vAlign w:val="bottom"/>
          </w:tcPr>
          <w:p>
            <w:pPr>
              <w:ind w:left="34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380" w:type="dxa"/>
            <w:vAlign w:val="bottom"/>
          </w:tcPr>
          <w:p>
            <w:pPr>
              <w:spacing w:after="0"/>
              <w:rPr>
                <w:sz w:val="11"/>
                <w:szCs w:val="11"/>
                <w:color w:val="auto"/>
              </w:rPr>
            </w:pPr>
          </w:p>
        </w:tc>
        <w:tc>
          <w:tcPr>
            <w:tcW w:w="3460" w:type="dxa"/>
            <w:vAlign w:val="bottom"/>
          </w:tcPr>
          <w:p>
            <w:pPr>
              <w:ind w:left="700"/>
              <w:spacing w:after="0" w:line="128" w:lineRule="exact"/>
              <w:rPr>
                <w:sz w:val="20"/>
                <w:szCs w:val="20"/>
                <w:color w:val="auto"/>
              </w:rPr>
            </w:pPr>
            <w:r>
              <w:rPr>
                <w:rFonts w:ascii="Arial" w:cs="Arial" w:eastAsia="Arial" w:hAnsi="Arial"/>
                <w:sz w:val="13"/>
                <w:szCs w:val="13"/>
                <w:color w:val="auto"/>
              </w:rPr>
              <w:t>Suite 400</w:t>
            </w:r>
          </w:p>
        </w:tc>
        <w:tc>
          <w:tcPr>
            <w:tcW w:w="198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3380" w:type="dxa"/>
            <w:vAlign w:val="bottom"/>
          </w:tcPr>
          <w:p>
            <w:pPr>
              <w:spacing w:after="0"/>
              <w:rPr>
                <w:sz w:val="14"/>
                <w:szCs w:val="14"/>
                <w:color w:val="auto"/>
              </w:rPr>
            </w:pPr>
          </w:p>
        </w:tc>
        <w:tc>
          <w:tcPr>
            <w:tcW w:w="3460" w:type="dxa"/>
            <w:vAlign w:val="bottom"/>
          </w:tcPr>
          <w:p>
            <w:pPr>
              <w:ind w:left="700"/>
              <w:spacing w:after="0"/>
              <w:rPr>
                <w:sz w:val="20"/>
                <w:szCs w:val="20"/>
                <w:color w:val="auto"/>
              </w:rPr>
            </w:pPr>
            <w:r>
              <w:rPr>
                <w:rFonts w:ascii="Arial" w:cs="Arial" w:eastAsia="Arial" w:hAnsi="Arial"/>
                <w:sz w:val="13"/>
                <w:szCs w:val="13"/>
                <w:color w:val="auto"/>
              </w:rPr>
              <w:t>Raleigh, NC 27612</w:t>
            </w:r>
          </w:p>
        </w:tc>
        <w:tc>
          <w:tcPr>
            <w:tcW w:w="198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3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Symphony Health Solutions Corporation</w:t>
            </w:r>
          </w:p>
        </w:tc>
        <w:tc>
          <w:tcPr>
            <w:tcW w:w="3460" w:type="dxa"/>
            <w:vAlign w:val="bottom"/>
            <w:shd w:val="clear" w:color="auto" w:fill="CCEEFF"/>
          </w:tcPr>
          <w:p>
            <w:pPr>
              <w:ind w:left="700"/>
              <w:spacing w:after="0" w:line="129" w:lineRule="exact"/>
              <w:rPr>
                <w:sz w:val="20"/>
                <w:szCs w:val="20"/>
                <w:color w:val="auto"/>
              </w:rPr>
            </w:pPr>
            <w:r>
              <w:rPr>
                <w:rFonts w:ascii="Arial" w:cs="Arial" w:eastAsia="Arial" w:hAnsi="Arial"/>
                <w:sz w:val="13"/>
                <w:szCs w:val="13"/>
                <w:color w:val="auto"/>
              </w:rPr>
              <w:t>731 Arbor Way</w:t>
            </w:r>
          </w:p>
        </w:tc>
        <w:tc>
          <w:tcPr>
            <w:tcW w:w="1980" w:type="dxa"/>
            <w:vAlign w:val="bottom"/>
            <w:shd w:val="clear" w:color="auto" w:fill="CCEEFF"/>
          </w:tcPr>
          <w:p>
            <w:pPr>
              <w:ind w:left="34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380" w:type="dxa"/>
            <w:vAlign w:val="bottom"/>
            <w:shd w:val="clear" w:color="auto" w:fill="CCEEFF"/>
          </w:tcPr>
          <w:p>
            <w:pPr>
              <w:spacing w:after="0"/>
              <w:rPr>
                <w:sz w:val="11"/>
                <w:szCs w:val="11"/>
                <w:color w:val="auto"/>
              </w:rPr>
            </w:pPr>
          </w:p>
        </w:tc>
        <w:tc>
          <w:tcPr>
            <w:tcW w:w="3460" w:type="dxa"/>
            <w:vAlign w:val="bottom"/>
            <w:shd w:val="clear" w:color="auto" w:fill="CCEEFF"/>
          </w:tcPr>
          <w:p>
            <w:pPr>
              <w:ind w:left="700"/>
              <w:spacing w:after="0" w:line="128" w:lineRule="exact"/>
              <w:rPr>
                <w:sz w:val="20"/>
                <w:szCs w:val="20"/>
                <w:color w:val="auto"/>
              </w:rPr>
            </w:pPr>
            <w:r>
              <w:rPr>
                <w:rFonts w:ascii="Arial" w:cs="Arial" w:eastAsia="Arial" w:hAnsi="Arial"/>
                <w:sz w:val="13"/>
                <w:szCs w:val="13"/>
                <w:color w:val="auto"/>
              </w:rPr>
              <w:t>Suite 100</w:t>
            </w:r>
          </w:p>
        </w:tc>
        <w:tc>
          <w:tcPr>
            <w:tcW w:w="198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3380" w:type="dxa"/>
            <w:vAlign w:val="bottom"/>
            <w:shd w:val="clear" w:color="auto" w:fill="CCEEFF"/>
          </w:tcPr>
          <w:p>
            <w:pPr>
              <w:spacing w:after="0"/>
              <w:rPr>
                <w:sz w:val="14"/>
                <w:szCs w:val="14"/>
                <w:color w:val="auto"/>
              </w:rPr>
            </w:pPr>
          </w:p>
        </w:tc>
        <w:tc>
          <w:tcPr>
            <w:tcW w:w="3460" w:type="dxa"/>
            <w:vAlign w:val="bottom"/>
            <w:shd w:val="clear" w:color="auto" w:fill="CCEEFF"/>
          </w:tcPr>
          <w:p>
            <w:pPr>
              <w:ind w:left="700"/>
              <w:spacing w:after="0"/>
              <w:rPr>
                <w:sz w:val="20"/>
                <w:szCs w:val="20"/>
                <w:color w:val="auto"/>
              </w:rPr>
            </w:pPr>
            <w:r>
              <w:rPr>
                <w:rFonts w:ascii="Arial" w:cs="Arial" w:eastAsia="Arial" w:hAnsi="Arial"/>
                <w:sz w:val="13"/>
                <w:szCs w:val="13"/>
                <w:color w:val="auto"/>
              </w:rPr>
              <w:t>Blue Bell, PA 19422</w:t>
            </w:r>
          </w:p>
        </w:tc>
        <w:tc>
          <w:tcPr>
            <w:tcW w:w="198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3380" w:type="dxa"/>
            <w:vAlign w:val="bottom"/>
          </w:tcPr>
          <w:p>
            <w:pPr>
              <w:ind w:left="20"/>
              <w:spacing w:after="0" w:line="128" w:lineRule="exact"/>
              <w:rPr>
                <w:sz w:val="20"/>
                <w:szCs w:val="20"/>
                <w:color w:val="auto"/>
              </w:rPr>
            </w:pPr>
            <w:r>
              <w:rPr>
                <w:rFonts w:ascii="Arial" w:cs="Arial" w:eastAsia="Arial" w:hAnsi="Arial"/>
                <w:sz w:val="13"/>
                <w:szCs w:val="13"/>
                <w:color w:val="auto"/>
              </w:rPr>
              <w:t>Accellacare of Christie Clinic, LLC</w:t>
            </w:r>
          </w:p>
        </w:tc>
        <w:tc>
          <w:tcPr>
            <w:tcW w:w="3460" w:type="dxa"/>
            <w:vAlign w:val="bottom"/>
          </w:tcPr>
          <w:p>
            <w:pPr>
              <w:ind w:left="700"/>
              <w:spacing w:after="0" w:line="128" w:lineRule="exact"/>
              <w:rPr>
                <w:sz w:val="20"/>
                <w:szCs w:val="20"/>
                <w:color w:val="auto"/>
              </w:rPr>
            </w:pPr>
            <w:r>
              <w:rPr>
                <w:rFonts w:ascii="Arial" w:cs="Arial" w:eastAsia="Arial" w:hAnsi="Arial"/>
                <w:sz w:val="13"/>
                <w:szCs w:val="13"/>
                <w:color w:val="auto"/>
              </w:rPr>
              <w:t>101 West University Avenue,Champaign IL</w:t>
            </w:r>
          </w:p>
        </w:tc>
        <w:tc>
          <w:tcPr>
            <w:tcW w:w="1980" w:type="dxa"/>
            <w:vAlign w:val="bottom"/>
          </w:tcPr>
          <w:p>
            <w:pPr>
              <w:ind w:left="34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68"/>
        </w:trPr>
        <w:tc>
          <w:tcPr>
            <w:tcW w:w="3380" w:type="dxa"/>
            <w:vAlign w:val="bottom"/>
          </w:tcPr>
          <w:p>
            <w:pPr>
              <w:spacing w:after="0"/>
              <w:rPr>
                <w:sz w:val="14"/>
                <w:szCs w:val="14"/>
                <w:color w:val="auto"/>
              </w:rPr>
            </w:pPr>
          </w:p>
        </w:tc>
        <w:tc>
          <w:tcPr>
            <w:tcW w:w="3460" w:type="dxa"/>
            <w:vAlign w:val="bottom"/>
          </w:tcPr>
          <w:p>
            <w:pPr>
              <w:ind w:left="700"/>
              <w:spacing w:after="0"/>
              <w:rPr>
                <w:sz w:val="20"/>
                <w:szCs w:val="20"/>
                <w:color w:val="auto"/>
              </w:rPr>
            </w:pPr>
            <w:r>
              <w:rPr>
                <w:rFonts w:ascii="Arial" w:cs="Arial" w:eastAsia="Arial" w:hAnsi="Arial"/>
                <w:sz w:val="13"/>
                <w:szCs w:val="13"/>
                <w:color w:val="auto"/>
              </w:rPr>
              <w:t>61820,United States</w:t>
            </w:r>
          </w:p>
        </w:tc>
        <w:tc>
          <w:tcPr>
            <w:tcW w:w="198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3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Clinical Resource Network, LLC</w:t>
            </w:r>
          </w:p>
        </w:tc>
        <w:tc>
          <w:tcPr>
            <w:tcW w:w="3460" w:type="dxa"/>
            <w:vAlign w:val="bottom"/>
            <w:shd w:val="clear" w:color="auto" w:fill="CCEEFF"/>
          </w:tcPr>
          <w:p>
            <w:pPr>
              <w:ind w:left="700"/>
              <w:spacing w:after="0" w:line="129" w:lineRule="exact"/>
              <w:rPr>
                <w:sz w:val="20"/>
                <w:szCs w:val="20"/>
                <w:color w:val="auto"/>
              </w:rPr>
            </w:pPr>
            <w:r>
              <w:rPr>
                <w:rFonts w:ascii="Arial" w:cs="Arial" w:eastAsia="Arial" w:hAnsi="Arial"/>
                <w:sz w:val="13"/>
                <w:szCs w:val="13"/>
                <w:color w:val="auto"/>
              </w:rPr>
              <w:t>700 Deerpath Drive</w:t>
            </w:r>
          </w:p>
        </w:tc>
        <w:tc>
          <w:tcPr>
            <w:tcW w:w="1980" w:type="dxa"/>
            <w:vAlign w:val="bottom"/>
            <w:shd w:val="clear" w:color="auto" w:fill="CCEEFF"/>
          </w:tcPr>
          <w:p>
            <w:pPr>
              <w:ind w:left="34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38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DBA</w:t>
            </w:r>
          </w:p>
        </w:tc>
        <w:tc>
          <w:tcPr>
            <w:tcW w:w="3460" w:type="dxa"/>
            <w:vAlign w:val="bottom"/>
            <w:shd w:val="clear" w:color="auto" w:fill="CCEEFF"/>
          </w:tcPr>
          <w:p>
            <w:pPr>
              <w:ind w:left="700"/>
              <w:spacing w:after="0" w:line="128" w:lineRule="exact"/>
              <w:rPr>
                <w:sz w:val="20"/>
                <w:szCs w:val="20"/>
                <w:color w:val="auto"/>
              </w:rPr>
            </w:pPr>
            <w:r>
              <w:rPr>
                <w:rFonts w:ascii="Arial" w:cs="Arial" w:eastAsia="Arial" w:hAnsi="Arial"/>
                <w:sz w:val="13"/>
                <w:szCs w:val="13"/>
                <w:color w:val="auto"/>
              </w:rPr>
              <w:t>Vernon Hills, IL.</w:t>
            </w:r>
          </w:p>
        </w:tc>
        <w:tc>
          <w:tcPr>
            <w:tcW w:w="198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3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SYMPHONY CLINICAL RESEARCH************</w:t>
            </w:r>
          </w:p>
        </w:tc>
        <w:tc>
          <w:tcPr>
            <w:tcW w:w="3460" w:type="dxa"/>
            <w:vAlign w:val="bottom"/>
            <w:shd w:val="clear" w:color="auto" w:fill="CCEEFF"/>
          </w:tcPr>
          <w:p>
            <w:pPr>
              <w:ind w:left="700"/>
              <w:spacing w:after="0"/>
              <w:rPr>
                <w:sz w:val="20"/>
                <w:szCs w:val="20"/>
                <w:color w:val="auto"/>
              </w:rPr>
            </w:pPr>
            <w:r>
              <w:rPr>
                <w:rFonts w:ascii="Arial" w:cs="Arial" w:eastAsia="Arial" w:hAnsi="Arial"/>
                <w:sz w:val="13"/>
                <w:szCs w:val="13"/>
                <w:color w:val="auto"/>
              </w:rPr>
              <w:t>60061-1801</w:t>
            </w:r>
          </w:p>
        </w:tc>
        <w:tc>
          <w:tcPr>
            <w:tcW w:w="198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bl>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135</w:t>
      </w:r>
    </w:p>
    <w:p>
      <w:pPr>
        <w:sectPr>
          <w:pgSz w:w="11900" w:h="16838" w:orient="portrait"/>
          <w:cols w:equalWidth="0" w:num="1">
            <w:col w:w="11260"/>
          </w:cols>
          <w:pgMar w:left="300" w:top="697" w:right="33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32.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3080" w:type="dxa"/>
            <w:vAlign w:val="bottom"/>
            <w:shd w:val="clear" w:color="auto" w:fill="CCEEFF"/>
          </w:tcPr>
          <w:p>
            <w:pPr>
              <w:ind w:left="820"/>
              <w:spacing w:after="0"/>
              <w:rPr>
                <w:sz w:val="20"/>
                <w:szCs w:val="20"/>
                <w:color w:val="auto"/>
              </w:rPr>
            </w:pPr>
            <w:r>
              <w:rPr>
                <w:rFonts w:ascii="Arial" w:cs="Arial" w:eastAsia="Arial" w:hAnsi="Arial"/>
                <w:sz w:val="13"/>
                <w:szCs w:val="13"/>
                <w:b w:val="1"/>
                <w:bCs w:val="1"/>
                <w:color w:val="auto"/>
              </w:rPr>
              <w:t>Registered Office</w:t>
            </w:r>
          </w:p>
        </w:tc>
        <w:tc>
          <w:tcPr>
            <w:tcW w:w="2480" w:type="dxa"/>
            <w:vAlign w:val="bottom"/>
            <w:shd w:val="clear" w:color="auto" w:fill="CCEEFF"/>
          </w:tcPr>
          <w:p>
            <w:pPr>
              <w:ind w:left="840"/>
              <w:spacing w:after="0"/>
              <w:rPr>
                <w:sz w:val="20"/>
                <w:szCs w:val="20"/>
                <w:color w:val="auto"/>
              </w:rPr>
            </w:pPr>
            <w:r>
              <w:rPr>
                <w:rFonts w:ascii="Arial" w:cs="Arial" w:eastAsia="Arial" w:hAnsi="Arial"/>
                <w:sz w:val="13"/>
                <w:szCs w:val="13"/>
                <w:b w:val="1"/>
                <w:bCs w:val="1"/>
                <w:color w:val="auto"/>
              </w:rPr>
              <w:t>Nature of business</w:t>
            </w:r>
          </w:p>
        </w:tc>
        <w:tc>
          <w:tcPr>
            <w:tcW w:w="244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Proportion held by</w:t>
            </w:r>
          </w:p>
        </w:tc>
      </w:tr>
      <w:tr>
        <w:trPr>
          <w:trHeight w:val="170"/>
        </w:trPr>
        <w:tc>
          <w:tcPr>
            <w:tcW w:w="3260" w:type="dxa"/>
            <w:vAlign w:val="bottom"/>
            <w:tcBorders>
              <w:bottom w:val="single" w:sz="8" w:color="auto"/>
            </w:tcBorders>
            <w:shd w:val="clear" w:color="auto" w:fill="CCEEFF"/>
          </w:tcPr>
          <w:p>
            <w:pPr>
              <w:spacing w:after="0"/>
              <w:rPr>
                <w:sz w:val="14"/>
                <w:szCs w:val="14"/>
                <w:color w:val="auto"/>
              </w:rPr>
            </w:pPr>
          </w:p>
        </w:tc>
        <w:tc>
          <w:tcPr>
            <w:tcW w:w="3080" w:type="dxa"/>
            <w:vAlign w:val="bottom"/>
            <w:tcBorders>
              <w:bottom w:val="single" w:sz="8" w:color="auto"/>
            </w:tcBorders>
            <w:shd w:val="clear" w:color="auto" w:fill="CCEEFF"/>
          </w:tcPr>
          <w:p>
            <w:pPr>
              <w:spacing w:after="0"/>
              <w:rPr>
                <w:sz w:val="14"/>
                <w:szCs w:val="14"/>
                <w:color w:val="auto"/>
              </w:rPr>
            </w:pPr>
          </w:p>
        </w:tc>
        <w:tc>
          <w:tcPr>
            <w:tcW w:w="2480" w:type="dxa"/>
            <w:vAlign w:val="bottom"/>
            <w:tcBorders>
              <w:bottom w:val="single" w:sz="8" w:color="auto"/>
            </w:tcBorders>
            <w:shd w:val="clear" w:color="auto" w:fill="CCEEFF"/>
          </w:tcPr>
          <w:p>
            <w:pPr>
              <w:spacing w:after="0"/>
              <w:rPr>
                <w:sz w:val="14"/>
                <w:szCs w:val="14"/>
                <w:color w:val="auto"/>
              </w:rPr>
            </w:pPr>
          </w:p>
        </w:tc>
        <w:tc>
          <w:tcPr>
            <w:tcW w:w="24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3"/>
                <w:szCs w:val="13"/>
                <w:b w:val="1"/>
                <w:bCs w:val="1"/>
                <w:color w:val="auto"/>
              </w:rPr>
              <w:t>Group</w:t>
            </w:r>
          </w:p>
        </w:tc>
      </w:tr>
      <w:tr>
        <w:trPr>
          <w:trHeight w:val="118"/>
        </w:trPr>
        <w:tc>
          <w:tcPr>
            <w:tcW w:w="3260" w:type="dxa"/>
            <w:vAlign w:val="bottom"/>
          </w:tcPr>
          <w:p>
            <w:pPr>
              <w:ind w:left="20"/>
              <w:spacing w:after="0" w:line="118" w:lineRule="exact"/>
              <w:rPr>
                <w:sz w:val="20"/>
                <w:szCs w:val="20"/>
                <w:color w:val="auto"/>
              </w:rPr>
            </w:pPr>
            <w:r>
              <w:rPr>
                <w:rFonts w:ascii="Arial" w:cs="Arial" w:eastAsia="Arial" w:hAnsi="Arial"/>
                <w:sz w:val="13"/>
                <w:szCs w:val="13"/>
                <w:color w:val="auto"/>
              </w:rPr>
              <w:t>DOCS Global, Inc.</w:t>
            </w:r>
          </w:p>
        </w:tc>
        <w:tc>
          <w:tcPr>
            <w:tcW w:w="3080" w:type="dxa"/>
            <w:vAlign w:val="bottom"/>
          </w:tcPr>
          <w:p>
            <w:pPr>
              <w:ind w:left="820"/>
              <w:spacing w:after="0" w:line="118" w:lineRule="exact"/>
              <w:rPr>
                <w:sz w:val="20"/>
                <w:szCs w:val="20"/>
                <w:color w:val="auto"/>
              </w:rPr>
            </w:pPr>
            <w:r>
              <w:rPr>
                <w:rFonts w:ascii="Arial" w:cs="Arial" w:eastAsia="Arial" w:hAnsi="Arial"/>
                <w:sz w:val="13"/>
                <w:szCs w:val="13"/>
                <w:color w:val="auto"/>
              </w:rPr>
              <w:t>731 Arbor Way</w:t>
            </w:r>
          </w:p>
        </w:tc>
        <w:tc>
          <w:tcPr>
            <w:tcW w:w="2480" w:type="dxa"/>
            <w:vAlign w:val="bottom"/>
          </w:tcPr>
          <w:p>
            <w:pPr>
              <w:ind w:left="840"/>
              <w:spacing w:after="0" w:line="11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18" w:lineRule="exact"/>
              <w:rPr>
                <w:sz w:val="20"/>
                <w:szCs w:val="20"/>
                <w:color w:val="auto"/>
              </w:rPr>
            </w:pPr>
            <w:r>
              <w:rPr>
                <w:rFonts w:ascii="Arial" w:cs="Arial" w:eastAsia="Arial" w:hAnsi="Arial"/>
                <w:sz w:val="13"/>
                <w:szCs w:val="13"/>
                <w:color w:val="auto"/>
              </w:rPr>
              <w:t>100%</w:t>
            </w:r>
          </w:p>
        </w:tc>
      </w:tr>
      <w:tr>
        <w:trPr>
          <w:trHeight w:val="127"/>
        </w:trPr>
        <w:tc>
          <w:tcPr>
            <w:tcW w:w="3260" w:type="dxa"/>
            <w:vAlign w:val="bottom"/>
          </w:tcPr>
          <w:p>
            <w:pPr>
              <w:spacing w:after="0"/>
              <w:rPr>
                <w:sz w:val="11"/>
                <w:szCs w:val="11"/>
                <w:color w:val="auto"/>
              </w:rPr>
            </w:pPr>
          </w:p>
        </w:tc>
        <w:tc>
          <w:tcPr>
            <w:tcW w:w="3080" w:type="dxa"/>
            <w:vAlign w:val="bottom"/>
          </w:tcPr>
          <w:p>
            <w:pPr>
              <w:ind w:left="820"/>
              <w:spacing w:after="0" w:line="128" w:lineRule="exact"/>
              <w:rPr>
                <w:sz w:val="20"/>
                <w:szCs w:val="20"/>
                <w:color w:val="auto"/>
              </w:rPr>
            </w:pPr>
            <w:r>
              <w:rPr>
                <w:rFonts w:ascii="Arial" w:cs="Arial" w:eastAsia="Arial" w:hAnsi="Arial"/>
                <w:sz w:val="13"/>
                <w:szCs w:val="13"/>
                <w:color w:val="auto"/>
              </w:rPr>
              <w:t>Suite 100</w:t>
            </w:r>
          </w:p>
        </w:tc>
        <w:tc>
          <w:tcPr>
            <w:tcW w:w="248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260" w:type="dxa"/>
            <w:vAlign w:val="bottom"/>
          </w:tcPr>
          <w:p>
            <w:pPr>
              <w:spacing w:after="0"/>
              <w:rPr>
                <w:sz w:val="11"/>
                <w:szCs w:val="11"/>
                <w:color w:val="auto"/>
              </w:rPr>
            </w:pPr>
          </w:p>
        </w:tc>
        <w:tc>
          <w:tcPr>
            <w:tcW w:w="3080" w:type="dxa"/>
            <w:vAlign w:val="bottom"/>
          </w:tcPr>
          <w:p>
            <w:pPr>
              <w:ind w:left="820"/>
              <w:spacing w:after="0" w:line="128" w:lineRule="exact"/>
              <w:rPr>
                <w:sz w:val="20"/>
                <w:szCs w:val="20"/>
                <w:color w:val="auto"/>
              </w:rPr>
            </w:pPr>
            <w:r>
              <w:rPr>
                <w:rFonts w:ascii="Arial" w:cs="Arial" w:eastAsia="Arial" w:hAnsi="Arial"/>
                <w:sz w:val="13"/>
                <w:szCs w:val="13"/>
                <w:color w:val="auto"/>
              </w:rPr>
              <w:t>Blue Bell, PA</w:t>
            </w:r>
          </w:p>
        </w:tc>
        <w:tc>
          <w:tcPr>
            <w:tcW w:w="248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3260" w:type="dxa"/>
            <w:vAlign w:val="bottom"/>
          </w:tcPr>
          <w:p>
            <w:pPr>
              <w:spacing w:after="0"/>
              <w:rPr>
                <w:sz w:val="14"/>
                <w:szCs w:val="14"/>
                <w:color w:val="auto"/>
              </w:rPr>
            </w:pPr>
          </w:p>
        </w:tc>
        <w:tc>
          <w:tcPr>
            <w:tcW w:w="3080" w:type="dxa"/>
            <w:vAlign w:val="bottom"/>
          </w:tcPr>
          <w:p>
            <w:pPr>
              <w:ind w:left="820"/>
              <w:spacing w:after="0"/>
              <w:rPr>
                <w:sz w:val="20"/>
                <w:szCs w:val="20"/>
                <w:color w:val="auto"/>
              </w:rPr>
            </w:pPr>
            <w:r>
              <w:rPr>
                <w:rFonts w:ascii="Arial" w:cs="Arial" w:eastAsia="Arial" w:hAnsi="Arial"/>
                <w:sz w:val="13"/>
                <w:szCs w:val="13"/>
                <w:color w:val="auto"/>
              </w:rPr>
              <w:t>United States, 19422</w:t>
            </w:r>
          </w:p>
        </w:tc>
        <w:tc>
          <w:tcPr>
            <w:tcW w:w="248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2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Managed Care Strategic Solutions, L.L.C.</w:t>
            </w:r>
          </w:p>
        </w:tc>
        <w:tc>
          <w:tcPr>
            <w:tcW w:w="3080" w:type="dxa"/>
            <w:vAlign w:val="bottom"/>
            <w:shd w:val="clear" w:color="auto" w:fill="CCEEFF"/>
          </w:tcPr>
          <w:p>
            <w:pPr>
              <w:ind w:left="820"/>
              <w:spacing w:after="0" w:line="129" w:lineRule="exact"/>
              <w:rPr>
                <w:sz w:val="20"/>
                <w:szCs w:val="20"/>
                <w:color w:val="auto"/>
              </w:rPr>
            </w:pPr>
            <w:r>
              <w:rPr>
                <w:rFonts w:ascii="Arial" w:cs="Arial" w:eastAsia="Arial" w:hAnsi="Arial"/>
                <w:sz w:val="13"/>
                <w:szCs w:val="13"/>
                <w:color w:val="auto"/>
              </w:rPr>
              <w:t>731 Arbor Way</w:t>
            </w:r>
          </w:p>
        </w:tc>
        <w:tc>
          <w:tcPr>
            <w:tcW w:w="2480" w:type="dxa"/>
            <w:vAlign w:val="bottom"/>
            <w:shd w:val="clear" w:color="auto" w:fill="CCEEFF"/>
          </w:tcPr>
          <w:p>
            <w:pPr>
              <w:ind w:left="84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260" w:type="dxa"/>
            <w:vAlign w:val="bottom"/>
            <w:shd w:val="clear" w:color="auto" w:fill="CCEEFF"/>
          </w:tcPr>
          <w:p>
            <w:pPr>
              <w:spacing w:after="0"/>
              <w:rPr>
                <w:sz w:val="11"/>
                <w:szCs w:val="11"/>
                <w:color w:val="auto"/>
              </w:rPr>
            </w:pPr>
          </w:p>
        </w:tc>
        <w:tc>
          <w:tcPr>
            <w:tcW w:w="3080" w:type="dxa"/>
            <w:vAlign w:val="bottom"/>
            <w:shd w:val="clear" w:color="auto" w:fill="CCEEFF"/>
          </w:tcPr>
          <w:p>
            <w:pPr>
              <w:ind w:left="820"/>
              <w:spacing w:after="0" w:line="128" w:lineRule="exact"/>
              <w:rPr>
                <w:sz w:val="20"/>
                <w:szCs w:val="20"/>
                <w:color w:val="auto"/>
              </w:rPr>
            </w:pPr>
            <w:r>
              <w:rPr>
                <w:rFonts w:ascii="Arial" w:cs="Arial" w:eastAsia="Arial" w:hAnsi="Arial"/>
                <w:sz w:val="13"/>
                <w:szCs w:val="13"/>
                <w:color w:val="auto"/>
              </w:rPr>
              <w:t>Suite 100</w:t>
            </w:r>
          </w:p>
        </w:tc>
        <w:tc>
          <w:tcPr>
            <w:tcW w:w="248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260" w:type="dxa"/>
            <w:vAlign w:val="bottom"/>
            <w:shd w:val="clear" w:color="auto" w:fill="CCEEFF"/>
          </w:tcPr>
          <w:p>
            <w:pPr>
              <w:spacing w:after="0"/>
              <w:rPr>
                <w:sz w:val="11"/>
                <w:szCs w:val="11"/>
                <w:color w:val="auto"/>
              </w:rPr>
            </w:pPr>
          </w:p>
        </w:tc>
        <w:tc>
          <w:tcPr>
            <w:tcW w:w="3080" w:type="dxa"/>
            <w:vAlign w:val="bottom"/>
            <w:shd w:val="clear" w:color="auto" w:fill="CCEEFF"/>
          </w:tcPr>
          <w:p>
            <w:pPr>
              <w:ind w:left="820"/>
              <w:spacing w:after="0" w:line="128" w:lineRule="exact"/>
              <w:rPr>
                <w:sz w:val="20"/>
                <w:szCs w:val="20"/>
                <w:color w:val="auto"/>
              </w:rPr>
            </w:pPr>
            <w:r>
              <w:rPr>
                <w:rFonts w:ascii="Arial" w:cs="Arial" w:eastAsia="Arial" w:hAnsi="Arial"/>
                <w:sz w:val="13"/>
                <w:szCs w:val="13"/>
                <w:color w:val="auto"/>
              </w:rPr>
              <w:t>Blue Bell, PA</w:t>
            </w:r>
          </w:p>
        </w:tc>
        <w:tc>
          <w:tcPr>
            <w:tcW w:w="248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3260" w:type="dxa"/>
            <w:vAlign w:val="bottom"/>
            <w:shd w:val="clear" w:color="auto" w:fill="CCEEFF"/>
          </w:tcPr>
          <w:p>
            <w:pPr>
              <w:spacing w:after="0"/>
              <w:rPr>
                <w:sz w:val="14"/>
                <w:szCs w:val="14"/>
                <w:color w:val="auto"/>
              </w:rPr>
            </w:pPr>
          </w:p>
        </w:tc>
        <w:tc>
          <w:tcPr>
            <w:tcW w:w="3080" w:type="dxa"/>
            <w:vAlign w:val="bottom"/>
            <w:shd w:val="clear" w:color="auto" w:fill="CCEEFF"/>
          </w:tcPr>
          <w:p>
            <w:pPr>
              <w:ind w:left="820"/>
              <w:spacing w:after="0"/>
              <w:rPr>
                <w:sz w:val="20"/>
                <w:szCs w:val="20"/>
                <w:color w:val="auto"/>
              </w:rPr>
            </w:pPr>
            <w:r>
              <w:rPr>
                <w:rFonts w:ascii="Arial" w:cs="Arial" w:eastAsia="Arial" w:hAnsi="Arial"/>
                <w:sz w:val="13"/>
                <w:szCs w:val="13"/>
                <w:color w:val="auto"/>
              </w:rPr>
              <w:t>United States, 19422</w:t>
            </w:r>
          </w:p>
        </w:tc>
        <w:tc>
          <w:tcPr>
            <w:tcW w:w="248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3260" w:type="dxa"/>
            <w:vAlign w:val="bottom"/>
          </w:tcPr>
          <w:p>
            <w:pPr>
              <w:ind w:left="20"/>
              <w:spacing w:after="0" w:line="128" w:lineRule="exact"/>
              <w:rPr>
                <w:sz w:val="20"/>
                <w:szCs w:val="20"/>
                <w:color w:val="auto"/>
              </w:rPr>
            </w:pPr>
            <w:r>
              <w:rPr>
                <w:rFonts w:ascii="Arial" w:cs="Arial" w:eastAsia="Arial" w:hAnsi="Arial"/>
                <w:sz w:val="13"/>
                <w:szCs w:val="13"/>
                <w:color w:val="auto"/>
              </w:rPr>
              <w:t>CRI International, LLC</w:t>
            </w:r>
          </w:p>
        </w:tc>
        <w:tc>
          <w:tcPr>
            <w:tcW w:w="3080" w:type="dxa"/>
            <w:vAlign w:val="bottom"/>
          </w:tcPr>
          <w:p>
            <w:pPr>
              <w:ind w:left="820"/>
              <w:spacing w:after="0" w:line="128" w:lineRule="exact"/>
              <w:rPr>
                <w:sz w:val="20"/>
                <w:szCs w:val="20"/>
                <w:color w:val="auto"/>
              </w:rPr>
            </w:pPr>
            <w:r>
              <w:rPr>
                <w:rFonts w:ascii="Arial" w:cs="Arial" w:eastAsia="Arial" w:hAnsi="Arial"/>
                <w:sz w:val="13"/>
                <w:szCs w:val="13"/>
                <w:color w:val="auto"/>
              </w:rPr>
              <w:t>4130 Parklake Avenue</w:t>
            </w:r>
          </w:p>
        </w:tc>
        <w:tc>
          <w:tcPr>
            <w:tcW w:w="2480" w:type="dxa"/>
            <w:vAlign w:val="bottom"/>
          </w:tcPr>
          <w:p>
            <w:pPr>
              <w:ind w:left="84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260" w:type="dxa"/>
            <w:vAlign w:val="bottom"/>
          </w:tcPr>
          <w:p>
            <w:pPr>
              <w:spacing w:after="0"/>
              <w:rPr>
                <w:sz w:val="11"/>
                <w:szCs w:val="11"/>
                <w:color w:val="auto"/>
              </w:rPr>
            </w:pPr>
          </w:p>
        </w:tc>
        <w:tc>
          <w:tcPr>
            <w:tcW w:w="3080" w:type="dxa"/>
            <w:vAlign w:val="bottom"/>
          </w:tcPr>
          <w:p>
            <w:pPr>
              <w:ind w:left="820"/>
              <w:spacing w:after="0" w:line="128" w:lineRule="exact"/>
              <w:rPr>
                <w:sz w:val="20"/>
                <w:szCs w:val="20"/>
                <w:color w:val="auto"/>
              </w:rPr>
            </w:pPr>
            <w:r>
              <w:rPr>
                <w:rFonts w:ascii="Arial" w:cs="Arial" w:eastAsia="Arial" w:hAnsi="Arial"/>
                <w:sz w:val="13"/>
                <w:szCs w:val="13"/>
                <w:color w:val="auto"/>
              </w:rPr>
              <w:t>Suite 400</w:t>
            </w:r>
          </w:p>
        </w:tc>
        <w:tc>
          <w:tcPr>
            <w:tcW w:w="248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3260" w:type="dxa"/>
            <w:vAlign w:val="bottom"/>
          </w:tcPr>
          <w:p>
            <w:pPr>
              <w:spacing w:after="0"/>
              <w:rPr>
                <w:sz w:val="14"/>
                <w:szCs w:val="14"/>
                <w:color w:val="auto"/>
              </w:rPr>
            </w:pPr>
          </w:p>
        </w:tc>
        <w:tc>
          <w:tcPr>
            <w:tcW w:w="3080" w:type="dxa"/>
            <w:vAlign w:val="bottom"/>
          </w:tcPr>
          <w:p>
            <w:pPr>
              <w:ind w:left="820"/>
              <w:spacing w:after="0"/>
              <w:rPr>
                <w:sz w:val="20"/>
                <w:szCs w:val="20"/>
                <w:color w:val="auto"/>
              </w:rPr>
            </w:pPr>
            <w:r>
              <w:rPr>
                <w:rFonts w:ascii="Arial" w:cs="Arial" w:eastAsia="Arial" w:hAnsi="Arial"/>
                <w:sz w:val="13"/>
                <w:szCs w:val="13"/>
                <w:color w:val="auto"/>
              </w:rPr>
              <w:t>Raleigh, NC 27612</w:t>
            </w:r>
          </w:p>
        </w:tc>
        <w:tc>
          <w:tcPr>
            <w:tcW w:w="248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2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Accellacare of Charlotte, LLC</w:t>
            </w:r>
          </w:p>
        </w:tc>
        <w:tc>
          <w:tcPr>
            <w:tcW w:w="3080" w:type="dxa"/>
            <w:vAlign w:val="bottom"/>
            <w:shd w:val="clear" w:color="auto" w:fill="CCEEFF"/>
          </w:tcPr>
          <w:p>
            <w:pPr>
              <w:ind w:left="820"/>
              <w:spacing w:after="0" w:line="129" w:lineRule="exact"/>
              <w:rPr>
                <w:sz w:val="20"/>
                <w:szCs w:val="20"/>
                <w:color w:val="auto"/>
              </w:rPr>
            </w:pPr>
            <w:r>
              <w:rPr>
                <w:rFonts w:ascii="Arial" w:cs="Arial" w:eastAsia="Arial" w:hAnsi="Arial"/>
                <w:sz w:val="13"/>
                <w:szCs w:val="13"/>
                <w:color w:val="auto"/>
              </w:rPr>
              <w:t>1700 Abbey Place</w:t>
            </w:r>
          </w:p>
        </w:tc>
        <w:tc>
          <w:tcPr>
            <w:tcW w:w="2480" w:type="dxa"/>
            <w:vAlign w:val="bottom"/>
            <w:shd w:val="clear" w:color="auto" w:fill="CCEEFF"/>
          </w:tcPr>
          <w:p>
            <w:pPr>
              <w:ind w:left="84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260" w:type="dxa"/>
            <w:vAlign w:val="bottom"/>
            <w:shd w:val="clear" w:color="auto" w:fill="CCEEFF"/>
          </w:tcPr>
          <w:p>
            <w:pPr>
              <w:spacing w:after="0"/>
              <w:rPr>
                <w:sz w:val="11"/>
                <w:szCs w:val="11"/>
                <w:color w:val="auto"/>
              </w:rPr>
            </w:pPr>
          </w:p>
        </w:tc>
        <w:tc>
          <w:tcPr>
            <w:tcW w:w="3080" w:type="dxa"/>
            <w:vAlign w:val="bottom"/>
            <w:shd w:val="clear" w:color="auto" w:fill="CCEEFF"/>
          </w:tcPr>
          <w:p>
            <w:pPr>
              <w:ind w:left="820"/>
              <w:spacing w:after="0" w:line="128" w:lineRule="exact"/>
              <w:rPr>
                <w:sz w:val="20"/>
                <w:szCs w:val="20"/>
                <w:color w:val="auto"/>
              </w:rPr>
            </w:pPr>
            <w:r>
              <w:rPr>
                <w:rFonts w:ascii="Arial" w:cs="Arial" w:eastAsia="Arial" w:hAnsi="Arial"/>
                <w:sz w:val="13"/>
                <w:szCs w:val="13"/>
                <w:color w:val="auto"/>
              </w:rPr>
              <w:t>Suite 201</w:t>
            </w:r>
          </w:p>
        </w:tc>
        <w:tc>
          <w:tcPr>
            <w:tcW w:w="248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260" w:type="dxa"/>
            <w:vAlign w:val="bottom"/>
            <w:shd w:val="clear" w:color="auto" w:fill="CCEEFF"/>
          </w:tcPr>
          <w:p>
            <w:pPr>
              <w:spacing w:after="0"/>
              <w:rPr>
                <w:sz w:val="11"/>
                <w:szCs w:val="11"/>
                <w:color w:val="auto"/>
              </w:rPr>
            </w:pPr>
          </w:p>
        </w:tc>
        <w:tc>
          <w:tcPr>
            <w:tcW w:w="3080" w:type="dxa"/>
            <w:vAlign w:val="bottom"/>
            <w:shd w:val="clear" w:color="auto" w:fill="CCEEFF"/>
          </w:tcPr>
          <w:p>
            <w:pPr>
              <w:ind w:left="820"/>
              <w:spacing w:after="0" w:line="128" w:lineRule="exact"/>
              <w:rPr>
                <w:sz w:val="20"/>
                <w:szCs w:val="20"/>
                <w:color w:val="auto"/>
              </w:rPr>
            </w:pPr>
            <w:r>
              <w:rPr>
                <w:rFonts w:ascii="Arial" w:cs="Arial" w:eastAsia="Arial" w:hAnsi="Arial"/>
                <w:sz w:val="13"/>
                <w:szCs w:val="13"/>
                <w:color w:val="auto"/>
              </w:rPr>
              <w:t>Charlotte</w:t>
            </w:r>
          </w:p>
        </w:tc>
        <w:tc>
          <w:tcPr>
            <w:tcW w:w="248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260" w:type="dxa"/>
            <w:vAlign w:val="bottom"/>
            <w:shd w:val="clear" w:color="auto" w:fill="CCEEFF"/>
          </w:tcPr>
          <w:p>
            <w:pPr>
              <w:spacing w:after="0"/>
              <w:rPr>
                <w:sz w:val="11"/>
                <w:szCs w:val="11"/>
                <w:color w:val="auto"/>
              </w:rPr>
            </w:pPr>
          </w:p>
        </w:tc>
        <w:tc>
          <w:tcPr>
            <w:tcW w:w="3080" w:type="dxa"/>
            <w:vAlign w:val="bottom"/>
            <w:shd w:val="clear" w:color="auto" w:fill="CCEEFF"/>
          </w:tcPr>
          <w:p>
            <w:pPr>
              <w:ind w:left="820"/>
              <w:spacing w:after="0" w:line="128" w:lineRule="exact"/>
              <w:rPr>
                <w:sz w:val="20"/>
                <w:szCs w:val="20"/>
                <w:color w:val="auto"/>
              </w:rPr>
            </w:pPr>
            <w:r>
              <w:rPr>
                <w:rFonts w:ascii="Arial" w:cs="Arial" w:eastAsia="Arial" w:hAnsi="Arial"/>
                <w:sz w:val="13"/>
                <w:szCs w:val="13"/>
                <w:color w:val="auto"/>
              </w:rPr>
              <w:t>North Carolina 28209</w:t>
            </w:r>
          </w:p>
        </w:tc>
        <w:tc>
          <w:tcPr>
            <w:tcW w:w="248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3260" w:type="dxa"/>
            <w:vAlign w:val="bottom"/>
            <w:shd w:val="clear" w:color="auto" w:fill="CCEEFF"/>
          </w:tcPr>
          <w:p>
            <w:pPr>
              <w:spacing w:after="0"/>
              <w:rPr>
                <w:sz w:val="14"/>
                <w:szCs w:val="14"/>
                <w:color w:val="auto"/>
              </w:rPr>
            </w:pPr>
          </w:p>
        </w:tc>
        <w:tc>
          <w:tcPr>
            <w:tcW w:w="3080" w:type="dxa"/>
            <w:vAlign w:val="bottom"/>
            <w:shd w:val="clear" w:color="auto" w:fill="CCEEFF"/>
          </w:tcPr>
          <w:p>
            <w:pPr>
              <w:ind w:left="820"/>
              <w:spacing w:after="0"/>
              <w:rPr>
                <w:sz w:val="20"/>
                <w:szCs w:val="20"/>
                <w:color w:val="auto"/>
              </w:rPr>
            </w:pPr>
            <w:r>
              <w:rPr>
                <w:rFonts w:ascii="Arial" w:cs="Arial" w:eastAsia="Arial" w:hAnsi="Arial"/>
                <w:sz w:val="13"/>
                <w:szCs w:val="13"/>
                <w:color w:val="auto"/>
              </w:rPr>
              <w:t>United States</w:t>
            </w:r>
          </w:p>
        </w:tc>
        <w:tc>
          <w:tcPr>
            <w:tcW w:w="248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3260" w:type="dxa"/>
            <w:vAlign w:val="bottom"/>
          </w:tcPr>
          <w:p>
            <w:pPr>
              <w:ind w:left="20"/>
              <w:spacing w:after="0" w:line="128" w:lineRule="exact"/>
              <w:rPr>
                <w:sz w:val="20"/>
                <w:szCs w:val="20"/>
                <w:color w:val="auto"/>
              </w:rPr>
            </w:pPr>
            <w:r>
              <w:rPr>
                <w:rFonts w:ascii="Arial" w:cs="Arial" w:eastAsia="Arial" w:hAnsi="Arial"/>
                <w:sz w:val="13"/>
                <w:szCs w:val="13"/>
                <w:color w:val="auto"/>
              </w:rPr>
              <w:t>Accellacare of Hickory, LLC</w:t>
            </w:r>
          </w:p>
        </w:tc>
        <w:tc>
          <w:tcPr>
            <w:tcW w:w="3080" w:type="dxa"/>
            <w:vAlign w:val="bottom"/>
          </w:tcPr>
          <w:p>
            <w:pPr>
              <w:ind w:left="820"/>
              <w:spacing w:after="0" w:line="128" w:lineRule="exact"/>
              <w:rPr>
                <w:sz w:val="20"/>
                <w:szCs w:val="20"/>
                <w:color w:val="auto"/>
              </w:rPr>
            </w:pPr>
            <w:r>
              <w:rPr>
                <w:rFonts w:ascii="Arial" w:cs="Arial" w:eastAsia="Arial" w:hAnsi="Arial"/>
                <w:sz w:val="13"/>
                <w:szCs w:val="13"/>
                <w:color w:val="auto"/>
              </w:rPr>
              <w:t>221 13th Ave Place NW</w:t>
            </w:r>
          </w:p>
        </w:tc>
        <w:tc>
          <w:tcPr>
            <w:tcW w:w="2480" w:type="dxa"/>
            <w:vAlign w:val="bottom"/>
          </w:tcPr>
          <w:p>
            <w:pPr>
              <w:ind w:left="84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260" w:type="dxa"/>
            <w:vAlign w:val="bottom"/>
          </w:tcPr>
          <w:p>
            <w:pPr>
              <w:spacing w:after="0"/>
              <w:rPr>
                <w:sz w:val="11"/>
                <w:szCs w:val="11"/>
                <w:color w:val="auto"/>
              </w:rPr>
            </w:pPr>
          </w:p>
        </w:tc>
        <w:tc>
          <w:tcPr>
            <w:tcW w:w="3080" w:type="dxa"/>
            <w:vAlign w:val="bottom"/>
          </w:tcPr>
          <w:p>
            <w:pPr>
              <w:ind w:left="820"/>
              <w:spacing w:after="0" w:line="128" w:lineRule="exact"/>
              <w:rPr>
                <w:sz w:val="20"/>
                <w:szCs w:val="20"/>
                <w:color w:val="auto"/>
              </w:rPr>
            </w:pPr>
            <w:r>
              <w:rPr>
                <w:rFonts w:ascii="Arial" w:cs="Arial" w:eastAsia="Arial" w:hAnsi="Arial"/>
                <w:sz w:val="13"/>
                <w:szCs w:val="13"/>
                <w:color w:val="auto"/>
              </w:rPr>
              <w:t>Suite 201</w:t>
            </w:r>
          </w:p>
        </w:tc>
        <w:tc>
          <w:tcPr>
            <w:tcW w:w="248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260" w:type="dxa"/>
            <w:vAlign w:val="bottom"/>
          </w:tcPr>
          <w:p>
            <w:pPr>
              <w:spacing w:after="0"/>
              <w:rPr>
                <w:sz w:val="11"/>
                <w:szCs w:val="11"/>
                <w:color w:val="auto"/>
              </w:rPr>
            </w:pPr>
          </w:p>
        </w:tc>
        <w:tc>
          <w:tcPr>
            <w:tcW w:w="3080" w:type="dxa"/>
            <w:vAlign w:val="bottom"/>
          </w:tcPr>
          <w:p>
            <w:pPr>
              <w:ind w:left="820"/>
              <w:spacing w:after="0" w:line="128" w:lineRule="exact"/>
              <w:rPr>
                <w:sz w:val="20"/>
                <w:szCs w:val="20"/>
                <w:color w:val="auto"/>
              </w:rPr>
            </w:pPr>
            <w:r>
              <w:rPr>
                <w:rFonts w:ascii="Arial" w:cs="Arial" w:eastAsia="Arial" w:hAnsi="Arial"/>
                <w:sz w:val="13"/>
                <w:szCs w:val="13"/>
                <w:color w:val="auto"/>
              </w:rPr>
              <w:t>Hickory</w:t>
            </w:r>
          </w:p>
        </w:tc>
        <w:tc>
          <w:tcPr>
            <w:tcW w:w="248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260" w:type="dxa"/>
            <w:vAlign w:val="bottom"/>
          </w:tcPr>
          <w:p>
            <w:pPr>
              <w:spacing w:after="0"/>
              <w:rPr>
                <w:sz w:val="11"/>
                <w:szCs w:val="11"/>
                <w:color w:val="auto"/>
              </w:rPr>
            </w:pPr>
          </w:p>
        </w:tc>
        <w:tc>
          <w:tcPr>
            <w:tcW w:w="3080" w:type="dxa"/>
            <w:vAlign w:val="bottom"/>
          </w:tcPr>
          <w:p>
            <w:pPr>
              <w:ind w:left="820"/>
              <w:spacing w:after="0" w:line="128" w:lineRule="exact"/>
              <w:rPr>
                <w:sz w:val="20"/>
                <w:szCs w:val="20"/>
                <w:color w:val="auto"/>
              </w:rPr>
            </w:pPr>
            <w:r>
              <w:rPr>
                <w:rFonts w:ascii="Arial" w:cs="Arial" w:eastAsia="Arial" w:hAnsi="Arial"/>
                <w:sz w:val="13"/>
                <w:szCs w:val="13"/>
                <w:color w:val="auto"/>
              </w:rPr>
              <w:t>North Carolina 28601</w:t>
            </w:r>
          </w:p>
        </w:tc>
        <w:tc>
          <w:tcPr>
            <w:tcW w:w="248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3260" w:type="dxa"/>
            <w:vAlign w:val="bottom"/>
          </w:tcPr>
          <w:p>
            <w:pPr>
              <w:spacing w:after="0"/>
              <w:rPr>
                <w:sz w:val="14"/>
                <w:szCs w:val="14"/>
                <w:color w:val="auto"/>
              </w:rPr>
            </w:pPr>
          </w:p>
        </w:tc>
        <w:tc>
          <w:tcPr>
            <w:tcW w:w="3080" w:type="dxa"/>
            <w:vAlign w:val="bottom"/>
          </w:tcPr>
          <w:p>
            <w:pPr>
              <w:ind w:left="820"/>
              <w:spacing w:after="0"/>
              <w:rPr>
                <w:sz w:val="20"/>
                <w:szCs w:val="20"/>
                <w:color w:val="auto"/>
              </w:rPr>
            </w:pPr>
            <w:r>
              <w:rPr>
                <w:rFonts w:ascii="Arial" w:cs="Arial" w:eastAsia="Arial" w:hAnsi="Arial"/>
                <w:sz w:val="13"/>
                <w:szCs w:val="13"/>
                <w:color w:val="auto"/>
              </w:rPr>
              <w:t>United States</w:t>
            </w:r>
          </w:p>
        </w:tc>
        <w:tc>
          <w:tcPr>
            <w:tcW w:w="248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2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Accellacare of Raleigh, LLC</w:t>
            </w:r>
          </w:p>
        </w:tc>
        <w:tc>
          <w:tcPr>
            <w:tcW w:w="3080" w:type="dxa"/>
            <w:vAlign w:val="bottom"/>
            <w:shd w:val="clear" w:color="auto" w:fill="CCEEFF"/>
          </w:tcPr>
          <w:p>
            <w:pPr>
              <w:ind w:left="820"/>
              <w:spacing w:after="0" w:line="129" w:lineRule="exact"/>
              <w:rPr>
                <w:sz w:val="20"/>
                <w:szCs w:val="20"/>
                <w:color w:val="auto"/>
              </w:rPr>
            </w:pPr>
            <w:r>
              <w:rPr>
                <w:rFonts w:ascii="Arial" w:cs="Arial" w:eastAsia="Arial" w:hAnsi="Arial"/>
                <w:sz w:val="13"/>
                <w:szCs w:val="13"/>
                <w:color w:val="auto"/>
              </w:rPr>
              <w:t>3521 Haworth Drive</w:t>
            </w:r>
          </w:p>
        </w:tc>
        <w:tc>
          <w:tcPr>
            <w:tcW w:w="2480" w:type="dxa"/>
            <w:vAlign w:val="bottom"/>
            <w:shd w:val="clear" w:color="auto" w:fill="CCEEFF"/>
          </w:tcPr>
          <w:p>
            <w:pPr>
              <w:ind w:left="84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260" w:type="dxa"/>
            <w:vAlign w:val="bottom"/>
            <w:shd w:val="clear" w:color="auto" w:fill="CCEEFF"/>
          </w:tcPr>
          <w:p>
            <w:pPr>
              <w:spacing w:after="0"/>
              <w:rPr>
                <w:sz w:val="11"/>
                <w:szCs w:val="11"/>
                <w:color w:val="auto"/>
              </w:rPr>
            </w:pPr>
          </w:p>
        </w:tc>
        <w:tc>
          <w:tcPr>
            <w:tcW w:w="3080" w:type="dxa"/>
            <w:vAlign w:val="bottom"/>
            <w:shd w:val="clear" w:color="auto" w:fill="CCEEFF"/>
          </w:tcPr>
          <w:p>
            <w:pPr>
              <w:ind w:left="820"/>
              <w:spacing w:after="0" w:line="128" w:lineRule="exact"/>
              <w:rPr>
                <w:sz w:val="20"/>
                <w:szCs w:val="20"/>
                <w:color w:val="auto"/>
              </w:rPr>
            </w:pPr>
            <w:r>
              <w:rPr>
                <w:rFonts w:ascii="Arial" w:cs="Arial" w:eastAsia="Arial" w:hAnsi="Arial"/>
                <w:sz w:val="13"/>
                <w:szCs w:val="13"/>
                <w:color w:val="auto"/>
              </w:rPr>
              <w:t>Suite 100</w:t>
            </w:r>
          </w:p>
        </w:tc>
        <w:tc>
          <w:tcPr>
            <w:tcW w:w="248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260" w:type="dxa"/>
            <w:vAlign w:val="bottom"/>
            <w:shd w:val="clear" w:color="auto" w:fill="CCEEFF"/>
          </w:tcPr>
          <w:p>
            <w:pPr>
              <w:spacing w:after="0"/>
              <w:rPr>
                <w:sz w:val="11"/>
                <w:szCs w:val="11"/>
                <w:color w:val="auto"/>
              </w:rPr>
            </w:pPr>
          </w:p>
        </w:tc>
        <w:tc>
          <w:tcPr>
            <w:tcW w:w="3080" w:type="dxa"/>
            <w:vAlign w:val="bottom"/>
            <w:shd w:val="clear" w:color="auto" w:fill="CCEEFF"/>
          </w:tcPr>
          <w:p>
            <w:pPr>
              <w:ind w:left="820"/>
              <w:spacing w:after="0" w:line="128" w:lineRule="exact"/>
              <w:rPr>
                <w:sz w:val="20"/>
                <w:szCs w:val="20"/>
                <w:color w:val="auto"/>
              </w:rPr>
            </w:pPr>
            <w:r>
              <w:rPr>
                <w:rFonts w:ascii="Arial" w:cs="Arial" w:eastAsia="Arial" w:hAnsi="Arial"/>
                <w:sz w:val="13"/>
                <w:szCs w:val="13"/>
                <w:color w:val="auto"/>
              </w:rPr>
              <w:t>Raleigh</w:t>
            </w:r>
          </w:p>
        </w:tc>
        <w:tc>
          <w:tcPr>
            <w:tcW w:w="248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260" w:type="dxa"/>
            <w:vAlign w:val="bottom"/>
            <w:shd w:val="clear" w:color="auto" w:fill="CCEEFF"/>
          </w:tcPr>
          <w:p>
            <w:pPr>
              <w:spacing w:after="0"/>
              <w:rPr>
                <w:sz w:val="11"/>
                <w:szCs w:val="11"/>
                <w:color w:val="auto"/>
              </w:rPr>
            </w:pPr>
          </w:p>
        </w:tc>
        <w:tc>
          <w:tcPr>
            <w:tcW w:w="3080" w:type="dxa"/>
            <w:vAlign w:val="bottom"/>
            <w:shd w:val="clear" w:color="auto" w:fill="CCEEFF"/>
          </w:tcPr>
          <w:p>
            <w:pPr>
              <w:ind w:left="820"/>
              <w:spacing w:after="0" w:line="128" w:lineRule="exact"/>
              <w:rPr>
                <w:sz w:val="20"/>
                <w:szCs w:val="20"/>
                <w:color w:val="auto"/>
              </w:rPr>
            </w:pPr>
            <w:r>
              <w:rPr>
                <w:rFonts w:ascii="Arial" w:cs="Arial" w:eastAsia="Arial" w:hAnsi="Arial"/>
                <w:sz w:val="13"/>
                <w:szCs w:val="13"/>
                <w:color w:val="auto"/>
              </w:rPr>
              <w:t>North Carolina 27609</w:t>
            </w:r>
          </w:p>
        </w:tc>
        <w:tc>
          <w:tcPr>
            <w:tcW w:w="248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3260" w:type="dxa"/>
            <w:vAlign w:val="bottom"/>
            <w:shd w:val="clear" w:color="auto" w:fill="CCEEFF"/>
          </w:tcPr>
          <w:p>
            <w:pPr>
              <w:spacing w:after="0"/>
              <w:rPr>
                <w:sz w:val="14"/>
                <w:szCs w:val="14"/>
                <w:color w:val="auto"/>
              </w:rPr>
            </w:pPr>
          </w:p>
        </w:tc>
        <w:tc>
          <w:tcPr>
            <w:tcW w:w="3080" w:type="dxa"/>
            <w:vAlign w:val="bottom"/>
            <w:shd w:val="clear" w:color="auto" w:fill="CCEEFF"/>
          </w:tcPr>
          <w:p>
            <w:pPr>
              <w:ind w:left="820"/>
              <w:spacing w:after="0"/>
              <w:rPr>
                <w:sz w:val="20"/>
                <w:szCs w:val="20"/>
                <w:color w:val="auto"/>
              </w:rPr>
            </w:pPr>
            <w:r>
              <w:rPr>
                <w:rFonts w:ascii="Arial" w:cs="Arial" w:eastAsia="Arial" w:hAnsi="Arial"/>
                <w:sz w:val="13"/>
                <w:szCs w:val="13"/>
                <w:color w:val="auto"/>
              </w:rPr>
              <w:t>United States</w:t>
            </w:r>
          </w:p>
        </w:tc>
        <w:tc>
          <w:tcPr>
            <w:tcW w:w="248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3260" w:type="dxa"/>
            <w:vAlign w:val="bottom"/>
          </w:tcPr>
          <w:p>
            <w:pPr>
              <w:ind w:left="20"/>
              <w:spacing w:after="0" w:line="128" w:lineRule="exact"/>
              <w:rPr>
                <w:sz w:val="20"/>
                <w:szCs w:val="20"/>
                <w:color w:val="auto"/>
              </w:rPr>
            </w:pPr>
            <w:r>
              <w:rPr>
                <w:rFonts w:ascii="Arial" w:cs="Arial" w:eastAsia="Arial" w:hAnsi="Arial"/>
                <w:sz w:val="13"/>
                <w:szCs w:val="13"/>
                <w:color w:val="auto"/>
              </w:rPr>
              <w:t>Accellacare of Rocky Mount, LLC</w:t>
            </w:r>
          </w:p>
        </w:tc>
        <w:tc>
          <w:tcPr>
            <w:tcW w:w="3080" w:type="dxa"/>
            <w:vAlign w:val="bottom"/>
          </w:tcPr>
          <w:p>
            <w:pPr>
              <w:ind w:left="820"/>
              <w:spacing w:after="0" w:line="128" w:lineRule="exact"/>
              <w:rPr>
                <w:sz w:val="20"/>
                <w:szCs w:val="20"/>
                <w:color w:val="auto"/>
              </w:rPr>
            </w:pPr>
            <w:r>
              <w:rPr>
                <w:rFonts w:ascii="Arial" w:cs="Arial" w:eastAsia="Arial" w:hAnsi="Arial"/>
                <w:sz w:val="13"/>
                <w:szCs w:val="13"/>
                <w:color w:val="auto"/>
              </w:rPr>
              <w:t>901 N. Winstead Avenue</w:t>
            </w:r>
          </w:p>
        </w:tc>
        <w:tc>
          <w:tcPr>
            <w:tcW w:w="2480" w:type="dxa"/>
            <w:vAlign w:val="bottom"/>
          </w:tcPr>
          <w:p>
            <w:pPr>
              <w:ind w:left="84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260" w:type="dxa"/>
            <w:vAlign w:val="bottom"/>
          </w:tcPr>
          <w:p>
            <w:pPr>
              <w:spacing w:after="0"/>
              <w:rPr>
                <w:sz w:val="11"/>
                <w:szCs w:val="11"/>
                <w:color w:val="auto"/>
              </w:rPr>
            </w:pPr>
          </w:p>
        </w:tc>
        <w:tc>
          <w:tcPr>
            <w:tcW w:w="3080" w:type="dxa"/>
            <w:vAlign w:val="bottom"/>
          </w:tcPr>
          <w:p>
            <w:pPr>
              <w:ind w:left="820"/>
              <w:spacing w:after="0" w:line="128" w:lineRule="exact"/>
              <w:rPr>
                <w:sz w:val="20"/>
                <w:szCs w:val="20"/>
                <w:color w:val="auto"/>
              </w:rPr>
            </w:pPr>
            <w:r>
              <w:rPr>
                <w:rFonts w:ascii="Arial" w:cs="Arial" w:eastAsia="Arial" w:hAnsi="Arial"/>
                <w:sz w:val="13"/>
                <w:szCs w:val="13"/>
                <w:color w:val="auto"/>
              </w:rPr>
              <w:t>Rocky Mount</w:t>
            </w:r>
          </w:p>
        </w:tc>
        <w:tc>
          <w:tcPr>
            <w:tcW w:w="248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260" w:type="dxa"/>
            <w:vAlign w:val="bottom"/>
          </w:tcPr>
          <w:p>
            <w:pPr>
              <w:spacing w:after="0"/>
              <w:rPr>
                <w:sz w:val="11"/>
                <w:szCs w:val="11"/>
                <w:color w:val="auto"/>
              </w:rPr>
            </w:pPr>
          </w:p>
        </w:tc>
        <w:tc>
          <w:tcPr>
            <w:tcW w:w="3080" w:type="dxa"/>
            <w:vAlign w:val="bottom"/>
          </w:tcPr>
          <w:p>
            <w:pPr>
              <w:ind w:left="820"/>
              <w:spacing w:after="0" w:line="128" w:lineRule="exact"/>
              <w:rPr>
                <w:sz w:val="20"/>
                <w:szCs w:val="20"/>
                <w:color w:val="auto"/>
              </w:rPr>
            </w:pPr>
            <w:r>
              <w:rPr>
                <w:rFonts w:ascii="Arial" w:cs="Arial" w:eastAsia="Arial" w:hAnsi="Arial"/>
                <w:sz w:val="13"/>
                <w:szCs w:val="13"/>
                <w:color w:val="auto"/>
              </w:rPr>
              <w:t>North Carolina 27804</w:t>
            </w:r>
          </w:p>
        </w:tc>
        <w:tc>
          <w:tcPr>
            <w:tcW w:w="248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3260" w:type="dxa"/>
            <w:vAlign w:val="bottom"/>
          </w:tcPr>
          <w:p>
            <w:pPr>
              <w:spacing w:after="0"/>
              <w:rPr>
                <w:sz w:val="14"/>
                <w:szCs w:val="14"/>
                <w:color w:val="auto"/>
              </w:rPr>
            </w:pPr>
          </w:p>
        </w:tc>
        <w:tc>
          <w:tcPr>
            <w:tcW w:w="3080" w:type="dxa"/>
            <w:vAlign w:val="bottom"/>
          </w:tcPr>
          <w:p>
            <w:pPr>
              <w:ind w:left="820"/>
              <w:spacing w:after="0"/>
              <w:rPr>
                <w:sz w:val="20"/>
                <w:szCs w:val="20"/>
                <w:color w:val="auto"/>
              </w:rPr>
            </w:pPr>
            <w:r>
              <w:rPr>
                <w:rFonts w:ascii="Arial" w:cs="Arial" w:eastAsia="Arial" w:hAnsi="Arial"/>
                <w:sz w:val="13"/>
                <w:szCs w:val="13"/>
                <w:color w:val="auto"/>
              </w:rPr>
              <w:t>United States</w:t>
            </w:r>
          </w:p>
        </w:tc>
        <w:tc>
          <w:tcPr>
            <w:tcW w:w="248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2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Accellacare of Salisbury, LLC</w:t>
            </w:r>
          </w:p>
        </w:tc>
        <w:tc>
          <w:tcPr>
            <w:tcW w:w="3080" w:type="dxa"/>
            <w:vAlign w:val="bottom"/>
            <w:shd w:val="clear" w:color="auto" w:fill="CCEEFF"/>
          </w:tcPr>
          <w:p>
            <w:pPr>
              <w:ind w:left="820"/>
              <w:spacing w:after="0" w:line="129" w:lineRule="exact"/>
              <w:rPr>
                <w:sz w:val="20"/>
                <w:szCs w:val="20"/>
                <w:color w:val="auto"/>
              </w:rPr>
            </w:pPr>
            <w:r>
              <w:rPr>
                <w:rFonts w:ascii="Arial" w:cs="Arial" w:eastAsia="Arial" w:hAnsi="Arial"/>
                <w:sz w:val="13"/>
                <w:szCs w:val="13"/>
                <w:color w:val="auto"/>
              </w:rPr>
              <w:t>410 Mocksville Avenue</w:t>
            </w:r>
          </w:p>
        </w:tc>
        <w:tc>
          <w:tcPr>
            <w:tcW w:w="2480" w:type="dxa"/>
            <w:vAlign w:val="bottom"/>
            <w:shd w:val="clear" w:color="auto" w:fill="CCEEFF"/>
          </w:tcPr>
          <w:p>
            <w:pPr>
              <w:ind w:left="84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260" w:type="dxa"/>
            <w:vAlign w:val="bottom"/>
            <w:shd w:val="clear" w:color="auto" w:fill="CCEEFF"/>
          </w:tcPr>
          <w:p>
            <w:pPr>
              <w:spacing w:after="0"/>
              <w:rPr>
                <w:sz w:val="11"/>
                <w:szCs w:val="11"/>
                <w:color w:val="auto"/>
              </w:rPr>
            </w:pPr>
          </w:p>
        </w:tc>
        <w:tc>
          <w:tcPr>
            <w:tcW w:w="3080" w:type="dxa"/>
            <w:vAlign w:val="bottom"/>
            <w:shd w:val="clear" w:color="auto" w:fill="CCEEFF"/>
          </w:tcPr>
          <w:p>
            <w:pPr>
              <w:ind w:left="820"/>
              <w:spacing w:after="0" w:line="128" w:lineRule="exact"/>
              <w:rPr>
                <w:sz w:val="20"/>
                <w:szCs w:val="20"/>
                <w:color w:val="auto"/>
              </w:rPr>
            </w:pPr>
            <w:r>
              <w:rPr>
                <w:rFonts w:ascii="Arial" w:cs="Arial" w:eastAsia="Arial" w:hAnsi="Arial"/>
                <w:sz w:val="13"/>
                <w:szCs w:val="13"/>
                <w:color w:val="auto"/>
              </w:rPr>
              <w:t>Salisbury</w:t>
            </w:r>
          </w:p>
        </w:tc>
        <w:tc>
          <w:tcPr>
            <w:tcW w:w="248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260" w:type="dxa"/>
            <w:vAlign w:val="bottom"/>
            <w:shd w:val="clear" w:color="auto" w:fill="CCEEFF"/>
          </w:tcPr>
          <w:p>
            <w:pPr>
              <w:spacing w:after="0"/>
              <w:rPr>
                <w:sz w:val="11"/>
                <w:szCs w:val="11"/>
                <w:color w:val="auto"/>
              </w:rPr>
            </w:pPr>
          </w:p>
        </w:tc>
        <w:tc>
          <w:tcPr>
            <w:tcW w:w="3080" w:type="dxa"/>
            <w:vAlign w:val="bottom"/>
            <w:shd w:val="clear" w:color="auto" w:fill="CCEEFF"/>
          </w:tcPr>
          <w:p>
            <w:pPr>
              <w:ind w:left="820"/>
              <w:spacing w:after="0" w:line="128" w:lineRule="exact"/>
              <w:rPr>
                <w:sz w:val="20"/>
                <w:szCs w:val="20"/>
                <w:color w:val="auto"/>
              </w:rPr>
            </w:pPr>
            <w:r>
              <w:rPr>
                <w:rFonts w:ascii="Arial" w:cs="Arial" w:eastAsia="Arial" w:hAnsi="Arial"/>
                <w:sz w:val="13"/>
                <w:szCs w:val="13"/>
                <w:color w:val="auto"/>
              </w:rPr>
              <w:t>North Carolina 28144</w:t>
            </w:r>
          </w:p>
        </w:tc>
        <w:tc>
          <w:tcPr>
            <w:tcW w:w="248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3260" w:type="dxa"/>
            <w:vAlign w:val="bottom"/>
            <w:shd w:val="clear" w:color="auto" w:fill="CCEEFF"/>
          </w:tcPr>
          <w:p>
            <w:pPr>
              <w:spacing w:after="0"/>
              <w:rPr>
                <w:sz w:val="14"/>
                <w:szCs w:val="14"/>
                <w:color w:val="auto"/>
              </w:rPr>
            </w:pPr>
          </w:p>
        </w:tc>
        <w:tc>
          <w:tcPr>
            <w:tcW w:w="3080" w:type="dxa"/>
            <w:vAlign w:val="bottom"/>
            <w:shd w:val="clear" w:color="auto" w:fill="CCEEFF"/>
          </w:tcPr>
          <w:p>
            <w:pPr>
              <w:ind w:left="820"/>
              <w:spacing w:after="0"/>
              <w:rPr>
                <w:sz w:val="20"/>
                <w:szCs w:val="20"/>
                <w:color w:val="auto"/>
              </w:rPr>
            </w:pPr>
            <w:r>
              <w:rPr>
                <w:rFonts w:ascii="Arial" w:cs="Arial" w:eastAsia="Arial" w:hAnsi="Arial"/>
                <w:sz w:val="13"/>
                <w:szCs w:val="13"/>
                <w:color w:val="auto"/>
              </w:rPr>
              <w:t>United States</w:t>
            </w:r>
          </w:p>
        </w:tc>
        <w:tc>
          <w:tcPr>
            <w:tcW w:w="248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3260" w:type="dxa"/>
            <w:vAlign w:val="bottom"/>
          </w:tcPr>
          <w:p>
            <w:pPr>
              <w:ind w:left="20"/>
              <w:spacing w:after="0" w:line="128" w:lineRule="exact"/>
              <w:rPr>
                <w:sz w:val="20"/>
                <w:szCs w:val="20"/>
                <w:color w:val="auto"/>
              </w:rPr>
            </w:pPr>
            <w:r>
              <w:rPr>
                <w:rFonts w:ascii="Arial" w:cs="Arial" w:eastAsia="Arial" w:hAnsi="Arial"/>
                <w:sz w:val="13"/>
                <w:szCs w:val="13"/>
                <w:color w:val="auto"/>
              </w:rPr>
              <w:t>Accellacare of Wilmington, LLC</w:t>
            </w:r>
          </w:p>
        </w:tc>
        <w:tc>
          <w:tcPr>
            <w:tcW w:w="3080" w:type="dxa"/>
            <w:vAlign w:val="bottom"/>
          </w:tcPr>
          <w:p>
            <w:pPr>
              <w:ind w:left="820"/>
              <w:spacing w:after="0" w:line="128" w:lineRule="exact"/>
              <w:rPr>
                <w:sz w:val="20"/>
                <w:szCs w:val="20"/>
                <w:color w:val="auto"/>
              </w:rPr>
            </w:pPr>
            <w:r>
              <w:rPr>
                <w:rFonts w:ascii="Arial" w:cs="Arial" w:eastAsia="Arial" w:hAnsi="Arial"/>
                <w:sz w:val="13"/>
                <w:szCs w:val="13"/>
                <w:color w:val="auto"/>
              </w:rPr>
              <w:t>1907 Tradd Court</w:t>
            </w:r>
          </w:p>
        </w:tc>
        <w:tc>
          <w:tcPr>
            <w:tcW w:w="2480" w:type="dxa"/>
            <w:vAlign w:val="bottom"/>
          </w:tcPr>
          <w:p>
            <w:pPr>
              <w:ind w:left="84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260" w:type="dxa"/>
            <w:vAlign w:val="bottom"/>
          </w:tcPr>
          <w:p>
            <w:pPr>
              <w:spacing w:after="0"/>
              <w:rPr>
                <w:sz w:val="11"/>
                <w:szCs w:val="11"/>
                <w:color w:val="auto"/>
              </w:rPr>
            </w:pPr>
          </w:p>
        </w:tc>
        <w:tc>
          <w:tcPr>
            <w:tcW w:w="3080" w:type="dxa"/>
            <w:vAlign w:val="bottom"/>
          </w:tcPr>
          <w:p>
            <w:pPr>
              <w:ind w:left="820"/>
              <w:spacing w:after="0" w:line="128" w:lineRule="exact"/>
              <w:rPr>
                <w:sz w:val="20"/>
                <w:szCs w:val="20"/>
                <w:color w:val="auto"/>
              </w:rPr>
            </w:pPr>
            <w:r>
              <w:rPr>
                <w:rFonts w:ascii="Arial" w:cs="Arial" w:eastAsia="Arial" w:hAnsi="Arial"/>
                <w:sz w:val="13"/>
                <w:szCs w:val="13"/>
                <w:color w:val="auto"/>
              </w:rPr>
              <w:t>Wilmington</w:t>
            </w:r>
          </w:p>
        </w:tc>
        <w:tc>
          <w:tcPr>
            <w:tcW w:w="248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260" w:type="dxa"/>
            <w:vAlign w:val="bottom"/>
          </w:tcPr>
          <w:p>
            <w:pPr>
              <w:spacing w:after="0"/>
              <w:rPr>
                <w:sz w:val="11"/>
                <w:szCs w:val="11"/>
                <w:color w:val="auto"/>
              </w:rPr>
            </w:pPr>
          </w:p>
        </w:tc>
        <w:tc>
          <w:tcPr>
            <w:tcW w:w="3080" w:type="dxa"/>
            <w:vAlign w:val="bottom"/>
          </w:tcPr>
          <w:p>
            <w:pPr>
              <w:ind w:left="820"/>
              <w:spacing w:after="0" w:line="128" w:lineRule="exact"/>
              <w:rPr>
                <w:sz w:val="20"/>
                <w:szCs w:val="20"/>
                <w:color w:val="auto"/>
              </w:rPr>
            </w:pPr>
            <w:r>
              <w:rPr>
                <w:rFonts w:ascii="Arial" w:cs="Arial" w:eastAsia="Arial" w:hAnsi="Arial"/>
                <w:sz w:val="13"/>
                <w:szCs w:val="13"/>
                <w:color w:val="auto"/>
              </w:rPr>
              <w:t>North Carolina 28401</w:t>
            </w:r>
          </w:p>
        </w:tc>
        <w:tc>
          <w:tcPr>
            <w:tcW w:w="248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3260" w:type="dxa"/>
            <w:vAlign w:val="bottom"/>
          </w:tcPr>
          <w:p>
            <w:pPr>
              <w:spacing w:after="0"/>
              <w:rPr>
                <w:sz w:val="14"/>
                <w:szCs w:val="14"/>
                <w:color w:val="auto"/>
              </w:rPr>
            </w:pPr>
          </w:p>
        </w:tc>
        <w:tc>
          <w:tcPr>
            <w:tcW w:w="3080" w:type="dxa"/>
            <w:vAlign w:val="bottom"/>
          </w:tcPr>
          <w:p>
            <w:pPr>
              <w:ind w:left="820"/>
              <w:spacing w:after="0"/>
              <w:rPr>
                <w:sz w:val="20"/>
                <w:szCs w:val="20"/>
                <w:color w:val="auto"/>
              </w:rPr>
            </w:pPr>
            <w:r>
              <w:rPr>
                <w:rFonts w:ascii="Arial" w:cs="Arial" w:eastAsia="Arial" w:hAnsi="Arial"/>
                <w:sz w:val="13"/>
                <w:szCs w:val="13"/>
                <w:color w:val="auto"/>
              </w:rPr>
              <w:t>United States</w:t>
            </w:r>
          </w:p>
        </w:tc>
        <w:tc>
          <w:tcPr>
            <w:tcW w:w="248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2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Accellacare of Winston-Salem, LLC</w:t>
            </w:r>
          </w:p>
        </w:tc>
        <w:tc>
          <w:tcPr>
            <w:tcW w:w="3080" w:type="dxa"/>
            <w:vAlign w:val="bottom"/>
            <w:shd w:val="clear" w:color="auto" w:fill="CCEEFF"/>
          </w:tcPr>
          <w:p>
            <w:pPr>
              <w:ind w:left="820"/>
              <w:spacing w:after="0" w:line="129" w:lineRule="exact"/>
              <w:rPr>
                <w:sz w:val="20"/>
                <w:szCs w:val="20"/>
                <w:color w:val="auto"/>
              </w:rPr>
            </w:pPr>
            <w:r>
              <w:rPr>
                <w:rFonts w:ascii="Arial" w:cs="Arial" w:eastAsia="Arial" w:hAnsi="Arial"/>
                <w:sz w:val="13"/>
                <w:szCs w:val="13"/>
                <w:color w:val="auto"/>
              </w:rPr>
              <w:t>1901 S. Hawthorne Road</w:t>
            </w:r>
          </w:p>
        </w:tc>
        <w:tc>
          <w:tcPr>
            <w:tcW w:w="2480" w:type="dxa"/>
            <w:vAlign w:val="bottom"/>
            <w:shd w:val="clear" w:color="auto" w:fill="CCEEFF"/>
          </w:tcPr>
          <w:p>
            <w:pPr>
              <w:ind w:left="84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260" w:type="dxa"/>
            <w:vAlign w:val="bottom"/>
            <w:shd w:val="clear" w:color="auto" w:fill="CCEEFF"/>
          </w:tcPr>
          <w:p>
            <w:pPr>
              <w:spacing w:after="0"/>
              <w:rPr>
                <w:sz w:val="11"/>
                <w:szCs w:val="11"/>
                <w:color w:val="auto"/>
              </w:rPr>
            </w:pPr>
          </w:p>
        </w:tc>
        <w:tc>
          <w:tcPr>
            <w:tcW w:w="3080" w:type="dxa"/>
            <w:vAlign w:val="bottom"/>
            <w:shd w:val="clear" w:color="auto" w:fill="CCEEFF"/>
          </w:tcPr>
          <w:p>
            <w:pPr>
              <w:ind w:left="820"/>
              <w:spacing w:after="0" w:line="128" w:lineRule="exact"/>
              <w:rPr>
                <w:sz w:val="20"/>
                <w:szCs w:val="20"/>
                <w:color w:val="auto"/>
              </w:rPr>
            </w:pPr>
            <w:r>
              <w:rPr>
                <w:rFonts w:ascii="Arial" w:cs="Arial" w:eastAsia="Arial" w:hAnsi="Arial"/>
                <w:sz w:val="13"/>
                <w:szCs w:val="13"/>
                <w:color w:val="auto"/>
              </w:rPr>
              <w:t>Suite 306</w:t>
            </w:r>
          </w:p>
        </w:tc>
        <w:tc>
          <w:tcPr>
            <w:tcW w:w="248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260" w:type="dxa"/>
            <w:vAlign w:val="bottom"/>
            <w:shd w:val="clear" w:color="auto" w:fill="CCEEFF"/>
          </w:tcPr>
          <w:p>
            <w:pPr>
              <w:spacing w:after="0"/>
              <w:rPr>
                <w:sz w:val="11"/>
                <w:szCs w:val="11"/>
                <w:color w:val="auto"/>
              </w:rPr>
            </w:pPr>
          </w:p>
        </w:tc>
        <w:tc>
          <w:tcPr>
            <w:tcW w:w="3080" w:type="dxa"/>
            <w:vAlign w:val="bottom"/>
            <w:shd w:val="clear" w:color="auto" w:fill="CCEEFF"/>
          </w:tcPr>
          <w:p>
            <w:pPr>
              <w:ind w:left="820"/>
              <w:spacing w:after="0" w:line="128" w:lineRule="exact"/>
              <w:rPr>
                <w:sz w:val="20"/>
                <w:szCs w:val="20"/>
                <w:color w:val="auto"/>
              </w:rPr>
            </w:pPr>
            <w:r>
              <w:rPr>
                <w:rFonts w:ascii="Arial" w:cs="Arial" w:eastAsia="Arial" w:hAnsi="Arial"/>
                <w:sz w:val="13"/>
                <w:szCs w:val="13"/>
                <w:color w:val="auto"/>
              </w:rPr>
              <w:t>Winston-Salem</w:t>
            </w:r>
          </w:p>
        </w:tc>
        <w:tc>
          <w:tcPr>
            <w:tcW w:w="248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260" w:type="dxa"/>
            <w:vAlign w:val="bottom"/>
            <w:shd w:val="clear" w:color="auto" w:fill="CCEEFF"/>
          </w:tcPr>
          <w:p>
            <w:pPr>
              <w:spacing w:after="0"/>
              <w:rPr>
                <w:sz w:val="11"/>
                <w:szCs w:val="11"/>
                <w:color w:val="auto"/>
              </w:rPr>
            </w:pPr>
          </w:p>
        </w:tc>
        <w:tc>
          <w:tcPr>
            <w:tcW w:w="3080" w:type="dxa"/>
            <w:vAlign w:val="bottom"/>
            <w:shd w:val="clear" w:color="auto" w:fill="CCEEFF"/>
          </w:tcPr>
          <w:p>
            <w:pPr>
              <w:ind w:left="820"/>
              <w:spacing w:after="0" w:line="128" w:lineRule="exact"/>
              <w:rPr>
                <w:sz w:val="20"/>
                <w:szCs w:val="20"/>
                <w:color w:val="auto"/>
              </w:rPr>
            </w:pPr>
            <w:r>
              <w:rPr>
                <w:rFonts w:ascii="Arial" w:cs="Arial" w:eastAsia="Arial" w:hAnsi="Arial"/>
                <w:sz w:val="13"/>
                <w:szCs w:val="13"/>
                <w:color w:val="auto"/>
              </w:rPr>
              <w:t>North Carolina 27103</w:t>
            </w:r>
          </w:p>
        </w:tc>
        <w:tc>
          <w:tcPr>
            <w:tcW w:w="248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3260" w:type="dxa"/>
            <w:vAlign w:val="bottom"/>
            <w:shd w:val="clear" w:color="auto" w:fill="CCEEFF"/>
          </w:tcPr>
          <w:p>
            <w:pPr>
              <w:spacing w:after="0"/>
              <w:rPr>
                <w:sz w:val="14"/>
                <w:szCs w:val="14"/>
                <w:color w:val="auto"/>
              </w:rPr>
            </w:pPr>
          </w:p>
        </w:tc>
        <w:tc>
          <w:tcPr>
            <w:tcW w:w="3080" w:type="dxa"/>
            <w:vAlign w:val="bottom"/>
            <w:shd w:val="clear" w:color="auto" w:fill="CCEEFF"/>
          </w:tcPr>
          <w:p>
            <w:pPr>
              <w:ind w:left="820"/>
              <w:spacing w:after="0"/>
              <w:rPr>
                <w:sz w:val="20"/>
                <w:szCs w:val="20"/>
                <w:color w:val="auto"/>
              </w:rPr>
            </w:pPr>
            <w:r>
              <w:rPr>
                <w:rFonts w:ascii="Arial" w:cs="Arial" w:eastAsia="Arial" w:hAnsi="Arial"/>
                <w:sz w:val="13"/>
                <w:szCs w:val="13"/>
                <w:color w:val="auto"/>
              </w:rPr>
              <w:t>United States</w:t>
            </w:r>
          </w:p>
        </w:tc>
        <w:tc>
          <w:tcPr>
            <w:tcW w:w="248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3260" w:type="dxa"/>
            <w:vAlign w:val="bottom"/>
          </w:tcPr>
          <w:p>
            <w:pPr>
              <w:ind w:left="20"/>
              <w:spacing w:after="0" w:line="128" w:lineRule="exact"/>
              <w:rPr>
                <w:sz w:val="20"/>
                <w:szCs w:val="20"/>
                <w:color w:val="auto"/>
              </w:rPr>
            </w:pPr>
            <w:r>
              <w:rPr>
                <w:rFonts w:ascii="Arial" w:cs="Arial" w:eastAsia="Arial" w:hAnsi="Arial"/>
                <w:sz w:val="13"/>
                <w:szCs w:val="13"/>
                <w:color w:val="auto"/>
              </w:rPr>
              <w:t>Accellacare US Inc.</w:t>
            </w:r>
          </w:p>
        </w:tc>
        <w:tc>
          <w:tcPr>
            <w:tcW w:w="3080" w:type="dxa"/>
            <w:vAlign w:val="bottom"/>
          </w:tcPr>
          <w:p>
            <w:pPr>
              <w:ind w:left="820"/>
              <w:spacing w:after="0" w:line="128" w:lineRule="exact"/>
              <w:rPr>
                <w:sz w:val="20"/>
                <w:szCs w:val="20"/>
                <w:color w:val="auto"/>
              </w:rPr>
            </w:pPr>
            <w:r>
              <w:rPr>
                <w:rFonts w:ascii="Arial" w:cs="Arial" w:eastAsia="Arial" w:hAnsi="Arial"/>
                <w:sz w:val="13"/>
                <w:szCs w:val="13"/>
                <w:color w:val="auto"/>
              </w:rPr>
              <w:t>1901 S. Hawthorne Road</w:t>
            </w:r>
          </w:p>
        </w:tc>
        <w:tc>
          <w:tcPr>
            <w:tcW w:w="2480" w:type="dxa"/>
            <w:vAlign w:val="bottom"/>
          </w:tcPr>
          <w:p>
            <w:pPr>
              <w:ind w:left="84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260" w:type="dxa"/>
            <w:vAlign w:val="bottom"/>
          </w:tcPr>
          <w:p>
            <w:pPr>
              <w:spacing w:after="0"/>
              <w:rPr>
                <w:sz w:val="11"/>
                <w:szCs w:val="11"/>
                <w:color w:val="auto"/>
              </w:rPr>
            </w:pPr>
          </w:p>
        </w:tc>
        <w:tc>
          <w:tcPr>
            <w:tcW w:w="3080" w:type="dxa"/>
            <w:vAlign w:val="bottom"/>
          </w:tcPr>
          <w:p>
            <w:pPr>
              <w:ind w:left="820"/>
              <w:spacing w:after="0" w:line="128" w:lineRule="exact"/>
              <w:rPr>
                <w:sz w:val="20"/>
                <w:szCs w:val="20"/>
                <w:color w:val="auto"/>
              </w:rPr>
            </w:pPr>
            <w:r>
              <w:rPr>
                <w:rFonts w:ascii="Arial" w:cs="Arial" w:eastAsia="Arial" w:hAnsi="Arial"/>
                <w:sz w:val="13"/>
                <w:szCs w:val="13"/>
                <w:color w:val="auto"/>
              </w:rPr>
              <w:t>Suite 306</w:t>
            </w:r>
          </w:p>
        </w:tc>
        <w:tc>
          <w:tcPr>
            <w:tcW w:w="248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260" w:type="dxa"/>
            <w:vAlign w:val="bottom"/>
          </w:tcPr>
          <w:p>
            <w:pPr>
              <w:spacing w:after="0"/>
              <w:rPr>
                <w:sz w:val="11"/>
                <w:szCs w:val="11"/>
                <w:color w:val="auto"/>
              </w:rPr>
            </w:pPr>
          </w:p>
        </w:tc>
        <w:tc>
          <w:tcPr>
            <w:tcW w:w="3080" w:type="dxa"/>
            <w:vAlign w:val="bottom"/>
          </w:tcPr>
          <w:p>
            <w:pPr>
              <w:ind w:left="820"/>
              <w:spacing w:after="0" w:line="128" w:lineRule="exact"/>
              <w:rPr>
                <w:sz w:val="20"/>
                <w:szCs w:val="20"/>
                <w:color w:val="auto"/>
              </w:rPr>
            </w:pPr>
            <w:r>
              <w:rPr>
                <w:rFonts w:ascii="Arial" w:cs="Arial" w:eastAsia="Arial" w:hAnsi="Arial"/>
                <w:sz w:val="13"/>
                <w:szCs w:val="13"/>
                <w:color w:val="auto"/>
              </w:rPr>
              <w:t>Winston-Salem</w:t>
            </w:r>
          </w:p>
        </w:tc>
        <w:tc>
          <w:tcPr>
            <w:tcW w:w="248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260" w:type="dxa"/>
            <w:vAlign w:val="bottom"/>
          </w:tcPr>
          <w:p>
            <w:pPr>
              <w:spacing w:after="0"/>
              <w:rPr>
                <w:sz w:val="11"/>
                <w:szCs w:val="11"/>
                <w:color w:val="auto"/>
              </w:rPr>
            </w:pPr>
          </w:p>
        </w:tc>
        <w:tc>
          <w:tcPr>
            <w:tcW w:w="3080" w:type="dxa"/>
            <w:vAlign w:val="bottom"/>
          </w:tcPr>
          <w:p>
            <w:pPr>
              <w:ind w:left="820"/>
              <w:spacing w:after="0" w:line="128" w:lineRule="exact"/>
              <w:rPr>
                <w:sz w:val="20"/>
                <w:szCs w:val="20"/>
                <w:color w:val="auto"/>
              </w:rPr>
            </w:pPr>
            <w:r>
              <w:rPr>
                <w:rFonts w:ascii="Arial" w:cs="Arial" w:eastAsia="Arial" w:hAnsi="Arial"/>
                <w:sz w:val="13"/>
                <w:szCs w:val="13"/>
                <w:color w:val="auto"/>
              </w:rPr>
              <w:t>North Carolina, 27103</w:t>
            </w:r>
          </w:p>
        </w:tc>
        <w:tc>
          <w:tcPr>
            <w:tcW w:w="248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7"/>
        </w:trPr>
        <w:tc>
          <w:tcPr>
            <w:tcW w:w="3260" w:type="dxa"/>
            <w:vAlign w:val="bottom"/>
          </w:tcPr>
          <w:p>
            <w:pPr>
              <w:spacing w:after="0"/>
              <w:rPr>
                <w:sz w:val="14"/>
                <w:szCs w:val="14"/>
                <w:color w:val="auto"/>
              </w:rPr>
            </w:pPr>
          </w:p>
        </w:tc>
        <w:tc>
          <w:tcPr>
            <w:tcW w:w="3080" w:type="dxa"/>
            <w:vAlign w:val="bottom"/>
          </w:tcPr>
          <w:p>
            <w:pPr>
              <w:ind w:left="820"/>
              <w:spacing w:after="0"/>
              <w:rPr>
                <w:sz w:val="20"/>
                <w:szCs w:val="20"/>
                <w:color w:val="auto"/>
              </w:rPr>
            </w:pPr>
            <w:r>
              <w:rPr>
                <w:rFonts w:ascii="Arial" w:cs="Arial" w:eastAsia="Arial" w:hAnsi="Arial"/>
                <w:sz w:val="13"/>
                <w:szCs w:val="13"/>
                <w:color w:val="auto"/>
              </w:rPr>
              <w:t>United States</w:t>
            </w:r>
          </w:p>
        </w:tc>
        <w:tc>
          <w:tcPr>
            <w:tcW w:w="248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30"/>
        </w:trPr>
        <w:tc>
          <w:tcPr>
            <w:tcW w:w="3260" w:type="dxa"/>
            <w:vAlign w:val="bottom"/>
          </w:tcPr>
          <w:p>
            <w:pPr>
              <w:ind w:left="20"/>
              <w:spacing w:after="0" w:line="130" w:lineRule="exact"/>
              <w:rPr>
                <w:sz w:val="20"/>
                <w:szCs w:val="20"/>
                <w:color w:val="auto"/>
              </w:rPr>
            </w:pPr>
            <w:r>
              <w:rPr>
                <w:rFonts w:ascii="Arial" w:cs="Arial" w:eastAsia="Arial" w:hAnsi="Arial"/>
                <w:sz w:val="13"/>
                <w:szCs w:val="13"/>
                <w:color w:val="auto"/>
              </w:rPr>
              <w:t>Complete Healthcare Communications LLC</w:t>
            </w:r>
          </w:p>
        </w:tc>
        <w:tc>
          <w:tcPr>
            <w:tcW w:w="3080" w:type="dxa"/>
            <w:vAlign w:val="bottom"/>
          </w:tcPr>
          <w:p>
            <w:pPr>
              <w:ind w:left="820"/>
              <w:spacing w:after="0" w:line="130" w:lineRule="exact"/>
              <w:rPr>
                <w:sz w:val="20"/>
                <w:szCs w:val="20"/>
                <w:color w:val="auto"/>
              </w:rPr>
            </w:pPr>
            <w:r>
              <w:rPr>
                <w:rFonts w:ascii="Arial" w:cs="Arial" w:eastAsia="Arial" w:hAnsi="Arial"/>
                <w:sz w:val="13"/>
                <w:szCs w:val="13"/>
                <w:color w:val="auto"/>
              </w:rPr>
              <w:t>19 West College Ave</w:t>
            </w:r>
          </w:p>
        </w:tc>
        <w:tc>
          <w:tcPr>
            <w:tcW w:w="2480" w:type="dxa"/>
            <w:vAlign w:val="bottom"/>
          </w:tcPr>
          <w:p>
            <w:pPr>
              <w:ind w:left="840"/>
              <w:spacing w:after="0" w:line="130"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30" w:lineRule="exact"/>
              <w:rPr>
                <w:sz w:val="20"/>
                <w:szCs w:val="20"/>
                <w:color w:val="auto"/>
              </w:rPr>
            </w:pPr>
            <w:r>
              <w:rPr>
                <w:rFonts w:ascii="Arial" w:cs="Arial" w:eastAsia="Arial" w:hAnsi="Arial"/>
                <w:sz w:val="13"/>
                <w:szCs w:val="13"/>
                <w:color w:val="auto"/>
              </w:rPr>
              <w:t>100%</w:t>
            </w:r>
          </w:p>
        </w:tc>
      </w:tr>
      <w:tr>
        <w:trPr>
          <w:trHeight w:val="139"/>
        </w:trPr>
        <w:tc>
          <w:tcPr>
            <w:tcW w:w="3260" w:type="dxa"/>
            <w:vAlign w:val="bottom"/>
          </w:tcPr>
          <w:p>
            <w:pPr>
              <w:spacing w:after="0"/>
              <w:rPr>
                <w:sz w:val="12"/>
                <w:szCs w:val="12"/>
                <w:color w:val="auto"/>
              </w:rPr>
            </w:pPr>
          </w:p>
        </w:tc>
        <w:tc>
          <w:tcPr>
            <w:tcW w:w="3080" w:type="dxa"/>
            <w:vAlign w:val="bottom"/>
          </w:tcPr>
          <w:p>
            <w:pPr>
              <w:ind w:left="820"/>
              <w:spacing w:after="0" w:line="139" w:lineRule="exact"/>
              <w:rPr>
                <w:sz w:val="20"/>
                <w:szCs w:val="20"/>
                <w:color w:val="auto"/>
              </w:rPr>
            </w:pPr>
            <w:r>
              <w:rPr>
                <w:rFonts w:ascii="Arial" w:cs="Arial" w:eastAsia="Arial" w:hAnsi="Arial"/>
                <w:sz w:val="13"/>
                <w:szCs w:val="13"/>
                <w:color w:val="auto"/>
              </w:rPr>
              <w:t>Suite 100</w:t>
            </w:r>
          </w:p>
        </w:tc>
        <w:tc>
          <w:tcPr>
            <w:tcW w:w="2480" w:type="dxa"/>
            <w:vAlign w:val="bottom"/>
          </w:tcPr>
          <w:p>
            <w:pPr>
              <w:spacing w:after="0"/>
              <w:rPr>
                <w:sz w:val="12"/>
                <w:szCs w:val="12"/>
                <w:color w:val="auto"/>
              </w:rPr>
            </w:pPr>
          </w:p>
        </w:tc>
        <w:tc>
          <w:tcPr>
            <w:tcW w:w="244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148195" cy="4311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8195" cy="431165"/>
                    </a:xfrm>
                    <a:prstGeom prst="rect">
                      <a:avLst/>
                    </a:prstGeom>
                    <a:noFill/>
                  </pic:spPr>
                </pic:pic>
              </a:graphicData>
            </a:graphic>
          </wp:anchor>
        </w:drawing>
      </w:r>
    </w:p>
    <w:p>
      <w:pPr>
        <w:ind w:left="4080"/>
        <w:spacing w:after="0" w:line="204" w:lineRule="auto"/>
        <w:rPr>
          <w:sz w:val="20"/>
          <w:szCs w:val="20"/>
          <w:color w:val="auto"/>
        </w:rPr>
      </w:pPr>
      <w:r>
        <w:rPr>
          <w:rFonts w:ascii="Arial" w:cs="Arial" w:eastAsia="Arial" w:hAnsi="Arial"/>
          <w:sz w:val="13"/>
          <w:szCs w:val="13"/>
          <w:color w:val="auto"/>
        </w:rPr>
        <w:t>Yardley,</w:t>
      </w:r>
    </w:p>
    <w:p>
      <w:pPr>
        <w:ind w:left="4080"/>
        <w:spacing w:after="0" w:line="204" w:lineRule="auto"/>
        <w:rPr>
          <w:sz w:val="20"/>
          <w:szCs w:val="20"/>
          <w:color w:val="auto"/>
        </w:rPr>
      </w:pPr>
      <w:r>
        <w:rPr>
          <w:rFonts w:ascii="Arial" w:cs="Arial" w:eastAsia="Arial" w:hAnsi="Arial"/>
          <w:sz w:val="13"/>
          <w:szCs w:val="13"/>
          <w:color w:val="auto"/>
        </w:rPr>
        <w:t>PA 19067</w:t>
      </w:r>
    </w:p>
    <w:p>
      <w:pPr>
        <w:ind w:left="4080"/>
        <w:spacing w:after="0"/>
        <w:rPr>
          <w:sz w:val="20"/>
          <w:szCs w:val="20"/>
          <w:color w:val="auto"/>
        </w:rPr>
      </w:pPr>
      <w:r>
        <w:rPr>
          <w:rFonts w:ascii="Arial" w:cs="Arial" w:eastAsia="Arial" w:hAnsi="Arial"/>
          <w:sz w:val="13"/>
          <w:szCs w:val="13"/>
          <w:color w:val="auto"/>
        </w:rPr>
        <w:t>United States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136</w:t>
      </w:r>
    </w:p>
    <w:p>
      <w:pPr>
        <w:sectPr>
          <w:pgSz w:w="11900" w:h="16838" w:orient="portrait"/>
          <w:cols w:equalWidth="0" w:num="1">
            <w:col w:w="11260"/>
          </w:cols>
          <w:pgMar w:left="300" w:top="698" w:right="33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32.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2820" w:type="dxa"/>
            <w:vAlign w:val="bottom"/>
            <w:shd w:val="clear" w:color="auto" w:fill="CCEEFF"/>
          </w:tcPr>
          <w:p>
            <w:pPr>
              <w:ind w:left="580"/>
              <w:spacing w:after="0"/>
              <w:rPr>
                <w:sz w:val="20"/>
                <w:szCs w:val="20"/>
                <w:color w:val="auto"/>
              </w:rPr>
            </w:pPr>
            <w:r>
              <w:rPr>
                <w:rFonts w:ascii="Arial" w:cs="Arial" w:eastAsia="Arial" w:hAnsi="Arial"/>
                <w:sz w:val="13"/>
                <w:szCs w:val="13"/>
                <w:b w:val="1"/>
                <w:bCs w:val="1"/>
                <w:color w:val="auto"/>
              </w:rPr>
              <w:t>Registered Office</w:t>
            </w:r>
          </w:p>
        </w:tc>
        <w:tc>
          <w:tcPr>
            <w:tcW w:w="2500" w:type="dxa"/>
            <w:vAlign w:val="bottom"/>
            <w:shd w:val="clear" w:color="auto" w:fill="CCEEFF"/>
          </w:tcPr>
          <w:p>
            <w:pPr>
              <w:ind w:left="860"/>
              <w:spacing w:after="0"/>
              <w:rPr>
                <w:sz w:val="20"/>
                <w:szCs w:val="20"/>
                <w:color w:val="auto"/>
              </w:rPr>
            </w:pPr>
            <w:r>
              <w:rPr>
                <w:rFonts w:ascii="Arial" w:cs="Arial" w:eastAsia="Arial" w:hAnsi="Arial"/>
                <w:sz w:val="13"/>
                <w:szCs w:val="13"/>
                <w:b w:val="1"/>
                <w:bCs w:val="1"/>
                <w:color w:val="auto"/>
              </w:rPr>
              <w:t>Nature of business</w:t>
            </w:r>
          </w:p>
        </w:tc>
        <w:tc>
          <w:tcPr>
            <w:tcW w:w="244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Proportion held by</w:t>
            </w:r>
          </w:p>
        </w:tc>
      </w:tr>
      <w:tr>
        <w:trPr>
          <w:trHeight w:val="170"/>
        </w:trPr>
        <w:tc>
          <w:tcPr>
            <w:tcW w:w="3500" w:type="dxa"/>
            <w:vAlign w:val="bottom"/>
            <w:tcBorders>
              <w:bottom w:val="single" w:sz="8" w:color="auto"/>
            </w:tcBorders>
            <w:shd w:val="clear" w:color="auto" w:fill="CCEEFF"/>
          </w:tcPr>
          <w:p>
            <w:pPr>
              <w:spacing w:after="0"/>
              <w:rPr>
                <w:sz w:val="14"/>
                <w:szCs w:val="14"/>
                <w:color w:val="auto"/>
              </w:rPr>
            </w:pPr>
          </w:p>
        </w:tc>
        <w:tc>
          <w:tcPr>
            <w:tcW w:w="2820" w:type="dxa"/>
            <w:vAlign w:val="bottom"/>
            <w:tcBorders>
              <w:bottom w:val="single" w:sz="8" w:color="auto"/>
            </w:tcBorders>
            <w:shd w:val="clear" w:color="auto" w:fill="CCEEFF"/>
          </w:tcPr>
          <w:p>
            <w:pPr>
              <w:spacing w:after="0"/>
              <w:rPr>
                <w:sz w:val="14"/>
                <w:szCs w:val="14"/>
                <w:color w:val="auto"/>
              </w:rPr>
            </w:pPr>
          </w:p>
        </w:tc>
        <w:tc>
          <w:tcPr>
            <w:tcW w:w="2500" w:type="dxa"/>
            <w:vAlign w:val="bottom"/>
            <w:tcBorders>
              <w:bottom w:val="single" w:sz="8" w:color="auto"/>
            </w:tcBorders>
            <w:shd w:val="clear" w:color="auto" w:fill="CCEEFF"/>
          </w:tcPr>
          <w:p>
            <w:pPr>
              <w:spacing w:after="0"/>
              <w:rPr>
                <w:sz w:val="14"/>
                <w:szCs w:val="14"/>
                <w:color w:val="auto"/>
              </w:rPr>
            </w:pPr>
          </w:p>
        </w:tc>
        <w:tc>
          <w:tcPr>
            <w:tcW w:w="24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3"/>
                <w:szCs w:val="13"/>
                <w:b w:val="1"/>
                <w:bCs w:val="1"/>
                <w:color w:val="auto"/>
              </w:rPr>
              <w:t>Group</w:t>
            </w:r>
          </w:p>
        </w:tc>
      </w:tr>
      <w:tr>
        <w:trPr>
          <w:trHeight w:val="118"/>
        </w:trPr>
        <w:tc>
          <w:tcPr>
            <w:tcW w:w="3500" w:type="dxa"/>
            <w:vAlign w:val="bottom"/>
          </w:tcPr>
          <w:p>
            <w:pPr>
              <w:ind w:left="20"/>
              <w:spacing w:after="0" w:line="118" w:lineRule="exact"/>
              <w:rPr>
                <w:sz w:val="20"/>
                <w:szCs w:val="20"/>
                <w:color w:val="auto"/>
              </w:rPr>
            </w:pPr>
            <w:r>
              <w:rPr>
                <w:rFonts w:ascii="Arial" w:cs="Arial" w:eastAsia="Arial" w:hAnsi="Arial"/>
                <w:sz w:val="13"/>
                <w:szCs w:val="13"/>
                <w:color w:val="auto"/>
              </w:rPr>
              <w:t>Complete Publication Solutions, LLC</w:t>
            </w:r>
          </w:p>
        </w:tc>
        <w:tc>
          <w:tcPr>
            <w:tcW w:w="2820" w:type="dxa"/>
            <w:vAlign w:val="bottom"/>
          </w:tcPr>
          <w:p>
            <w:pPr>
              <w:ind w:left="580"/>
              <w:spacing w:after="0" w:line="118" w:lineRule="exact"/>
              <w:rPr>
                <w:sz w:val="20"/>
                <w:szCs w:val="20"/>
                <w:color w:val="auto"/>
              </w:rPr>
            </w:pPr>
            <w:r>
              <w:rPr>
                <w:rFonts w:ascii="Arial" w:cs="Arial" w:eastAsia="Arial" w:hAnsi="Arial"/>
                <w:sz w:val="13"/>
                <w:szCs w:val="13"/>
                <w:color w:val="auto"/>
              </w:rPr>
              <w:t>19 West College Ave</w:t>
            </w:r>
          </w:p>
        </w:tc>
        <w:tc>
          <w:tcPr>
            <w:tcW w:w="2500" w:type="dxa"/>
            <w:vAlign w:val="bottom"/>
          </w:tcPr>
          <w:p>
            <w:pPr>
              <w:ind w:left="860"/>
              <w:spacing w:after="0" w:line="11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18" w:lineRule="exact"/>
              <w:rPr>
                <w:sz w:val="20"/>
                <w:szCs w:val="20"/>
                <w:color w:val="auto"/>
              </w:rPr>
            </w:pPr>
            <w:r>
              <w:rPr>
                <w:rFonts w:ascii="Arial" w:cs="Arial" w:eastAsia="Arial" w:hAnsi="Arial"/>
                <w:sz w:val="13"/>
                <w:szCs w:val="13"/>
                <w:color w:val="auto"/>
              </w:rPr>
              <w:t>100%</w:t>
            </w:r>
          </w:p>
        </w:tc>
      </w:tr>
      <w:tr>
        <w:trPr>
          <w:trHeight w:val="127"/>
        </w:trPr>
        <w:tc>
          <w:tcPr>
            <w:tcW w:w="3500" w:type="dxa"/>
            <w:vAlign w:val="bottom"/>
          </w:tcPr>
          <w:p>
            <w:pPr>
              <w:spacing w:after="0"/>
              <w:rPr>
                <w:sz w:val="11"/>
                <w:szCs w:val="11"/>
                <w:color w:val="auto"/>
              </w:rPr>
            </w:pPr>
          </w:p>
        </w:tc>
        <w:tc>
          <w:tcPr>
            <w:tcW w:w="2820" w:type="dxa"/>
            <w:vAlign w:val="bottom"/>
          </w:tcPr>
          <w:p>
            <w:pPr>
              <w:ind w:left="580"/>
              <w:spacing w:after="0" w:line="128" w:lineRule="exact"/>
              <w:rPr>
                <w:sz w:val="20"/>
                <w:szCs w:val="20"/>
                <w:color w:val="auto"/>
              </w:rPr>
            </w:pPr>
            <w:r>
              <w:rPr>
                <w:rFonts w:ascii="Arial" w:cs="Arial" w:eastAsia="Arial" w:hAnsi="Arial"/>
                <w:sz w:val="13"/>
                <w:szCs w:val="13"/>
                <w:color w:val="auto"/>
              </w:rPr>
              <w:t>Suite 100</w:t>
            </w:r>
          </w:p>
        </w:tc>
        <w:tc>
          <w:tcPr>
            <w:tcW w:w="250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500" w:type="dxa"/>
            <w:vAlign w:val="bottom"/>
          </w:tcPr>
          <w:p>
            <w:pPr>
              <w:spacing w:after="0"/>
              <w:rPr>
                <w:sz w:val="11"/>
                <w:szCs w:val="11"/>
                <w:color w:val="auto"/>
              </w:rPr>
            </w:pPr>
          </w:p>
        </w:tc>
        <w:tc>
          <w:tcPr>
            <w:tcW w:w="2820" w:type="dxa"/>
            <w:vAlign w:val="bottom"/>
          </w:tcPr>
          <w:p>
            <w:pPr>
              <w:ind w:left="580"/>
              <w:spacing w:after="0" w:line="128" w:lineRule="exact"/>
              <w:rPr>
                <w:sz w:val="20"/>
                <w:szCs w:val="20"/>
                <w:color w:val="auto"/>
              </w:rPr>
            </w:pPr>
            <w:r>
              <w:rPr>
                <w:rFonts w:ascii="Arial" w:cs="Arial" w:eastAsia="Arial" w:hAnsi="Arial"/>
                <w:sz w:val="13"/>
                <w:szCs w:val="13"/>
                <w:color w:val="auto"/>
              </w:rPr>
              <w:t>Yardley,</w:t>
            </w:r>
          </w:p>
        </w:tc>
        <w:tc>
          <w:tcPr>
            <w:tcW w:w="250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500" w:type="dxa"/>
            <w:vAlign w:val="bottom"/>
          </w:tcPr>
          <w:p>
            <w:pPr>
              <w:spacing w:after="0"/>
              <w:rPr>
                <w:sz w:val="11"/>
                <w:szCs w:val="11"/>
                <w:color w:val="auto"/>
              </w:rPr>
            </w:pPr>
          </w:p>
        </w:tc>
        <w:tc>
          <w:tcPr>
            <w:tcW w:w="2820" w:type="dxa"/>
            <w:vAlign w:val="bottom"/>
          </w:tcPr>
          <w:p>
            <w:pPr>
              <w:ind w:left="580"/>
              <w:spacing w:after="0" w:line="128" w:lineRule="exact"/>
              <w:rPr>
                <w:sz w:val="20"/>
                <w:szCs w:val="20"/>
                <w:color w:val="auto"/>
              </w:rPr>
            </w:pPr>
            <w:r>
              <w:rPr>
                <w:rFonts w:ascii="Arial" w:cs="Arial" w:eastAsia="Arial" w:hAnsi="Arial"/>
                <w:sz w:val="13"/>
                <w:szCs w:val="13"/>
                <w:color w:val="auto"/>
              </w:rPr>
              <w:t>PA 19067</w:t>
            </w:r>
          </w:p>
        </w:tc>
        <w:tc>
          <w:tcPr>
            <w:tcW w:w="250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3500" w:type="dxa"/>
            <w:vAlign w:val="bottom"/>
          </w:tcPr>
          <w:p>
            <w:pPr>
              <w:spacing w:after="0"/>
              <w:rPr>
                <w:sz w:val="14"/>
                <w:szCs w:val="14"/>
                <w:color w:val="auto"/>
              </w:rPr>
            </w:pPr>
          </w:p>
        </w:tc>
        <w:tc>
          <w:tcPr>
            <w:tcW w:w="2820" w:type="dxa"/>
            <w:vAlign w:val="bottom"/>
          </w:tcPr>
          <w:p>
            <w:pPr>
              <w:ind w:left="580"/>
              <w:spacing w:after="0"/>
              <w:rPr>
                <w:sz w:val="20"/>
                <w:szCs w:val="20"/>
                <w:color w:val="auto"/>
              </w:rPr>
            </w:pPr>
            <w:r>
              <w:rPr>
                <w:rFonts w:ascii="Arial" w:cs="Arial" w:eastAsia="Arial" w:hAnsi="Arial"/>
                <w:sz w:val="13"/>
                <w:szCs w:val="13"/>
                <w:color w:val="auto"/>
              </w:rPr>
              <w:t>United States</w:t>
            </w:r>
          </w:p>
        </w:tc>
        <w:tc>
          <w:tcPr>
            <w:tcW w:w="250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5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Accellacare of Charleston, LLC</w:t>
            </w:r>
          </w:p>
        </w:tc>
        <w:tc>
          <w:tcPr>
            <w:tcW w:w="2820" w:type="dxa"/>
            <w:vAlign w:val="bottom"/>
            <w:shd w:val="clear" w:color="auto" w:fill="CCEEFF"/>
          </w:tcPr>
          <w:p>
            <w:pPr>
              <w:ind w:left="580"/>
              <w:spacing w:after="0" w:line="129" w:lineRule="exact"/>
              <w:rPr>
                <w:sz w:val="20"/>
                <w:szCs w:val="20"/>
                <w:color w:val="auto"/>
              </w:rPr>
            </w:pPr>
            <w:r>
              <w:rPr>
                <w:rFonts w:ascii="Arial" w:cs="Arial" w:eastAsia="Arial" w:hAnsi="Arial"/>
                <w:sz w:val="13"/>
                <w:szCs w:val="13"/>
                <w:color w:val="auto"/>
              </w:rPr>
              <w:t>180 Wingo Way</w:t>
            </w:r>
          </w:p>
        </w:tc>
        <w:tc>
          <w:tcPr>
            <w:tcW w:w="2500" w:type="dxa"/>
            <w:vAlign w:val="bottom"/>
            <w:shd w:val="clear" w:color="auto" w:fill="CCEEFF"/>
          </w:tcPr>
          <w:p>
            <w:pPr>
              <w:ind w:left="86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27"/>
        </w:trPr>
        <w:tc>
          <w:tcPr>
            <w:tcW w:w="3500" w:type="dxa"/>
            <w:vAlign w:val="bottom"/>
            <w:shd w:val="clear" w:color="auto" w:fill="CCEEFF"/>
          </w:tcPr>
          <w:p>
            <w:pPr>
              <w:spacing w:after="0"/>
              <w:rPr>
                <w:sz w:val="11"/>
                <w:szCs w:val="11"/>
                <w:color w:val="auto"/>
              </w:rPr>
            </w:pPr>
          </w:p>
        </w:tc>
        <w:tc>
          <w:tcPr>
            <w:tcW w:w="2820" w:type="dxa"/>
            <w:vAlign w:val="bottom"/>
            <w:shd w:val="clear" w:color="auto" w:fill="CCEEFF"/>
          </w:tcPr>
          <w:p>
            <w:pPr>
              <w:ind w:left="580"/>
              <w:spacing w:after="0" w:line="128" w:lineRule="exact"/>
              <w:rPr>
                <w:sz w:val="20"/>
                <w:szCs w:val="20"/>
                <w:color w:val="auto"/>
              </w:rPr>
            </w:pPr>
            <w:r>
              <w:rPr>
                <w:rFonts w:ascii="Arial" w:cs="Arial" w:eastAsia="Arial" w:hAnsi="Arial"/>
                <w:sz w:val="13"/>
                <w:szCs w:val="13"/>
                <w:color w:val="auto"/>
              </w:rPr>
              <w:t>Suite 203</w:t>
            </w:r>
          </w:p>
        </w:tc>
        <w:tc>
          <w:tcPr>
            <w:tcW w:w="25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500" w:type="dxa"/>
            <w:vAlign w:val="bottom"/>
            <w:shd w:val="clear" w:color="auto" w:fill="CCEEFF"/>
          </w:tcPr>
          <w:p>
            <w:pPr>
              <w:spacing w:after="0"/>
              <w:rPr>
                <w:sz w:val="11"/>
                <w:szCs w:val="11"/>
                <w:color w:val="auto"/>
              </w:rPr>
            </w:pPr>
          </w:p>
        </w:tc>
        <w:tc>
          <w:tcPr>
            <w:tcW w:w="2820" w:type="dxa"/>
            <w:vAlign w:val="bottom"/>
            <w:shd w:val="clear" w:color="auto" w:fill="CCEEFF"/>
          </w:tcPr>
          <w:p>
            <w:pPr>
              <w:ind w:left="580"/>
              <w:spacing w:after="0" w:line="128" w:lineRule="exact"/>
              <w:rPr>
                <w:sz w:val="20"/>
                <w:szCs w:val="20"/>
                <w:color w:val="auto"/>
              </w:rPr>
            </w:pPr>
            <w:r>
              <w:rPr>
                <w:rFonts w:ascii="Arial" w:cs="Arial" w:eastAsia="Arial" w:hAnsi="Arial"/>
                <w:sz w:val="13"/>
                <w:szCs w:val="13"/>
                <w:color w:val="auto"/>
              </w:rPr>
              <w:t>Mt. Pleasant</w:t>
            </w:r>
          </w:p>
        </w:tc>
        <w:tc>
          <w:tcPr>
            <w:tcW w:w="25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27"/>
        </w:trPr>
        <w:tc>
          <w:tcPr>
            <w:tcW w:w="3500" w:type="dxa"/>
            <w:vAlign w:val="bottom"/>
            <w:shd w:val="clear" w:color="auto" w:fill="CCEEFF"/>
          </w:tcPr>
          <w:p>
            <w:pPr>
              <w:spacing w:after="0"/>
              <w:rPr>
                <w:sz w:val="11"/>
                <w:szCs w:val="11"/>
                <w:color w:val="auto"/>
              </w:rPr>
            </w:pPr>
          </w:p>
        </w:tc>
        <w:tc>
          <w:tcPr>
            <w:tcW w:w="2820" w:type="dxa"/>
            <w:vAlign w:val="bottom"/>
            <w:shd w:val="clear" w:color="auto" w:fill="CCEEFF"/>
          </w:tcPr>
          <w:p>
            <w:pPr>
              <w:ind w:left="580"/>
              <w:spacing w:after="0" w:line="128" w:lineRule="exact"/>
              <w:rPr>
                <w:sz w:val="20"/>
                <w:szCs w:val="20"/>
                <w:color w:val="auto"/>
              </w:rPr>
            </w:pPr>
            <w:r>
              <w:rPr>
                <w:rFonts w:ascii="Arial" w:cs="Arial" w:eastAsia="Arial" w:hAnsi="Arial"/>
                <w:sz w:val="13"/>
                <w:szCs w:val="13"/>
                <w:color w:val="auto"/>
              </w:rPr>
              <w:t>South Carolina 29464</w:t>
            </w:r>
          </w:p>
        </w:tc>
        <w:tc>
          <w:tcPr>
            <w:tcW w:w="25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70"/>
        </w:trPr>
        <w:tc>
          <w:tcPr>
            <w:tcW w:w="3500" w:type="dxa"/>
            <w:vAlign w:val="bottom"/>
            <w:shd w:val="clear" w:color="auto" w:fill="CCEEFF"/>
          </w:tcPr>
          <w:p>
            <w:pPr>
              <w:spacing w:after="0"/>
              <w:rPr>
                <w:sz w:val="14"/>
                <w:szCs w:val="14"/>
                <w:color w:val="auto"/>
              </w:rPr>
            </w:pPr>
          </w:p>
        </w:tc>
        <w:tc>
          <w:tcPr>
            <w:tcW w:w="2820" w:type="dxa"/>
            <w:vAlign w:val="bottom"/>
            <w:shd w:val="clear" w:color="auto" w:fill="CCEEFF"/>
          </w:tcPr>
          <w:p>
            <w:pPr>
              <w:ind w:left="580"/>
              <w:spacing w:after="0"/>
              <w:rPr>
                <w:sz w:val="20"/>
                <w:szCs w:val="20"/>
                <w:color w:val="auto"/>
              </w:rPr>
            </w:pPr>
            <w:r>
              <w:rPr>
                <w:rFonts w:ascii="Arial" w:cs="Arial" w:eastAsia="Arial" w:hAnsi="Arial"/>
                <w:sz w:val="13"/>
                <w:szCs w:val="13"/>
                <w:color w:val="auto"/>
              </w:rPr>
              <w:t>United States</w:t>
            </w:r>
          </w:p>
        </w:tc>
        <w:tc>
          <w:tcPr>
            <w:tcW w:w="250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3500" w:type="dxa"/>
            <w:vAlign w:val="bottom"/>
          </w:tcPr>
          <w:p>
            <w:pPr>
              <w:ind w:left="20"/>
              <w:spacing w:after="0" w:line="128" w:lineRule="exact"/>
              <w:rPr>
                <w:sz w:val="20"/>
                <w:szCs w:val="20"/>
                <w:color w:val="auto"/>
              </w:rPr>
            </w:pPr>
            <w:r>
              <w:rPr>
                <w:rFonts w:ascii="Arial" w:cs="Arial" w:eastAsia="Arial" w:hAnsi="Arial"/>
                <w:sz w:val="13"/>
                <w:szCs w:val="13"/>
                <w:color w:val="auto"/>
              </w:rPr>
              <w:t>Accellacare of Bristol, LLC</w:t>
            </w:r>
          </w:p>
        </w:tc>
        <w:tc>
          <w:tcPr>
            <w:tcW w:w="2820" w:type="dxa"/>
            <w:vAlign w:val="bottom"/>
          </w:tcPr>
          <w:p>
            <w:pPr>
              <w:ind w:left="580"/>
              <w:spacing w:after="0" w:line="128" w:lineRule="exact"/>
              <w:rPr>
                <w:sz w:val="20"/>
                <w:szCs w:val="20"/>
                <w:color w:val="auto"/>
              </w:rPr>
            </w:pPr>
            <w:r>
              <w:rPr>
                <w:rFonts w:ascii="Arial" w:cs="Arial" w:eastAsia="Arial" w:hAnsi="Arial"/>
                <w:sz w:val="13"/>
                <w:szCs w:val="13"/>
                <w:color w:val="auto"/>
              </w:rPr>
              <w:t>1958 West State Street</w:t>
            </w:r>
          </w:p>
        </w:tc>
        <w:tc>
          <w:tcPr>
            <w:tcW w:w="2500" w:type="dxa"/>
            <w:vAlign w:val="bottom"/>
          </w:tcPr>
          <w:p>
            <w:pPr>
              <w:ind w:left="86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27"/>
        </w:trPr>
        <w:tc>
          <w:tcPr>
            <w:tcW w:w="3500" w:type="dxa"/>
            <w:vAlign w:val="bottom"/>
          </w:tcPr>
          <w:p>
            <w:pPr>
              <w:spacing w:after="0"/>
              <w:rPr>
                <w:sz w:val="11"/>
                <w:szCs w:val="11"/>
                <w:color w:val="auto"/>
              </w:rPr>
            </w:pPr>
          </w:p>
        </w:tc>
        <w:tc>
          <w:tcPr>
            <w:tcW w:w="2820" w:type="dxa"/>
            <w:vAlign w:val="bottom"/>
          </w:tcPr>
          <w:p>
            <w:pPr>
              <w:ind w:left="580"/>
              <w:spacing w:after="0" w:line="128" w:lineRule="exact"/>
              <w:rPr>
                <w:sz w:val="20"/>
                <w:szCs w:val="20"/>
                <w:color w:val="auto"/>
              </w:rPr>
            </w:pPr>
            <w:r>
              <w:rPr>
                <w:rFonts w:ascii="Arial" w:cs="Arial" w:eastAsia="Arial" w:hAnsi="Arial"/>
                <w:sz w:val="13"/>
                <w:szCs w:val="13"/>
                <w:color w:val="auto"/>
              </w:rPr>
              <w:t>Bristol</w:t>
            </w:r>
          </w:p>
        </w:tc>
        <w:tc>
          <w:tcPr>
            <w:tcW w:w="250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27"/>
        </w:trPr>
        <w:tc>
          <w:tcPr>
            <w:tcW w:w="3500" w:type="dxa"/>
            <w:vAlign w:val="bottom"/>
          </w:tcPr>
          <w:p>
            <w:pPr>
              <w:spacing w:after="0"/>
              <w:rPr>
                <w:sz w:val="11"/>
                <w:szCs w:val="11"/>
                <w:color w:val="auto"/>
              </w:rPr>
            </w:pPr>
          </w:p>
        </w:tc>
        <w:tc>
          <w:tcPr>
            <w:tcW w:w="2820" w:type="dxa"/>
            <w:vAlign w:val="bottom"/>
          </w:tcPr>
          <w:p>
            <w:pPr>
              <w:ind w:left="580"/>
              <w:spacing w:after="0" w:line="128" w:lineRule="exact"/>
              <w:rPr>
                <w:sz w:val="20"/>
                <w:szCs w:val="20"/>
                <w:color w:val="auto"/>
              </w:rPr>
            </w:pPr>
            <w:r>
              <w:rPr>
                <w:rFonts w:ascii="Arial" w:cs="Arial" w:eastAsia="Arial" w:hAnsi="Arial"/>
                <w:sz w:val="13"/>
                <w:szCs w:val="13"/>
                <w:color w:val="auto"/>
              </w:rPr>
              <w:t>Tennessee 37620</w:t>
            </w:r>
          </w:p>
        </w:tc>
        <w:tc>
          <w:tcPr>
            <w:tcW w:w="250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68"/>
        </w:trPr>
        <w:tc>
          <w:tcPr>
            <w:tcW w:w="3500" w:type="dxa"/>
            <w:vAlign w:val="bottom"/>
          </w:tcPr>
          <w:p>
            <w:pPr>
              <w:spacing w:after="0"/>
              <w:rPr>
                <w:sz w:val="14"/>
                <w:szCs w:val="14"/>
                <w:color w:val="auto"/>
              </w:rPr>
            </w:pPr>
          </w:p>
        </w:tc>
        <w:tc>
          <w:tcPr>
            <w:tcW w:w="2820" w:type="dxa"/>
            <w:vAlign w:val="bottom"/>
          </w:tcPr>
          <w:p>
            <w:pPr>
              <w:ind w:left="580"/>
              <w:spacing w:after="0"/>
              <w:rPr>
                <w:sz w:val="20"/>
                <w:szCs w:val="20"/>
                <w:color w:val="auto"/>
              </w:rPr>
            </w:pPr>
            <w:r>
              <w:rPr>
                <w:rFonts w:ascii="Arial" w:cs="Arial" w:eastAsia="Arial" w:hAnsi="Arial"/>
                <w:sz w:val="13"/>
                <w:szCs w:val="13"/>
                <w:color w:val="auto"/>
              </w:rPr>
              <w:t>United States</w:t>
            </w:r>
          </w:p>
        </w:tc>
        <w:tc>
          <w:tcPr>
            <w:tcW w:w="250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29"/>
        </w:trPr>
        <w:tc>
          <w:tcPr>
            <w:tcW w:w="35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Lifetree Clinical Research, LC</w:t>
            </w:r>
          </w:p>
        </w:tc>
        <w:tc>
          <w:tcPr>
            <w:tcW w:w="2820" w:type="dxa"/>
            <w:vAlign w:val="bottom"/>
            <w:shd w:val="clear" w:color="auto" w:fill="CCEEFF"/>
          </w:tcPr>
          <w:p>
            <w:pPr>
              <w:ind w:left="580"/>
              <w:spacing w:after="0" w:line="129" w:lineRule="exact"/>
              <w:rPr>
                <w:sz w:val="20"/>
                <w:szCs w:val="20"/>
                <w:color w:val="auto"/>
              </w:rPr>
            </w:pPr>
            <w:r>
              <w:rPr>
                <w:rFonts w:ascii="Arial" w:cs="Arial" w:eastAsia="Arial" w:hAnsi="Arial"/>
                <w:sz w:val="13"/>
                <w:szCs w:val="13"/>
                <w:color w:val="auto"/>
              </w:rPr>
              <w:t>1255 East 3900 South</w:t>
            </w:r>
          </w:p>
        </w:tc>
        <w:tc>
          <w:tcPr>
            <w:tcW w:w="2500" w:type="dxa"/>
            <w:vAlign w:val="bottom"/>
            <w:shd w:val="clear" w:color="auto" w:fill="CCEEFF"/>
          </w:tcPr>
          <w:p>
            <w:pPr>
              <w:ind w:left="860"/>
              <w:spacing w:after="0" w:line="129" w:lineRule="exact"/>
              <w:rPr>
                <w:sz w:val="20"/>
                <w:szCs w:val="20"/>
                <w:color w:val="auto"/>
              </w:rPr>
            </w:pPr>
            <w:r>
              <w:rPr>
                <w:rFonts w:ascii="Arial" w:cs="Arial" w:eastAsia="Arial" w:hAnsi="Arial"/>
                <w:sz w:val="13"/>
                <w:szCs w:val="13"/>
                <w:color w:val="auto"/>
              </w:rPr>
              <w:t>Clinical research services</w:t>
            </w:r>
          </w:p>
        </w:tc>
        <w:tc>
          <w:tcPr>
            <w:tcW w:w="244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100%</w:t>
            </w:r>
          </w:p>
        </w:tc>
      </w:tr>
      <w:tr>
        <w:trPr>
          <w:trHeight w:val="170"/>
        </w:trPr>
        <w:tc>
          <w:tcPr>
            <w:tcW w:w="3500" w:type="dxa"/>
            <w:vAlign w:val="bottom"/>
            <w:shd w:val="clear" w:color="auto" w:fill="CCEEFF"/>
          </w:tcPr>
          <w:p>
            <w:pPr>
              <w:spacing w:after="0"/>
              <w:rPr>
                <w:sz w:val="14"/>
                <w:szCs w:val="14"/>
                <w:color w:val="auto"/>
              </w:rPr>
            </w:pPr>
          </w:p>
        </w:tc>
        <w:tc>
          <w:tcPr>
            <w:tcW w:w="2820" w:type="dxa"/>
            <w:vAlign w:val="bottom"/>
            <w:shd w:val="clear" w:color="auto" w:fill="CCEEFF"/>
          </w:tcPr>
          <w:p>
            <w:pPr>
              <w:ind w:left="580"/>
              <w:spacing w:after="0"/>
              <w:rPr>
                <w:sz w:val="20"/>
                <w:szCs w:val="20"/>
                <w:color w:val="auto"/>
              </w:rPr>
            </w:pPr>
            <w:r>
              <w:rPr>
                <w:rFonts w:ascii="Arial" w:cs="Arial" w:eastAsia="Arial" w:hAnsi="Arial"/>
                <w:sz w:val="13"/>
                <w:szCs w:val="13"/>
                <w:color w:val="auto"/>
              </w:rPr>
              <w:t>Salt Lake City, UT 84124</w:t>
            </w:r>
          </w:p>
        </w:tc>
        <w:tc>
          <w:tcPr>
            <w:tcW w:w="250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127"/>
        </w:trPr>
        <w:tc>
          <w:tcPr>
            <w:tcW w:w="3500" w:type="dxa"/>
            <w:vAlign w:val="bottom"/>
          </w:tcPr>
          <w:p>
            <w:pPr>
              <w:ind w:left="20"/>
              <w:spacing w:after="0" w:line="128" w:lineRule="exact"/>
              <w:rPr>
                <w:sz w:val="20"/>
                <w:szCs w:val="20"/>
                <w:color w:val="auto"/>
              </w:rPr>
            </w:pPr>
            <w:r>
              <w:rPr>
                <w:rFonts w:ascii="Arial" w:cs="Arial" w:eastAsia="Arial" w:hAnsi="Arial"/>
                <w:sz w:val="13"/>
                <w:szCs w:val="13"/>
                <w:color w:val="auto"/>
              </w:rPr>
              <w:t>ICON Government and Public Health Solutions, Inc.</w:t>
            </w:r>
          </w:p>
        </w:tc>
        <w:tc>
          <w:tcPr>
            <w:tcW w:w="2820" w:type="dxa"/>
            <w:vAlign w:val="bottom"/>
          </w:tcPr>
          <w:p>
            <w:pPr>
              <w:ind w:left="580"/>
              <w:spacing w:after="0" w:line="128" w:lineRule="exact"/>
              <w:rPr>
                <w:sz w:val="20"/>
                <w:szCs w:val="20"/>
                <w:color w:val="auto"/>
              </w:rPr>
            </w:pPr>
            <w:r>
              <w:rPr>
                <w:rFonts w:ascii="Arial" w:cs="Arial" w:eastAsia="Arial" w:hAnsi="Arial"/>
                <w:sz w:val="13"/>
                <w:szCs w:val="13"/>
                <w:color w:val="auto"/>
              </w:rPr>
              <w:t>1265 Ridge Road,</w:t>
            </w:r>
          </w:p>
        </w:tc>
        <w:tc>
          <w:tcPr>
            <w:tcW w:w="2500" w:type="dxa"/>
            <w:vAlign w:val="bottom"/>
          </w:tcPr>
          <w:p>
            <w:pPr>
              <w:ind w:left="860"/>
              <w:spacing w:after="0" w:line="128" w:lineRule="exact"/>
              <w:rPr>
                <w:sz w:val="20"/>
                <w:szCs w:val="20"/>
                <w:color w:val="auto"/>
              </w:rPr>
            </w:pPr>
            <w:r>
              <w:rPr>
                <w:rFonts w:ascii="Arial" w:cs="Arial" w:eastAsia="Arial" w:hAnsi="Arial"/>
                <w:sz w:val="13"/>
                <w:szCs w:val="13"/>
                <w:color w:val="auto"/>
              </w:rPr>
              <w:t>Clinical research services</w:t>
            </w:r>
          </w:p>
        </w:tc>
        <w:tc>
          <w:tcPr>
            <w:tcW w:w="2440" w:type="dxa"/>
            <w:vAlign w:val="bottom"/>
          </w:tcPr>
          <w:p>
            <w:pPr>
              <w:ind w:left="200"/>
              <w:spacing w:after="0" w:line="128" w:lineRule="exact"/>
              <w:rPr>
                <w:sz w:val="20"/>
                <w:szCs w:val="20"/>
                <w:color w:val="auto"/>
              </w:rPr>
            </w:pPr>
            <w:r>
              <w:rPr>
                <w:rFonts w:ascii="Arial" w:cs="Arial" w:eastAsia="Arial" w:hAnsi="Arial"/>
                <w:sz w:val="13"/>
                <w:szCs w:val="13"/>
                <w:color w:val="auto"/>
              </w:rPr>
              <w:t>100%</w:t>
            </w:r>
          </w:p>
        </w:tc>
      </w:tr>
      <w:tr>
        <w:trPr>
          <w:trHeight w:val="139"/>
        </w:trPr>
        <w:tc>
          <w:tcPr>
            <w:tcW w:w="3500" w:type="dxa"/>
            <w:vAlign w:val="bottom"/>
          </w:tcPr>
          <w:p>
            <w:pPr>
              <w:spacing w:after="0"/>
              <w:rPr>
                <w:sz w:val="12"/>
                <w:szCs w:val="12"/>
                <w:color w:val="auto"/>
              </w:rPr>
            </w:pPr>
          </w:p>
        </w:tc>
        <w:tc>
          <w:tcPr>
            <w:tcW w:w="2820" w:type="dxa"/>
            <w:vAlign w:val="bottom"/>
          </w:tcPr>
          <w:p>
            <w:pPr>
              <w:ind w:left="580"/>
              <w:spacing w:after="0" w:line="139" w:lineRule="exact"/>
              <w:rPr>
                <w:sz w:val="20"/>
                <w:szCs w:val="20"/>
                <w:color w:val="auto"/>
              </w:rPr>
            </w:pPr>
            <w:r>
              <w:rPr>
                <w:rFonts w:ascii="Arial" w:cs="Arial" w:eastAsia="Arial" w:hAnsi="Arial"/>
                <w:sz w:val="13"/>
                <w:szCs w:val="13"/>
                <w:color w:val="auto"/>
              </w:rPr>
              <w:t>Hinckley,</w:t>
            </w:r>
          </w:p>
        </w:tc>
        <w:tc>
          <w:tcPr>
            <w:tcW w:w="2500" w:type="dxa"/>
            <w:vAlign w:val="bottom"/>
          </w:tcPr>
          <w:p>
            <w:pPr>
              <w:spacing w:after="0"/>
              <w:rPr>
                <w:sz w:val="12"/>
                <w:szCs w:val="12"/>
                <w:color w:val="auto"/>
              </w:rPr>
            </w:pPr>
          </w:p>
        </w:tc>
        <w:tc>
          <w:tcPr>
            <w:tcW w:w="2440" w:type="dxa"/>
            <w:vAlign w:val="bottom"/>
          </w:tcPr>
          <w:p>
            <w:pPr>
              <w:spacing w:after="0"/>
              <w:rPr>
                <w:sz w:val="12"/>
                <w:szCs w:val="12"/>
                <w:color w:val="auto"/>
              </w:rPr>
            </w:pPr>
          </w:p>
        </w:tc>
      </w:tr>
    </w:tbl>
    <w:p>
      <w:pPr>
        <w:ind w:left="4080"/>
        <w:spacing w:after="0" w:line="204" w:lineRule="auto"/>
        <w:rPr>
          <w:sz w:val="20"/>
          <w:szCs w:val="20"/>
          <w:color w:val="auto"/>
        </w:rPr>
      </w:pPr>
      <w:r>
        <w:rPr>
          <w:rFonts w:ascii="Arial" w:cs="Arial" w:eastAsia="Arial" w:hAnsi="Arial"/>
          <w:sz w:val="13"/>
          <w:szCs w:val="13"/>
          <w:color w:val="auto"/>
        </w:rPr>
        <w:t>OH 44233</w:t>
      </w:r>
    </w:p>
    <w:p>
      <w:pPr>
        <w:ind w:left="4080"/>
        <w:spacing w:after="0"/>
        <w:rPr>
          <w:sz w:val="20"/>
          <w:szCs w:val="20"/>
          <w:color w:val="auto"/>
        </w:rPr>
      </w:pPr>
      <w:r>
        <w:rPr>
          <w:rFonts w:ascii="Arial" w:cs="Arial" w:eastAsia="Arial" w:hAnsi="Arial"/>
          <w:sz w:val="13"/>
          <w:szCs w:val="13"/>
          <w:color w:val="auto"/>
        </w:rPr>
        <w:t>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7148195" cy="13341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8195" cy="1334135"/>
                    </a:xfrm>
                    <a:prstGeom prst="rect">
                      <a:avLst/>
                    </a:prstGeom>
                    <a:noFill/>
                  </pic:spPr>
                </pic:pic>
              </a:graphicData>
            </a:graphic>
          </wp:anchor>
        </w:drawing>
      </w:r>
    </w:p>
    <w:p>
      <w:pPr>
        <w:ind w:left="20"/>
        <w:spacing w:after="0"/>
        <w:rPr>
          <w:sz w:val="20"/>
          <w:szCs w:val="20"/>
          <w:color w:val="auto"/>
        </w:rPr>
      </w:pPr>
      <w:r>
        <w:rPr>
          <w:rFonts w:ascii="Arial" w:cs="Arial" w:eastAsia="Arial" w:hAnsi="Arial"/>
          <w:sz w:val="12"/>
          <w:szCs w:val="12"/>
          <w:color w:val="auto"/>
        </w:rPr>
        <w:t>* majority of which is held directly</w:t>
      </w:r>
    </w:p>
    <w:p>
      <w:pPr>
        <w:ind w:left="20"/>
        <w:spacing w:after="0"/>
        <w:rPr>
          <w:sz w:val="20"/>
          <w:szCs w:val="20"/>
          <w:color w:val="auto"/>
        </w:rPr>
      </w:pPr>
      <w:r>
        <w:rPr>
          <w:rFonts w:ascii="Arial" w:cs="Arial" w:eastAsia="Arial" w:hAnsi="Arial"/>
          <w:sz w:val="12"/>
          <w:szCs w:val="12"/>
          <w:color w:val="auto"/>
        </w:rPr>
        <w:t>** Mapi Research Trust is an association, its members are ICON Subsidiary entities.</w:t>
      </w:r>
    </w:p>
    <w:p>
      <w:pPr>
        <w:ind w:left="20"/>
        <w:spacing w:after="0"/>
        <w:rPr>
          <w:sz w:val="20"/>
          <w:szCs w:val="20"/>
          <w:color w:val="auto"/>
        </w:rPr>
      </w:pPr>
      <w:r>
        <w:rPr>
          <w:rFonts w:ascii="Arial" w:cs="Arial" w:eastAsia="Arial" w:hAnsi="Arial"/>
          <w:sz w:val="12"/>
          <w:szCs w:val="12"/>
          <w:color w:val="auto"/>
        </w:rPr>
        <w:t>***MAPI SAS Merged out of existence effective 01 January 2022 into ICON CLINICAL RESEARCH SARL</w:t>
      </w:r>
    </w:p>
    <w:p>
      <w:pPr>
        <w:ind w:left="20"/>
        <w:spacing w:after="0"/>
        <w:rPr>
          <w:sz w:val="20"/>
          <w:szCs w:val="20"/>
          <w:color w:val="auto"/>
        </w:rPr>
      </w:pPr>
      <w:r>
        <w:rPr>
          <w:rFonts w:ascii="Arial" w:cs="Arial" w:eastAsia="Arial" w:hAnsi="Arial"/>
          <w:sz w:val="12"/>
          <w:szCs w:val="12"/>
          <w:color w:val="auto"/>
        </w:rPr>
        <w:t>****Timpani Unlimited Company liquidated on 6 April 2022</w:t>
      </w:r>
    </w:p>
    <w:p>
      <w:pPr>
        <w:ind w:left="20"/>
        <w:spacing w:after="0"/>
        <w:rPr>
          <w:sz w:val="20"/>
          <w:szCs w:val="20"/>
          <w:color w:val="auto"/>
        </w:rPr>
      </w:pPr>
      <w:r>
        <w:rPr>
          <w:rFonts w:ascii="Arial" w:cs="Arial" w:eastAsia="Arial" w:hAnsi="Arial"/>
          <w:sz w:val="12"/>
          <w:szCs w:val="12"/>
          <w:color w:val="auto"/>
        </w:rPr>
        <w:t>*****ICON Clinical Research Israel LTD. Changed registered address on 11 April 2022 to Building E, 13th Floor, 4 Haharash Street, Hod Hasharon, 4524402, Israel</w:t>
      </w:r>
    </w:p>
    <w:p>
      <w:pPr>
        <w:ind w:left="20"/>
        <w:spacing w:after="0"/>
        <w:rPr>
          <w:sz w:val="20"/>
          <w:szCs w:val="20"/>
          <w:color w:val="auto"/>
        </w:rPr>
      </w:pPr>
      <w:r>
        <w:rPr>
          <w:rFonts w:ascii="Arial" w:cs="Arial" w:eastAsia="Arial" w:hAnsi="Arial"/>
          <w:sz w:val="12"/>
          <w:szCs w:val="12"/>
          <w:color w:val="auto"/>
        </w:rPr>
        <w:t>******ICON Klinikai Kutató Korlátolt Felelősségű Társaság/ ICON Clinical Research Limited Liability Company changed registered address on 08/04/2022 to Szépvölgyi út 39, Budapest, 1037, Hungary</w:t>
      </w:r>
    </w:p>
    <w:p>
      <w:pPr>
        <w:spacing w:after="0" w:line="11" w:lineRule="exact"/>
        <w:rPr>
          <w:sz w:val="20"/>
          <w:szCs w:val="20"/>
          <w:color w:val="auto"/>
        </w:rPr>
      </w:pPr>
    </w:p>
    <w:p>
      <w:pPr>
        <w:ind w:left="20" w:right="40"/>
        <w:spacing w:after="0"/>
        <w:rPr>
          <w:sz w:val="20"/>
          <w:szCs w:val="20"/>
          <w:color w:val="auto"/>
        </w:rPr>
      </w:pPr>
      <w:r>
        <w:rPr>
          <w:rFonts w:ascii="Arial" w:cs="Arial" w:eastAsia="Arial" w:hAnsi="Arial"/>
          <w:sz w:val="12"/>
          <w:szCs w:val="12"/>
          <w:color w:val="auto"/>
        </w:rPr>
        <w:t>*******Research Pharmaceutical Services Puerto Rico, Inc changed registered address on 17 May 2022 to c/o Fast Solutions, LLC, Citi Tower, 252 Ponce de Leon Avenue, Floor 20, San Juan, Puerto Rico 00918</w:t>
      </w:r>
    </w:p>
    <w:p>
      <w:pPr>
        <w:spacing w:after="0" w:line="138" w:lineRule="exact"/>
        <w:rPr>
          <w:sz w:val="20"/>
          <w:szCs w:val="20"/>
          <w:color w:val="auto"/>
        </w:rPr>
      </w:pPr>
    </w:p>
    <w:p>
      <w:pPr>
        <w:ind w:left="20" w:right="120"/>
        <w:spacing w:after="0" w:line="239" w:lineRule="auto"/>
        <w:rPr>
          <w:sz w:val="20"/>
          <w:szCs w:val="20"/>
          <w:color w:val="auto"/>
        </w:rPr>
      </w:pPr>
      <w:r>
        <w:rPr>
          <w:rFonts w:ascii="Arial" w:cs="Arial" w:eastAsia="Arial" w:hAnsi="Arial"/>
          <w:sz w:val="12"/>
          <w:szCs w:val="12"/>
          <w:color w:val="auto"/>
        </w:rPr>
        <w:t>********Pharmaceutical Research Associates Ltda. Changed registered address on 26 April 2022 to Av. Ibirapuera, No. 2.332, 4th floor, Suites 41 and 42, Tower II, Moema, City of São Paulo, State of São Paulo, 04028-003, Brazil</w:t>
      </w:r>
    </w:p>
    <w:p>
      <w:pPr>
        <w:spacing w:after="0" w:line="1" w:lineRule="exact"/>
        <w:rPr>
          <w:sz w:val="20"/>
          <w:szCs w:val="20"/>
          <w:color w:val="auto"/>
        </w:rPr>
      </w:pPr>
    </w:p>
    <w:p>
      <w:pPr>
        <w:ind w:left="20" w:right="240"/>
        <w:spacing w:after="0" w:line="239" w:lineRule="auto"/>
        <w:rPr>
          <w:sz w:val="20"/>
          <w:szCs w:val="20"/>
          <w:color w:val="auto"/>
        </w:rPr>
      </w:pPr>
      <w:r>
        <w:rPr>
          <w:rFonts w:ascii="Arial" w:cs="Arial" w:eastAsia="Arial" w:hAnsi="Arial"/>
          <w:sz w:val="12"/>
          <w:szCs w:val="12"/>
          <w:color w:val="auto"/>
        </w:rPr>
        <w:t>*********RPS do Brasil Serviços de Pesquisas LTDA. Changed registered address on 26 April 2022 to Av. Ibirapuera, No. 2.332, 4th floor, Suites 41 and 42, Tower II, Moema, City of São Paulo, State of São Paulo, 04028-003, Brazil</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2"/>
          <w:szCs w:val="12"/>
          <w:color w:val="auto"/>
        </w:rPr>
        <w:t>**********CRN NORTH AMERICA, LLC DBA SYMPHONY CLINICAL STAFFING changed registered address on 31May 2022 to 3 Parkway North, Suite 200, Deerfield, IL 60015, United States</w:t>
      </w:r>
    </w:p>
    <w:p>
      <w:pPr>
        <w:spacing w:after="0" w:line="10" w:lineRule="exact"/>
        <w:rPr>
          <w:sz w:val="20"/>
          <w:szCs w:val="20"/>
          <w:color w:val="auto"/>
        </w:rPr>
      </w:pPr>
    </w:p>
    <w:p>
      <w:pPr>
        <w:ind w:left="60"/>
        <w:spacing w:after="0"/>
        <w:rPr>
          <w:sz w:val="20"/>
          <w:szCs w:val="20"/>
          <w:color w:val="auto"/>
        </w:rPr>
      </w:pPr>
      <w:r>
        <w:rPr>
          <w:rFonts w:ascii="Arial" w:cs="Arial" w:eastAsia="Arial" w:hAnsi="Arial"/>
          <w:sz w:val="12"/>
          <w:szCs w:val="12"/>
          <w:color w:val="auto"/>
        </w:rPr>
        <w:t>***********CRN Holdings, LLC changed registered address on 31 May 2022 to 3 Parkway North, Suite 200, Deerfield, IL 60015, United States</w:t>
      </w:r>
    </w:p>
    <w:p>
      <w:pPr>
        <w:ind w:left="20"/>
        <w:spacing w:after="0"/>
        <w:rPr>
          <w:sz w:val="20"/>
          <w:szCs w:val="20"/>
          <w:color w:val="auto"/>
        </w:rPr>
      </w:pPr>
      <w:r>
        <w:rPr>
          <w:rFonts w:ascii="Arial" w:cs="Arial" w:eastAsia="Arial" w:hAnsi="Arial"/>
          <w:sz w:val="12"/>
          <w:szCs w:val="12"/>
          <w:color w:val="auto"/>
        </w:rPr>
        <w:t>************Clinical Resource Network, LLC DBA SYMPHONY CLINICAL RESEARCH changed registered address on 31 May 2022 to 3 Parkway North, Suite 200, Deerfield, IL, 60015,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20" w:hanging="315"/>
        <w:spacing w:after="0"/>
        <w:tabs>
          <w:tab w:leader="none" w:pos="320" w:val="left"/>
        </w:tabs>
        <w:numPr>
          <w:ilvl w:val="0"/>
          <w:numId w:val="138"/>
        </w:numPr>
        <w:rPr>
          <w:rFonts w:ascii="Arial" w:cs="Arial" w:eastAsia="Arial" w:hAnsi="Arial"/>
          <w:sz w:val="13"/>
          <w:szCs w:val="13"/>
          <w:b w:val="1"/>
          <w:bCs w:val="1"/>
          <w:color w:val="auto"/>
        </w:rPr>
      </w:pPr>
      <w:r>
        <w:rPr>
          <w:rFonts w:ascii="Arial" w:cs="Arial" w:eastAsia="Arial" w:hAnsi="Arial"/>
          <w:sz w:val="13"/>
          <w:szCs w:val="13"/>
          <w:b w:val="1"/>
          <w:bCs w:val="1"/>
          <w:color w:val="auto"/>
        </w:rPr>
        <w:t>Approval of financial statements</w:t>
      </w:r>
    </w:p>
    <w:p>
      <w:pPr>
        <w:spacing w:after="0" w:line="200" w:lineRule="exact"/>
        <w:rPr>
          <w:rFonts w:ascii="Arial" w:cs="Arial" w:eastAsia="Arial" w:hAnsi="Arial"/>
          <w:sz w:val="13"/>
          <w:szCs w:val="13"/>
          <w:b w:val="1"/>
          <w:bCs w:val="1"/>
          <w:color w:val="auto"/>
        </w:rPr>
      </w:pPr>
    </w:p>
    <w:p>
      <w:pPr>
        <w:ind w:left="320"/>
        <w:spacing w:after="0"/>
        <w:rPr>
          <w:rFonts w:ascii="Arial" w:cs="Arial" w:eastAsia="Arial" w:hAnsi="Arial"/>
          <w:sz w:val="13"/>
          <w:szCs w:val="13"/>
          <w:b w:val="1"/>
          <w:bCs w:val="1"/>
          <w:color w:val="auto"/>
        </w:rPr>
      </w:pPr>
      <w:r>
        <w:rPr>
          <w:rFonts w:ascii="Arial" w:cs="Arial" w:eastAsia="Arial" w:hAnsi="Arial"/>
          <w:sz w:val="13"/>
          <w:szCs w:val="13"/>
          <w:color w:val="auto"/>
        </w:rPr>
        <w:t>The Board of Directors approved these financial statements on 17 June 2022.</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137</w:t>
      </w:r>
    </w:p>
    <w:p>
      <w:pPr>
        <w:sectPr>
          <w:pgSz w:w="11900" w:h="16838" w:orient="portrait"/>
          <w:cols w:equalWidth="0" w:num="1">
            <w:col w:w="11260"/>
          </w:cols>
          <w:pgMar w:left="300" w:top="698" w:right="33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color w:val="auto"/>
        </w:rPr>
        <w:t>Company Statement of Financial Position</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20" w:type="dxa"/>
            <w:vAlign w:val="bottom"/>
            <w:tcBorders>
              <w:bottom w:val="single" w:sz="8" w:color="auto"/>
            </w:tcBorders>
            <w:shd w:val="clear" w:color="auto" w:fill="CCEEFF"/>
          </w:tcPr>
          <w:p>
            <w:pPr>
              <w:spacing w:after="0"/>
              <w:rPr>
                <w:sz w:val="14"/>
                <w:szCs w:val="14"/>
                <w:color w:val="auto"/>
              </w:rPr>
            </w:pPr>
          </w:p>
        </w:tc>
        <w:tc>
          <w:tcPr>
            <w:tcW w:w="55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i w:val="1"/>
                <w:iCs w:val="1"/>
                <w:color w:val="auto"/>
              </w:rPr>
              <w:t>Note</w:t>
            </w:r>
          </w:p>
        </w:tc>
        <w:tc>
          <w:tcPr>
            <w:tcW w:w="15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31 December 2021</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 December 2020</w:t>
            </w:r>
          </w:p>
        </w:tc>
      </w:tr>
      <w:tr>
        <w:trPr>
          <w:trHeight w:val="160"/>
        </w:trPr>
        <w:tc>
          <w:tcPr>
            <w:tcW w:w="2920" w:type="dxa"/>
            <w:vAlign w:val="bottom"/>
          </w:tcPr>
          <w:p>
            <w:pPr>
              <w:spacing w:after="0"/>
              <w:rPr>
                <w:sz w:val="13"/>
                <w:szCs w:val="13"/>
                <w:color w:val="auto"/>
              </w:rPr>
            </w:pPr>
          </w:p>
        </w:tc>
        <w:tc>
          <w:tcPr>
            <w:tcW w:w="5560" w:type="dxa"/>
            <w:vAlign w:val="bottom"/>
          </w:tcPr>
          <w:p>
            <w:pPr>
              <w:spacing w:after="0"/>
              <w:rPr>
                <w:sz w:val="13"/>
                <w:szCs w:val="13"/>
                <w:color w:val="auto"/>
              </w:rPr>
            </w:pPr>
          </w:p>
        </w:tc>
        <w:tc>
          <w:tcPr>
            <w:tcW w:w="1500" w:type="dxa"/>
            <w:vAlign w:val="bottom"/>
          </w:tcPr>
          <w:p>
            <w:pPr>
              <w:jc w:val="right"/>
              <w:ind w:right="136"/>
              <w:spacing w:after="0"/>
              <w:rPr>
                <w:sz w:val="20"/>
                <w:szCs w:val="20"/>
                <w:color w:val="auto"/>
              </w:rPr>
            </w:pPr>
            <w:r>
              <w:rPr>
                <w:rFonts w:ascii="Arial" w:cs="Arial" w:eastAsia="Arial" w:hAnsi="Arial"/>
                <w:sz w:val="13"/>
                <w:szCs w:val="13"/>
                <w:b w:val="1"/>
                <w:bCs w:val="1"/>
                <w:color w:val="auto"/>
              </w:rPr>
              <w:t>$’000</w:t>
            </w:r>
          </w:p>
        </w:tc>
        <w:tc>
          <w:tcPr>
            <w:tcW w:w="130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29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ASSETS</w:t>
            </w:r>
          </w:p>
        </w:tc>
        <w:tc>
          <w:tcPr>
            <w:tcW w:w="55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0"/>
        </w:trPr>
        <w:tc>
          <w:tcPr>
            <w:tcW w:w="2920" w:type="dxa"/>
            <w:vAlign w:val="bottom"/>
          </w:tcPr>
          <w:p>
            <w:pPr>
              <w:ind w:left="20"/>
              <w:spacing w:after="0"/>
              <w:rPr>
                <w:sz w:val="20"/>
                <w:szCs w:val="20"/>
                <w:color w:val="auto"/>
              </w:rPr>
            </w:pPr>
            <w:r>
              <w:rPr>
                <w:rFonts w:ascii="Arial" w:cs="Arial" w:eastAsia="Arial" w:hAnsi="Arial"/>
                <w:sz w:val="13"/>
                <w:szCs w:val="13"/>
                <w:b w:val="1"/>
                <w:bCs w:val="1"/>
                <w:color w:val="auto"/>
              </w:rPr>
              <w:t>Non-current assets</w:t>
            </w:r>
          </w:p>
        </w:tc>
        <w:tc>
          <w:tcPr>
            <w:tcW w:w="55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0"/>
        </w:trPr>
        <w:tc>
          <w:tcPr>
            <w:tcW w:w="2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Property, plant and equipment</w:t>
            </w:r>
          </w:p>
        </w:tc>
        <w:tc>
          <w:tcPr>
            <w:tcW w:w="5560" w:type="dxa"/>
            <w:vAlign w:val="bottom"/>
            <w:shd w:val="clear" w:color="auto" w:fill="CCEEFF"/>
          </w:tcPr>
          <w:p>
            <w:pPr>
              <w:jc w:val="right"/>
              <w:ind w:right="476"/>
              <w:spacing w:after="0"/>
              <w:rPr>
                <w:sz w:val="20"/>
                <w:szCs w:val="20"/>
                <w:color w:val="auto"/>
              </w:rPr>
            </w:pPr>
            <w:r>
              <w:rPr>
                <w:rFonts w:ascii="Arial" w:cs="Arial" w:eastAsia="Arial" w:hAnsi="Arial"/>
                <w:sz w:val="13"/>
                <w:szCs w:val="13"/>
                <w:i w:val="1"/>
                <w:iCs w:val="1"/>
                <w:color w:val="auto"/>
              </w:rPr>
              <w:t>1</w:t>
            </w:r>
          </w:p>
        </w:tc>
        <w:tc>
          <w:tcPr>
            <w:tcW w:w="150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369</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521</w:t>
            </w:r>
          </w:p>
        </w:tc>
      </w:tr>
      <w:tr>
        <w:trPr>
          <w:trHeight w:val="170"/>
        </w:trPr>
        <w:tc>
          <w:tcPr>
            <w:tcW w:w="2920" w:type="dxa"/>
            <w:vAlign w:val="bottom"/>
          </w:tcPr>
          <w:p>
            <w:pPr>
              <w:ind w:left="20"/>
              <w:spacing w:after="0"/>
              <w:rPr>
                <w:sz w:val="20"/>
                <w:szCs w:val="20"/>
                <w:color w:val="auto"/>
              </w:rPr>
            </w:pPr>
            <w:r>
              <w:rPr>
                <w:rFonts w:ascii="Arial" w:cs="Arial" w:eastAsia="Arial" w:hAnsi="Arial"/>
                <w:sz w:val="13"/>
                <w:szCs w:val="13"/>
                <w:color w:val="auto"/>
              </w:rPr>
              <w:t>Right-of-use assets</w:t>
            </w:r>
          </w:p>
        </w:tc>
        <w:tc>
          <w:tcPr>
            <w:tcW w:w="5560" w:type="dxa"/>
            <w:vAlign w:val="bottom"/>
          </w:tcPr>
          <w:p>
            <w:pPr>
              <w:jc w:val="right"/>
              <w:ind w:right="476"/>
              <w:spacing w:after="0"/>
              <w:rPr>
                <w:sz w:val="20"/>
                <w:szCs w:val="20"/>
                <w:color w:val="auto"/>
              </w:rPr>
            </w:pPr>
            <w:r>
              <w:rPr>
                <w:rFonts w:ascii="Arial" w:cs="Arial" w:eastAsia="Arial" w:hAnsi="Arial"/>
                <w:sz w:val="13"/>
                <w:szCs w:val="13"/>
                <w:i w:val="1"/>
                <w:iCs w:val="1"/>
                <w:color w:val="auto"/>
              </w:rPr>
              <w:t>9</w:t>
            </w:r>
          </w:p>
        </w:tc>
        <w:tc>
          <w:tcPr>
            <w:tcW w:w="1500" w:type="dxa"/>
            <w:vAlign w:val="bottom"/>
          </w:tcPr>
          <w:p>
            <w:pPr>
              <w:jc w:val="right"/>
              <w:ind w:right="176"/>
              <w:spacing w:after="0"/>
              <w:rPr>
                <w:sz w:val="20"/>
                <w:szCs w:val="20"/>
                <w:color w:val="auto"/>
              </w:rPr>
            </w:pPr>
            <w:r>
              <w:rPr>
                <w:rFonts w:ascii="Arial" w:cs="Arial" w:eastAsia="Arial" w:hAnsi="Arial"/>
                <w:sz w:val="13"/>
                <w:szCs w:val="13"/>
                <w:b w:val="1"/>
                <w:bCs w:val="1"/>
                <w:color w:val="auto"/>
              </w:rPr>
              <w:t>2,619</w:t>
            </w:r>
          </w:p>
        </w:tc>
        <w:tc>
          <w:tcPr>
            <w:tcW w:w="1300" w:type="dxa"/>
            <w:vAlign w:val="bottom"/>
          </w:tcPr>
          <w:p>
            <w:pPr>
              <w:jc w:val="right"/>
              <w:spacing w:after="0"/>
              <w:rPr>
                <w:sz w:val="20"/>
                <w:szCs w:val="20"/>
                <w:color w:val="auto"/>
              </w:rPr>
            </w:pPr>
            <w:r>
              <w:rPr>
                <w:rFonts w:ascii="Arial" w:cs="Arial" w:eastAsia="Arial" w:hAnsi="Arial"/>
                <w:sz w:val="13"/>
                <w:szCs w:val="13"/>
                <w:color w:val="auto"/>
              </w:rPr>
              <w:t>3,182</w:t>
            </w:r>
          </w:p>
        </w:tc>
      </w:tr>
      <w:tr>
        <w:trPr>
          <w:trHeight w:val="170"/>
        </w:trPr>
        <w:tc>
          <w:tcPr>
            <w:tcW w:w="2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Intangible assets</w:t>
            </w:r>
          </w:p>
        </w:tc>
        <w:tc>
          <w:tcPr>
            <w:tcW w:w="5560" w:type="dxa"/>
            <w:vAlign w:val="bottom"/>
            <w:shd w:val="clear" w:color="auto" w:fill="CCEEFF"/>
          </w:tcPr>
          <w:p>
            <w:pPr>
              <w:jc w:val="right"/>
              <w:ind w:right="476"/>
              <w:spacing w:after="0"/>
              <w:rPr>
                <w:sz w:val="20"/>
                <w:szCs w:val="20"/>
                <w:color w:val="auto"/>
              </w:rPr>
            </w:pPr>
            <w:r>
              <w:rPr>
                <w:rFonts w:ascii="Arial" w:cs="Arial" w:eastAsia="Arial" w:hAnsi="Arial"/>
                <w:sz w:val="13"/>
                <w:szCs w:val="13"/>
                <w:i w:val="1"/>
                <w:iCs w:val="1"/>
                <w:color w:val="auto"/>
              </w:rPr>
              <w:t>2</w:t>
            </w:r>
          </w:p>
        </w:tc>
        <w:tc>
          <w:tcPr>
            <w:tcW w:w="150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14</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w:t>
            </w:r>
          </w:p>
        </w:tc>
      </w:tr>
      <w:tr>
        <w:trPr>
          <w:trHeight w:val="170"/>
        </w:trPr>
        <w:tc>
          <w:tcPr>
            <w:tcW w:w="2920" w:type="dxa"/>
            <w:vAlign w:val="bottom"/>
          </w:tcPr>
          <w:p>
            <w:pPr>
              <w:ind w:left="20"/>
              <w:spacing w:after="0"/>
              <w:rPr>
                <w:sz w:val="20"/>
                <w:szCs w:val="20"/>
                <w:color w:val="auto"/>
              </w:rPr>
            </w:pPr>
            <w:r>
              <w:rPr>
                <w:rFonts w:ascii="Arial" w:cs="Arial" w:eastAsia="Arial" w:hAnsi="Arial"/>
                <w:sz w:val="13"/>
                <w:szCs w:val="13"/>
                <w:color w:val="auto"/>
              </w:rPr>
              <w:t>Investment in subsidiaries</w:t>
            </w:r>
          </w:p>
        </w:tc>
        <w:tc>
          <w:tcPr>
            <w:tcW w:w="5560" w:type="dxa"/>
            <w:vAlign w:val="bottom"/>
          </w:tcPr>
          <w:p>
            <w:pPr>
              <w:jc w:val="right"/>
              <w:ind w:right="476"/>
              <w:spacing w:after="0"/>
              <w:rPr>
                <w:sz w:val="20"/>
                <w:szCs w:val="20"/>
                <w:color w:val="auto"/>
              </w:rPr>
            </w:pPr>
            <w:r>
              <w:rPr>
                <w:rFonts w:ascii="Arial" w:cs="Arial" w:eastAsia="Arial" w:hAnsi="Arial"/>
                <w:sz w:val="13"/>
                <w:szCs w:val="13"/>
                <w:i w:val="1"/>
                <w:iCs w:val="1"/>
                <w:color w:val="auto"/>
              </w:rPr>
              <w:t>3</w:t>
            </w:r>
          </w:p>
        </w:tc>
        <w:tc>
          <w:tcPr>
            <w:tcW w:w="1500" w:type="dxa"/>
            <w:vAlign w:val="bottom"/>
          </w:tcPr>
          <w:p>
            <w:pPr>
              <w:jc w:val="right"/>
              <w:ind w:right="176"/>
              <w:spacing w:after="0"/>
              <w:rPr>
                <w:sz w:val="20"/>
                <w:szCs w:val="20"/>
                <w:color w:val="auto"/>
              </w:rPr>
            </w:pPr>
            <w:r>
              <w:rPr>
                <w:rFonts w:ascii="Arial" w:cs="Arial" w:eastAsia="Arial" w:hAnsi="Arial"/>
                <w:sz w:val="13"/>
                <w:szCs w:val="13"/>
                <w:b w:val="1"/>
                <w:bCs w:val="1"/>
                <w:color w:val="auto"/>
              </w:rPr>
              <w:t>6,974,348</w:t>
            </w:r>
          </w:p>
        </w:tc>
        <w:tc>
          <w:tcPr>
            <w:tcW w:w="1300" w:type="dxa"/>
            <w:vAlign w:val="bottom"/>
          </w:tcPr>
          <w:p>
            <w:pPr>
              <w:jc w:val="right"/>
              <w:spacing w:after="0"/>
              <w:rPr>
                <w:sz w:val="20"/>
                <w:szCs w:val="20"/>
                <w:color w:val="auto"/>
              </w:rPr>
            </w:pPr>
            <w:r>
              <w:rPr>
                <w:rFonts w:ascii="Arial" w:cs="Arial" w:eastAsia="Arial" w:hAnsi="Arial"/>
                <w:sz w:val="13"/>
                <w:szCs w:val="13"/>
                <w:color w:val="auto"/>
              </w:rPr>
              <w:t>590,821</w:t>
            </w:r>
          </w:p>
        </w:tc>
      </w:tr>
      <w:tr>
        <w:trPr>
          <w:trHeight w:val="170"/>
        </w:trPr>
        <w:tc>
          <w:tcPr>
            <w:tcW w:w="2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non-current assets</w:t>
            </w:r>
          </w:p>
        </w:tc>
        <w:tc>
          <w:tcPr>
            <w:tcW w:w="556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33</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w:t>
            </w:r>
          </w:p>
        </w:tc>
      </w:tr>
      <w:tr>
        <w:trPr>
          <w:trHeight w:val="170"/>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Deferred tax asset</w:t>
            </w:r>
          </w:p>
        </w:tc>
        <w:tc>
          <w:tcPr>
            <w:tcW w:w="556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i w:val="1"/>
                <w:iCs w:val="1"/>
                <w:color w:val="auto"/>
              </w:rPr>
              <w:t>4</w:t>
            </w:r>
          </w:p>
        </w:tc>
        <w:tc>
          <w:tcPr>
            <w:tcW w:w="15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491</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434</w:t>
            </w:r>
          </w:p>
        </w:tc>
      </w:tr>
      <w:tr>
        <w:trPr>
          <w:trHeight w:val="160"/>
        </w:trPr>
        <w:tc>
          <w:tcPr>
            <w:tcW w:w="2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non-current assets</w:t>
            </w:r>
          </w:p>
        </w:tc>
        <w:tc>
          <w:tcPr>
            <w:tcW w:w="556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6,977,874</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595,039</w:t>
            </w:r>
          </w:p>
        </w:tc>
      </w:tr>
      <w:tr>
        <w:trPr>
          <w:trHeight w:val="160"/>
        </w:trPr>
        <w:tc>
          <w:tcPr>
            <w:tcW w:w="2920" w:type="dxa"/>
            <w:vAlign w:val="bottom"/>
          </w:tcPr>
          <w:p>
            <w:pPr>
              <w:ind w:left="20"/>
              <w:spacing w:after="0"/>
              <w:rPr>
                <w:sz w:val="20"/>
                <w:szCs w:val="20"/>
                <w:color w:val="auto"/>
              </w:rPr>
            </w:pPr>
            <w:r>
              <w:rPr>
                <w:rFonts w:ascii="Arial" w:cs="Arial" w:eastAsia="Arial" w:hAnsi="Arial"/>
                <w:sz w:val="13"/>
                <w:szCs w:val="13"/>
                <w:b w:val="1"/>
                <w:bCs w:val="1"/>
                <w:color w:val="auto"/>
              </w:rPr>
              <w:t>Current assets</w:t>
            </w:r>
          </w:p>
        </w:tc>
        <w:tc>
          <w:tcPr>
            <w:tcW w:w="55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70"/>
        </w:trPr>
        <w:tc>
          <w:tcPr>
            <w:tcW w:w="2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current assets</w:t>
            </w:r>
          </w:p>
        </w:tc>
        <w:tc>
          <w:tcPr>
            <w:tcW w:w="5560" w:type="dxa"/>
            <w:vAlign w:val="bottom"/>
            <w:shd w:val="clear" w:color="auto" w:fill="CCEEFF"/>
          </w:tcPr>
          <w:p>
            <w:pPr>
              <w:jc w:val="right"/>
              <w:ind w:right="476"/>
              <w:spacing w:after="0"/>
              <w:rPr>
                <w:sz w:val="20"/>
                <w:szCs w:val="20"/>
                <w:color w:val="auto"/>
              </w:rPr>
            </w:pPr>
            <w:r>
              <w:rPr>
                <w:rFonts w:ascii="Arial" w:cs="Arial" w:eastAsia="Arial" w:hAnsi="Arial"/>
                <w:sz w:val="13"/>
                <w:szCs w:val="13"/>
                <w:i w:val="1"/>
                <w:iCs w:val="1"/>
                <w:color w:val="auto"/>
              </w:rPr>
              <w:t>5</w:t>
            </w:r>
          </w:p>
        </w:tc>
        <w:tc>
          <w:tcPr>
            <w:tcW w:w="150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1,236</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1,431</w:t>
            </w:r>
          </w:p>
        </w:tc>
      </w:tr>
      <w:tr>
        <w:trPr>
          <w:trHeight w:val="170"/>
        </w:trPr>
        <w:tc>
          <w:tcPr>
            <w:tcW w:w="2920" w:type="dxa"/>
            <w:vAlign w:val="bottom"/>
          </w:tcPr>
          <w:p>
            <w:pPr>
              <w:ind w:left="20"/>
              <w:spacing w:after="0"/>
              <w:rPr>
                <w:sz w:val="20"/>
                <w:szCs w:val="20"/>
                <w:color w:val="auto"/>
              </w:rPr>
            </w:pPr>
            <w:r>
              <w:rPr>
                <w:rFonts w:ascii="Arial" w:cs="Arial" w:eastAsia="Arial" w:hAnsi="Arial"/>
                <w:sz w:val="13"/>
                <w:szCs w:val="13"/>
                <w:color w:val="auto"/>
              </w:rPr>
              <w:t>Amounts due from subsidiary undertakings</w:t>
            </w:r>
          </w:p>
        </w:tc>
        <w:tc>
          <w:tcPr>
            <w:tcW w:w="5560" w:type="dxa"/>
            <w:vAlign w:val="bottom"/>
          </w:tcPr>
          <w:p>
            <w:pPr>
              <w:jc w:val="right"/>
              <w:ind w:right="476"/>
              <w:spacing w:after="0"/>
              <w:rPr>
                <w:sz w:val="20"/>
                <w:szCs w:val="20"/>
                <w:color w:val="auto"/>
              </w:rPr>
            </w:pPr>
            <w:r>
              <w:rPr>
                <w:rFonts w:ascii="Arial" w:cs="Arial" w:eastAsia="Arial" w:hAnsi="Arial"/>
                <w:sz w:val="13"/>
                <w:szCs w:val="13"/>
                <w:i w:val="1"/>
                <w:iCs w:val="1"/>
                <w:color w:val="auto"/>
              </w:rPr>
              <w:t>6</w:t>
            </w:r>
          </w:p>
        </w:tc>
        <w:tc>
          <w:tcPr>
            <w:tcW w:w="1500" w:type="dxa"/>
            <w:vAlign w:val="bottom"/>
          </w:tcPr>
          <w:p>
            <w:pPr>
              <w:jc w:val="right"/>
              <w:ind w:right="176"/>
              <w:spacing w:after="0"/>
              <w:rPr>
                <w:sz w:val="20"/>
                <w:szCs w:val="20"/>
                <w:color w:val="auto"/>
              </w:rPr>
            </w:pPr>
            <w:r>
              <w:rPr>
                <w:rFonts w:ascii="Arial" w:cs="Arial" w:eastAsia="Arial" w:hAnsi="Arial"/>
                <w:sz w:val="13"/>
                <w:szCs w:val="13"/>
                <w:b w:val="1"/>
                <w:bCs w:val="1"/>
                <w:color w:val="auto"/>
              </w:rPr>
              <w:t>265,788</w:t>
            </w:r>
          </w:p>
        </w:tc>
        <w:tc>
          <w:tcPr>
            <w:tcW w:w="1300" w:type="dxa"/>
            <w:vAlign w:val="bottom"/>
          </w:tcPr>
          <w:p>
            <w:pPr>
              <w:jc w:val="right"/>
              <w:spacing w:after="0"/>
              <w:rPr>
                <w:sz w:val="20"/>
                <w:szCs w:val="20"/>
                <w:color w:val="auto"/>
              </w:rPr>
            </w:pPr>
            <w:r>
              <w:rPr>
                <w:rFonts w:ascii="Arial" w:cs="Arial" w:eastAsia="Arial" w:hAnsi="Arial"/>
                <w:sz w:val="13"/>
                <w:szCs w:val="13"/>
                <w:color w:val="auto"/>
              </w:rPr>
              <w:t>164,992</w:t>
            </w:r>
          </w:p>
        </w:tc>
      </w:tr>
      <w:tr>
        <w:trPr>
          <w:trHeight w:val="170"/>
        </w:trPr>
        <w:tc>
          <w:tcPr>
            <w:tcW w:w="2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Current taxes receivable</w:t>
            </w:r>
          </w:p>
        </w:tc>
        <w:tc>
          <w:tcPr>
            <w:tcW w:w="556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19</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r>
      <w:tr>
        <w:trPr>
          <w:trHeight w:val="170"/>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Cash and cash equivalents</w:t>
            </w:r>
          </w:p>
        </w:tc>
        <w:tc>
          <w:tcPr>
            <w:tcW w:w="55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9,129</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308,200</w:t>
            </w:r>
          </w:p>
        </w:tc>
      </w:tr>
      <w:tr>
        <w:trPr>
          <w:trHeight w:val="160"/>
        </w:trPr>
        <w:tc>
          <w:tcPr>
            <w:tcW w:w="2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current assets</w:t>
            </w:r>
          </w:p>
        </w:tc>
        <w:tc>
          <w:tcPr>
            <w:tcW w:w="556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276,172</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474,623</w:t>
            </w:r>
          </w:p>
        </w:tc>
      </w:tr>
      <w:tr>
        <w:trPr>
          <w:trHeight w:val="107"/>
        </w:trPr>
        <w:tc>
          <w:tcPr>
            <w:tcW w:w="2920" w:type="dxa"/>
            <w:vAlign w:val="bottom"/>
            <w:tcBorders>
              <w:bottom w:val="single" w:sz="8" w:color="auto"/>
            </w:tcBorders>
          </w:tcPr>
          <w:p>
            <w:pPr>
              <w:spacing w:after="0"/>
              <w:rPr>
                <w:sz w:val="9"/>
                <w:szCs w:val="9"/>
                <w:color w:val="auto"/>
              </w:rPr>
            </w:pPr>
          </w:p>
        </w:tc>
        <w:tc>
          <w:tcPr>
            <w:tcW w:w="556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r>
      <w:tr>
        <w:trPr>
          <w:trHeight w:val="162"/>
        </w:trPr>
        <w:tc>
          <w:tcPr>
            <w:tcW w:w="2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assets</w:t>
            </w:r>
          </w:p>
        </w:tc>
        <w:tc>
          <w:tcPr>
            <w:tcW w:w="55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7,254,046</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1,069,662</w:t>
            </w:r>
          </w:p>
        </w:tc>
      </w:tr>
      <w:tr>
        <w:trPr>
          <w:trHeight w:val="149"/>
        </w:trPr>
        <w:tc>
          <w:tcPr>
            <w:tcW w:w="29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170"/>
        </w:trPr>
        <w:tc>
          <w:tcPr>
            <w:tcW w:w="29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EQUITY</w:t>
            </w:r>
          </w:p>
        </w:tc>
        <w:tc>
          <w:tcPr>
            <w:tcW w:w="55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0"/>
        </w:trPr>
        <w:tc>
          <w:tcPr>
            <w:tcW w:w="2920" w:type="dxa"/>
            <w:vAlign w:val="bottom"/>
          </w:tcPr>
          <w:p>
            <w:pPr>
              <w:ind w:left="20"/>
              <w:spacing w:after="0"/>
              <w:rPr>
                <w:sz w:val="20"/>
                <w:szCs w:val="20"/>
                <w:color w:val="auto"/>
              </w:rPr>
            </w:pPr>
            <w:r>
              <w:rPr>
                <w:rFonts w:ascii="Arial" w:cs="Arial" w:eastAsia="Arial" w:hAnsi="Arial"/>
                <w:sz w:val="13"/>
                <w:szCs w:val="13"/>
                <w:color w:val="auto"/>
              </w:rPr>
              <w:t>Share capital</w:t>
            </w:r>
          </w:p>
        </w:tc>
        <w:tc>
          <w:tcPr>
            <w:tcW w:w="5560" w:type="dxa"/>
            <w:vAlign w:val="bottom"/>
          </w:tcPr>
          <w:p>
            <w:pPr>
              <w:spacing w:after="0"/>
              <w:rPr>
                <w:sz w:val="14"/>
                <w:szCs w:val="14"/>
                <w:color w:val="auto"/>
              </w:rPr>
            </w:pPr>
          </w:p>
        </w:tc>
        <w:tc>
          <w:tcPr>
            <w:tcW w:w="1500" w:type="dxa"/>
            <w:vAlign w:val="bottom"/>
          </w:tcPr>
          <w:p>
            <w:pPr>
              <w:jc w:val="right"/>
              <w:ind w:right="176"/>
              <w:spacing w:after="0"/>
              <w:rPr>
                <w:sz w:val="20"/>
                <w:szCs w:val="20"/>
                <w:color w:val="auto"/>
              </w:rPr>
            </w:pPr>
            <w:r>
              <w:rPr>
                <w:rFonts w:ascii="Arial" w:cs="Arial" w:eastAsia="Arial" w:hAnsi="Arial"/>
                <w:sz w:val="13"/>
                <w:szCs w:val="13"/>
                <w:b w:val="1"/>
                <w:bCs w:val="1"/>
                <w:color w:val="auto"/>
              </w:rPr>
              <w:t>6,640</w:t>
            </w:r>
          </w:p>
        </w:tc>
        <w:tc>
          <w:tcPr>
            <w:tcW w:w="1300" w:type="dxa"/>
            <w:vAlign w:val="bottom"/>
          </w:tcPr>
          <w:p>
            <w:pPr>
              <w:jc w:val="right"/>
              <w:spacing w:after="0"/>
              <w:rPr>
                <w:sz w:val="20"/>
                <w:szCs w:val="20"/>
                <w:color w:val="auto"/>
              </w:rPr>
            </w:pPr>
            <w:r>
              <w:rPr>
                <w:rFonts w:ascii="Arial" w:cs="Arial" w:eastAsia="Arial" w:hAnsi="Arial"/>
                <w:sz w:val="13"/>
                <w:szCs w:val="13"/>
                <w:color w:val="auto"/>
              </w:rPr>
              <w:t>4,580</w:t>
            </w:r>
          </w:p>
        </w:tc>
      </w:tr>
      <w:tr>
        <w:trPr>
          <w:trHeight w:val="170"/>
        </w:trPr>
        <w:tc>
          <w:tcPr>
            <w:tcW w:w="2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 premium</w:t>
            </w:r>
          </w:p>
        </w:tc>
        <w:tc>
          <w:tcPr>
            <w:tcW w:w="556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436,916</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318,404</w:t>
            </w:r>
          </w:p>
        </w:tc>
      </w:tr>
      <w:tr>
        <w:trPr>
          <w:trHeight w:val="170"/>
        </w:trPr>
        <w:tc>
          <w:tcPr>
            <w:tcW w:w="2920" w:type="dxa"/>
            <w:vAlign w:val="bottom"/>
          </w:tcPr>
          <w:p>
            <w:pPr>
              <w:ind w:left="20"/>
              <w:spacing w:after="0"/>
              <w:rPr>
                <w:sz w:val="20"/>
                <w:szCs w:val="20"/>
                <w:color w:val="auto"/>
              </w:rPr>
            </w:pPr>
            <w:r>
              <w:rPr>
                <w:rFonts w:ascii="Arial" w:cs="Arial" w:eastAsia="Arial" w:hAnsi="Arial"/>
                <w:sz w:val="13"/>
                <w:szCs w:val="13"/>
                <w:color w:val="auto"/>
              </w:rPr>
              <w:t>Merger reserve</w:t>
            </w:r>
          </w:p>
        </w:tc>
        <w:tc>
          <w:tcPr>
            <w:tcW w:w="5560" w:type="dxa"/>
            <w:vAlign w:val="bottom"/>
          </w:tcPr>
          <w:p>
            <w:pPr>
              <w:spacing w:after="0"/>
              <w:rPr>
                <w:sz w:val="14"/>
                <w:szCs w:val="14"/>
                <w:color w:val="auto"/>
              </w:rPr>
            </w:pPr>
          </w:p>
        </w:tc>
        <w:tc>
          <w:tcPr>
            <w:tcW w:w="1500" w:type="dxa"/>
            <w:vAlign w:val="bottom"/>
          </w:tcPr>
          <w:p>
            <w:pPr>
              <w:jc w:val="right"/>
              <w:ind w:right="176"/>
              <w:spacing w:after="0"/>
              <w:rPr>
                <w:sz w:val="20"/>
                <w:szCs w:val="20"/>
                <w:color w:val="auto"/>
              </w:rPr>
            </w:pPr>
            <w:r>
              <w:rPr>
                <w:rFonts w:ascii="Arial" w:cs="Arial" w:eastAsia="Arial" w:hAnsi="Arial"/>
                <w:sz w:val="13"/>
                <w:szCs w:val="13"/>
                <w:b w:val="1"/>
                <w:bCs w:val="1"/>
                <w:color w:val="auto"/>
              </w:rPr>
              <w:t>5,656,195</w:t>
            </w:r>
          </w:p>
        </w:tc>
        <w:tc>
          <w:tcPr>
            <w:tcW w:w="1300" w:type="dxa"/>
            <w:vAlign w:val="bottom"/>
          </w:tcPr>
          <w:p>
            <w:pPr>
              <w:jc w:val="right"/>
              <w:spacing w:after="0"/>
              <w:rPr>
                <w:sz w:val="20"/>
                <w:szCs w:val="20"/>
                <w:color w:val="auto"/>
              </w:rPr>
            </w:pPr>
            <w:r>
              <w:rPr>
                <w:rFonts w:ascii="Arial" w:cs="Arial" w:eastAsia="Arial" w:hAnsi="Arial"/>
                <w:sz w:val="13"/>
                <w:szCs w:val="13"/>
                <w:b w:val="1"/>
                <w:bCs w:val="1"/>
                <w:color w:val="auto"/>
              </w:rPr>
              <w:t>—</w:t>
            </w:r>
          </w:p>
        </w:tc>
      </w:tr>
      <w:tr>
        <w:trPr>
          <w:trHeight w:val="170"/>
        </w:trPr>
        <w:tc>
          <w:tcPr>
            <w:tcW w:w="2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undenominated capital</w:t>
            </w:r>
          </w:p>
        </w:tc>
        <w:tc>
          <w:tcPr>
            <w:tcW w:w="556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1,134</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1,134</w:t>
            </w:r>
          </w:p>
        </w:tc>
      </w:tr>
      <w:tr>
        <w:trPr>
          <w:trHeight w:val="170"/>
        </w:trPr>
        <w:tc>
          <w:tcPr>
            <w:tcW w:w="2920" w:type="dxa"/>
            <w:vAlign w:val="bottom"/>
          </w:tcPr>
          <w:p>
            <w:pPr>
              <w:ind w:left="20"/>
              <w:spacing w:after="0"/>
              <w:rPr>
                <w:sz w:val="20"/>
                <w:szCs w:val="20"/>
                <w:color w:val="auto"/>
              </w:rPr>
            </w:pPr>
            <w:r>
              <w:rPr>
                <w:rFonts w:ascii="Arial" w:cs="Arial" w:eastAsia="Arial" w:hAnsi="Arial"/>
                <w:sz w:val="13"/>
                <w:szCs w:val="13"/>
                <w:color w:val="auto"/>
              </w:rPr>
              <w:t>Share-based payment reserve</w:t>
            </w:r>
          </w:p>
        </w:tc>
        <w:tc>
          <w:tcPr>
            <w:tcW w:w="5560" w:type="dxa"/>
            <w:vAlign w:val="bottom"/>
          </w:tcPr>
          <w:p>
            <w:pPr>
              <w:spacing w:after="0"/>
              <w:rPr>
                <w:sz w:val="14"/>
                <w:szCs w:val="14"/>
                <w:color w:val="auto"/>
              </w:rPr>
            </w:pPr>
          </w:p>
        </w:tc>
        <w:tc>
          <w:tcPr>
            <w:tcW w:w="1500" w:type="dxa"/>
            <w:vAlign w:val="bottom"/>
          </w:tcPr>
          <w:p>
            <w:pPr>
              <w:jc w:val="right"/>
              <w:ind w:right="176"/>
              <w:spacing w:after="0"/>
              <w:rPr>
                <w:sz w:val="20"/>
                <w:szCs w:val="20"/>
                <w:color w:val="auto"/>
              </w:rPr>
            </w:pPr>
            <w:r>
              <w:rPr>
                <w:rFonts w:ascii="Arial" w:cs="Arial" w:eastAsia="Arial" w:hAnsi="Arial"/>
                <w:sz w:val="13"/>
                <w:szCs w:val="13"/>
                <w:b w:val="1"/>
                <w:bCs w:val="1"/>
                <w:color w:val="auto"/>
              </w:rPr>
              <w:t>342,637</w:t>
            </w:r>
          </w:p>
        </w:tc>
        <w:tc>
          <w:tcPr>
            <w:tcW w:w="1300" w:type="dxa"/>
            <w:vAlign w:val="bottom"/>
          </w:tcPr>
          <w:p>
            <w:pPr>
              <w:jc w:val="right"/>
              <w:spacing w:after="0"/>
              <w:rPr>
                <w:sz w:val="20"/>
                <w:szCs w:val="20"/>
                <w:color w:val="auto"/>
              </w:rPr>
            </w:pPr>
            <w:r>
              <w:rPr>
                <w:rFonts w:ascii="Arial" w:cs="Arial" w:eastAsia="Arial" w:hAnsi="Arial"/>
                <w:sz w:val="13"/>
                <w:szCs w:val="13"/>
                <w:color w:val="auto"/>
              </w:rPr>
              <w:t>131,557</w:t>
            </w:r>
          </w:p>
        </w:tc>
      </w:tr>
      <w:tr>
        <w:trPr>
          <w:trHeight w:val="170"/>
        </w:trPr>
        <w:tc>
          <w:tcPr>
            <w:tcW w:w="2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reserves</w:t>
            </w:r>
          </w:p>
        </w:tc>
        <w:tc>
          <w:tcPr>
            <w:tcW w:w="556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(107,843)</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(107,317)</w:t>
            </w:r>
          </w:p>
        </w:tc>
      </w:tr>
      <w:tr>
        <w:trPr>
          <w:trHeight w:val="170"/>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Retained earnings</w:t>
            </w:r>
          </w:p>
        </w:tc>
        <w:tc>
          <w:tcPr>
            <w:tcW w:w="55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897,509</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700,402</w:t>
            </w:r>
          </w:p>
        </w:tc>
      </w:tr>
      <w:tr>
        <w:trPr>
          <w:trHeight w:val="160"/>
        </w:trPr>
        <w:tc>
          <w:tcPr>
            <w:tcW w:w="2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Attributable to equity holders</w:t>
            </w:r>
          </w:p>
        </w:tc>
        <w:tc>
          <w:tcPr>
            <w:tcW w:w="556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7,233,188</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1,048,760</w:t>
            </w:r>
          </w:p>
        </w:tc>
      </w:tr>
      <w:tr>
        <w:trPr>
          <w:trHeight w:val="107"/>
        </w:trPr>
        <w:tc>
          <w:tcPr>
            <w:tcW w:w="2920" w:type="dxa"/>
            <w:vAlign w:val="bottom"/>
            <w:tcBorders>
              <w:bottom w:val="single" w:sz="8" w:color="auto"/>
            </w:tcBorders>
          </w:tcPr>
          <w:p>
            <w:pPr>
              <w:spacing w:after="0"/>
              <w:rPr>
                <w:sz w:val="9"/>
                <w:szCs w:val="9"/>
                <w:color w:val="auto"/>
              </w:rPr>
            </w:pPr>
          </w:p>
        </w:tc>
        <w:tc>
          <w:tcPr>
            <w:tcW w:w="556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r>
      <w:tr>
        <w:trPr>
          <w:trHeight w:val="160"/>
        </w:trPr>
        <w:tc>
          <w:tcPr>
            <w:tcW w:w="2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equity</w:t>
            </w:r>
          </w:p>
        </w:tc>
        <w:tc>
          <w:tcPr>
            <w:tcW w:w="556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7,233,188</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1,048,760</w:t>
            </w:r>
          </w:p>
        </w:tc>
      </w:tr>
      <w:tr>
        <w:trPr>
          <w:trHeight w:val="107"/>
        </w:trPr>
        <w:tc>
          <w:tcPr>
            <w:tcW w:w="29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300" w:type="dxa"/>
            <w:vAlign w:val="bottom"/>
          </w:tcPr>
          <w:p>
            <w:pPr>
              <w:spacing w:after="0"/>
              <w:rPr>
                <w:sz w:val="9"/>
                <w:szCs w:val="9"/>
                <w:color w:val="auto"/>
              </w:rPr>
            </w:pPr>
          </w:p>
        </w:tc>
      </w:tr>
      <w:tr>
        <w:trPr>
          <w:trHeight w:val="170"/>
        </w:trPr>
        <w:tc>
          <w:tcPr>
            <w:tcW w:w="29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LIABILITIES</w:t>
            </w:r>
          </w:p>
        </w:tc>
        <w:tc>
          <w:tcPr>
            <w:tcW w:w="55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0"/>
        </w:trPr>
        <w:tc>
          <w:tcPr>
            <w:tcW w:w="2920" w:type="dxa"/>
            <w:vAlign w:val="bottom"/>
          </w:tcPr>
          <w:p>
            <w:pPr>
              <w:ind w:left="20"/>
              <w:spacing w:after="0"/>
              <w:rPr>
                <w:sz w:val="20"/>
                <w:szCs w:val="20"/>
                <w:color w:val="auto"/>
              </w:rPr>
            </w:pPr>
            <w:r>
              <w:rPr>
                <w:rFonts w:ascii="Arial" w:cs="Arial" w:eastAsia="Arial" w:hAnsi="Arial"/>
                <w:sz w:val="13"/>
                <w:szCs w:val="13"/>
                <w:b w:val="1"/>
                <w:bCs w:val="1"/>
                <w:color w:val="auto"/>
              </w:rPr>
              <w:t>Non-current liabilities</w:t>
            </w:r>
          </w:p>
        </w:tc>
        <w:tc>
          <w:tcPr>
            <w:tcW w:w="55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0"/>
        </w:trPr>
        <w:tc>
          <w:tcPr>
            <w:tcW w:w="2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Non-current other liabilities</w:t>
            </w:r>
          </w:p>
        </w:tc>
        <w:tc>
          <w:tcPr>
            <w:tcW w:w="5560" w:type="dxa"/>
            <w:vAlign w:val="bottom"/>
            <w:shd w:val="clear" w:color="auto" w:fill="CCEEFF"/>
          </w:tcPr>
          <w:p>
            <w:pPr>
              <w:jc w:val="right"/>
              <w:ind w:right="476"/>
              <w:spacing w:after="0"/>
              <w:rPr>
                <w:sz w:val="20"/>
                <w:szCs w:val="20"/>
                <w:color w:val="auto"/>
              </w:rPr>
            </w:pPr>
            <w:r>
              <w:rPr>
                <w:rFonts w:ascii="Arial" w:cs="Arial" w:eastAsia="Arial" w:hAnsi="Arial"/>
                <w:sz w:val="13"/>
                <w:szCs w:val="13"/>
                <w:i w:val="1"/>
                <w:iCs w:val="1"/>
                <w:color w:val="auto"/>
              </w:rPr>
              <w:t>7</w:t>
            </w:r>
          </w:p>
        </w:tc>
        <w:tc>
          <w:tcPr>
            <w:tcW w:w="150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6,680</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8,130</w:t>
            </w:r>
          </w:p>
        </w:tc>
      </w:tr>
      <w:tr>
        <w:trPr>
          <w:trHeight w:val="170"/>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Non-current deferred tax liability</w:t>
            </w:r>
          </w:p>
        </w:tc>
        <w:tc>
          <w:tcPr>
            <w:tcW w:w="556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i w:val="1"/>
                <w:iCs w:val="1"/>
                <w:color w:val="auto"/>
              </w:rPr>
              <w:t>4</w:t>
            </w:r>
          </w:p>
        </w:tc>
        <w:tc>
          <w:tcPr>
            <w:tcW w:w="15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60"/>
        </w:trPr>
        <w:tc>
          <w:tcPr>
            <w:tcW w:w="2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non-current liabilities</w:t>
            </w:r>
          </w:p>
        </w:tc>
        <w:tc>
          <w:tcPr>
            <w:tcW w:w="556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6,680</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8,130</w:t>
            </w:r>
          </w:p>
        </w:tc>
      </w:tr>
      <w:tr>
        <w:trPr>
          <w:trHeight w:val="160"/>
        </w:trPr>
        <w:tc>
          <w:tcPr>
            <w:tcW w:w="2920" w:type="dxa"/>
            <w:vAlign w:val="bottom"/>
          </w:tcPr>
          <w:p>
            <w:pPr>
              <w:ind w:left="20"/>
              <w:spacing w:after="0"/>
              <w:rPr>
                <w:sz w:val="20"/>
                <w:szCs w:val="20"/>
                <w:color w:val="auto"/>
              </w:rPr>
            </w:pPr>
            <w:r>
              <w:rPr>
                <w:rFonts w:ascii="Arial" w:cs="Arial" w:eastAsia="Arial" w:hAnsi="Arial"/>
                <w:sz w:val="13"/>
                <w:szCs w:val="13"/>
                <w:b w:val="1"/>
                <w:bCs w:val="1"/>
                <w:color w:val="auto"/>
              </w:rPr>
              <w:t>Current liabilities</w:t>
            </w:r>
          </w:p>
        </w:tc>
        <w:tc>
          <w:tcPr>
            <w:tcW w:w="55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70"/>
        </w:trPr>
        <w:tc>
          <w:tcPr>
            <w:tcW w:w="2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Accounts payable</w:t>
            </w:r>
          </w:p>
        </w:tc>
        <w:tc>
          <w:tcPr>
            <w:tcW w:w="556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1,717</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w:t>
            </w:r>
          </w:p>
        </w:tc>
      </w:tr>
      <w:tr>
        <w:trPr>
          <w:trHeight w:val="170"/>
        </w:trPr>
        <w:tc>
          <w:tcPr>
            <w:tcW w:w="2920" w:type="dxa"/>
            <w:vAlign w:val="bottom"/>
          </w:tcPr>
          <w:p>
            <w:pPr>
              <w:ind w:left="20"/>
              <w:spacing w:after="0"/>
              <w:rPr>
                <w:sz w:val="20"/>
                <w:szCs w:val="20"/>
                <w:color w:val="auto"/>
              </w:rPr>
            </w:pPr>
            <w:r>
              <w:rPr>
                <w:rFonts w:ascii="Arial" w:cs="Arial" w:eastAsia="Arial" w:hAnsi="Arial"/>
                <w:sz w:val="13"/>
                <w:szCs w:val="13"/>
                <w:color w:val="auto"/>
              </w:rPr>
              <w:t>Amounts due to subsidiary undertakings</w:t>
            </w:r>
          </w:p>
        </w:tc>
        <w:tc>
          <w:tcPr>
            <w:tcW w:w="5560" w:type="dxa"/>
            <w:vAlign w:val="bottom"/>
          </w:tcPr>
          <w:p>
            <w:pPr>
              <w:jc w:val="right"/>
              <w:ind w:right="476"/>
              <w:spacing w:after="0"/>
              <w:rPr>
                <w:sz w:val="20"/>
                <w:szCs w:val="20"/>
                <w:color w:val="auto"/>
              </w:rPr>
            </w:pPr>
            <w:r>
              <w:rPr>
                <w:rFonts w:ascii="Arial" w:cs="Arial" w:eastAsia="Arial" w:hAnsi="Arial"/>
                <w:sz w:val="13"/>
                <w:szCs w:val="13"/>
                <w:i w:val="1"/>
                <w:iCs w:val="1"/>
                <w:color w:val="auto"/>
              </w:rPr>
              <w:t>6</w:t>
            </w:r>
          </w:p>
        </w:tc>
        <w:tc>
          <w:tcPr>
            <w:tcW w:w="1500" w:type="dxa"/>
            <w:vAlign w:val="bottom"/>
          </w:tcPr>
          <w:p>
            <w:pPr>
              <w:jc w:val="right"/>
              <w:ind w:right="176"/>
              <w:spacing w:after="0"/>
              <w:rPr>
                <w:sz w:val="20"/>
                <w:szCs w:val="20"/>
                <w:color w:val="auto"/>
              </w:rPr>
            </w:pPr>
            <w:r>
              <w:rPr>
                <w:rFonts w:ascii="Arial" w:cs="Arial" w:eastAsia="Arial" w:hAnsi="Arial"/>
                <w:sz w:val="13"/>
                <w:szCs w:val="13"/>
                <w:b w:val="1"/>
                <w:bCs w:val="1"/>
                <w:color w:val="auto"/>
              </w:rPr>
              <w:t>1,283</w:t>
            </w:r>
          </w:p>
        </w:tc>
        <w:tc>
          <w:tcPr>
            <w:tcW w:w="1300" w:type="dxa"/>
            <w:vAlign w:val="bottom"/>
          </w:tcPr>
          <w:p>
            <w:pPr>
              <w:jc w:val="right"/>
              <w:spacing w:after="0"/>
              <w:rPr>
                <w:sz w:val="20"/>
                <w:szCs w:val="20"/>
                <w:color w:val="auto"/>
              </w:rPr>
            </w:pPr>
            <w:r>
              <w:rPr>
                <w:rFonts w:ascii="Arial" w:cs="Arial" w:eastAsia="Arial" w:hAnsi="Arial"/>
                <w:sz w:val="13"/>
                <w:szCs w:val="13"/>
                <w:color w:val="auto"/>
              </w:rPr>
              <w:t>1,305</w:t>
            </w:r>
          </w:p>
        </w:tc>
      </w:tr>
      <w:tr>
        <w:trPr>
          <w:trHeight w:val="170"/>
        </w:trPr>
        <w:tc>
          <w:tcPr>
            <w:tcW w:w="2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Accrued and other liabilities</w:t>
            </w:r>
          </w:p>
        </w:tc>
        <w:tc>
          <w:tcPr>
            <w:tcW w:w="5560" w:type="dxa"/>
            <w:vAlign w:val="bottom"/>
            <w:shd w:val="clear" w:color="auto" w:fill="CCEEFF"/>
          </w:tcPr>
          <w:p>
            <w:pPr>
              <w:jc w:val="right"/>
              <w:ind w:right="476"/>
              <w:spacing w:after="0"/>
              <w:rPr>
                <w:sz w:val="20"/>
                <w:szCs w:val="20"/>
                <w:color w:val="auto"/>
              </w:rPr>
            </w:pPr>
            <w:r>
              <w:rPr>
                <w:rFonts w:ascii="Arial" w:cs="Arial" w:eastAsia="Arial" w:hAnsi="Arial"/>
                <w:sz w:val="13"/>
                <w:szCs w:val="13"/>
                <w:i w:val="1"/>
                <w:iCs w:val="1"/>
                <w:color w:val="auto"/>
              </w:rPr>
              <w:t>7</w:t>
            </w:r>
          </w:p>
        </w:tc>
        <w:tc>
          <w:tcPr>
            <w:tcW w:w="150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10,814</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11,285</w:t>
            </w:r>
          </w:p>
        </w:tc>
      </w:tr>
      <w:tr>
        <w:trPr>
          <w:trHeight w:val="170"/>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Current taxes payable</w:t>
            </w:r>
          </w:p>
        </w:tc>
        <w:tc>
          <w:tcPr>
            <w:tcW w:w="55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364</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147</w:t>
            </w:r>
          </w:p>
        </w:tc>
      </w:tr>
      <w:tr>
        <w:trPr>
          <w:trHeight w:val="160"/>
        </w:trPr>
        <w:tc>
          <w:tcPr>
            <w:tcW w:w="2920" w:type="dxa"/>
            <w:vAlign w:val="bottom"/>
            <w:tcBorders>
              <w:bottom w:val="single" w:sz="8" w:color="auto"/>
            </w:tcBorders>
            <w:shd w:val="clear" w:color="auto" w:fill="CCEEFF"/>
          </w:tcPr>
          <w:p>
            <w:pPr>
              <w:spacing w:after="0"/>
              <w:rPr>
                <w:sz w:val="13"/>
                <w:szCs w:val="13"/>
                <w:color w:val="auto"/>
              </w:rPr>
            </w:pPr>
          </w:p>
        </w:tc>
        <w:tc>
          <w:tcPr>
            <w:tcW w:w="556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14,178</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12,772</w:t>
            </w:r>
          </w:p>
        </w:tc>
      </w:tr>
      <w:tr>
        <w:trPr>
          <w:trHeight w:val="150"/>
        </w:trPr>
        <w:tc>
          <w:tcPr>
            <w:tcW w:w="2920" w:type="dxa"/>
            <w:vAlign w:val="bottom"/>
            <w:tcBorders>
              <w:bottom w:val="single" w:sz="8" w:color="auto"/>
            </w:tcBorders>
          </w:tcPr>
          <w:p>
            <w:pPr>
              <w:spacing w:after="0"/>
              <w:rPr>
                <w:sz w:val="13"/>
                <w:szCs w:val="13"/>
                <w:color w:val="auto"/>
              </w:rPr>
            </w:pPr>
          </w:p>
        </w:tc>
        <w:tc>
          <w:tcPr>
            <w:tcW w:w="55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r>
      <w:tr>
        <w:trPr>
          <w:trHeight w:val="160"/>
        </w:trPr>
        <w:tc>
          <w:tcPr>
            <w:tcW w:w="2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liabilities</w:t>
            </w:r>
          </w:p>
        </w:tc>
        <w:tc>
          <w:tcPr>
            <w:tcW w:w="556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20,858</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20,902</w:t>
            </w:r>
          </w:p>
        </w:tc>
      </w:tr>
      <w:tr>
        <w:trPr>
          <w:trHeight w:val="150"/>
        </w:trPr>
        <w:tc>
          <w:tcPr>
            <w:tcW w:w="2920" w:type="dxa"/>
            <w:vAlign w:val="bottom"/>
            <w:tcBorders>
              <w:bottom w:val="single" w:sz="8" w:color="auto"/>
            </w:tcBorders>
          </w:tcPr>
          <w:p>
            <w:pPr>
              <w:spacing w:after="0"/>
              <w:rPr>
                <w:sz w:val="13"/>
                <w:szCs w:val="13"/>
                <w:color w:val="auto"/>
              </w:rPr>
            </w:pPr>
          </w:p>
        </w:tc>
        <w:tc>
          <w:tcPr>
            <w:tcW w:w="55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r>
      <w:tr>
        <w:trPr>
          <w:trHeight w:val="162"/>
        </w:trPr>
        <w:tc>
          <w:tcPr>
            <w:tcW w:w="2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equity and liabilities</w:t>
            </w:r>
          </w:p>
        </w:tc>
        <w:tc>
          <w:tcPr>
            <w:tcW w:w="55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7,254,046</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1,069,662</w:t>
            </w:r>
          </w:p>
        </w:tc>
      </w:tr>
      <w:tr>
        <w:trPr>
          <w:trHeight w:val="226"/>
        </w:trPr>
        <w:tc>
          <w:tcPr>
            <w:tcW w:w="2920" w:type="dxa"/>
            <w:vAlign w:val="bottom"/>
          </w:tcPr>
          <w:p>
            <w:pPr>
              <w:spacing w:after="0"/>
              <w:rPr>
                <w:sz w:val="20"/>
                <w:szCs w:val="20"/>
                <w:color w:val="auto"/>
              </w:rPr>
            </w:pPr>
            <w:r>
              <w:rPr>
                <w:rFonts w:ascii="Arial" w:cs="Arial" w:eastAsia="Arial" w:hAnsi="Arial"/>
                <w:sz w:val="13"/>
                <w:szCs w:val="13"/>
                <w:b w:val="1"/>
                <w:bCs w:val="1"/>
                <w:color w:val="auto"/>
              </w:rPr>
              <w:t>On behalf of the Board</w:t>
            </w:r>
          </w:p>
        </w:tc>
        <w:tc>
          <w:tcPr>
            <w:tcW w:w="55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196"/>
        </w:trPr>
        <w:tc>
          <w:tcPr>
            <w:tcW w:w="2920" w:type="dxa"/>
            <w:vAlign w:val="bottom"/>
          </w:tcPr>
          <w:p>
            <w:pPr>
              <w:ind w:left="20"/>
              <w:spacing w:after="0"/>
              <w:rPr>
                <w:sz w:val="20"/>
                <w:szCs w:val="20"/>
                <w:color w:val="auto"/>
              </w:rPr>
            </w:pPr>
            <w:r>
              <w:rPr>
                <w:rFonts w:ascii="Arial" w:cs="Arial" w:eastAsia="Arial" w:hAnsi="Arial"/>
                <w:sz w:val="13"/>
                <w:szCs w:val="13"/>
                <w:color w:val="auto"/>
              </w:rPr>
              <w:t>Steve Cutler</w:t>
            </w:r>
          </w:p>
        </w:tc>
        <w:tc>
          <w:tcPr>
            <w:tcW w:w="5560" w:type="dxa"/>
            <w:vAlign w:val="bottom"/>
          </w:tcPr>
          <w:p>
            <w:pPr>
              <w:ind w:left="500"/>
              <w:spacing w:after="0"/>
              <w:rPr>
                <w:sz w:val="20"/>
                <w:szCs w:val="20"/>
                <w:color w:val="auto"/>
              </w:rPr>
            </w:pPr>
            <w:r>
              <w:rPr>
                <w:rFonts w:ascii="Arial" w:cs="Arial" w:eastAsia="Arial" w:hAnsi="Arial"/>
                <w:sz w:val="13"/>
                <w:szCs w:val="13"/>
                <w:color w:val="auto"/>
              </w:rPr>
              <w:t>Rónán Murphy</w:t>
            </w:r>
          </w:p>
        </w:tc>
        <w:tc>
          <w:tcPr>
            <w:tcW w:w="15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2"/>
        </w:trPr>
        <w:tc>
          <w:tcPr>
            <w:tcW w:w="2920" w:type="dxa"/>
            <w:vAlign w:val="bottom"/>
          </w:tcPr>
          <w:p>
            <w:pPr>
              <w:ind w:left="20"/>
              <w:spacing w:after="0"/>
              <w:rPr>
                <w:sz w:val="20"/>
                <w:szCs w:val="20"/>
                <w:color w:val="auto"/>
              </w:rPr>
            </w:pPr>
            <w:r>
              <w:rPr>
                <w:rFonts w:ascii="Arial" w:cs="Arial" w:eastAsia="Arial" w:hAnsi="Arial"/>
                <w:sz w:val="13"/>
                <w:szCs w:val="13"/>
                <w:i w:val="1"/>
                <w:iCs w:val="1"/>
                <w:color w:val="auto"/>
              </w:rPr>
              <w:t>Chief Executive Officer</w:t>
            </w:r>
          </w:p>
        </w:tc>
        <w:tc>
          <w:tcPr>
            <w:tcW w:w="5560" w:type="dxa"/>
            <w:vAlign w:val="bottom"/>
          </w:tcPr>
          <w:p>
            <w:pPr>
              <w:ind w:left="500"/>
              <w:spacing w:after="0"/>
              <w:rPr>
                <w:sz w:val="20"/>
                <w:szCs w:val="20"/>
                <w:color w:val="auto"/>
              </w:rPr>
            </w:pPr>
            <w:r>
              <w:rPr>
                <w:rFonts w:ascii="Arial" w:cs="Arial" w:eastAsia="Arial" w:hAnsi="Arial"/>
                <w:sz w:val="13"/>
                <w:szCs w:val="13"/>
                <w:i w:val="1"/>
                <w:iCs w:val="1"/>
                <w:color w:val="auto"/>
              </w:rPr>
              <w:t>Director</w:t>
            </w:r>
          </w:p>
        </w:tc>
        <w:tc>
          <w:tcPr>
            <w:tcW w:w="1500" w:type="dxa"/>
            <w:vAlign w:val="bottom"/>
          </w:tcPr>
          <w:p>
            <w:pPr>
              <w:spacing w:after="0"/>
              <w:rPr>
                <w:sz w:val="17"/>
                <w:szCs w:val="17"/>
                <w:color w:val="auto"/>
              </w:rPr>
            </w:pPr>
          </w:p>
        </w:tc>
        <w:tc>
          <w:tcPr>
            <w:tcW w:w="1300" w:type="dxa"/>
            <w:vAlign w:val="bottom"/>
          </w:tcPr>
          <w:p>
            <w:pPr>
              <w:spacing w:after="0"/>
              <w:rPr>
                <w:sz w:val="17"/>
                <w:szCs w:val="17"/>
                <w:color w:val="auto"/>
              </w:rPr>
            </w:pPr>
          </w:p>
        </w:tc>
      </w:tr>
    </w:tbl>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138</w:t>
      </w:r>
    </w:p>
    <w:p>
      <w:pPr>
        <w:sectPr>
          <w:pgSz w:w="11900" w:h="16838" w:orient="portrait"/>
          <w:cols w:equalWidth="0" w:num="1">
            <w:col w:w="11280"/>
          </w:cols>
          <w:pgMar w:left="300" w:top="889" w:right="31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color w:val="auto"/>
        </w:rPr>
        <w:t>Company Statement of Changes in Equity</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Other Unde-</w:t>
            </w:r>
          </w:p>
        </w:tc>
        <w:tc>
          <w:tcPr>
            <w:tcW w:w="740" w:type="dxa"/>
            <w:vAlign w:val="bottom"/>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Share</w:t>
            </w:r>
          </w:p>
        </w:tc>
        <w:tc>
          <w:tcPr>
            <w:tcW w:w="6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360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Number</w:t>
            </w:r>
          </w:p>
        </w:tc>
        <w:tc>
          <w:tcPr>
            <w:tcW w:w="660" w:type="dxa"/>
            <w:vAlign w:val="bottom"/>
            <w:vMerge w:val="restart"/>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Share</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Share</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Merger</w:t>
            </w:r>
          </w:p>
        </w:tc>
        <w:tc>
          <w:tcPr>
            <w:tcW w:w="860" w:type="dxa"/>
            <w:vAlign w:val="bottom"/>
            <w:vMerge w:val="continue"/>
            <w:shd w:val="clear" w:color="auto" w:fill="CCEEFF"/>
          </w:tcPr>
          <w:p>
            <w:pPr>
              <w:spacing w:after="0"/>
              <w:rPr>
                <w:sz w:val="11"/>
                <w:szCs w:val="11"/>
                <w:color w:val="auto"/>
              </w:rPr>
            </w:pPr>
          </w:p>
        </w:tc>
        <w:tc>
          <w:tcPr>
            <w:tcW w:w="740" w:type="dxa"/>
            <w:vAlign w:val="bottom"/>
            <w:shd w:val="clear" w:color="auto" w:fill="CCEEFF"/>
          </w:tcPr>
          <w:p>
            <w:pPr>
              <w:jc w:val="right"/>
              <w:ind w:right="36"/>
              <w:spacing w:after="0" w:line="128" w:lineRule="exact"/>
              <w:rPr>
                <w:sz w:val="20"/>
                <w:szCs w:val="20"/>
                <w:color w:val="auto"/>
              </w:rPr>
            </w:pPr>
            <w:r>
              <w:rPr>
                <w:rFonts w:ascii="Arial" w:cs="Arial" w:eastAsia="Arial" w:hAnsi="Arial"/>
                <w:sz w:val="13"/>
                <w:szCs w:val="13"/>
                <w:b w:val="1"/>
                <w:bCs w:val="1"/>
                <w:color w:val="auto"/>
              </w:rPr>
              <w:t>Based</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Other</w:t>
            </w:r>
          </w:p>
        </w:tc>
        <w:tc>
          <w:tcPr>
            <w:tcW w:w="720" w:type="dxa"/>
            <w:vAlign w:val="bottom"/>
            <w:vMerge w:val="restart"/>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Currency</w:t>
            </w:r>
          </w:p>
        </w:tc>
        <w:tc>
          <w:tcPr>
            <w:tcW w:w="720" w:type="dxa"/>
            <w:vAlign w:val="bottom"/>
            <w:vMerge w:val="restart"/>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Retained</w:t>
            </w: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600" w:type="dxa"/>
            <w:vAlign w:val="bottom"/>
            <w:shd w:val="clear" w:color="auto" w:fill="CCEEFF"/>
          </w:tcPr>
          <w:p>
            <w:pPr>
              <w:spacing w:after="0"/>
              <w:rPr>
                <w:sz w:val="11"/>
                <w:szCs w:val="11"/>
                <w:color w:val="auto"/>
              </w:rPr>
            </w:pPr>
          </w:p>
        </w:tc>
        <w:tc>
          <w:tcPr>
            <w:tcW w:w="1200" w:type="dxa"/>
            <w:vAlign w:val="bottom"/>
            <w:vMerge w:val="continue"/>
            <w:shd w:val="clear" w:color="auto" w:fill="CCEEFF"/>
          </w:tcPr>
          <w:p>
            <w:pPr>
              <w:spacing w:after="0"/>
              <w:rPr>
                <w:sz w:val="11"/>
                <w:szCs w:val="11"/>
                <w:color w:val="auto"/>
              </w:rPr>
            </w:pPr>
          </w:p>
        </w:tc>
        <w:tc>
          <w:tcPr>
            <w:tcW w:w="660" w:type="dxa"/>
            <w:vAlign w:val="bottom"/>
            <w:vMerge w:val="continue"/>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860" w:type="dxa"/>
            <w:vAlign w:val="bottom"/>
            <w:shd w:val="clear" w:color="auto" w:fill="CCEEFF"/>
          </w:tcPr>
          <w:p>
            <w:pPr>
              <w:jc w:val="right"/>
              <w:ind w:right="16"/>
              <w:spacing w:after="0" w:line="128" w:lineRule="exact"/>
              <w:rPr>
                <w:sz w:val="20"/>
                <w:szCs w:val="20"/>
                <w:color w:val="auto"/>
              </w:rPr>
            </w:pPr>
            <w:r>
              <w:rPr>
                <w:rFonts w:ascii="Arial" w:cs="Arial" w:eastAsia="Arial" w:hAnsi="Arial"/>
                <w:sz w:val="13"/>
                <w:szCs w:val="13"/>
                <w:b w:val="1"/>
                <w:bCs w:val="1"/>
                <w:color w:val="auto"/>
              </w:rPr>
              <w:t>nominated</w:t>
            </w:r>
          </w:p>
        </w:tc>
        <w:tc>
          <w:tcPr>
            <w:tcW w:w="740" w:type="dxa"/>
            <w:vAlign w:val="bottom"/>
            <w:shd w:val="clear" w:color="auto" w:fill="CCEEFF"/>
          </w:tcPr>
          <w:p>
            <w:pPr>
              <w:jc w:val="right"/>
              <w:ind w:right="36"/>
              <w:spacing w:after="0" w:line="128" w:lineRule="exact"/>
              <w:rPr>
                <w:sz w:val="20"/>
                <w:szCs w:val="20"/>
                <w:color w:val="auto"/>
              </w:rPr>
            </w:pPr>
            <w:r>
              <w:rPr>
                <w:rFonts w:ascii="Arial" w:cs="Arial" w:eastAsia="Arial" w:hAnsi="Arial"/>
                <w:sz w:val="13"/>
                <w:szCs w:val="13"/>
                <w:b w:val="1"/>
                <w:bCs w:val="1"/>
                <w:color w:val="auto"/>
              </w:rPr>
              <w:t>Payment</w:t>
            </w:r>
          </w:p>
        </w:tc>
        <w:tc>
          <w:tcPr>
            <w:tcW w:w="660" w:type="dxa"/>
            <w:vAlign w:val="bottom"/>
            <w:vMerge w:val="continue"/>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360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of shares</w:t>
            </w: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Capital</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Premium</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Reserve</w:t>
            </w: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Capital</w:t>
            </w:r>
          </w:p>
        </w:tc>
        <w:tc>
          <w:tcPr>
            <w:tcW w:w="740" w:type="dxa"/>
            <w:vAlign w:val="bottom"/>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Reserve</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Reserve</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Reserve</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Earnings Total Equity</w:t>
            </w:r>
          </w:p>
        </w:tc>
        <w:tc>
          <w:tcPr>
            <w:tcW w:w="0" w:type="dxa"/>
            <w:vAlign w:val="bottom"/>
          </w:tcPr>
          <w:p>
            <w:pPr>
              <w:spacing w:after="0"/>
              <w:rPr>
                <w:sz w:val="1"/>
                <w:szCs w:val="1"/>
                <w:color w:val="auto"/>
              </w:rPr>
            </w:pPr>
          </w:p>
        </w:tc>
      </w:tr>
      <w:tr>
        <w:trPr>
          <w:trHeight w:val="170"/>
        </w:trPr>
        <w:tc>
          <w:tcPr>
            <w:tcW w:w="36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$’000</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8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$’000</w:t>
            </w:r>
          </w:p>
        </w:tc>
        <w:tc>
          <w:tcPr>
            <w:tcW w:w="7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$’000</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$’000</w:t>
            </w: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$’000</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0" w:type="dxa"/>
            <w:vAlign w:val="bottom"/>
          </w:tcPr>
          <w:p>
            <w:pPr>
              <w:spacing w:after="0"/>
              <w:rPr>
                <w:sz w:val="1"/>
                <w:szCs w:val="1"/>
                <w:color w:val="auto"/>
              </w:rPr>
            </w:pPr>
          </w:p>
        </w:tc>
      </w:tr>
      <w:tr>
        <w:trPr>
          <w:trHeight w:val="182"/>
        </w:trPr>
        <w:tc>
          <w:tcPr>
            <w:tcW w:w="36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Balance at 1 January 2021</w:t>
            </w:r>
          </w:p>
        </w:tc>
        <w:tc>
          <w:tcPr>
            <w:tcW w:w="120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52,788,093</w:t>
            </w:r>
          </w:p>
        </w:tc>
        <w:tc>
          <w:tcPr>
            <w:tcW w:w="6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4,580</w:t>
            </w:r>
          </w:p>
        </w:tc>
        <w:tc>
          <w:tcPr>
            <w:tcW w:w="7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318,404</w:t>
            </w: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w:t>
            </w:r>
          </w:p>
        </w:tc>
        <w:tc>
          <w:tcPr>
            <w:tcW w:w="8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1,134</w:t>
            </w:r>
          </w:p>
        </w:tc>
        <w:tc>
          <w:tcPr>
            <w:tcW w:w="7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131,557</w:t>
            </w: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6,071</w:t>
            </w:r>
          </w:p>
        </w:tc>
        <w:tc>
          <w:tcPr>
            <w:tcW w:w="7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(113,388)</w:t>
            </w:r>
          </w:p>
        </w:tc>
        <w:tc>
          <w:tcPr>
            <w:tcW w:w="7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700,402</w:t>
            </w: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1,048,760</w:t>
            </w:r>
          </w:p>
        </w:tc>
        <w:tc>
          <w:tcPr>
            <w:tcW w:w="0" w:type="dxa"/>
            <w:vAlign w:val="bottom"/>
          </w:tcPr>
          <w:p>
            <w:pPr>
              <w:spacing w:after="0"/>
              <w:rPr>
                <w:sz w:val="1"/>
                <w:szCs w:val="1"/>
                <w:color w:val="auto"/>
              </w:rPr>
            </w:pPr>
          </w:p>
        </w:tc>
      </w:tr>
      <w:tr>
        <w:trPr>
          <w:trHeight w:val="160"/>
        </w:trPr>
        <w:tc>
          <w:tcPr>
            <w:tcW w:w="36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Total comprehensive income for the year</w:t>
            </w:r>
          </w:p>
        </w:tc>
        <w:tc>
          <w:tcPr>
            <w:tcW w:w="1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600" w:type="dxa"/>
            <w:vAlign w:val="bottom"/>
          </w:tcPr>
          <w:p>
            <w:pPr>
              <w:ind w:left="20"/>
              <w:spacing w:after="0"/>
              <w:rPr>
                <w:sz w:val="20"/>
                <w:szCs w:val="20"/>
                <w:color w:val="auto"/>
              </w:rPr>
            </w:pPr>
            <w:r>
              <w:rPr>
                <w:rFonts w:ascii="Arial" w:cs="Arial" w:eastAsia="Arial" w:hAnsi="Arial"/>
                <w:sz w:val="13"/>
                <w:szCs w:val="13"/>
                <w:color w:val="auto"/>
              </w:rPr>
              <w:t>Profit for the year</w:t>
            </w:r>
          </w:p>
        </w:tc>
        <w:tc>
          <w:tcPr>
            <w:tcW w:w="120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35,945</w:t>
            </w: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35,945</w:t>
            </w:r>
          </w:p>
        </w:tc>
        <w:tc>
          <w:tcPr>
            <w:tcW w:w="0" w:type="dxa"/>
            <w:vAlign w:val="bottom"/>
          </w:tcPr>
          <w:p>
            <w:pPr>
              <w:spacing w:after="0"/>
              <w:rPr>
                <w:sz w:val="1"/>
                <w:szCs w:val="1"/>
                <w:color w:val="auto"/>
              </w:rPr>
            </w:pPr>
          </w:p>
        </w:tc>
      </w:tr>
      <w:tr>
        <w:trPr>
          <w:trHeight w:val="171"/>
        </w:trPr>
        <w:tc>
          <w:tcPr>
            <w:tcW w:w="36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Other comprehensive income</w:t>
            </w:r>
          </w:p>
        </w:tc>
        <w:tc>
          <w:tcPr>
            <w:tcW w:w="1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Foreign currency translation</w:t>
            </w:r>
          </w:p>
        </w:tc>
        <w:tc>
          <w:tcPr>
            <w:tcW w:w="120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(526)</w:t>
            </w:r>
          </w:p>
        </w:tc>
        <w:tc>
          <w:tcPr>
            <w:tcW w:w="7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(526)</w:t>
            </w:r>
          </w:p>
        </w:tc>
        <w:tc>
          <w:tcPr>
            <w:tcW w:w="0" w:type="dxa"/>
            <w:vAlign w:val="bottom"/>
          </w:tcPr>
          <w:p>
            <w:pPr>
              <w:spacing w:after="0"/>
              <w:rPr>
                <w:sz w:val="1"/>
                <w:szCs w:val="1"/>
                <w:color w:val="auto"/>
              </w:rPr>
            </w:pPr>
          </w:p>
        </w:tc>
      </w:tr>
      <w:tr>
        <w:trPr>
          <w:trHeight w:val="183"/>
        </w:trPr>
        <w:tc>
          <w:tcPr>
            <w:tcW w:w="36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 other comprehensive loss</w:t>
            </w:r>
          </w:p>
        </w:tc>
        <w:tc>
          <w:tcPr>
            <w:tcW w:w="120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(526)</w:t>
            </w:r>
          </w:p>
        </w:tc>
        <w:tc>
          <w:tcPr>
            <w:tcW w:w="7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(526)</w:t>
            </w:r>
          </w:p>
        </w:tc>
        <w:tc>
          <w:tcPr>
            <w:tcW w:w="0" w:type="dxa"/>
            <w:vAlign w:val="bottom"/>
          </w:tcPr>
          <w:p>
            <w:pPr>
              <w:spacing w:after="0"/>
              <w:rPr>
                <w:sz w:val="1"/>
                <w:szCs w:val="1"/>
                <w:color w:val="auto"/>
              </w:rPr>
            </w:pPr>
          </w:p>
        </w:tc>
      </w:tr>
      <w:tr>
        <w:trPr>
          <w:trHeight w:val="183"/>
        </w:trPr>
        <w:tc>
          <w:tcPr>
            <w:tcW w:w="36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 comprehensive income for the year</w:t>
            </w:r>
          </w:p>
        </w:tc>
        <w:tc>
          <w:tcPr>
            <w:tcW w:w="120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(526)</w:t>
            </w:r>
          </w:p>
        </w:tc>
        <w:tc>
          <w:tcPr>
            <w:tcW w:w="7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35,945</w:t>
            </w: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35,419</w:t>
            </w:r>
          </w:p>
        </w:tc>
        <w:tc>
          <w:tcPr>
            <w:tcW w:w="0" w:type="dxa"/>
            <w:vAlign w:val="bottom"/>
          </w:tcPr>
          <w:p>
            <w:pPr>
              <w:spacing w:after="0"/>
              <w:rPr>
                <w:sz w:val="1"/>
                <w:szCs w:val="1"/>
                <w:color w:val="auto"/>
              </w:rPr>
            </w:pPr>
          </w:p>
        </w:tc>
      </w:tr>
      <w:tr>
        <w:trPr>
          <w:trHeight w:val="162"/>
        </w:trPr>
        <w:tc>
          <w:tcPr>
            <w:tcW w:w="36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Transactions with owners, recorded directly in equity</w:t>
            </w:r>
          </w:p>
        </w:tc>
        <w:tc>
          <w:tcPr>
            <w:tcW w:w="1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600" w:type="dxa"/>
            <w:vAlign w:val="bottom"/>
          </w:tcPr>
          <w:p>
            <w:pPr>
              <w:ind w:left="20"/>
              <w:spacing w:after="0"/>
              <w:rPr>
                <w:sz w:val="20"/>
                <w:szCs w:val="20"/>
                <w:color w:val="auto"/>
              </w:rPr>
            </w:pPr>
            <w:r>
              <w:rPr>
                <w:rFonts w:ascii="Arial" w:cs="Arial" w:eastAsia="Arial" w:hAnsi="Arial"/>
                <w:sz w:val="13"/>
                <w:szCs w:val="13"/>
                <w:color w:val="auto"/>
              </w:rPr>
              <w:t>Issue of shares associated with a business combination</w:t>
            </w:r>
          </w:p>
        </w:tc>
        <w:tc>
          <w:tcPr>
            <w:tcW w:w="1200" w:type="dxa"/>
            <w:vAlign w:val="bottom"/>
          </w:tcPr>
          <w:p>
            <w:pPr>
              <w:jc w:val="right"/>
              <w:ind w:right="136"/>
              <w:spacing w:after="0"/>
              <w:rPr>
                <w:sz w:val="20"/>
                <w:szCs w:val="20"/>
                <w:color w:val="auto"/>
              </w:rPr>
            </w:pPr>
            <w:r>
              <w:rPr>
                <w:rFonts w:ascii="Arial" w:cs="Arial" w:eastAsia="Arial" w:hAnsi="Arial"/>
                <w:sz w:val="13"/>
                <w:szCs w:val="13"/>
                <w:color w:val="auto"/>
              </w:rPr>
              <w:t>27,372,427</w:t>
            </w:r>
          </w:p>
        </w:tc>
        <w:tc>
          <w:tcPr>
            <w:tcW w:w="660" w:type="dxa"/>
            <w:vAlign w:val="bottom"/>
          </w:tcPr>
          <w:p>
            <w:pPr>
              <w:jc w:val="right"/>
              <w:ind w:right="76"/>
              <w:spacing w:after="0"/>
              <w:rPr>
                <w:sz w:val="20"/>
                <w:szCs w:val="20"/>
                <w:color w:val="auto"/>
              </w:rPr>
            </w:pPr>
            <w:r>
              <w:rPr>
                <w:rFonts w:ascii="Arial" w:cs="Arial" w:eastAsia="Arial" w:hAnsi="Arial"/>
                <w:sz w:val="13"/>
                <w:szCs w:val="13"/>
                <w:color w:val="auto"/>
              </w:rPr>
              <w:t>1,960</w:t>
            </w:r>
          </w:p>
        </w:tc>
        <w:tc>
          <w:tcPr>
            <w:tcW w:w="7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5,656,195</w:t>
            </w:r>
          </w:p>
        </w:tc>
        <w:tc>
          <w:tcPr>
            <w:tcW w:w="86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5,658,155</w:t>
            </w:r>
          </w:p>
        </w:tc>
        <w:tc>
          <w:tcPr>
            <w:tcW w:w="0" w:type="dxa"/>
            <w:vAlign w:val="bottom"/>
          </w:tcPr>
          <w:p>
            <w:pPr>
              <w:spacing w:after="0"/>
              <w:rPr>
                <w:sz w:val="1"/>
                <w:szCs w:val="1"/>
                <w:color w:val="auto"/>
              </w:rPr>
            </w:pPr>
          </w:p>
        </w:tc>
      </w:tr>
      <w:tr>
        <w:trPr>
          <w:trHeight w:val="129"/>
        </w:trPr>
        <w:tc>
          <w:tcPr>
            <w:tcW w:w="36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Replacement share-based awards issued to acquiree</w:t>
            </w:r>
          </w:p>
        </w:tc>
        <w:tc>
          <w:tcPr>
            <w:tcW w:w="1200" w:type="dxa"/>
            <w:vAlign w:val="bottom"/>
            <w:vMerge w:val="restart"/>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660" w:type="dxa"/>
            <w:vAlign w:val="bottom"/>
            <w:vMerge w:val="restart"/>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vMerge w:val="restart"/>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860" w:type="dxa"/>
            <w:vAlign w:val="bottom"/>
            <w:vMerge w:val="restart"/>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vMerge w:val="restart"/>
            <w:shd w:val="clear" w:color="auto" w:fill="CCEEFF"/>
          </w:tcPr>
          <w:p>
            <w:pPr>
              <w:jc w:val="right"/>
              <w:ind w:right="76"/>
              <w:spacing w:after="0"/>
              <w:rPr>
                <w:sz w:val="20"/>
                <w:szCs w:val="20"/>
                <w:color w:val="auto"/>
              </w:rPr>
            </w:pPr>
            <w:r>
              <w:rPr>
                <w:rFonts w:ascii="Arial" w:cs="Arial" w:eastAsia="Arial" w:hAnsi="Arial"/>
                <w:sz w:val="13"/>
                <w:szCs w:val="13"/>
                <w:color w:val="auto"/>
              </w:rPr>
              <w:t>267,607</w:t>
            </w:r>
          </w:p>
        </w:tc>
        <w:tc>
          <w:tcPr>
            <w:tcW w:w="66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vMerge w:val="restart"/>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vMerge w:val="restart"/>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CCEEFF"/>
          </w:tcPr>
          <w:p>
            <w:pPr>
              <w:jc w:val="right"/>
              <w:ind w:right="16"/>
              <w:spacing w:after="0"/>
              <w:rPr>
                <w:sz w:val="20"/>
                <w:szCs w:val="20"/>
                <w:color w:val="auto"/>
              </w:rPr>
            </w:pPr>
            <w:r>
              <w:rPr>
                <w:rFonts w:ascii="Arial" w:cs="Arial" w:eastAsia="Arial" w:hAnsi="Arial"/>
                <w:sz w:val="13"/>
                <w:szCs w:val="13"/>
                <w:color w:val="auto"/>
              </w:rPr>
              <w:t>267,607</w:t>
            </w:r>
          </w:p>
        </w:tc>
        <w:tc>
          <w:tcPr>
            <w:tcW w:w="0" w:type="dxa"/>
            <w:vAlign w:val="bottom"/>
          </w:tcPr>
          <w:p>
            <w:pPr>
              <w:spacing w:after="0"/>
              <w:rPr>
                <w:sz w:val="1"/>
                <w:szCs w:val="1"/>
                <w:color w:val="auto"/>
              </w:rPr>
            </w:pPr>
          </w:p>
        </w:tc>
      </w:tr>
      <w:tr>
        <w:trPr>
          <w:trHeight w:val="170"/>
        </w:trPr>
        <w:tc>
          <w:tcPr>
            <w:tcW w:w="3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employees</w:t>
            </w:r>
          </w:p>
        </w:tc>
        <w:tc>
          <w:tcPr>
            <w:tcW w:w="120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600" w:type="dxa"/>
            <w:vAlign w:val="bottom"/>
          </w:tcPr>
          <w:p>
            <w:pPr>
              <w:ind w:left="20"/>
              <w:spacing w:after="0"/>
              <w:rPr>
                <w:sz w:val="20"/>
                <w:szCs w:val="20"/>
                <w:color w:val="auto"/>
              </w:rPr>
            </w:pPr>
            <w:r>
              <w:rPr>
                <w:rFonts w:ascii="Arial" w:cs="Arial" w:eastAsia="Arial" w:hAnsi="Arial"/>
                <w:sz w:val="13"/>
                <w:szCs w:val="13"/>
                <w:color w:val="auto"/>
              </w:rPr>
              <w:t>Share based payment</w:t>
            </w:r>
          </w:p>
        </w:tc>
        <w:tc>
          <w:tcPr>
            <w:tcW w:w="120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6"/>
              <w:spacing w:after="0"/>
              <w:rPr>
                <w:sz w:val="20"/>
                <w:szCs w:val="20"/>
                <w:color w:val="auto"/>
              </w:rPr>
            </w:pPr>
            <w:r>
              <w:rPr>
                <w:rFonts w:ascii="Arial" w:cs="Arial" w:eastAsia="Arial" w:hAnsi="Arial"/>
                <w:sz w:val="13"/>
                <w:szCs w:val="13"/>
                <w:color w:val="auto"/>
              </w:rPr>
              <w:t>105,488</w:t>
            </w:r>
          </w:p>
        </w:tc>
        <w:tc>
          <w:tcPr>
            <w:tcW w:w="66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105,488</w:t>
            </w:r>
          </w:p>
        </w:tc>
        <w:tc>
          <w:tcPr>
            <w:tcW w:w="0" w:type="dxa"/>
            <w:vAlign w:val="bottom"/>
          </w:tcPr>
          <w:p>
            <w:pPr>
              <w:spacing w:after="0"/>
              <w:rPr>
                <w:sz w:val="1"/>
                <w:szCs w:val="1"/>
                <w:color w:val="auto"/>
              </w:rPr>
            </w:pPr>
          </w:p>
        </w:tc>
      </w:tr>
      <w:tr>
        <w:trPr>
          <w:trHeight w:val="171"/>
        </w:trPr>
        <w:tc>
          <w:tcPr>
            <w:tcW w:w="3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Exercise of share options</w:t>
            </w:r>
          </w:p>
        </w:tc>
        <w:tc>
          <w:tcPr>
            <w:tcW w:w="12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1,065,529</w:t>
            </w:r>
          </w:p>
        </w:tc>
        <w:tc>
          <w:tcPr>
            <w:tcW w:w="6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77</w:t>
            </w:r>
          </w:p>
        </w:tc>
        <w:tc>
          <w:tcPr>
            <w:tcW w:w="7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118,512</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118,589</w:t>
            </w:r>
          </w:p>
        </w:tc>
        <w:tc>
          <w:tcPr>
            <w:tcW w:w="0" w:type="dxa"/>
            <w:vAlign w:val="bottom"/>
          </w:tcPr>
          <w:p>
            <w:pPr>
              <w:spacing w:after="0"/>
              <w:rPr>
                <w:sz w:val="1"/>
                <w:szCs w:val="1"/>
                <w:color w:val="auto"/>
              </w:rPr>
            </w:pPr>
          </w:p>
        </w:tc>
      </w:tr>
      <w:tr>
        <w:trPr>
          <w:trHeight w:val="169"/>
        </w:trPr>
        <w:tc>
          <w:tcPr>
            <w:tcW w:w="3600" w:type="dxa"/>
            <w:vAlign w:val="bottom"/>
          </w:tcPr>
          <w:p>
            <w:pPr>
              <w:ind w:left="20"/>
              <w:spacing w:after="0"/>
              <w:rPr>
                <w:sz w:val="20"/>
                <w:szCs w:val="20"/>
                <w:color w:val="auto"/>
              </w:rPr>
            </w:pPr>
            <w:r>
              <w:rPr>
                <w:rFonts w:ascii="Arial" w:cs="Arial" w:eastAsia="Arial" w:hAnsi="Arial"/>
                <w:sz w:val="13"/>
                <w:szCs w:val="13"/>
                <w:color w:val="auto"/>
              </w:rPr>
              <w:t>Share issue costs</w:t>
            </w:r>
          </w:p>
        </w:tc>
        <w:tc>
          <w:tcPr>
            <w:tcW w:w="120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(853)</w:t>
            </w:r>
          </w:p>
        </w:tc>
        <w:tc>
          <w:tcPr>
            <w:tcW w:w="700" w:type="dxa"/>
            <w:vAlign w:val="bottom"/>
          </w:tcPr>
          <w:p>
            <w:pPr>
              <w:jc w:val="right"/>
              <w:spacing w:after="0"/>
              <w:rPr>
                <w:sz w:val="20"/>
                <w:szCs w:val="20"/>
                <w:color w:val="auto"/>
              </w:rPr>
            </w:pPr>
            <w:r>
              <w:rPr>
                <w:rFonts w:ascii="Arial" w:cs="Arial" w:eastAsia="Arial" w:hAnsi="Arial"/>
                <w:sz w:val="13"/>
                <w:szCs w:val="13"/>
                <w:color w:val="auto"/>
              </w:rPr>
              <w:t>(853)</w:t>
            </w:r>
          </w:p>
        </w:tc>
        <w:tc>
          <w:tcPr>
            <w:tcW w:w="0" w:type="dxa"/>
            <w:vAlign w:val="bottom"/>
          </w:tcPr>
          <w:p>
            <w:pPr>
              <w:spacing w:after="0"/>
              <w:rPr>
                <w:sz w:val="1"/>
                <w:szCs w:val="1"/>
                <w:color w:val="auto"/>
              </w:rPr>
            </w:pPr>
          </w:p>
        </w:tc>
      </w:tr>
      <w:tr>
        <w:trPr>
          <w:trHeight w:val="171"/>
        </w:trPr>
        <w:tc>
          <w:tcPr>
            <w:tcW w:w="3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Issue of restricted share units/ performance share units</w:t>
            </w:r>
          </w:p>
        </w:tc>
        <w:tc>
          <w:tcPr>
            <w:tcW w:w="12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328,634</w:t>
            </w:r>
          </w:p>
        </w:tc>
        <w:tc>
          <w:tcPr>
            <w:tcW w:w="6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23</w:t>
            </w:r>
          </w:p>
        </w:tc>
        <w:tc>
          <w:tcPr>
            <w:tcW w:w="7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69"/>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Transfer of exercised and expired share based awards</w:t>
            </w:r>
          </w:p>
        </w:tc>
        <w:tc>
          <w:tcPr>
            <w:tcW w:w="120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(162,015)</w:t>
            </w: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162,015</w:t>
            </w: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36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 contributions by and distributions to owners</w:t>
            </w:r>
          </w:p>
        </w:tc>
        <w:tc>
          <w:tcPr>
            <w:tcW w:w="120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28,766,590</w:t>
            </w:r>
          </w:p>
        </w:tc>
        <w:tc>
          <w:tcPr>
            <w:tcW w:w="6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2,060</w:t>
            </w:r>
          </w:p>
        </w:tc>
        <w:tc>
          <w:tcPr>
            <w:tcW w:w="7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118,512</w:t>
            </w: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5,656,195</w:t>
            </w:r>
          </w:p>
        </w:tc>
        <w:tc>
          <w:tcPr>
            <w:tcW w:w="8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211,080</w:t>
            </w: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161,162</w:t>
            </w: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6,149,009</w:t>
            </w:r>
          </w:p>
        </w:tc>
        <w:tc>
          <w:tcPr>
            <w:tcW w:w="0" w:type="dxa"/>
            <w:vAlign w:val="bottom"/>
          </w:tcPr>
          <w:p>
            <w:pPr>
              <w:spacing w:after="0"/>
              <w:rPr>
                <w:sz w:val="1"/>
                <w:szCs w:val="1"/>
                <w:color w:val="auto"/>
              </w:rPr>
            </w:pPr>
          </w:p>
        </w:tc>
      </w:tr>
      <w:tr>
        <w:trPr>
          <w:trHeight w:val="183"/>
        </w:trPr>
        <w:tc>
          <w:tcPr>
            <w:tcW w:w="36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Balance at 31 December 2021</w:t>
            </w:r>
          </w:p>
        </w:tc>
        <w:tc>
          <w:tcPr>
            <w:tcW w:w="120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81,554,683</w:t>
            </w:r>
          </w:p>
        </w:tc>
        <w:tc>
          <w:tcPr>
            <w:tcW w:w="6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6,640</w:t>
            </w:r>
          </w:p>
        </w:tc>
        <w:tc>
          <w:tcPr>
            <w:tcW w:w="7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436,916</w:t>
            </w: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5,656,195</w:t>
            </w:r>
          </w:p>
        </w:tc>
        <w:tc>
          <w:tcPr>
            <w:tcW w:w="8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1,134</w:t>
            </w:r>
          </w:p>
        </w:tc>
        <w:tc>
          <w:tcPr>
            <w:tcW w:w="7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342,637</w:t>
            </w: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6,071</w:t>
            </w:r>
          </w:p>
        </w:tc>
        <w:tc>
          <w:tcPr>
            <w:tcW w:w="7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(113,914)</w:t>
            </w:r>
          </w:p>
        </w:tc>
        <w:tc>
          <w:tcPr>
            <w:tcW w:w="7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897,509</w:t>
            </w: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7,233,188</w:t>
            </w:r>
          </w:p>
        </w:tc>
        <w:tc>
          <w:tcPr>
            <w:tcW w:w="0" w:type="dxa"/>
            <w:vAlign w:val="bottom"/>
          </w:tcPr>
          <w:p>
            <w:pPr>
              <w:spacing w:after="0"/>
              <w:rPr>
                <w:sz w:val="1"/>
                <w:szCs w:val="1"/>
                <w:color w:val="auto"/>
              </w:rPr>
            </w:pPr>
          </w:p>
        </w:tc>
      </w:tr>
    </w:tbl>
    <w:p>
      <w:pPr>
        <w:spacing w:after="0" w:line="57" w:lineRule="exact"/>
        <w:rPr>
          <w:sz w:val="20"/>
          <w:szCs w:val="20"/>
          <w:color w:val="auto"/>
        </w:rPr>
      </w:pPr>
    </w:p>
    <w:p>
      <w:pPr>
        <w:jc w:val="both"/>
        <w:spacing w:after="0" w:line="303" w:lineRule="auto"/>
        <w:rPr>
          <w:sz w:val="20"/>
          <w:szCs w:val="20"/>
          <w:color w:val="auto"/>
        </w:rPr>
      </w:pPr>
      <w:r>
        <w:rPr>
          <w:rFonts w:ascii="Arial" w:cs="Arial" w:eastAsia="Arial" w:hAnsi="Arial"/>
          <w:sz w:val="11"/>
          <w:szCs w:val="11"/>
          <w:i w:val="1"/>
          <w:iCs w:val="1"/>
          <w:color w:val="auto"/>
        </w:rPr>
        <w:t>As permitted by section 504 of the Companies Act, the Company has not presented a Company Statement of Profit and Loss. The profit for the 2021 financial year of the Company amounted to $35,945,000 (2020: profit $228,691,000).</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139</w:t>
      </w:r>
    </w:p>
    <w:p>
      <w:pPr>
        <w:sectPr>
          <w:pgSz w:w="11900" w:h="16838" w:orient="portrait"/>
          <w:cols w:equalWidth="0" w:num="1">
            <w:col w:w="11280"/>
          </w:cols>
          <w:pgMar w:left="300" w:top="889" w:right="31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color w:val="auto"/>
        </w:rPr>
        <w:t>Company Statement of Changes in Equity</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2020</w:t>
      </w: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Other</w:t>
            </w:r>
          </w:p>
        </w:tc>
        <w:tc>
          <w:tcPr>
            <w:tcW w:w="76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Share-</w:t>
            </w:r>
          </w:p>
        </w:tc>
        <w:tc>
          <w:tcPr>
            <w:tcW w:w="7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3680" w:type="dxa"/>
            <w:vAlign w:val="bottom"/>
            <w:shd w:val="clear" w:color="auto" w:fill="CCEEFF"/>
          </w:tcPr>
          <w:p>
            <w:pPr>
              <w:spacing w:after="0"/>
              <w:rPr>
                <w:sz w:val="11"/>
                <w:szCs w:val="11"/>
                <w:color w:val="auto"/>
              </w:rPr>
            </w:pPr>
          </w:p>
        </w:tc>
        <w:tc>
          <w:tcPr>
            <w:tcW w:w="1280" w:type="dxa"/>
            <w:vAlign w:val="bottom"/>
            <w:vMerge w:val="restart"/>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Number</w:t>
            </w:r>
          </w:p>
        </w:tc>
        <w:tc>
          <w:tcPr>
            <w:tcW w:w="68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Share</w:t>
            </w:r>
          </w:p>
        </w:tc>
        <w:tc>
          <w:tcPr>
            <w:tcW w:w="76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Share</w:t>
            </w:r>
          </w:p>
        </w:tc>
        <w:tc>
          <w:tcPr>
            <w:tcW w:w="1180" w:type="dxa"/>
            <w:vAlign w:val="bottom"/>
            <w:vMerge w:val="continue"/>
            <w:shd w:val="clear" w:color="auto" w:fill="CCEEFF"/>
          </w:tcPr>
          <w:p>
            <w:pPr>
              <w:spacing w:after="0"/>
              <w:rPr>
                <w:sz w:val="11"/>
                <w:szCs w:val="11"/>
                <w:color w:val="auto"/>
              </w:rPr>
            </w:pPr>
          </w:p>
        </w:tc>
        <w:tc>
          <w:tcPr>
            <w:tcW w:w="760" w:type="dxa"/>
            <w:vAlign w:val="bottom"/>
            <w:shd w:val="clear" w:color="auto" w:fill="CCEEFF"/>
          </w:tcPr>
          <w:p>
            <w:pPr>
              <w:jc w:val="right"/>
              <w:ind w:right="56"/>
              <w:spacing w:after="0" w:line="128" w:lineRule="exact"/>
              <w:rPr>
                <w:sz w:val="20"/>
                <w:szCs w:val="20"/>
                <w:color w:val="auto"/>
              </w:rPr>
            </w:pPr>
            <w:r>
              <w:rPr>
                <w:rFonts w:ascii="Arial" w:cs="Arial" w:eastAsia="Arial" w:hAnsi="Arial"/>
                <w:sz w:val="13"/>
                <w:szCs w:val="13"/>
                <w:b w:val="1"/>
                <w:bCs w:val="1"/>
                <w:color w:val="auto"/>
              </w:rPr>
              <w:t>based</w:t>
            </w:r>
          </w:p>
        </w:tc>
        <w:tc>
          <w:tcPr>
            <w:tcW w:w="72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Other</w:t>
            </w:r>
          </w:p>
        </w:tc>
        <w:tc>
          <w:tcPr>
            <w:tcW w:w="76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Currency</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Retained</w:t>
            </w: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680" w:type="dxa"/>
            <w:vAlign w:val="bottom"/>
            <w:shd w:val="clear" w:color="auto" w:fill="CCEEFF"/>
          </w:tcPr>
          <w:p>
            <w:pPr>
              <w:spacing w:after="0"/>
              <w:rPr>
                <w:sz w:val="11"/>
                <w:szCs w:val="11"/>
                <w:color w:val="auto"/>
              </w:rPr>
            </w:pPr>
          </w:p>
        </w:tc>
        <w:tc>
          <w:tcPr>
            <w:tcW w:w="1280" w:type="dxa"/>
            <w:vAlign w:val="bottom"/>
            <w:vMerge w:val="continue"/>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760" w:type="dxa"/>
            <w:vAlign w:val="bottom"/>
            <w:vMerge w:val="continue"/>
            <w:shd w:val="clear" w:color="auto" w:fill="CCEEFF"/>
          </w:tcPr>
          <w:p>
            <w:pPr>
              <w:spacing w:after="0"/>
              <w:rPr>
                <w:sz w:val="11"/>
                <w:szCs w:val="11"/>
                <w:color w:val="auto"/>
              </w:rPr>
            </w:pPr>
          </w:p>
        </w:tc>
        <w:tc>
          <w:tcPr>
            <w:tcW w:w="1180" w:type="dxa"/>
            <w:vAlign w:val="bottom"/>
            <w:shd w:val="clear" w:color="auto" w:fill="CCEEFF"/>
          </w:tcPr>
          <w:p>
            <w:pPr>
              <w:jc w:val="right"/>
              <w:ind w:right="56"/>
              <w:spacing w:after="0" w:line="128" w:lineRule="exact"/>
              <w:rPr>
                <w:sz w:val="20"/>
                <w:szCs w:val="20"/>
                <w:color w:val="auto"/>
              </w:rPr>
            </w:pPr>
            <w:r>
              <w:rPr>
                <w:rFonts w:ascii="Arial" w:cs="Arial" w:eastAsia="Arial" w:hAnsi="Arial"/>
                <w:sz w:val="13"/>
                <w:szCs w:val="13"/>
                <w:b w:val="1"/>
                <w:bCs w:val="1"/>
                <w:color w:val="auto"/>
              </w:rPr>
              <w:t>Undenominated</w:t>
            </w:r>
          </w:p>
        </w:tc>
        <w:tc>
          <w:tcPr>
            <w:tcW w:w="760" w:type="dxa"/>
            <w:vAlign w:val="bottom"/>
            <w:shd w:val="clear" w:color="auto" w:fill="CCEEFF"/>
          </w:tcPr>
          <w:p>
            <w:pPr>
              <w:jc w:val="right"/>
              <w:ind w:right="56"/>
              <w:spacing w:after="0" w:line="128" w:lineRule="exact"/>
              <w:rPr>
                <w:sz w:val="20"/>
                <w:szCs w:val="20"/>
                <w:color w:val="auto"/>
              </w:rPr>
            </w:pPr>
            <w:r>
              <w:rPr>
                <w:rFonts w:ascii="Arial" w:cs="Arial" w:eastAsia="Arial" w:hAnsi="Arial"/>
                <w:sz w:val="13"/>
                <w:szCs w:val="13"/>
                <w:b w:val="1"/>
                <w:bCs w:val="1"/>
                <w:color w:val="auto"/>
              </w:rPr>
              <w:t>Payment</w:t>
            </w:r>
          </w:p>
        </w:tc>
        <w:tc>
          <w:tcPr>
            <w:tcW w:w="720" w:type="dxa"/>
            <w:vAlign w:val="bottom"/>
            <w:vMerge w:val="continue"/>
            <w:shd w:val="clear" w:color="auto" w:fill="CCEEFF"/>
          </w:tcPr>
          <w:p>
            <w:pPr>
              <w:spacing w:after="0"/>
              <w:rPr>
                <w:sz w:val="11"/>
                <w:szCs w:val="11"/>
                <w:color w:val="auto"/>
              </w:rPr>
            </w:pPr>
          </w:p>
        </w:tc>
        <w:tc>
          <w:tcPr>
            <w:tcW w:w="760" w:type="dxa"/>
            <w:vAlign w:val="bottom"/>
            <w:vMerge w:val="continue"/>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368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of shares</w:t>
            </w: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Capital</w:t>
            </w:r>
          </w:p>
        </w:tc>
        <w:tc>
          <w:tcPr>
            <w:tcW w:w="760" w:type="dxa"/>
            <w:vAlign w:val="bottom"/>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Premium</w:t>
            </w:r>
          </w:p>
        </w:tc>
        <w:tc>
          <w:tcPr>
            <w:tcW w:w="118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Capital</w:t>
            </w:r>
          </w:p>
        </w:tc>
        <w:tc>
          <w:tcPr>
            <w:tcW w:w="76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Reserve</w:t>
            </w:r>
          </w:p>
        </w:tc>
        <w:tc>
          <w:tcPr>
            <w:tcW w:w="720" w:type="dxa"/>
            <w:vAlign w:val="bottom"/>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Reserve</w:t>
            </w:r>
          </w:p>
        </w:tc>
        <w:tc>
          <w:tcPr>
            <w:tcW w:w="760" w:type="dxa"/>
            <w:vAlign w:val="bottom"/>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Reserve</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Earnings Total Equity</w:t>
            </w:r>
          </w:p>
        </w:tc>
        <w:tc>
          <w:tcPr>
            <w:tcW w:w="0" w:type="dxa"/>
            <w:vAlign w:val="bottom"/>
          </w:tcPr>
          <w:p>
            <w:pPr>
              <w:spacing w:after="0"/>
              <w:rPr>
                <w:sz w:val="1"/>
                <w:szCs w:val="1"/>
                <w:color w:val="auto"/>
              </w:rPr>
            </w:pPr>
          </w:p>
        </w:tc>
      </w:tr>
      <w:tr>
        <w:trPr>
          <w:trHeight w:val="170"/>
        </w:trPr>
        <w:tc>
          <w:tcPr>
            <w:tcW w:w="36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$’000</w:t>
            </w:r>
          </w:p>
        </w:tc>
        <w:tc>
          <w:tcPr>
            <w:tcW w:w="7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$’000</w:t>
            </w:r>
          </w:p>
        </w:tc>
        <w:tc>
          <w:tcPr>
            <w:tcW w:w="11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$’000</w:t>
            </w:r>
          </w:p>
        </w:tc>
        <w:tc>
          <w:tcPr>
            <w:tcW w:w="7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$’000</w:t>
            </w:r>
          </w:p>
        </w:tc>
        <w:tc>
          <w:tcPr>
            <w:tcW w:w="7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$’000</w:t>
            </w:r>
          </w:p>
        </w:tc>
        <w:tc>
          <w:tcPr>
            <w:tcW w:w="7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$’000</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0" w:type="dxa"/>
            <w:vAlign w:val="bottom"/>
          </w:tcPr>
          <w:p>
            <w:pPr>
              <w:spacing w:after="0"/>
              <w:rPr>
                <w:sz w:val="1"/>
                <w:szCs w:val="1"/>
                <w:color w:val="auto"/>
              </w:rPr>
            </w:pPr>
          </w:p>
        </w:tc>
      </w:tr>
      <w:tr>
        <w:trPr>
          <w:trHeight w:val="182"/>
        </w:trPr>
        <w:tc>
          <w:tcPr>
            <w:tcW w:w="36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Balance at 1 January 2020</w:t>
            </w:r>
          </w:p>
        </w:tc>
        <w:tc>
          <w:tcPr>
            <w:tcW w:w="128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53,622,206</w:t>
            </w:r>
          </w:p>
        </w:tc>
        <w:tc>
          <w:tcPr>
            <w:tcW w:w="6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4,635</w:t>
            </w: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305,228</w:t>
            </w:r>
          </w:p>
        </w:tc>
        <w:tc>
          <w:tcPr>
            <w:tcW w:w="11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1,052</w:t>
            </w:r>
          </w:p>
        </w:tc>
        <w:tc>
          <w:tcPr>
            <w:tcW w:w="7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128,747</w:t>
            </w:r>
          </w:p>
        </w:tc>
        <w:tc>
          <w:tcPr>
            <w:tcW w:w="7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6,071</w:t>
            </w:r>
          </w:p>
        </w:tc>
        <w:tc>
          <w:tcPr>
            <w:tcW w:w="7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(113,538)</w:t>
            </w:r>
          </w:p>
        </w:tc>
        <w:tc>
          <w:tcPr>
            <w:tcW w:w="7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623,368</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955,563</w:t>
            </w:r>
          </w:p>
        </w:tc>
        <w:tc>
          <w:tcPr>
            <w:tcW w:w="0" w:type="dxa"/>
            <w:vAlign w:val="bottom"/>
          </w:tcPr>
          <w:p>
            <w:pPr>
              <w:spacing w:after="0"/>
              <w:rPr>
                <w:sz w:val="1"/>
                <w:szCs w:val="1"/>
                <w:color w:val="auto"/>
              </w:rPr>
            </w:pPr>
          </w:p>
        </w:tc>
      </w:tr>
      <w:tr>
        <w:trPr>
          <w:trHeight w:val="160"/>
        </w:trPr>
        <w:tc>
          <w:tcPr>
            <w:tcW w:w="36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Total comprehensive income for the year</w:t>
            </w:r>
          </w:p>
        </w:tc>
        <w:tc>
          <w:tcPr>
            <w:tcW w:w="12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680" w:type="dxa"/>
            <w:vAlign w:val="bottom"/>
          </w:tcPr>
          <w:p>
            <w:pPr>
              <w:ind w:left="20"/>
              <w:spacing w:after="0"/>
              <w:rPr>
                <w:sz w:val="20"/>
                <w:szCs w:val="20"/>
                <w:color w:val="auto"/>
              </w:rPr>
            </w:pPr>
            <w:r>
              <w:rPr>
                <w:rFonts w:ascii="Arial" w:cs="Arial" w:eastAsia="Arial" w:hAnsi="Arial"/>
                <w:sz w:val="13"/>
                <w:szCs w:val="13"/>
                <w:color w:val="auto"/>
              </w:rPr>
              <w:t>Profit for the year</w:t>
            </w:r>
          </w:p>
        </w:tc>
        <w:tc>
          <w:tcPr>
            <w:tcW w:w="128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6"/>
              <w:spacing w:after="0"/>
              <w:rPr>
                <w:sz w:val="20"/>
                <w:szCs w:val="20"/>
                <w:color w:val="auto"/>
              </w:rPr>
            </w:pPr>
            <w:r>
              <w:rPr>
                <w:rFonts w:ascii="Arial" w:cs="Arial" w:eastAsia="Arial" w:hAnsi="Arial"/>
                <w:sz w:val="13"/>
                <w:szCs w:val="13"/>
                <w:color w:val="auto"/>
              </w:rPr>
              <w:t>228,691</w:t>
            </w:r>
          </w:p>
        </w:tc>
        <w:tc>
          <w:tcPr>
            <w:tcW w:w="700" w:type="dxa"/>
            <w:vAlign w:val="bottom"/>
          </w:tcPr>
          <w:p>
            <w:pPr>
              <w:jc w:val="right"/>
              <w:spacing w:after="0"/>
              <w:rPr>
                <w:sz w:val="20"/>
                <w:szCs w:val="20"/>
                <w:color w:val="auto"/>
              </w:rPr>
            </w:pPr>
            <w:r>
              <w:rPr>
                <w:rFonts w:ascii="Arial" w:cs="Arial" w:eastAsia="Arial" w:hAnsi="Arial"/>
                <w:sz w:val="13"/>
                <w:szCs w:val="13"/>
                <w:color w:val="auto"/>
              </w:rPr>
              <w:t>228,691</w:t>
            </w:r>
          </w:p>
        </w:tc>
        <w:tc>
          <w:tcPr>
            <w:tcW w:w="0" w:type="dxa"/>
            <w:vAlign w:val="bottom"/>
          </w:tcPr>
          <w:p>
            <w:pPr>
              <w:spacing w:after="0"/>
              <w:rPr>
                <w:sz w:val="1"/>
                <w:szCs w:val="1"/>
                <w:color w:val="auto"/>
              </w:rPr>
            </w:pPr>
          </w:p>
        </w:tc>
      </w:tr>
      <w:tr>
        <w:trPr>
          <w:trHeight w:val="171"/>
        </w:trPr>
        <w:tc>
          <w:tcPr>
            <w:tcW w:w="36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Other comprehensive income</w:t>
            </w:r>
          </w:p>
        </w:tc>
        <w:tc>
          <w:tcPr>
            <w:tcW w:w="1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Foreign currency translation</w:t>
            </w:r>
          </w:p>
        </w:tc>
        <w:tc>
          <w:tcPr>
            <w:tcW w:w="128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150</w:t>
            </w:r>
          </w:p>
        </w:tc>
        <w:tc>
          <w:tcPr>
            <w:tcW w:w="7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150</w:t>
            </w:r>
          </w:p>
        </w:tc>
        <w:tc>
          <w:tcPr>
            <w:tcW w:w="0" w:type="dxa"/>
            <w:vAlign w:val="bottom"/>
          </w:tcPr>
          <w:p>
            <w:pPr>
              <w:spacing w:after="0"/>
              <w:rPr>
                <w:sz w:val="1"/>
                <w:szCs w:val="1"/>
                <w:color w:val="auto"/>
              </w:rPr>
            </w:pPr>
          </w:p>
        </w:tc>
      </w:tr>
      <w:tr>
        <w:trPr>
          <w:trHeight w:val="183"/>
        </w:trPr>
        <w:tc>
          <w:tcPr>
            <w:tcW w:w="36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 other comprehensive income</w:t>
            </w:r>
          </w:p>
        </w:tc>
        <w:tc>
          <w:tcPr>
            <w:tcW w:w="128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150</w:t>
            </w:r>
          </w:p>
        </w:tc>
        <w:tc>
          <w:tcPr>
            <w:tcW w:w="7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228,691</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228,841</w:t>
            </w:r>
          </w:p>
        </w:tc>
        <w:tc>
          <w:tcPr>
            <w:tcW w:w="0" w:type="dxa"/>
            <w:vAlign w:val="bottom"/>
          </w:tcPr>
          <w:p>
            <w:pPr>
              <w:spacing w:after="0"/>
              <w:rPr>
                <w:sz w:val="1"/>
                <w:szCs w:val="1"/>
                <w:color w:val="auto"/>
              </w:rPr>
            </w:pPr>
          </w:p>
        </w:tc>
      </w:tr>
      <w:tr>
        <w:trPr>
          <w:trHeight w:val="183"/>
        </w:trPr>
        <w:tc>
          <w:tcPr>
            <w:tcW w:w="36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 comprehensive income for the year</w:t>
            </w:r>
          </w:p>
        </w:tc>
        <w:tc>
          <w:tcPr>
            <w:tcW w:w="128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150</w:t>
            </w:r>
          </w:p>
        </w:tc>
        <w:tc>
          <w:tcPr>
            <w:tcW w:w="7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228,691</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228,841</w:t>
            </w:r>
          </w:p>
        </w:tc>
        <w:tc>
          <w:tcPr>
            <w:tcW w:w="0" w:type="dxa"/>
            <w:vAlign w:val="bottom"/>
          </w:tcPr>
          <w:p>
            <w:pPr>
              <w:spacing w:after="0"/>
              <w:rPr>
                <w:sz w:val="1"/>
                <w:szCs w:val="1"/>
                <w:color w:val="auto"/>
              </w:rPr>
            </w:pPr>
          </w:p>
        </w:tc>
      </w:tr>
      <w:tr>
        <w:trPr>
          <w:trHeight w:val="162"/>
        </w:trPr>
        <w:tc>
          <w:tcPr>
            <w:tcW w:w="36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Transactions with owners, recorded directly in equity</w:t>
            </w:r>
          </w:p>
        </w:tc>
        <w:tc>
          <w:tcPr>
            <w:tcW w:w="1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680" w:type="dxa"/>
            <w:vAlign w:val="bottom"/>
          </w:tcPr>
          <w:p>
            <w:pPr>
              <w:ind w:left="20"/>
              <w:spacing w:after="0"/>
              <w:rPr>
                <w:sz w:val="20"/>
                <w:szCs w:val="20"/>
                <w:color w:val="auto"/>
              </w:rPr>
            </w:pPr>
            <w:r>
              <w:rPr>
                <w:rFonts w:ascii="Arial" w:cs="Arial" w:eastAsia="Arial" w:hAnsi="Arial"/>
                <w:sz w:val="13"/>
                <w:szCs w:val="13"/>
                <w:color w:val="auto"/>
              </w:rPr>
              <w:t>Share-based payment</w:t>
            </w:r>
          </w:p>
        </w:tc>
        <w:tc>
          <w:tcPr>
            <w:tcW w:w="128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96"/>
              <w:spacing w:after="0"/>
              <w:rPr>
                <w:sz w:val="20"/>
                <w:szCs w:val="20"/>
                <w:color w:val="auto"/>
              </w:rPr>
            </w:pPr>
            <w:r>
              <w:rPr>
                <w:rFonts w:ascii="Arial" w:cs="Arial" w:eastAsia="Arial" w:hAnsi="Arial"/>
                <w:sz w:val="13"/>
                <w:szCs w:val="13"/>
                <w:color w:val="auto"/>
              </w:rPr>
              <w:t>26,307</w:t>
            </w:r>
          </w:p>
        </w:tc>
        <w:tc>
          <w:tcPr>
            <w:tcW w:w="72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26,307</w:t>
            </w:r>
          </w:p>
        </w:tc>
        <w:tc>
          <w:tcPr>
            <w:tcW w:w="0" w:type="dxa"/>
            <w:vAlign w:val="bottom"/>
          </w:tcPr>
          <w:p>
            <w:pPr>
              <w:spacing w:after="0"/>
              <w:rPr>
                <w:sz w:val="1"/>
                <w:szCs w:val="1"/>
                <w:color w:val="auto"/>
              </w:rPr>
            </w:pPr>
          </w:p>
        </w:tc>
      </w:tr>
      <w:tr>
        <w:trPr>
          <w:trHeight w:val="171"/>
        </w:trPr>
        <w:tc>
          <w:tcPr>
            <w:tcW w:w="3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Exercise of share options</w:t>
            </w:r>
          </w:p>
        </w:tc>
        <w:tc>
          <w:tcPr>
            <w:tcW w:w="128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193,417</w:t>
            </w:r>
          </w:p>
        </w:tc>
        <w:tc>
          <w:tcPr>
            <w:tcW w:w="6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13</w:t>
            </w:r>
          </w:p>
        </w:tc>
        <w:tc>
          <w:tcPr>
            <w:tcW w:w="7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13,176</w:t>
            </w:r>
          </w:p>
        </w:tc>
        <w:tc>
          <w:tcPr>
            <w:tcW w:w="11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13,189</w:t>
            </w:r>
          </w:p>
        </w:tc>
        <w:tc>
          <w:tcPr>
            <w:tcW w:w="0" w:type="dxa"/>
            <w:vAlign w:val="bottom"/>
          </w:tcPr>
          <w:p>
            <w:pPr>
              <w:spacing w:after="0"/>
              <w:rPr>
                <w:sz w:val="1"/>
                <w:szCs w:val="1"/>
                <w:color w:val="auto"/>
              </w:rPr>
            </w:pPr>
          </w:p>
        </w:tc>
      </w:tr>
      <w:tr>
        <w:trPr>
          <w:trHeight w:val="169"/>
        </w:trPr>
        <w:tc>
          <w:tcPr>
            <w:tcW w:w="3680" w:type="dxa"/>
            <w:vAlign w:val="bottom"/>
          </w:tcPr>
          <w:p>
            <w:pPr>
              <w:ind w:left="20"/>
              <w:spacing w:after="0"/>
              <w:rPr>
                <w:sz w:val="20"/>
                <w:szCs w:val="20"/>
                <w:color w:val="auto"/>
              </w:rPr>
            </w:pPr>
            <w:r>
              <w:rPr>
                <w:rFonts w:ascii="Arial" w:cs="Arial" w:eastAsia="Arial" w:hAnsi="Arial"/>
                <w:sz w:val="13"/>
                <w:szCs w:val="13"/>
                <w:color w:val="auto"/>
              </w:rPr>
              <w:t>Share issue costs</w:t>
            </w:r>
          </w:p>
        </w:tc>
        <w:tc>
          <w:tcPr>
            <w:tcW w:w="128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(14)</w:t>
            </w:r>
          </w:p>
        </w:tc>
        <w:tc>
          <w:tcPr>
            <w:tcW w:w="700" w:type="dxa"/>
            <w:vAlign w:val="bottom"/>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71"/>
        </w:trPr>
        <w:tc>
          <w:tcPr>
            <w:tcW w:w="3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Issue of restricted share units</w:t>
            </w:r>
          </w:p>
        </w:tc>
        <w:tc>
          <w:tcPr>
            <w:tcW w:w="128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207,688</w:t>
            </w:r>
          </w:p>
        </w:tc>
        <w:tc>
          <w:tcPr>
            <w:tcW w:w="6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14</w:t>
            </w:r>
          </w:p>
        </w:tc>
        <w:tc>
          <w:tcPr>
            <w:tcW w:w="7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69"/>
        </w:trPr>
        <w:tc>
          <w:tcPr>
            <w:tcW w:w="3680" w:type="dxa"/>
            <w:vAlign w:val="bottom"/>
          </w:tcPr>
          <w:p>
            <w:pPr>
              <w:ind w:left="20"/>
              <w:spacing w:after="0"/>
              <w:rPr>
                <w:sz w:val="20"/>
                <w:szCs w:val="20"/>
                <w:color w:val="auto"/>
              </w:rPr>
            </w:pPr>
            <w:r>
              <w:rPr>
                <w:rFonts w:ascii="Arial" w:cs="Arial" w:eastAsia="Arial" w:hAnsi="Arial"/>
                <w:sz w:val="13"/>
                <w:szCs w:val="13"/>
                <w:color w:val="auto"/>
              </w:rPr>
              <w:t>Repurchase of ordinary shares</w:t>
            </w:r>
          </w:p>
        </w:tc>
        <w:tc>
          <w:tcPr>
            <w:tcW w:w="1280" w:type="dxa"/>
            <w:vAlign w:val="bottom"/>
          </w:tcPr>
          <w:p>
            <w:pPr>
              <w:jc w:val="right"/>
              <w:ind w:right="116"/>
              <w:spacing w:after="0"/>
              <w:rPr>
                <w:sz w:val="20"/>
                <w:szCs w:val="20"/>
                <w:color w:val="auto"/>
              </w:rPr>
            </w:pPr>
            <w:r>
              <w:rPr>
                <w:rFonts w:ascii="Arial" w:cs="Arial" w:eastAsia="Arial" w:hAnsi="Arial"/>
                <w:sz w:val="13"/>
                <w:szCs w:val="13"/>
                <w:color w:val="auto"/>
              </w:rPr>
              <w:t>(1,235,218)</w:t>
            </w:r>
          </w:p>
        </w:tc>
        <w:tc>
          <w:tcPr>
            <w:tcW w:w="680" w:type="dxa"/>
            <w:vAlign w:val="bottom"/>
          </w:tcPr>
          <w:p>
            <w:pPr>
              <w:jc w:val="right"/>
              <w:ind w:right="36"/>
              <w:spacing w:after="0"/>
              <w:rPr>
                <w:sz w:val="20"/>
                <w:szCs w:val="20"/>
                <w:color w:val="auto"/>
              </w:rPr>
            </w:pPr>
            <w:r>
              <w:rPr>
                <w:rFonts w:ascii="Arial" w:cs="Arial" w:eastAsia="Arial" w:hAnsi="Arial"/>
                <w:sz w:val="13"/>
                <w:szCs w:val="13"/>
                <w:color w:val="auto"/>
              </w:rPr>
              <w:t>(82)</w:t>
            </w:r>
          </w:p>
        </w:tc>
        <w:tc>
          <w:tcPr>
            <w:tcW w:w="76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96"/>
              <w:spacing w:after="0"/>
              <w:rPr>
                <w:sz w:val="20"/>
                <w:szCs w:val="20"/>
                <w:color w:val="auto"/>
              </w:rPr>
            </w:pPr>
            <w:r>
              <w:rPr>
                <w:rFonts w:ascii="Arial" w:cs="Arial" w:eastAsia="Arial" w:hAnsi="Arial"/>
                <w:sz w:val="13"/>
                <w:szCs w:val="13"/>
                <w:color w:val="auto"/>
              </w:rPr>
              <w:t>82</w:t>
            </w:r>
          </w:p>
        </w:tc>
        <w:tc>
          <w:tcPr>
            <w:tcW w:w="76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(175,000)</w:t>
            </w:r>
          </w:p>
        </w:tc>
        <w:tc>
          <w:tcPr>
            <w:tcW w:w="700" w:type="dxa"/>
            <w:vAlign w:val="bottom"/>
          </w:tcPr>
          <w:p>
            <w:pPr>
              <w:jc w:val="right"/>
              <w:spacing w:after="0"/>
              <w:rPr>
                <w:sz w:val="20"/>
                <w:szCs w:val="20"/>
                <w:color w:val="auto"/>
              </w:rPr>
            </w:pPr>
            <w:r>
              <w:rPr>
                <w:rFonts w:ascii="Arial" w:cs="Arial" w:eastAsia="Arial" w:hAnsi="Arial"/>
                <w:sz w:val="13"/>
                <w:szCs w:val="13"/>
                <w:color w:val="auto"/>
              </w:rPr>
              <w:t>(175,000)</w:t>
            </w:r>
          </w:p>
        </w:tc>
        <w:tc>
          <w:tcPr>
            <w:tcW w:w="0" w:type="dxa"/>
            <w:vAlign w:val="bottom"/>
          </w:tcPr>
          <w:p>
            <w:pPr>
              <w:spacing w:after="0"/>
              <w:rPr>
                <w:sz w:val="1"/>
                <w:szCs w:val="1"/>
                <w:color w:val="auto"/>
              </w:rPr>
            </w:pPr>
          </w:p>
        </w:tc>
      </w:tr>
      <w:tr>
        <w:trPr>
          <w:trHeight w:val="171"/>
        </w:trPr>
        <w:tc>
          <w:tcPr>
            <w:tcW w:w="3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 repurchase costs</w:t>
            </w:r>
          </w:p>
        </w:tc>
        <w:tc>
          <w:tcPr>
            <w:tcW w:w="128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(140)</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w:t>
            </w:r>
          </w:p>
        </w:tc>
        <w:tc>
          <w:tcPr>
            <w:tcW w:w="0" w:type="dxa"/>
            <w:vAlign w:val="bottom"/>
          </w:tcPr>
          <w:p>
            <w:pPr>
              <w:spacing w:after="0"/>
              <w:rPr>
                <w:sz w:val="1"/>
                <w:szCs w:val="1"/>
                <w:color w:val="auto"/>
              </w:rPr>
            </w:pPr>
          </w:p>
        </w:tc>
      </w:tr>
      <w:tr>
        <w:trPr>
          <w:trHeight w:val="169"/>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Transfer of exercised and expired share-based awards</w:t>
            </w:r>
          </w:p>
        </w:tc>
        <w:tc>
          <w:tcPr>
            <w:tcW w:w="128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(23,497)</w:t>
            </w:r>
          </w:p>
        </w:tc>
        <w:tc>
          <w:tcPr>
            <w:tcW w:w="7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23,497</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36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 contributions by and distributions to owners</w:t>
            </w:r>
          </w:p>
        </w:tc>
        <w:tc>
          <w:tcPr>
            <w:tcW w:w="12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(834,113)</w:t>
            </w: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(55)</w:t>
            </w: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13,176</w:t>
            </w:r>
          </w:p>
        </w:tc>
        <w:tc>
          <w:tcPr>
            <w:tcW w:w="11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82</w:t>
            </w:r>
          </w:p>
        </w:tc>
        <w:tc>
          <w:tcPr>
            <w:tcW w:w="7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2,810</w:t>
            </w:r>
          </w:p>
        </w:tc>
        <w:tc>
          <w:tcPr>
            <w:tcW w:w="7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(151,657)</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(135,644)</w:t>
            </w:r>
          </w:p>
        </w:tc>
        <w:tc>
          <w:tcPr>
            <w:tcW w:w="0" w:type="dxa"/>
            <w:vAlign w:val="bottom"/>
          </w:tcPr>
          <w:p>
            <w:pPr>
              <w:spacing w:after="0"/>
              <w:rPr>
                <w:sz w:val="1"/>
                <w:szCs w:val="1"/>
                <w:color w:val="auto"/>
              </w:rPr>
            </w:pPr>
          </w:p>
        </w:tc>
      </w:tr>
      <w:tr>
        <w:trPr>
          <w:trHeight w:val="183"/>
        </w:trPr>
        <w:tc>
          <w:tcPr>
            <w:tcW w:w="36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Balance at 31 December 2020</w:t>
            </w:r>
          </w:p>
        </w:tc>
        <w:tc>
          <w:tcPr>
            <w:tcW w:w="128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52,788,093</w:t>
            </w:r>
          </w:p>
        </w:tc>
        <w:tc>
          <w:tcPr>
            <w:tcW w:w="6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4,580</w:t>
            </w: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318,404</w:t>
            </w:r>
          </w:p>
        </w:tc>
        <w:tc>
          <w:tcPr>
            <w:tcW w:w="11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1,134</w:t>
            </w:r>
          </w:p>
        </w:tc>
        <w:tc>
          <w:tcPr>
            <w:tcW w:w="7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131,557</w:t>
            </w:r>
          </w:p>
        </w:tc>
        <w:tc>
          <w:tcPr>
            <w:tcW w:w="7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6,071</w:t>
            </w:r>
          </w:p>
        </w:tc>
        <w:tc>
          <w:tcPr>
            <w:tcW w:w="7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(113,388)</w:t>
            </w:r>
          </w:p>
        </w:tc>
        <w:tc>
          <w:tcPr>
            <w:tcW w:w="7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700,402</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1,048,760</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line="303" w:lineRule="auto"/>
        <w:rPr>
          <w:sz w:val="20"/>
          <w:szCs w:val="20"/>
          <w:color w:val="auto"/>
        </w:rPr>
      </w:pPr>
      <w:r>
        <w:rPr>
          <w:rFonts w:ascii="Arial" w:cs="Arial" w:eastAsia="Arial" w:hAnsi="Arial"/>
          <w:sz w:val="11"/>
          <w:szCs w:val="11"/>
          <w:i w:val="1"/>
          <w:iCs w:val="1"/>
          <w:color w:val="auto"/>
        </w:rPr>
        <w:t>As permitted by section 504 of the Companies Act , the Company has not presented a Company Statement of Profit and Loss. The profit for the 2020 financial year of the Company amounted to $228,691,000 (2019: profit $274,048,000).</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140</w:t>
      </w:r>
    </w:p>
    <w:p>
      <w:pPr>
        <w:sectPr>
          <w:pgSz w:w="11900" w:h="16838" w:orient="portrait"/>
          <w:cols w:equalWidth="0" w:num="1">
            <w:col w:w="11280"/>
          </w:cols>
          <w:pgMar w:left="300" w:top="888" w:right="31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color w:val="auto"/>
        </w:rPr>
        <w:t>Company Statement of Cash Flows</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40" w:type="dxa"/>
            <w:vAlign w:val="bottom"/>
            <w:shd w:val="clear" w:color="auto" w:fill="CCEEFF"/>
          </w:tcPr>
          <w:p>
            <w:pPr>
              <w:spacing w:after="0"/>
              <w:rPr>
                <w:sz w:val="13"/>
                <w:szCs w:val="13"/>
                <w:color w:val="auto"/>
              </w:rPr>
            </w:pPr>
          </w:p>
        </w:tc>
        <w:tc>
          <w:tcPr>
            <w:tcW w:w="2460" w:type="dxa"/>
            <w:vAlign w:val="bottom"/>
            <w:vMerge w:val="restart"/>
            <w:shd w:val="clear" w:color="auto" w:fill="CCEEFF"/>
          </w:tcPr>
          <w:p>
            <w:pPr>
              <w:jc w:val="center"/>
              <w:ind w:left="1596"/>
              <w:spacing w:after="0"/>
              <w:rPr>
                <w:sz w:val="20"/>
                <w:szCs w:val="20"/>
                <w:color w:val="auto"/>
              </w:rPr>
            </w:pPr>
            <w:r>
              <w:rPr>
                <w:rFonts w:ascii="Arial" w:cs="Arial" w:eastAsia="Arial" w:hAnsi="Arial"/>
                <w:sz w:val="13"/>
                <w:szCs w:val="13"/>
                <w:b w:val="1"/>
                <w:bCs w:val="1"/>
                <w:i w:val="1"/>
                <w:iCs w:val="1"/>
                <w:color w:val="auto"/>
                <w:w w:val="96"/>
              </w:rPr>
              <w:t>Note</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 xml:space="preserve">Year ended 31 </w:t>
            </w:r>
            <w:r>
              <w:rPr>
                <w:rFonts w:ascii="Arial" w:cs="Arial" w:eastAsia="Arial" w:hAnsi="Arial"/>
                <w:sz w:val="13"/>
                <w:szCs w:val="13"/>
                <w:color w:val="auto"/>
              </w:rPr>
              <w:t>Year ended 31 December</w:t>
            </w:r>
          </w:p>
        </w:tc>
        <w:tc>
          <w:tcPr>
            <w:tcW w:w="0" w:type="dxa"/>
            <w:vAlign w:val="bottom"/>
          </w:tcPr>
          <w:p>
            <w:pPr>
              <w:spacing w:after="0"/>
              <w:rPr>
                <w:sz w:val="1"/>
                <w:szCs w:val="1"/>
                <w:color w:val="auto"/>
              </w:rPr>
            </w:pPr>
          </w:p>
        </w:tc>
      </w:tr>
      <w:tr>
        <w:trPr>
          <w:trHeight w:val="127"/>
        </w:trPr>
        <w:tc>
          <w:tcPr>
            <w:tcW w:w="5840" w:type="dxa"/>
            <w:vAlign w:val="bottom"/>
            <w:shd w:val="clear" w:color="auto" w:fill="CCEEFF"/>
          </w:tcPr>
          <w:p>
            <w:pPr>
              <w:spacing w:after="0"/>
              <w:rPr>
                <w:sz w:val="11"/>
                <w:szCs w:val="11"/>
                <w:color w:val="auto"/>
              </w:rPr>
            </w:pPr>
          </w:p>
        </w:tc>
        <w:tc>
          <w:tcPr>
            <w:tcW w:w="2460" w:type="dxa"/>
            <w:vAlign w:val="bottom"/>
            <w:vMerge w:val="continue"/>
            <w:shd w:val="clear" w:color="auto" w:fill="CCEEFF"/>
          </w:tcPr>
          <w:p>
            <w:pPr>
              <w:spacing w:after="0"/>
              <w:rPr>
                <w:sz w:val="11"/>
                <w:szCs w:val="11"/>
                <w:color w:val="auto"/>
              </w:rPr>
            </w:pPr>
          </w:p>
        </w:tc>
        <w:tc>
          <w:tcPr>
            <w:tcW w:w="1940" w:type="dxa"/>
            <w:vAlign w:val="bottom"/>
            <w:shd w:val="clear" w:color="auto" w:fill="CCEEFF"/>
          </w:tcPr>
          <w:p>
            <w:pPr>
              <w:jc w:val="right"/>
              <w:ind w:right="396"/>
              <w:spacing w:after="0" w:line="128" w:lineRule="exact"/>
              <w:rPr>
                <w:sz w:val="20"/>
                <w:szCs w:val="20"/>
                <w:color w:val="auto"/>
              </w:rPr>
            </w:pPr>
            <w:r>
              <w:rPr>
                <w:rFonts w:ascii="Arial" w:cs="Arial" w:eastAsia="Arial" w:hAnsi="Arial"/>
                <w:sz w:val="13"/>
                <w:szCs w:val="13"/>
                <w:b w:val="1"/>
                <w:bCs w:val="1"/>
                <w:color w:val="auto"/>
              </w:rPr>
              <w:t>December</w:t>
            </w:r>
          </w:p>
        </w:tc>
        <w:tc>
          <w:tcPr>
            <w:tcW w:w="104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2020</w:t>
            </w:r>
          </w:p>
        </w:tc>
        <w:tc>
          <w:tcPr>
            <w:tcW w:w="0" w:type="dxa"/>
            <w:vAlign w:val="bottom"/>
          </w:tcPr>
          <w:p>
            <w:pPr>
              <w:spacing w:after="0"/>
              <w:rPr>
                <w:sz w:val="1"/>
                <w:szCs w:val="1"/>
                <w:color w:val="auto"/>
              </w:rPr>
            </w:pPr>
          </w:p>
        </w:tc>
      </w:tr>
      <w:tr>
        <w:trPr>
          <w:trHeight w:val="170"/>
        </w:trPr>
        <w:tc>
          <w:tcPr>
            <w:tcW w:w="584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194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b w:val="1"/>
                <w:bCs w:val="1"/>
                <w:color w:val="auto"/>
              </w:rPr>
              <w:t>2021</w:t>
            </w:r>
          </w:p>
        </w:tc>
        <w:tc>
          <w:tcPr>
            <w:tcW w:w="104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84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$’000</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$’000</w:t>
            </w:r>
          </w:p>
        </w:tc>
        <w:tc>
          <w:tcPr>
            <w:tcW w:w="0" w:type="dxa"/>
            <w:vAlign w:val="bottom"/>
          </w:tcPr>
          <w:p>
            <w:pPr>
              <w:spacing w:after="0"/>
              <w:rPr>
                <w:sz w:val="1"/>
                <w:szCs w:val="1"/>
                <w:color w:val="auto"/>
              </w:rPr>
            </w:pPr>
          </w:p>
        </w:tc>
      </w:tr>
      <w:tr>
        <w:trPr>
          <w:trHeight w:val="182"/>
        </w:trPr>
        <w:tc>
          <w:tcPr>
            <w:tcW w:w="584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5840" w:type="dxa"/>
            <w:vAlign w:val="bottom"/>
          </w:tcPr>
          <w:p>
            <w:pPr>
              <w:ind w:left="20"/>
              <w:spacing w:after="0"/>
              <w:rPr>
                <w:sz w:val="20"/>
                <w:szCs w:val="20"/>
                <w:color w:val="auto"/>
              </w:rPr>
            </w:pPr>
            <w:r>
              <w:rPr>
                <w:rFonts w:ascii="Arial" w:cs="Arial" w:eastAsia="Arial" w:hAnsi="Arial"/>
                <w:sz w:val="13"/>
                <w:szCs w:val="13"/>
                <w:b w:val="1"/>
                <w:bCs w:val="1"/>
                <w:color w:val="auto"/>
              </w:rPr>
              <w:t>Profit for the financial year</w:t>
            </w:r>
          </w:p>
        </w:tc>
        <w:tc>
          <w:tcPr>
            <w:tcW w:w="2460" w:type="dxa"/>
            <w:vAlign w:val="bottom"/>
          </w:tcPr>
          <w:p>
            <w:pPr>
              <w:spacing w:after="0"/>
              <w:rPr>
                <w:sz w:val="14"/>
                <w:szCs w:val="14"/>
                <w:color w:val="auto"/>
              </w:rPr>
            </w:pPr>
          </w:p>
        </w:tc>
        <w:tc>
          <w:tcPr>
            <w:tcW w:w="1940" w:type="dxa"/>
            <w:vAlign w:val="bottom"/>
          </w:tcPr>
          <w:p>
            <w:pPr>
              <w:jc w:val="right"/>
              <w:ind w:right="436"/>
              <w:spacing w:after="0"/>
              <w:rPr>
                <w:sz w:val="20"/>
                <w:szCs w:val="20"/>
                <w:color w:val="auto"/>
              </w:rPr>
            </w:pPr>
            <w:r>
              <w:rPr>
                <w:rFonts w:ascii="Arial" w:cs="Arial" w:eastAsia="Arial" w:hAnsi="Arial"/>
                <w:sz w:val="13"/>
                <w:szCs w:val="13"/>
                <w:b w:val="1"/>
                <w:bCs w:val="1"/>
                <w:color w:val="auto"/>
              </w:rPr>
              <w:t>35,945</w:t>
            </w:r>
          </w:p>
        </w:tc>
        <w:tc>
          <w:tcPr>
            <w:tcW w:w="1040" w:type="dxa"/>
            <w:vAlign w:val="bottom"/>
          </w:tcPr>
          <w:p>
            <w:pPr>
              <w:jc w:val="right"/>
              <w:spacing w:after="0"/>
              <w:rPr>
                <w:sz w:val="20"/>
                <w:szCs w:val="20"/>
                <w:color w:val="auto"/>
              </w:rPr>
            </w:pPr>
            <w:r>
              <w:rPr>
                <w:rFonts w:ascii="Arial" w:cs="Arial" w:eastAsia="Arial" w:hAnsi="Arial"/>
                <w:sz w:val="13"/>
                <w:szCs w:val="13"/>
                <w:color w:val="auto"/>
              </w:rPr>
              <w:t>228,691</w:t>
            </w:r>
          </w:p>
        </w:tc>
        <w:tc>
          <w:tcPr>
            <w:tcW w:w="0" w:type="dxa"/>
            <w:vAlign w:val="bottom"/>
          </w:tcPr>
          <w:p>
            <w:pPr>
              <w:spacing w:after="0"/>
              <w:rPr>
                <w:sz w:val="1"/>
                <w:szCs w:val="1"/>
                <w:color w:val="auto"/>
              </w:rPr>
            </w:pPr>
          </w:p>
        </w:tc>
      </w:tr>
      <w:tr>
        <w:trPr>
          <w:trHeight w:val="127"/>
        </w:trPr>
        <w:tc>
          <w:tcPr>
            <w:tcW w:w="584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b w:val="1"/>
                <w:bCs w:val="1"/>
                <w:color w:val="auto"/>
              </w:rPr>
              <w:t>Adjustments to reconcile net income to net cash generated from</w:t>
            </w:r>
          </w:p>
        </w:tc>
        <w:tc>
          <w:tcPr>
            <w:tcW w:w="246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58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operating activities</w:t>
            </w:r>
          </w:p>
        </w:tc>
        <w:tc>
          <w:tcPr>
            <w:tcW w:w="246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840" w:type="dxa"/>
            <w:vAlign w:val="bottom"/>
          </w:tcPr>
          <w:p>
            <w:pPr>
              <w:ind w:left="20"/>
              <w:spacing w:after="0"/>
              <w:rPr>
                <w:sz w:val="20"/>
                <w:szCs w:val="20"/>
                <w:color w:val="auto"/>
              </w:rPr>
            </w:pPr>
            <w:r>
              <w:rPr>
                <w:rFonts w:ascii="Arial" w:cs="Arial" w:eastAsia="Arial" w:hAnsi="Arial"/>
                <w:sz w:val="13"/>
                <w:szCs w:val="13"/>
                <w:color w:val="auto"/>
              </w:rPr>
              <w:t>Depreciation of property, plant and equipment</w:t>
            </w:r>
          </w:p>
        </w:tc>
        <w:tc>
          <w:tcPr>
            <w:tcW w:w="2460" w:type="dxa"/>
            <w:vAlign w:val="bottom"/>
          </w:tcPr>
          <w:p>
            <w:pPr>
              <w:jc w:val="center"/>
              <w:ind w:left="1576"/>
              <w:spacing w:after="0"/>
              <w:rPr>
                <w:sz w:val="20"/>
                <w:szCs w:val="20"/>
                <w:color w:val="auto"/>
              </w:rPr>
            </w:pPr>
            <w:r>
              <w:rPr>
                <w:rFonts w:ascii="Arial" w:cs="Arial" w:eastAsia="Arial" w:hAnsi="Arial"/>
                <w:sz w:val="13"/>
                <w:szCs w:val="13"/>
                <w:i w:val="1"/>
                <w:iCs w:val="1"/>
                <w:color w:val="auto"/>
                <w:w w:val="82"/>
              </w:rPr>
              <w:t>1</w:t>
            </w:r>
          </w:p>
        </w:tc>
        <w:tc>
          <w:tcPr>
            <w:tcW w:w="1940" w:type="dxa"/>
            <w:vAlign w:val="bottom"/>
          </w:tcPr>
          <w:p>
            <w:pPr>
              <w:jc w:val="right"/>
              <w:ind w:right="436"/>
              <w:spacing w:after="0"/>
              <w:rPr>
                <w:sz w:val="20"/>
                <w:szCs w:val="20"/>
                <w:color w:val="auto"/>
              </w:rPr>
            </w:pPr>
            <w:r>
              <w:rPr>
                <w:rFonts w:ascii="Arial" w:cs="Arial" w:eastAsia="Arial" w:hAnsi="Arial"/>
                <w:sz w:val="13"/>
                <w:szCs w:val="13"/>
                <w:b w:val="1"/>
                <w:bCs w:val="1"/>
                <w:color w:val="auto"/>
              </w:rPr>
              <w:t>123</w:t>
            </w:r>
          </w:p>
        </w:tc>
        <w:tc>
          <w:tcPr>
            <w:tcW w:w="1040" w:type="dxa"/>
            <w:vAlign w:val="bottom"/>
          </w:tcPr>
          <w:p>
            <w:pPr>
              <w:jc w:val="right"/>
              <w:spacing w:after="0"/>
              <w:rPr>
                <w:sz w:val="20"/>
                <w:szCs w:val="20"/>
                <w:color w:val="auto"/>
              </w:rPr>
            </w:pPr>
            <w:r>
              <w:rPr>
                <w:rFonts w:ascii="Arial" w:cs="Arial" w:eastAsia="Arial" w:hAnsi="Arial"/>
                <w:sz w:val="13"/>
                <w:szCs w:val="13"/>
                <w:color w:val="auto"/>
              </w:rPr>
              <w:t>137</w:t>
            </w:r>
          </w:p>
        </w:tc>
        <w:tc>
          <w:tcPr>
            <w:tcW w:w="0" w:type="dxa"/>
            <w:vAlign w:val="bottom"/>
          </w:tcPr>
          <w:p>
            <w:pPr>
              <w:spacing w:after="0"/>
              <w:rPr>
                <w:sz w:val="1"/>
                <w:szCs w:val="1"/>
                <w:color w:val="auto"/>
              </w:rPr>
            </w:pPr>
          </w:p>
        </w:tc>
      </w:tr>
      <w:tr>
        <w:trPr>
          <w:trHeight w:val="170"/>
        </w:trPr>
        <w:tc>
          <w:tcPr>
            <w:tcW w:w="5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of right-of-use assets</w:t>
            </w:r>
          </w:p>
        </w:tc>
        <w:tc>
          <w:tcPr>
            <w:tcW w:w="2460" w:type="dxa"/>
            <w:vAlign w:val="bottom"/>
            <w:shd w:val="clear" w:color="auto" w:fill="CCEEFF"/>
          </w:tcPr>
          <w:p>
            <w:pPr>
              <w:jc w:val="center"/>
              <w:ind w:left="1576"/>
              <w:spacing w:after="0"/>
              <w:rPr>
                <w:sz w:val="20"/>
                <w:szCs w:val="20"/>
                <w:color w:val="auto"/>
              </w:rPr>
            </w:pPr>
            <w:r>
              <w:rPr>
                <w:rFonts w:ascii="Arial" w:cs="Arial" w:eastAsia="Arial" w:hAnsi="Arial"/>
                <w:sz w:val="13"/>
                <w:szCs w:val="13"/>
                <w:i w:val="1"/>
                <w:iCs w:val="1"/>
                <w:color w:val="auto"/>
                <w:w w:val="82"/>
              </w:rPr>
              <w:t>9</w:t>
            </w:r>
          </w:p>
        </w:tc>
        <w:tc>
          <w:tcPr>
            <w:tcW w:w="1940" w:type="dxa"/>
            <w:vAlign w:val="bottom"/>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1,317</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1,547</w:t>
            </w:r>
          </w:p>
        </w:tc>
        <w:tc>
          <w:tcPr>
            <w:tcW w:w="0" w:type="dxa"/>
            <w:vAlign w:val="bottom"/>
          </w:tcPr>
          <w:p>
            <w:pPr>
              <w:spacing w:after="0"/>
              <w:rPr>
                <w:sz w:val="1"/>
                <w:szCs w:val="1"/>
                <w:color w:val="auto"/>
              </w:rPr>
            </w:pPr>
          </w:p>
        </w:tc>
      </w:tr>
      <w:tr>
        <w:trPr>
          <w:trHeight w:val="170"/>
        </w:trPr>
        <w:tc>
          <w:tcPr>
            <w:tcW w:w="5840" w:type="dxa"/>
            <w:vAlign w:val="bottom"/>
          </w:tcPr>
          <w:p>
            <w:pPr>
              <w:ind w:left="20"/>
              <w:spacing w:after="0"/>
              <w:rPr>
                <w:sz w:val="20"/>
                <w:szCs w:val="20"/>
                <w:color w:val="auto"/>
              </w:rPr>
            </w:pPr>
            <w:r>
              <w:rPr>
                <w:rFonts w:ascii="Arial" w:cs="Arial" w:eastAsia="Arial" w:hAnsi="Arial"/>
                <w:sz w:val="13"/>
                <w:szCs w:val="13"/>
                <w:color w:val="auto"/>
              </w:rPr>
              <w:t>Amortisation of intangible assets</w:t>
            </w:r>
          </w:p>
        </w:tc>
        <w:tc>
          <w:tcPr>
            <w:tcW w:w="2460" w:type="dxa"/>
            <w:vAlign w:val="bottom"/>
          </w:tcPr>
          <w:p>
            <w:pPr>
              <w:jc w:val="center"/>
              <w:ind w:left="1576"/>
              <w:spacing w:after="0"/>
              <w:rPr>
                <w:sz w:val="20"/>
                <w:szCs w:val="20"/>
                <w:color w:val="auto"/>
              </w:rPr>
            </w:pPr>
            <w:r>
              <w:rPr>
                <w:rFonts w:ascii="Arial" w:cs="Arial" w:eastAsia="Arial" w:hAnsi="Arial"/>
                <w:sz w:val="13"/>
                <w:szCs w:val="13"/>
                <w:i w:val="1"/>
                <w:iCs w:val="1"/>
                <w:color w:val="auto"/>
                <w:w w:val="82"/>
              </w:rPr>
              <w:t>2</w:t>
            </w:r>
          </w:p>
        </w:tc>
        <w:tc>
          <w:tcPr>
            <w:tcW w:w="1940" w:type="dxa"/>
            <w:vAlign w:val="bottom"/>
          </w:tcPr>
          <w:p>
            <w:pPr>
              <w:jc w:val="right"/>
              <w:ind w:right="436"/>
              <w:spacing w:after="0"/>
              <w:rPr>
                <w:sz w:val="20"/>
                <w:szCs w:val="20"/>
                <w:color w:val="auto"/>
              </w:rPr>
            </w:pPr>
            <w:r>
              <w:rPr>
                <w:rFonts w:ascii="Arial" w:cs="Arial" w:eastAsia="Arial" w:hAnsi="Arial"/>
                <w:sz w:val="13"/>
                <w:szCs w:val="13"/>
                <w:b w:val="1"/>
                <w:bCs w:val="1"/>
                <w:color w:val="auto"/>
              </w:rPr>
              <w:t>29</w:t>
            </w:r>
          </w:p>
        </w:tc>
        <w:tc>
          <w:tcPr>
            <w:tcW w:w="1040" w:type="dxa"/>
            <w:vAlign w:val="bottom"/>
          </w:tcPr>
          <w:p>
            <w:pPr>
              <w:jc w:val="right"/>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180"/>
        </w:trPr>
        <w:tc>
          <w:tcPr>
            <w:tcW w:w="5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Impairment of subsidiary undertakings</w:t>
            </w:r>
          </w:p>
        </w:tc>
        <w:tc>
          <w:tcPr>
            <w:tcW w:w="2460" w:type="dxa"/>
            <w:vAlign w:val="bottom"/>
            <w:shd w:val="clear" w:color="auto" w:fill="CCEEFF"/>
          </w:tcPr>
          <w:p>
            <w:pPr>
              <w:jc w:val="center"/>
              <w:ind w:left="1576"/>
              <w:spacing w:after="0"/>
              <w:rPr>
                <w:sz w:val="20"/>
                <w:szCs w:val="20"/>
                <w:color w:val="auto"/>
              </w:rPr>
            </w:pPr>
            <w:r>
              <w:rPr>
                <w:rFonts w:ascii="Arial" w:cs="Arial" w:eastAsia="Arial" w:hAnsi="Arial"/>
                <w:sz w:val="13"/>
                <w:szCs w:val="13"/>
                <w:i w:val="1"/>
                <w:iCs w:val="1"/>
                <w:color w:val="auto"/>
                <w:w w:val="82"/>
              </w:rPr>
              <w:t>3</w:t>
            </w:r>
          </w:p>
        </w:tc>
        <w:tc>
          <w:tcPr>
            <w:tcW w:w="1940" w:type="dxa"/>
            <w:vAlign w:val="bottom"/>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86</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0"/>
        </w:trPr>
        <w:tc>
          <w:tcPr>
            <w:tcW w:w="5840" w:type="dxa"/>
            <w:vAlign w:val="bottom"/>
          </w:tcPr>
          <w:p>
            <w:pPr>
              <w:ind w:left="20"/>
              <w:spacing w:after="0"/>
              <w:rPr>
                <w:sz w:val="20"/>
                <w:szCs w:val="20"/>
                <w:color w:val="auto"/>
              </w:rPr>
            </w:pPr>
            <w:r>
              <w:rPr>
                <w:rFonts w:ascii="Arial" w:cs="Arial" w:eastAsia="Arial" w:hAnsi="Arial"/>
                <w:sz w:val="13"/>
                <w:szCs w:val="13"/>
                <w:color w:val="auto"/>
              </w:rPr>
              <w:t>Interest on lease liabilities</w:t>
            </w:r>
          </w:p>
        </w:tc>
        <w:tc>
          <w:tcPr>
            <w:tcW w:w="2460" w:type="dxa"/>
            <w:vAlign w:val="bottom"/>
          </w:tcPr>
          <w:p>
            <w:pPr>
              <w:jc w:val="center"/>
              <w:ind w:left="1576"/>
              <w:spacing w:after="0"/>
              <w:rPr>
                <w:sz w:val="20"/>
                <w:szCs w:val="20"/>
                <w:color w:val="auto"/>
              </w:rPr>
            </w:pPr>
            <w:r>
              <w:rPr>
                <w:rFonts w:ascii="Arial" w:cs="Arial" w:eastAsia="Arial" w:hAnsi="Arial"/>
                <w:sz w:val="13"/>
                <w:szCs w:val="13"/>
                <w:i w:val="1"/>
                <w:iCs w:val="1"/>
                <w:color w:val="auto"/>
                <w:w w:val="82"/>
              </w:rPr>
              <w:t>9</w:t>
            </w:r>
          </w:p>
        </w:tc>
        <w:tc>
          <w:tcPr>
            <w:tcW w:w="1940" w:type="dxa"/>
            <w:vAlign w:val="bottom"/>
          </w:tcPr>
          <w:p>
            <w:pPr>
              <w:jc w:val="right"/>
              <w:ind w:right="436"/>
              <w:spacing w:after="0"/>
              <w:rPr>
                <w:sz w:val="20"/>
                <w:szCs w:val="20"/>
                <w:color w:val="auto"/>
              </w:rPr>
            </w:pPr>
            <w:r>
              <w:rPr>
                <w:rFonts w:ascii="Arial" w:cs="Arial" w:eastAsia="Arial" w:hAnsi="Arial"/>
                <w:sz w:val="13"/>
                <w:szCs w:val="13"/>
                <w:b w:val="1"/>
                <w:bCs w:val="1"/>
                <w:color w:val="auto"/>
              </w:rPr>
              <w:t>17</w:t>
            </w:r>
          </w:p>
        </w:tc>
        <w:tc>
          <w:tcPr>
            <w:tcW w:w="1040" w:type="dxa"/>
            <w:vAlign w:val="bottom"/>
          </w:tcPr>
          <w:p>
            <w:pPr>
              <w:jc w:val="right"/>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70"/>
        </w:trPr>
        <w:tc>
          <w:tcPr>
            <w:tcW w:w="5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Share-based payment</w:t>
            </w:r>
          </w:p>
        </w:tc>
        <w:tc>
          <w:tcPr>
            <w:tcW w:w="2460" w:type="dxa"/>
            <w:vAlign w:val="bottom"/>
            <w:tcBorders>
              <w:bottom w:val="single" w:sz="8" w:color="auto"/>
            </w:tcBorders>
            <w:shd w:val="clear" w:color="auto" w:fill="CCEEFF"/>
          </w:tcPr>
          <w:p>
            <w:pPr>
              <w:spacing w:after="0"/>
              <w:rPr>
                <w:sz w:val="14"/>
                <w:szCs w:val="14"/>
                <w:color w:val="auto"/>
              </w:rPr>
            </w:pPr>
          </w:p>
        </w:tc>
        <w:tc>
          <w:tcPr>
            <w:tcW w:w="194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5,212</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5,537</w:t>
            </w:r>
          </w:p>
        </w:tc>
        <w:tc>
          <w:tcPr>
            <w:tcW w:w="0" w:type="dxa"/>
            <w:vAlign w:val="bottom"/>
          </w:tcPr>
          <w:p>
            <w:pPr>
              <w:spacing w:after="0"/>
              <w:rPr>
                <w:sz w:val="1"/>
                <w:szCs w:val="1"/>
                <w:color w:val="auto"/>
              </w:rPr>
            </w:pPr>
          </w:p>
        </w:tc>
      </w:tr>
      <w:tr>
        <w:trPr>
          <w:trHeight w:val="160"/>
        </w:trPr>
        <w:tc>
          <w:tcPr>
            <w:tcW w:w="58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Operating cash inflow before changes in working capital</w:t>
            </w:r>
          </w:p>
        </w:tc>
        <w:tc>
          <w:tcPr>
            <w:tcW w:w="246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42,729</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235,961</w:t>
            </w:r>
          </w:p>
        </w:tc>
        <w:tc>
          <w:tcPr>
            <w:tcW w:w="0" w:type="dxa"/>
            <w:vAlign w:val="bottom"/>
          </w:tcPr>
          <w:p>
            <w:pPr>
              <w:spacing w:after="0"/>
              <w:rPr>
                <w:sz w:val="1"/>
                <w:szCs w:val="1"/>
                <w:color w:val="auto"/>
              </w:rPr>
            </w:pPr>
          </w:p>
        </w:tc>
      </w:tr>
      <w:tr>
        <w:trPr>
          <w:trHeight w:val="160"/>
        </w:trPr>
        <w:tc>
          <w:tcPr>
            <w:tcW w:w="5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Decrease in other current assets</w:t>
            </w:r>
          </w:p>
        </w:tc>
        <w:tc>
          <w:tcPr>
            <w:tcW w:w="2460" w:type="dxa"/>
            <w:vAlign w:val="bottom"/>
            <w:shd w:val="clear" w:color="auto" w:fill="CCEEFF"/>
          </w:tcPr>
          <w:p>
            <w:pPr>
              <w:spacing w:after="0"/>
              <w:rPr>
                <w:sz w:val="13"/>
                <w:szCs w:val="13"/>
                <w:color w:val="auto"/>
              </w:rPr>
            </w:pPr>
          </w:p>
        </w:tc>
        <w:tc>
          <w:tcPr>
            <w:tcW w:w="1940" w:type="dxa"/>
            <w:vAlign w:val="bottom"/>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195</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285</w:t>
            </w:r>
          </w:p>
        </w:tc>
        <w:tc>
          <w:tcPr>
            <w:tcW w:w="0" w:type="dxa"/>
            <w:vAlign w:val="bottom"/>
          </w:tcPr>
          <w:p>
            <w:pPr>
              <w:spacing w:after="0"/>
              <w:rPr>
                <w:sz w:val="1"/>
                <w:szCs w:val="1"/>
                <w:color w:val="auto"/>
              </w:rPr>
            </w:pPr>
          </w:p>
        </w:tc>
      </w:tr>
      <w:tr>
        <w:trPr>
          <w:trHeight w:val="170"/>
        </w:trPr>
        <w:tc>
          <w:tcPr>
            <w:tcW w:w="5840" w:type="dxa"/>
            <w:vAlign w:val="bottom"/>
          </w:tcPr>
          <w:p>
            <w:pPr>
              <w:ind w:left="20"/>
              <w:spacing w:after="0"/>
              <w:rPr>
                <w:sz w:val="20"/>
                <w:szCs w:val="20"/>
                <w:color w:val="auto"/>
              </w:rPr>
            </w:pPr>
            <w:r>
              <w:rPr>
                <w:rFonts w:ascii="Arial" w:cs="Arial" w:eastAsia="Arial" w:hAnsi="Arial"/>
                <w:sz w:val="13"/>
                <w:szCs w:val="13"/>
                <w:color w:val="auto"/>
              </w:rPr>
              <w:t>Decrease/(increase) in non-current assets</w:t>
            </w:r>
          </w:p>
        </w:tc>
        <w:tc>
          <w:tcPr>
            <w:tcW w:w="2460" w:type="dxa"/>
            <w:vAlign w:val="bottom"/>
          </w:tcPr>
          <w:p>
            <w:pPr>
              <w:spacing w:after="0"/>
              <w:rPr>
                <w:sz w:val="14"/>
                <w:szCs w:val="14"/>
                <w:color w:val="auto"/>
              </w:rPr>
            </w:pPr>
          </w:p>
        </w:tc>
        <w:tc>
          <w:tcPr>
            <w:tcW w:w="1940" w:type="dxa"/>
            <w:vAlign w:val="bottom"/>
          </w:tcPr>
          <w:p>
            <w:pPr>
              <w:jc w:val="right"/>
              <w:ind w:right="436"/>
              <w:spacing w:after="0"/>
              <w:rPr>
                <w:sz w:val="20"/>
                <w:szCs w:val="20"/>
                <w:color w:val="auto"/>
              </w:rPr>
            </w:pPr>
            <w:r>
              <w:rPr>
                <w:rFonts w:ascii="Arial" w:cs="Arial" w:eastAsia="Arial" w:hAnsi="Arial"/>
                <w:sz w:val="13"/>
                <w:szCs w:val="13"/>
                <w:b w:val="1"/>
                <w:bCs w:val="1"/>
                <w:color w:val="auto"/>
              </w:rPr>
              <w:t>4</w:t>
            </w:r>
          </w:p>
        </w:tc>
        <w:tc>
          <w:tcPr>
            <w:tcW w:w="104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70"/>
        </w:trPr>
        <w:tc>
          <w:tcPr>
            <w:tcW w:w="5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Decrease in income taxes receivable</w:t>
            </w:r>
          </w:p>
        </w:tc>
        <w:tc>
          <w:tcPr>
            <w:tcW w:w="2460" w:type="dxa"/>
            <w:vAlign w:val="bottom"/>
            <w:shd w:val="clear" w:color="auto" w:fill="CCEEFF"/>
          </w:tcPr>
          <w:p>
            <w:pPr>
              <w:spacing w:after="0"/>
              <w:rPr>
                <w:sz w:val="14"/>
                <w:szCs w:val="14"/>
                <w:color w:val="auto"/>
              </w:rPr>
            </w:pPr>
          </w:p>
        </w:tc>
        <w:tc>
          <w:tcPr>
            <w:tcW w:w="1940" w:type="dxa"/>
            <w:vAlign w:val="bottom"/>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140</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536</w:t>
            </w:r>
          </w:p>
        </w:tc>
        <w:tc>
          <w:tcPr>
            <w:tcW w:w="0" w:type="dxa"/>
            <w:vAlign w:val="bottom"/>
          </w:tcPr>
          <w:p>
            <w:pPr>
              <w:spacing w:after="0"/>
              <w:rPr>
                <w:sz w:val="1"/>
                <w:szCs w:val="1"/>
                <w:color w:val="auto"/>
              </w:rPr>
            </w:pPr>
          </w:p>
        </w:tc>
      </w:tr>
      <w:tr>
        <w:trPr>
          <w:trHeight w:val="170"/>
        </w:trPr>
        <w:tc>
          <w:tcPr>
            <w:tcW w:w="5840" w:type="dxa"/>
            <w:vAlign w:val="bottom"/>
          </w:tcPr>
          <w:p>
            <w:pPr>
              <w:ind w:left="20"/>
              <w:spacing w:after="0"/>
              <w:rPr>
                <w:sz w:val="20"/>
                <w:szCs w:val="20"/>
                <w:color w:val="auto"/>
              </w:rPr>
            </w:pPr>
            <w:r>
              <w:rPr>
                <w:rFonts w:ascii="Arial" w:cs="Arial" w:eastAsia="Arial" w:hAnsi="Arial"/>
                <w:sz w:val="13"/>
                <w:szCs w:val="13"/>
                <w:color w:val="auto"/>
              </w:rPr>
              <w:t>Increase in accounts payable</w:t>
            </w:r>
          </w:p>
        </w:tc>
        <w:tc>
          <w:tcPr>
            <w:tcW w:w="2460" w:type="dxa"/>
            <w:vAlign w:val="bottom"/>
          </w:tcPr>
          <w:p>
            <w:pPr>
              <w:spacing w:after="0"/>
              <w:rPr>
                <w:sz w:val="14"/>
                <w:szCs w:val="14"/>
                <w:color w:val="auto"/>
              </w:rPr>
            </w:pPr>
          </w:p>
        </w:tc>
        <w:tc>
          <w:tcPr>
            <w:tcW w:w="1940" w:type="dxa"/>
            <w:vAlign w:val="bottom"/>
          </w:tcPr>
          <w:p>
            <w:pPr>
              <w:jc w:val="right"/>
              <w:ind w:right="436"/>
              <w:spacing w:after="0"/>
              <w:rPr>
                <w:sz w:val="20"/>
                <w:szCs w:val="20"/>
                <w:color w:val="auto"/>
              </w:rPr>
            </w:pPr>
            <w:r>
              <w:rPr>
                <w:rFonts w:ascii="Arial" w:cs="Arial" w:eastAsia="Arial" w:hAnsi="Arial"/>
                <w:sz w:val="13"/>
                <w:szCs w:val="13"/>
                <w:b w:val="1"/>
                <w:bCs w:val="1"/>
                <w:color w:val="auto"/>
              </w:rPr>
              <w:t>1,682</w:t>
            </w:r>
          </w:p>
        </w:tc>
        <w:tc>
          <w:tcPr>
            <w:tcW w:w="1040" w:type="dxa"/>
            <w:vAlign w:val="bottom"/>
          </w:tcPr>
          <w:p>
            <w:pPr>
              <w:jc w:val="right"/>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70"/>
        </w:trPr>
        <w:tc>
          <w:tcPr>
            <w:tcW w:w="5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Decrease in accrued and other liabilities</w:t>
            </w:r>
          </w:p>
        </w:tc>
        <w:tc>
          <w:tcPr>
            <w:tcW w:w="2460" w:type="dxa"/>
            <w:vAlign w:val="bottom"/>
            <w:shd w:val="clear" w:color="auto" w:fill="CCEEFF"/>
          </w:tcPr>
          <w:p>
            <w:pPr>
              <w:spacing w:after="0"/>
              <w:rPr>
                <w:sz w:val="14"/>
                <w:szCs w:val="14"/>
                <w:color w:val="auto"/>
              </w:rPr>
            </w:pPr>
          </w:p>
        </w:tc>
        <w:tc>
          <w:tcPr>
            <w:tcW w:w="1940" w:type="dxa"/>
            <w:vAlign w:val="bottom"/>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(856)</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(609)</w:t>
            </w:r>
          </w:p>
        </w:tc>
        <w:tc>
          <w:tcPr>
            <w:tcW w:w="0" w:type="dxa"/>
            <w:vAlign w:val="bottom"/>
          </w:tcPr>
          <w:p>
            <w:pPr>
              <w:spacing w:after="0"/>
              <w:rPr>
                <w:sz w:val="1"/>
                <w:szCs w:val="1"/>
                <w:color w:val="auto"/>
              </w:rPr>
            </w:pPr>
          </w:p>
        </w:tc>
      </w:tr>
      <w:tr>
        <w:trPr>
          <w:trHeight w:val="170"/>
        </w:trPr>
        <w:tc>
          <w:tcPr>
            <w:tcW w:w="58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(Decrease)/increase in non-current liabilities</w:t>
            </w:r>
          </w:p>
        </w:tc>
        <w:tc>
          <w:tcPr>
            <w:tcW w:w="24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(900)</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463</w:t>
            </w:r>
          </w:p>
        </w:tc>
        <w:tc>
          <w:tcPr>
            <w:tcW w:w="0" w:type="dxa"/>
            <w:vAlign w:val="bottom"/>
          </w:tcPr>
          <w:p>
            <w:pPr>
              <w:spacing w:after="0"/>
              <w:rPr>
                <w:sz w:val="1"/>
                <w:szCs w:val="1"/>
                <w:color w:val="auto"/>
              </w:rPr>
            </w:pPr>
          </w:p>
        </w:tc>
      </w:tr>
      <w:tr>
        <w:trPr>
          <w:trHeight w:val="160"/>
        </w:trPr>
        <w:tc>
          <w:tcPr>
            <w:tcW w:w="5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Cash provided by operations</w:t>
            </w:r>
          </w:p>
        </w:tc>
        <w:tc>
          <w:tcPr>
            <w:tcW w:w="2460" w:type="dxa"/>
            <w:vAlign w:val="bottom"/>
            <w:tcBorders>
              <w:bottom w:val="single" w:sz="8" w:color="auto"/>
            </w:tcBorders>
            <w:shd w:val="clear" w:color="auto" w:fill="CCEEFF"/>
          </w:tcPr>
          <w:p>
            <w:pPr>
              <w:spacing w:after="0"/>
              <w:rPr>
                <w:sz w:val="13"/>
                <w:szCs w:val="13"/>
                <w:color w:val="auto"/>
              </w:rPr>
            </w:pPr>
          </w:p>
        </w:tc>
        <w:tc>
          <w:tcPr>
            <w:tcW w:w="194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42,994</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236,670</w:t>
            </w:r>
          </w:p>
        </w:tc>
        <w:tc>
          <w:tcPr>
            <w:tcW w:w="0" w:type="dxa"/>
            <w:vAlign w:val="bottom"/>
          </w:tcPr>
          <w:p>
            <w:pPr>
              <w:spacing w:after="0"/>
              <w:rPr>
                <w:sz w:val="1"/>
                <w:szCs w:val="1"/>
                <w:color w:val="auto"/>
              </w:rPr>
            </w:pPr>
          </w:p>
        </w:tc>
      </w:tr>
      <w:tr>
        <w:trPr>
          <w:trHeight w:val="160"/>
        </w:trPr>
        <w:tc>
          <w:tcPr>
            <w:tcW w:w="5840" w:type="dxa"/>
            <w:vAlign w:val="bottom"/>
          </w:tcPr>
          <w:p>
            <w:pPr>
              <w:ind w:left="20"/>
              <w:spacing w:after="0"/>
              <w:rPr>
                <w:sz w:val="20"/>
                <w:szCs w:val="20"/>
                <w:color w:val="auto"/>
              </w:rPr>
            </w:pPr>
            <w:r>
              <w:rPr>
                <w:rFonts w:ascii="Arial" w:cs="Arial" w:eastAsia="Arial" w:hAnsi="Arial"/>
                <w:sz w:val="13"/>
                <w:szCs w:val="13"/>
                <w:color w:val="auto"/>
              </w:rPr>
              <w:t>Interest paid</w:t>
            </w:r>
          </w:p>
        </w:tc>
        <w:tc>
          <w:tcPr>
            <w:tcW w:w="2460" w:type="dxa"/>
            <w:vAlign w:val="bottom"/>
          </w:tcPr>
          <w:p>
            <w:pPr>
              <w:spacing w:after="0"/>
              <w:rPr>
                <w:sz w:val="13"/>
                <w:szCs w:val="13"/>
                <w:color w:val="auto"/>
              </w:rPr>
            </w:pPr>
          </w:p>
        </w:tc>
        <w:tc>
          <w:tcPr>
            <w:tcW w:w="1940" w:type="dxa"/>
            <w:vAlign w:val="bottom"/>
          </w:tcPr>
          <w:p>
            <w:pPr>
              <w:jc w:val="right"/>
              <w:ind w:right="436"/>
              <w:spacing w:after="0"/>
              <w:rPr>
                <w:sz w:val="20"/>
                <w:szCs w:val="20"/>
                <w:color w:val="auto"/>
              </w:rPr>
            </w:pPr>
            <w:r>
              <w:rPr>
                <w:rFonts w:ascii="Arial" w:cs="Arial" w:eastAsia="Arial" w:hAnsi="Arial"/>
                <w:sz w:val="13"/>
                <w:szCs w:val="13"/>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70"/>
        </w:trPr>
        <w:tc>
          <w:tcPr>
            <w:tcW w:w="5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Income taxes paid</w:t>
            </w:r>
          </w:p>
        </w:tc>
        <w:tc>
          <w:tcPr>
            <w:tcW w:w="2460" w:type="dxa"/>
            <w:vAlign w:val="bottom"/>
            <w:tcBorders>
              <w:bottom w:val="single" w:sz="8" w:color="auto"/>
            </w:tcBorders>
            <w:shd w:val="clear" w:color="auto" w:fill="CCEEFF"/>
          </w:tcPr>
          <w:p>
            <w:pPr>
              <w:spacing w:after="0"/>
              <w:rPr>
                <w:sz w:val="14"/>
                <w:szCs w:val="14"/>
                <w:color w:val="auto"/>
              </w:rPr>
            </w:pPr>
          </w:p>
        </w:tc>
        <w:tc>
          <w:tcPr>
            <w:tcW w:w="194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(17)</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(563)</w:t>
            </w:r>
          </w:p>
        </w:tc>
        <w:tc>
          <w:tcPr>
            <w:tcW w:w="0" w:type="dxa"/>
            <w:vAlign w:val="bottom"/>
          </w:tcPr>
          <w:p>
            <w:pPr>
              <w:spacing w:after="0"/>
              <w:rPr>
                <w:sz w:val="1"/>
                <w:szCs w:val="1"/>
                <w:color w:val="auto"/>
              </w:rPr>
            </w:pPr>
          </w:p>
        </w:tc>
      </w:tr>
      <w:tr>
        <w:trPr>
          <w:trHeight w:val="160"/>
        </w:trPr>
        <w:tc>
          <w:tcPr>
            <w:tcW w:w="58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Net cash inflow from operating activities</w:t>
            </w:r>
          </w:p>
        </w:tc>
        <w:tc>
          <w:tcPr>
            <w:tcW w:w="246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42,977</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236,089</w:t>
            </w:r>
          </w:p>
        </w:tc>
        <w:tc>
          <w:tcPr>
            <w:tcW w:w="0" w:type="dxa"/>
            <w:vAlign w:val="bottom"/>
          </w:tcPr>
          <w:p>
            <w:pPr>
              <w:spacing w:after="0"/>
              <w:rPr>
                <w:sz w:val="1"/>
                <w:szCs w:val="1"/>
                <w:color w:val="auto"/>
              </w:rPr>
            </w:pPr>
          </w:p>
        </w:tc>
      </w:tr>
      <w:tr>
        <w:trPr>
          <w:trHeight w:val="160"/>
        </w:trPr>
        <w:tc>
          <w:tcPr>
            <w:tcW w:w="58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Investing activities</w:t>
            </w:r>
          </w:p>
        </w:tc>
        <w:tc>
          <w:tcPr>
            <w:tcW w:w="2460" w:type="dxa"/>
            <w:vAlign w:val="bottom"/>
            <w:shd w:val="clear" w:color="auto" w:fill="CCEEFF"/>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840" w:type="dxa"/>
            <w:vAlign w:val="bottom"/>
          </w:tcPr>
          <w:p>
            <w:pPr>
              <w:ind w:left="20"/>
              <w:spacing w:after="0"/>
              <w:rPr>
                <w:sz w:val="20"/>
                <w:szCs w:val="20"/>
                <w:color w:val="auto"/>
              </w:rPr>
            </w:pPr>
            <w:r>
              <w:rPr>
                <w:rFonts w:ascii="Arial" w:cs="Arial" w:eastAsia="Arial" w:hAnsi="Arial"/>
                <w:sz w:val="13"/>
                <w:szCs w:val="13"/>
                <w:color w:val="auto"/>
              </w:rPr>
              <w:t>Purchase of computer software</w:t>
            </w:r>
          </w:p>
        </w:tc>
        <w:tc>
          <w:tcPr>
            <w:tcW w:w="2460" w:type="dxa"/>
            <w:vAlign w:val="bottom"/>
          </w:tcPr>
          <w:p>
            <w:pPr>
              <w:jc w:val="center"/>
              <w:ind w:left="1576"/>
              <w:spacing w:after="0"/>
              <w:rPr>
                <w:sz w:val="20"/>
                <w:szCs w:val="20"/>
                <w:color w:val="auto"/>
              </w:rPr>
            </w:pPr>
            <w:r>
              <w:rPr>
                <w:rFonts w:ascii="Arial" w:cs="Arial" w:eastAsia="Arial" w:hAnsi="Arial"/>
                <w:sz w:val="13"/>
                <w:szCs w:val="13"/>
                <w:i w:val="1"/>
                <w:iCs w:val="1"/>
                <w:color w:val="auto"/>
                <w:w w:val="82"/>
              </w:rPr>
              <w:t>2</w:t>
            </w:r>
          </w:p>
        </w:tc>
        <w:tc>
          <w:tcPr>
            <w:tcW w:w="1940" w:type="dxa"/>
            <w:vAlign w:val="bottom"/>
          </w:tcPr>
          <w:p>
            <w:pPr>
              <w:jc w:val="right"/>
              <w:ind w:right="436"/>
              <w:spacing w:after="0"/>
              <w:rPr>
                <w:sz w:val="20"/>
                <w:szCs w:val="20"/>
                <w:color w:val="auto"/>
              </w:rPr>
            </w:pPr>
            <w:r>
              <w:rPr>
                <w:rFonts w:ascii="Arial" w:cs="Arial" w:eastAsia="Arial" w:hAnsi="Arial"/>
                <w:sz w:val="13"/>
                <w:szCs w:val="13"/>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5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 of property, plant and equipment</w:t>
            </w:r>
          </w:p>
        </w:tc>
        <w:tc>
          <w:tcPr>
            <w:tcW w:w="2460" w:type="dxa"/>
            <w:vAlign w:val="bottom"/>
            <w:shd w:val="clear" w:color="auto" w:fill="CCEEFF"/>
          </w:tcPr>
          <w:p>
            <w:pPr>
              <w:jc w:val="center"/>
              <w:ind w:left="1576"/>
              <w:spacing w:after="0"/>
              <w:rPr>
                <w:sz w:val="20"/>
                <w:szCs w:val="20"/>
                <w:color w:val="auto"/>
              </w:rPr>
            </w:pPr>
            <w:r>
              <w:rPr>
                <w:rFonts w:ascii="Arial" w:cs="Arial" w:eastAsia="Arial" w:hAnsi="Arial"/>
                <w:sz w:val="13"/>
                <w:szCs w:val="13"/>
                <w:i w:val="1"/>
                <w:iCs w:val="1"/>
                <w:color w:val="auto"/>
                <w:w w:val="82"/>
              </w:rPr>
              <w:t>1</w:t>
            </w:r>
          </w:p>
        </w:tc>
        <w:tc>
          <w:tcPr>
            <w:tcW w:w="1940" w:type="dxa"/>
            <w:vAlign w:val="bottom"/>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(2)</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69"/>
        </w:trPr>
        <w:tc>
          <w:tcPr>
            <w:tcW w:w="5840" w:type="dxa"/>
            <w:vAlign w:val="bottom"/>
          </w:tcPr>
          <w:p>
            <w:pPr>
              <w:ind w:left="20"/>
              <w:spacing w:after="0"/>
              <w:rPr>
                <w:sz w:val="20"/>
                <w:szCs w:val="20"/>
                <w:color w:val="auto"/>
              </w:rPr>
            </w:pPr>
            <w:r>
              <w:rPr>
                <w:rFonts w:ascii="Arial" w:cs="Arial" w:eastAsia="Arial" w:hAnsi="Arial"/>
                <w:sz w:val="13"/>
                <w:szCs w:val="13"/>
                <w:color w:val="auto"/>
              </w:rPr>
              <w:t>Sale of property, plant and equipment</w:t>
            </w:r>
          </w:p>
        </w:tc>
        <w:tc>
          <w:tcPr>
            <w:tcW w:w="2460" w:type="dxa"/>
            <w:vAlign w:val="bottom"/>
          </w:tcPr>
          <w:p>
            <w:pPr>
              <w:jc w:val="center"/>
              <w:ind w:left="1576"/>
              <w:spacing w:after="0"/>
              <w:rPr>
                <w:sz w:val="20"/>
                <w:szCs w:val="20"/>
                <w:color w:val="auto"/>
              </w:rPr>
            </w:pPr>
            <w:r>
              <w:rPr>
                <w:rFonts w:ascii="Arial" w:cs="Arial" w:eastAsia="Arial" w:hAnsi="Arial"/>
                <w:sz w:val="13"/>
                <w:szCs w:val="13"/>
                <w:i w:val="1"/>
                <w:iCs w:val="1"/>
                <w:color w:val="auto"/>
                <w:w w:val="82"/>
              </w:rPr>
              <w:t>1</w:t>
            </w:r>
          </w:p>
        </w:tc>
        <w:tc>
          <w:tcPr>
            <w:tcW w:w="1940" w:type="dxa"/>
            <w:vAlign w:val="bottom"/>
          </w:tcPr>
          <w:p>
            <w:pPr>
              <w:jc w:val="right"/>
              <w:ind w:right="436"/>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5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Decrease in amounts due from/to subsidiary undertakings</w:t>
            </w:r>
          </w:p>
        </w:tc>
        <w:tc>
          <w:tcPr>
            <w:tcW w:w="2460" w:type="dxa"/>
            <w:vAlign w:val="bottom"/>
            <w:shd w:val="clear" w:color="auto" w:fill="CCEEFF"/>
          </w:tcPr>
          <w:p>
            <w:pPr>
              <w:jc w:val="center"/>
              <w:ind w:left="1576"/>
              <w:spacing w:after="0"/>
              <w:rPr>
                <w:sz w:val="20"/>
                <w:szCs w:val="20"/>
                <w:color w:val="auto"/>
              </w:rPr>
            </w:pPr>
            <w:r>
              <w:rPr>
                <w:rFonts w:ascii="Arial" w:cs="Arial" w:eastAsia="Arial" w:hAnsi="Arial"/>
                <w:sz w:val="13"/>
                <w:szCs w:val="13"/>
                <w:i w:val="1"/>
                <w:iCs w:val="1"/>
                <w:color w:val="auto"/>
                <w:w w:val="82"/>
              </w:rPr>
              <w:t>6</w:t>
            </w:r>
          </w:p>
        </w:tc>
        <w:tc>
          <w:tcPr>
            <w:tcW w:w="1940" w:type="dxa"/>
            <w:vAlign w:val="bottom"/>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213,052</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424,379</w:t>
            </w:r>
          </w:p>
        </w:tc>
        <w:tc>
          <w:tcPr>
            <w:tcW w:w="0" w:type="dxa"/>
            <w:vAlign w:val="bottom"/>
          </w:tcPr>
          <w:p>
            <w:pPr>
              <w:spacing w:after="0"/>
              <w:rPr>
                <w:sz w:val="1"/>
                <w:szCs w:val="1"/>
                <w:color w:val="auto"/>
              </w:rPr>
            </w:pPr>
          </w:p>
        </w:tc>
      </w:tr>
      <w:tr>
        <w:trPr>
          <w:trHeight w:val="170"/>
        </w:trPr>
        <w:tc>
          <w:tcPr>
            <w:tcW w:w="58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Increase in investment in subsidiaries</w:t>
            </w:r>
          </w:p>
        </w:tc>
        <w:tc>
          <w:tcPr>
            <w:tcW w:w="2460" w:type="dxa"/>
            <w:vAlign w:val="bottom"/>
            <w:tcBorders>
              <w:bottom w:val="single" w:sz="8" w:color="auto"/>
            </w:tcBorders>
          </w:tcPr>
          <w:p>
            <w:pPr>
              <w:jc w:val="center"/>
              <w:ind w:left="1576"/>
              <w:spacing w:after="0"/>
              <w:rPr>
                <w:sz w:val="20"/>
                <w:szCs w:val="20"/>
                <w:color w:val="auto"/>
              </w:rPr>
            </w:pPr>
            <w:r>
              <w:rPr>
                <w:rFonts w:ascii="Arial" w:cs="Arial" w:eastAsia="Arial" w:hAnsi="Arial"/>
                <w:sz w:val="13"/>
                <w:szCs w:val="13"/>
                <w:i w:val="1"/>
                <w:iCs w:val="1"/>
                <w:color w:val="auto"/>
                <w:w w:val="82"/>
              </w:rPr>
              <w:t>3</w:t>
            </w:r>
          </w:p>
        </w:tc>
        <w:tc>
          <w:tcPr>
            <w:tcW w:w="194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(671,490)</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(365,074)</w:t>
            </w:r>
          </w:p>
        </w:tc>
        <w:tc>
          <w:tcPr>
            <w:tcW w:w="0" w:type="dxa"/>
            <w:vAlign w:val="bottom"/>
          </w:tcPr>
          <w:p>
            <w:pPr>
              <w:spacing w:after="0"/>
              <w:rPr>
                <w:sz w:val="1"/>
                <w:szCs w:val="1"/>
                <w:color w:val="auto"/>
              </w:rPr>
            </w:pPr>
          </w:p>
        </w:tc>
      </w:tr>
      <w:tr>
        <w:trPr>
          <w:trHeight w:val="160"/>
        </w:trPr>
        <w:tc>
          <w:tcPr>
            <w:tcW w:w="5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Net cash used by investing activities</w:t>
            </w:r>
          </w:p>
        </w:tc>
        <w:tc>
          <w:tcPr>
            <w:tcW w:w="2460" w:type="dxa"/>
            <w:vAlign w:val="bottom"/>
            <w:tcBorders>
              <w:bottom w:val="single" w:sz="8" w:color="auto"/>
            </w:tcBorders>
            <w:shd w:val="clear" w:color="auto" w:fill="CCEEFF"/>
          </w:tcPr>
          <w:p>
            <w:pPr>
              <w:spacing w:after="0"/>
              <w:rPr>
                <w:sz w:val="13"/>
                <w:szCs w:val="13"/>
                <w:color w:val="auto"/>
              </w:rPr>
            </w:pPr>
          </w:p>
        </w:tc>
        <w:tc>
          <w:tcPr>
            <w:tcW w:w="194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(458,440)</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59,282</w:t>
            </w:r>
          </w:p>
        </w:tc>
        <w:tc>
          <w:tcPr>
            <w:tcW w:w="0" w:type="dxa"/>
            <w:vAlign w:val="bottom"/>
          </w:tcPr>
          <w:p>
            <w:pPr>
              <w:spacing w:after="0"/>
              <w:rPr>
                <w:sz w:val="1"/>
                <w:szCs w:val="1"/>
                <w:color w:val="auto"/>
              </w:rPr>
            </w:pPr>
          </w:p>
        </w:tc>
      </w:tr>
      <w:tr>
        <w:trPr>
          <w:trHeight w:val="160"/>
        </w:trPr>
        <w:tc>
          <w:tcPr>
            <w:tcW w:w="5840" w:type="dxa"/>
            <w:vAlign w:val="bottom"/>
          </w:tcPr>
          <w:p>
            <w:pPr>
              <w:ind w:left="20"/>
              <w:spacing w:after="0"/>
              <w:rPr>
                <w:sz w:val="20"/>
                <w:szCs w:val="20"/>
                <w:color w:val="auto"/>
              </w:rPr>
            </w:pPr>
            <w:r>
              <w:rPr>
                <w:rFonts w:ascii="Arial" w:cs="Arial" w:eastAsia="Arial" w:hAnsi="Arial"/>
                <w:sz w:val="13"/>
                <w:szCs w:val="13"/>
                <w:b w:val="1"/>
                <w:bCs w:val="1"/>
                <w:color w:val="auto"/>
              </w:rPr>
              <w:t>Financing activities</w:t>
            </w:r>
          </w:p>
        </w:tc>
        <w:tc>
          <w:tcPr>
            <w:tcW w:w="246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exercise of share options</w:t>
            </w:r>
          </w:p>
        </w:tc>
        <w:tc>
          <w:tcPr>
            <w:tcW w:w="2460" w:type="dxa"/>
            <w:vAlign w:val="bottom"/>
            <w:shd w:val="clear" w:color="auto" w:fill="CCEEFF"/>
          </w:tcPr>
          <w:p>
            <w:pPr>
              <w:spacing w:after="0"/>
              <w:rPr>
                <w:sz w:val="14"/>
                <w:szCs w:val="14"/>
                <w:color w:val="auto"/>
              </w:rPr>
            </w:pPr>
          </w:p>
        </w:tc>
        <w:tc>
          <w:tcPr>
            <w:tcW w:w="1940" w:type="dxa"/>
            <w:vAlign w:val="bottom"/>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116,907</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13,203</w:t>
            </w:r>
          </w:p>
        </w:tc>
        <w:tc>
          <w:tcPr>
            <w:tcW w:w="0" w:type="dxa"/>
            <w:vAlign w:val="bottom"/>
          </w:tcPr>
          <w:p>
            <w:pPr>
              <w:spacing w:after="0"/>
              <w:rPr>
                <w:sz w:val="1"/>
                <w:szCs w:val="1"/>
                <w:color w:val="auto"/>
              </w:rPr>
            </w:pPr>
          </w:p>
        </w:tc>
      </w:tr>
      <w:tr>
        <w:trPr>
          <w:trHeight w:val="170"/>
        </w:trPr>
        <w:tc>
          <w:tcPr>
            <w:tcW w:w="5840" w:type="dxa"/>
            <w:vAlign w:val="bottom"/>
          </w:tcPr>
          <w:p>
            <w:pPr>
              <w:ind w:left="20"/>
              <w:spacing w:after="0"/>
              <w:rPr>
                <w:sz w:val="20"/>
                <w:szCs w:val="20"/>
                <w:color w:val="auto"/>
              </w:rPr>
            </w:pPr>
            <w:r>
              <w:rPr>
                <w:rFonts w:ascii="Arial" w:cs="Arial" w:eastAsia="Arial" w:hAnsi="Arial"/>
                <w:sz w:val="13"/>
                <w:szCs w:val="13"/>
                <w:color w:val="auto"/>
              </w:rPr>
              <w:t>Share issuance costs</w:t>
            </w:r>
          </w:p>
        </w:tc>
        <w:tc>
          <w:tcPr>
            <w:tcW w:w="2460" w:type="dxa"/>
            <w:vAlign w:val="bottom"/>
          </w:tcPr>
          <w:p>
            <w:pPr>
              <w:spacing w:after="0"/>
              <w:rPr>
                <w:sz w:val="14"/>
                <w:szCs w:val="14"/>
                <w:color w:val="auto"/>
              </w:rPr>
            </w:pPr>
          </w:p>
        </w:tc>
        <w:tc>
          <w:tcPr>
            <w:tcW w:w="1940" w:type="dxa"/>
            <w:vAlign w:val="bottom"/>
          </w:tcPr>
          <w:p>
            <w:pPr>
              <w:jc w:val="right"/>
              <w:ind w:right="436"/>
              <w:spacing w:after="0"/>
              <w:rPr>
                <w:sz w:val="20"/>
                <w:szCs w:val="20"/>
                <w:color w:val="auto"/>
              </w:rPr>
            </w:pPr>
            <w:r>
              <w:rPr>
                <w:rFonts w:ascii="Arial" w:cs="Arial" w:eastAsia="Arial" w:hAnsi="Arial"/>
                <w:sz w:val="13"/>
                <w:szCs w:val="13"/>
                <w:b w:val="1"/>
                <w:bCs w:val="1"/>
                <w:color w:val="auto"/>
              </w:rPr>
              <w:t>853</w:t>
            </w:r>
          </w:p>
        </w:tc>
        <w:tc>
          <w:tcPr>
            <w:tcW w:w="1040" w:type="dxa"/>
            <w:vAlign w:val="bottom"/>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70"/>
        </w:trPr>
        <w:tc>
          <w:tcPr>
            <w:tcW w:w="5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Payment of lease liabilities</w:t>
            </w:r>
          </w:p>
        </w:tc>
        <w:tc>
          <w:tcPr>
            <w:tcW w:w="2460" w:type="dxa"/>
            <w:vAlign w:val="bottom"/>
            <w:shd w:val="clear" w:color="auto" w:fill="CCEEFF"/>
          </w:tcPr>
          <w:p>
            <w:pPr>
              <w:spacing w:after="0"/>
              <w:rPr>
                <w:sz w:val="14"/>
                <w:szCs w:val="14"/>
                <w:color w:val="auto"/>
              </w:rPr>
            </w:pPr>
          </w:p>
        </w:tc>
        <w:tc>
          <w:tcPr>
            <w:tcW w:w="1940" w:type="dxa"/>
            <w:vAlign w:val="bottom"/>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(1,368)</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(1,519)</w:t>
            </w:r>
          </w:p>
        </w:tc>
        <w:tc>
          <w:tcPr>
            <w:tcW w:w="0" w:type="dxa"/>
            <w:vAlign w:val="bottom"/>
          </w:tcPr>
          <w:p>
            <w:pPr>
              <w:spacing w:after="0"/>
              <w:rPr>
                <w:sz w:val="1"/>
                <w:szCs w:val="1"/>
                <w:color w:val="auto"/>
              </w:rPr>
            </w:pPr>
          </w:p>
        </w:tc>
      </w:tr>
      <w:tr>
        <w:trPr>
          <w:trHeight w:val="170"/>
        </w:trPr>
        <w:tc>
          <w:tcPr>
            <w:tcW w:w="5840" w:type="dxa"/>
            <w:vAlign w:val="bottom"/>
          </w:tcPr>
          <w:p>
            <w:pPr>
              <w:ind w:left="20"/>
              <w:spacing w:after="0"/>
              <w:rPr>
                <w:sz w:val="20"/>
                <w:szCs w:val="20"/>
                <w:color w:val="auto"/>
              </w:rPr>
            </w:pPr>
            <w:r>
              <w:rPr>
                <w:rFonts w:ascii="Arial" w:cs="Arial" w:eastAsia="Arial" w:hAnsi="Arial"/>
                <w:sz w:val="13"/>
                <w:szCs w:val="13"/>
                <w:color w:val="auto"/>
              </w:rPr>
              <w:t>Repurchase of ordinary shares</w:t>
            </w:r>
          </w:p>
        </w:tc>
        <w:tc>
          <w:tcPr>
            <w:tcW w:w="2460" w:type="dxa"/>
            <w:vAlign w:val="bottom"/>
          </w:tcPr>
          <w:p>
            <w:pPr>
              <w:spacing w:after="0"/>
              <w:rPr>
                <w:sz w:val="14"/>
                <w:szCs w:val="14"/>
                <w:color w:val="auto"/>
              </w:rPr>
            </w:pPr>
          </w:p>
        </w:tc>
        <w:tc>
          <w:tcPr>
            <w:tcW w:w="1940" w:type="dxa"/>
            <w:vAlign w:val="bottom"/>
          </w:tcPr>
          <w:p>
            <w:pPr>
              <w:jc w:val="right"/>
              <w:ind w:right="436"/>
              <w:spacing w:after="0"/>
              <w:rPr>
                <w:sz w:val="20"/>
                <w:szCs w:val="20"/>
                <w:color w:val="auto"/>
              </w:rPr>
            </w:pPr>
            <w:r>
              <w:rPr>
                <w:rFonts w:ascii="Arial" w:cs="Arial" w:eastAsia="Arial" w:hAnsi="Arial"/>
                <w:sz w:val="13"/>
                <w:szCs w:val="13"/>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(175,000)</w:t>
            </w:r>
          </w:p>
        </w:tc>
        <w:tc>
          <w:tcPr>
            <w:tcW w:w="0" w:type="dxa"/>
            <w:vAlign w:val="bottom"/>
          </w:tcPr>
          <w:p>
            <w:pPr>
              <w:spacing w:after="0"/>
              <w:rPr>
                <w:sz w:val="1"/>
                <w:szCs w:val="1"/>
                <w:color w:val="auto"/>
              </w:rPr>
            </w:pPr>
          </w:p>
        </w:tc>
      </w:tr>
      <w:tr>
        <w:trPr>
          <w:trHeight w:val="170"/>
        </w:trPr>
        <w:tc>
          <w:tcPr>
            <w:tcW w:w="5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Share repurchase costs</w:t>
            </w:r>
          </w:p>
        </w:tc>
        <w:tc>
          <w:tcPr>
            <w:tcW w:w="2460" w:type="dxa"/>
            <w:vAlign w:val="bottom"/>
            <w:tcBorders>
              <w:bottom w:val="single" w:sz="8" w:color="auto"/>
            </w:tcBorders>
            <w:shd w:val="clear" w:color="auto" w:fill="CCEEFF"/>
          </w:tcPr>
          <w:p>
            <w:pPr>
              <w:spacing w:after="0"/>
              <w:rPr>
                <w:sz w:val="14"/>
                <w:szCs w:val="14"/>
                <w:color w:val="auto"/>
              </w:rPr>
            </w:pPr>
          </w:p>
        </w:tc>
        <w:tc>
          <w:tcPr>
            <w:tcW w:w="194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(140)</w:t>
            </w:r>
          </w:p>
        </w:tc>
        <w:tc>
          <w:tcPr>
            <w:tcW w:w="0" w:type="dxa"/>
            <w:vAlign w:val="bottom"/>
          </w:tcPr>
          <w:p>
            <w:pPr>
              <w:spacing w:after="0"/>
              <w:rPr>
                <w:sz w:val="1"/>
                <w:szCs w:val="1"/>
                <w:color w:val="auto"/>
              </w:rPr>
            </w:pPr>
          </w:p>
        </w:tc>
      </w:tr>
      <w:tr>
        <w:trPr>
          <w:trHeight w:val="160"/>
        </w:trPr>
        <w:tc>
          <w:tcPr>
            <w:tcW w:w="58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Net cash used in financing activities</w:t>
            </w:r>
          </w:p>
        </w:tc>
        <w:tc>
          <w:tcPr>
            <w:tcW w:w="246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116,392</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(163,470)</w:t>
            </w:r>
          </w:p>
        </w:tc>
        <w:tc>
          <w:tcPr>
            <w:tcW w:w="0" w:type="dxa"/>
            <w:vAlign w:val="bottom"/>
          </w:tcPr>
          <w:p>
            <w:pPr>
              <w:spacing w:after="0"/>
              <w:rPr>
                <w:sz w:val="1"/>
                <w:szCs w:val="1"/>
                <w:color w:val="auto"/>
              </w:rPr>
            </w:pPr>
          </w:p>
        </w:tc>
      </w:tr>
      <w:tr>
        <w:trPr>
          <w:trHeight w:val="160"/>
        </w:trPr>
        <w:tc>
          <w:tcPr>
            <w:tcW w:w="5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Net (decrease)/increase in cash and cash equivalents</w:t>
            </w:r>
          </w:p>
        </w:tc>
        <w:tc>
          <w:tcPr>
            <w:tcW w:w="2460" w:type="dxa"/>
            <w:vAlign w:val="bottom"/>
            <w:tcBorders>
              <w:bottom w:val="single" w:sz="8" w:color="auto"/>
            </w:tcBorders>
            <w:shd w:val="clear" w:color="auto" w:fill="CCEEFF"/>
          </w:tcPr>
          <w:p>
            <w:pPr>
              <w:spacing w:after="0"/>
              <w:rPr>
                <w:sz w:val="13"/>
                <w:szCs w:val="13"/>
                <w:color w:val="auto"/>
              </w:rPr>
            </w:pPr>
          </w:p>
        </w:tc>
        <w:tc>
          <w:tcPr>
            <w:tcW w:w="194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(299,071)</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131,901</w:t>
            </w:r>
          </w:p>
        </w:tc>
        <w:tc>
          <w:tcPr>
            <w:tcW w:w="0" w:type="dxa"/>
            <w:vAlign w:val="bottom"/>
          </w:tcPr>
          <w:p>
            <w:pPr>
              <w:spacing w:after="0"/>
              <w:rPr>
                <w:sz w:val="1"/>
                <w:szCs w:val="1"/>
                <w:color w:val="auto"/>
              </w:rPr>
            </w:pPr>
          </w:p>
        </w:tc>
      </w:tr>
      <w:tr>
        <w:trPr>
          <w:trHeight w:val="160"/>
        </w:trPr>
        <w:tc>
          <w:tcPr>
            <w:tcW w:w="5840" w:type="dxa"/>
            <w:vAlign w:val="bottom"/>
          </w:tcPr>
          <w:p>
            <w:pPr>
              <w:ind w:left="20"/>
              <w:spacing w:after="0"/>
              <w:rPr>
                <w:sz w:val="20"/>
                <w:szCs w:val="20"/>
                <w:color w:val="auto"/>
              </w:rPr>
            </w:pPr>
            <w:r>
              <w:rPr>
                <w:rFonts w:ascii="Arial" w:cs="Arial" w:eastAsia="Arial" w:hAnsi="Arial"/>
                <w:sz w:val="13"/>
                <w:szCs w:val="13"/>
                <w:color w:val="auto"/>
              </w:rPr>
              <w:t>Effect of exchange rate changes</w:t>
            </w:r>
          </w:p>
        </w:tc>
        <w:tc>
          <w:tcPr>
            <w:tcW w:w="2460" w:type="dxa"/>
            <w:vAlign w:val="bottom"/>
          </w:tcPr>
          <w:p>
            <w:pPr>
              <w:spacing w:after="0"/>
              <w:rPr>
                <w:sz w:val="13"/>
                <w:szCs w:val="13"/>
                <w:color w:val="auto"/>
              </w:rPr>
            </w:pPr>
          </w:p>
        </w:tc>
        <w:tc>
          <w:tcPr>
            <w:tcW w:w="1940" w:type="dxa"/>
            <w:vAlign w:val="bottom"/>
          </w:tcPr>
          <w:p>
            <w:pPr>
              <w:jc w:val="right"/>
              <w:ind w:right="436"/>
              <w:spacing w:after="0"/>
              <w:rPr>
                <w:sz w:val="20"/>
                <w:szCs w:val="20"/>
                <w:color w:val="auto"/>
              </w:rPr>
            </w:pPr>
            <w:r>
              <w:rPr>
                <w:rFonts w:ascii="Arial" w:cs="Arial" w:eastAsia="Arial" w:hAnsi="Arial"/>
                <w:sz w:val="13"/>
                <w:szCs w:val="13"/>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5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Cash and cash equivalents at start of year</w:t>
            </w:r>
          </w:p>
        </w:tc>
        <w:tc>
          <w:tcPr>
            <w:tcW w:w="2460" w:type="dxa"/>
            <w:vAlign w:val="bottom"/>
            <w:tcBorders>
              <w:bottom w:val="single" w:sz="8" w:color="auto"/>
            </w:tcBorders>
            <w:shd w:val="clear" w:color="auto" w:fill="CCEEFF"/>
          </w:tcPr>
          <w:p>
            <w:pPr>
              <w:spacing w:after="0"/>
              <w:rPr>
                <w:sz w:val="14"/>
                <w:szCs w:val="14"/>
                <w:color w:val="auto"/>
              </w:rPr>
            </w:pPr>
          </w:p>
        </w:tc>
        <w:tc>
          <w:tcPr>
            <w:tcW w:w="194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308,200</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176,299</w:t>
            </w:r>
          </w:p>
        </w:tc>
        <w:tc>
          <w:tcPr>
            <w:tcW w:w="0" w:type="dxa"/>
            <w:vAlign w:val="bottom"/>
          </w:tcPr>
          <w:p>
            <w:pPr>
              <w:spacing w:after="0"/>
              <w:rPr>
                <w:sz w:val="1"/>
                <w:szCs w:val="1"/>
                <w:color w:val="auto"/>
              </w:rPr>
            </w:pPr>
          </w:p>
        </w:tc>
      </w:tr>
      <w:tr>
        <w:trPr>
          <w:trHeight w:val="162"/>
        </w:trPr>
        <w:tc>
          <w:tcPr>
            <w:tcW w:w="58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Cash and cash equivalents at end of year</w:t>
            </w:r>
          </w:p>
        </w:tc>
        <w:tc>
          <w:tcPr>
            <w:tcW w:w="24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9,129</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308,200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141</w:t>
      </w:r>
    </w:p>
    <w:p>
      <w:pPr>
        <w:sectPr>
          <w:pgSz w:w="11900" w:h="16838" w:orient="portrait"/>
          <w:cols w:equalWidth="0" w:num="1">
            <w:col w:w="11280"/>
          </w:cols>
          <w:pgMar w:left="300" w:top="889" w:right="31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color w:val="auto"/>
        </w:rPr>
        <w:t>Notes to Company Financial Statements</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190" w:lineRule="exact"/>
        <w:rPr>
          <w:sz w:val="20"/>
          <w:szCs w:val="20"/>
          <w:color w:val="auto"/>
        </w:rPr>
      </w:pPr>
    </w:p>
    <w:p>
      <w:pPr>
        <w:spacing w:after="0"/>
        <w:tabs>
          <w:tab w:leader="none" w:pos="240" w:val="left"/>
        </w:tabs>
        <w:rPr>
          <w:sz w:val="20"/>
          <w:szCs w:val="20"/>
          <w:color w:val="auto"/>
        </w:rPr>
      </w:pPr>
      <w:r>
        <w:rPr>
          <w:rFonts w:ascii="Arial" w:cs="Arial" w:eastAsia="Arial" w:hAnsi="Arial"/>
          <w:sz w:val="13"/>
          <w:szCs w:val="13"/>
          <w:b w:val="1"/>
          <w:bCs w:val="1"/>
          <w:color w:val="auto"/>
        </w:rPr>
        <w:t>1.</w:t>
      </w:r>
      <w:r>
        <w:rPr>
          <w:sz w:val="20"/>
          <w:szCs w:val="20"/>
          <w:color w:val="auto"/>
        </w:rPr>
        <w:tab/>
      </w:r>
      <w:r>
        <w:rPr>
          <w:rFonts w:ascii="Arial" w:cs="Arial" w:eastAsia="Arial" w:hAnsi="Arial"/>
          <w:sz w:val="12"/>
          <w:szCs w:val="12"/>
          <w:b w:val="1"/>
          <w:bCs w:val="1"/>
          <w:color w:val="auto"/>
        </w:rPr>
        <w:t>Property, plant and equipment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60" w:type="dxa"/>
            <w:vAlign w:val="bottom"/>
            <w:tcBorders>
              <w:bottom w:val="single" w:sz="8" w:color="auto"/>
            </w:tcBorders>
            <w:shd w:val="clear" w:color="auto" w:fill="CCEEFF"/>
          </w:tcPr>
          <w:p>
            <w:pPr>
              <w:spacing w:after="0"/>
              <w:rPr>
                <w:sz w:val="14"/>
                <w:szCs w:val="14"/>
                <w:color w:val="auto"/>
              </w:rPr>
            </w:pPr>
          </w:p>
        </w:tc>
        <w:tc>
          <w:tcPr>
            <w:tcW w:w="332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Leasehold improvements</w:t>
            </w:r>
          </w:p>
        </w:tc>
        <w:tc>
          <w:tcPr>
            <w:tcW w:w="3720" w:type="dxa"/>
            <w:vAlign w:val="bottom"/>
            <w:tcBorders>
              <w:bottom w:val="single" w:sz="8" w:color="auto"/>
            </w:tcBorders>
            <w:gridSpan w:val="2"/>
            <w:shd w:val="clear" w:color="auto" w:fill="CCEEFF"/>
          </w:tcPr>
          <w:p>
            <w:pPr>
              <w:jc w:val="right"/>
              <w:ind w:right="596"/>
              <w:spacing w:after="0"/>
              <w:rPr>
                <w:sz w:val="20"/>
                <w:szCs w:val="20"/>
                <w:color w:val="auto"/>
              </w:rPr>
            </w:pPr>
            <w:r>
              <w:rPr>
                <w:rFonts w:ascii="Arial" w:cs="Arial" w:eastAsia="Arial" w:hAnsi="Arial"/>
                <w:sz w:val="13"/>
                <w:szCs w:val="13"/>
                <w:b w:val="1"/>
                <w:bCs w:val="1"/>
                <w:color w:val="auto"/>
              </w:rPr>
              <w:t>Computer equipment  Office furniture &amp; fixtures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Total</w:t>
            </w:r>
          </w:p>
        </w:tc>
        <w:tc>
          <w:tcPr>
            <w:tcW w:w="260" w:type="dxa"/>
            <w:vAlign w:val="bottom"/>
          </w:tcPr>
          <w:p>
            <w:pPr>
              <w:spacing w:after="0"/>
              <w:rPr>
                <w:sz w:val="14"/>
                <w:szCs w:val="14"/>
                <w:color w:val="auto"/>
              </w:rPr>
            </w:pPr>
          </w:p>
        </w:tc>
      </w:tr>
      <w:tr>
        <w:trPr>
          <w:trHeight w:val="160"/>
        </w:trPr>
        <w:tc>
          <w:tcPr>
            <w:tcW w:w="3160" w:type="dxa"/>
            <w:vAlign w:val="bottom"/>
          </w:tcPr>
          <w:p>
            <w:pPr>
              <w:spacing w:after="0"/>
              <w:rPr>
                <w:sz w:val="13"/>
                <w:szCs w:val="13"/>
                <w:color w:val="auto"/>
              </w:rPr>
            </w:pPr>
          </w:p>
        </w:tc>
        <w:tc>
          <w:tcPr>
            <w:tcW w:w="3320" w:type="dxa"/>
            <w:vAlign w:val="bottom"/>
          </w:tcPr>
          <w:p>
            <w:pPr>
              <w:jc w:val="right"/>
              <w:ind w:right="156"/>
              <w:spacing w:after="0"/>
              <w:rPr>
                <w:sz w:val="20"/>
                <w:szCs w:val="20"/>
                <w:color w:val="auto"/>
              </w:rPr>
            </w:pPr>
            <w:r>
              <w:rPr>
                <w:rFonts w:ascii="Arial" w:cs="Arial" w:eastAsia="Arial" w:hAnsi="Arial"/>
                <w:sz w:val="13"/>
                <w:szCs w:val="13"/>
                <w:b w:val="1"/>
                <w:bCs w:val="1"/>
                <w:color w:val="auto"/>
              </w:rPr>
              <w:t>$’000</w:t>
            </w:r>
          </w:p>
        </w:tc>
        <w:tc>
          <w:tcPr>
            <w:tcW w:w="1640" w:type="dxa"/>
            <w:vAlign w:val="bottom"/>
          </w:tcPr>
          <w:p>
            <w:pPr>
              <w:jc w:val="right"/>
              <w:ind w:right="196"/>
              <w:spacing w:after="0"/>
              <w:rPr>
                <w:sz w:val="20"/>
                <w:szCs w:val="20"/>
                <w:color w:val="auto"/>
              </w:rPr>
            </w:pPr>
            <w:r>
              <w:rPr>
                <w:rFonts w:ascii="Arial" w:cs="Arial" w:eastAsia="Arial" w:hAnsi="Arial"/>
                <w:sz w:val="13"/>
                <w:szCs w:val="13"/>
                <w:b w:val="1"/>
                <w:bCs w:val="1"/>
                <w:color w:val="auto"/>
              </w:rPr>
              <w:t>$’000</w:t>
            </w:r>
          </w:p>
        </w:tc>
        <w:tc>
          <w:tcPr>
            <w:tcW w:w="2080" w:type="dxa"/>
            <w:vAlign w:val="bottom"/>
          </w:tcPr>
          <w:p>
            <w:pPr>
              <w:jc w:val="right"/>
              <w:ind w:right="596"/>
              <w:spacing w:after="0"/>
              <w:rPr>
                <w:sz w:val="20"/>
                <w:szCs w:val="20"/>
                <w:color w:val="auto"/>
              </w:rPr>
            </w:pPr>
            <w:r>
              <w:rPr>
                <w:rFonts w:ascii="Arial" w:cs="Arial" w:eastAsia="Arial" w:hAnsi="Arial"/>
                <w:sz w:val="13"/>
                <w:szCs w:val="13"/>
                <w:b w:val="1"/>
                <w:bCs w:val="1"/>
                <w:color w:val="auto"/>
              </w:rPr>
              <w:t>$’000</w:t>
            </w:r>
          </w:p>
        </w:tc>
        <w:tc>
          <w:tcPr>
            <w:tcW w:w="10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$’000</w:t>
            </w:r>
          </w:p>
        </w:tc>
      </w:tr>
      <w:tr>
        <w:trPr>
          <w:trHeight w:val="170"/>
        </w:trPr>
        <w:tc>
          <w:tcPr>
            <w:tcW w:w="31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Cost</w:t>
            </w:r>
          </w:p>
        </w:tc>
        <w:tc>
          <w:tcPr>
            <w:tcW w:w="332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tcPr>
          <w:p>
            <w:pPr>
              <w:spacing w:after="0"/>
              <w:rPr>
                <w:sz w:val="14"/>
                <w:szCs w:val="14"/>
                <w:color w:val="auto"/>
              </w:rPr>
            </w:pPr>
          </w:p>
        </w:tc>
      </w:tr>
      <w:tr>
        <w:trPr>
          <w:trHeight w:val="169"/>
        </w:trPr>
        <w:tc>
          <w:tcPr>
            <w:tcW w:w="3160" w:type="dxa"/>
            <w:vAlign w:val="bottom"/>
          </w:tcPr>
          <w:p>
            <w:pPr>
              <w:ind w:left="20"/>
              <w:spacing w:after="0"/>
              <w:rPr>
                <w:sz w:val="20"/>
                <w:szCs w:val="20"/>
                <w:color w:val="auto"/>
              </w:rPr>
            </w:pPr>
            <w:r>
              <w:rPr>
                <w:rFonts w:ascii="Arial" w:cs="Arial" w:eastAsia="Arial" w:hAnsi="Arial"/>
                <w:sz w:val="13"/>
                <w:szCs w:val="13"/>
                <w:color w:val="auto"/>
              </w:rPr>
              <w:t>At 1 January 2021</w:t>
            </w:r>
          </w:p>
        </w:tc>
        <w:tc>
          <w:tcPr>
            <w:tcW w:w="3320" w:type="dxa"/>
            <w:vAlign w:val="bottom"/>
          </w:tcPr>
          <w:p>
            <w:pPr>
              <w:jc w:val="right"/>
              <w:ind w:right="196"/>
              <w:spacing w:after="0"/>
              <w:rPr>
                <w:sz w:val="20"/>
                <w:szCs w:val="20"/>
                <w:color w:val="auto"/>
              </w:rPr>
            </w:pPr>
            <w:r>
              <w:rPr>
                <w:rFonts w:ascii="Arial" w:cs="Arial" w:eastAsia="Arial" w:hAnsi="Arial"/>
                <w:sz w:val="13"/>
                <w:szCs w:val="13"/>
                <w:color w:val="auto"/>
              </w:rPr>
              <w:t>1,039</w:t>
            </w:r>
          </w:p>
        </w:tc>
        <w:tc>
          <w:tcPr>
            <w:tcW w:w="1640" w:type="dxa"/>
            <w:vAlign w:val="bottom"/>
          </w:tcPr>
          <w:p>
            <w:pPr>
              <w:jc w:val="right"/>
              <w:ind w:right="236"/>
              <w:spacing w:after="0"/>
              <w:rPr>
                <w:sz w:val="20"/>
                <w:szCs w:val="20"/>
                <w:color w:val="auto"/>
              </w:rPr>
            </w:pPr>
            <w:r>
              <w:rPr>
                <w:rFonts w:ascii="Arial" w:cs="Arial" w:eastAsia="Arial" w:hAnsi="Arial"/>
                <w:sz w:val="13"/>
                <w:szCs w:val="13"/>
                <w:color w:val="auto"/>
              </w:rPr>
              <w:t>2,054</w:t>
            </w:r>
          </w:p>
        </w:tc>
        <w:tc>
          <w:tcPr>
            <w:tcW w:w="2080" w:type="dxa"/>
            <w:vAlign w:val="bottom"/>
          </w:tcPr>
          <w:p>
            <w:pPr>
              <w:jc w:val="right"/>
              <w:ind w:right="636"/>
              <w:spacing w:after="0"/>
              <w:rPr>
                <w:sz w:val="20"/>
                <w:szCs w:val="20"/>
                <w:color w:val="auto"/>
              </w:rPr>
            </w:pPr>
            <w:r>
              <w:rPr>
                <w:rFonts w:ascii="Arial" w:cs="Arial" w:eastAsia="Arial" w:hAnsi="Arial"/>
                <w:sz w:val="13"/>
                <w:szCs w:val="13"/>
                <w:color w:val="auto"/>
              </w:rPr>
              <w:t>1,910</w:t>
            </w:r>
          </w:p>
        </w:tc>
        <w:tc>
          <w:tcPr>
            <w:tcW w:w="820" w:type="dxa"/>
            <w:vAlign w:val="bottom"/>
          </w:tcPr>
          <w:p>
            <w:pPr>
              <w:jc w:val="right"/>
              <w:spacing w:after="0"/>
              <w:rPr>
                <w:sz w:val="20"/>
                <w:szCs w:val="20"/>
                <w:color w:val="auto"/>
              </w:rPr>
            </w:pPr>
            <w:r>
              <w:rPr>
                <w:rFonts w:ascii="Arial" w:cs="Arial" w:eastAsia="Arial" w:hAnsi="Arial"/>
                <w:sz w:val="13"/>
                <w:szCs w:val="13"/>
                <w:color w:val="auto"/>
              </w:rPr>
              <w:t>5,003</w:t>
            </w:r>
          </w:p>
        </w:tc>
        <w:tc>
          <w:tcPr>
            <w:tcW w:w="260" w:type="dxa"/>
            <w:vAlign w:val="bottom"/>
          </w:tcPr>
          <w:p>
            <w:pPr>
              <w:spacing w:after="0"/>
              <w:rPr>
                <w:sz w:val="14"/>
                <w:szCs w:val="14"/>
                <w:color w:val="auto"/>
              </w:rPr>
            </w:pPr>
          </w:p>
        </w:tc>
      </w:tr>
      <w:tr>
        <w:trPr>
          <w:trHeight w:val="171"/>
        </w:trPr>
        <w:tc>
          <w:tcPr>
            <w:tcW w:w="3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Additions</w:t>
            </w:r>
          </w:p>
        </w:tc>
        <w:tc>
          <w:tcPr>
            <w:tcW w:w="332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w:t>
            </w:r>
          </w:p>
        </w:tc>
        <w:tc>
          <w:tcPr>
            <w:tcW w:w="164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2</w:t>
            </w:r>
          </w:p>
        </w:tc>
        <w:tc>
          <w:tcPr>
            <w:tcW w:w="2080" w:type="dxa"/>
            <w:vAlign w:val="bottom"/>
            <w:shd w:val="clear" w:color="auto" w:fill="CCEEFF"/>
          </w:tcPr>
          <w:p>
            <w:pPr>
              <w:jc w:val="right"/>
              <w:ind w:right="656"/>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260" w:type="dxa"/>
            <w:vAlign w:val="bottom"/>
          </w:tcPr>
          <w:p>
            <w:pPr>
              <w:spacing w:after="0"/>
              <w:rPr>
                <w:sz w:val="14"/>
                <w:szCs w:val="14"/>
                <w:color w:val="auto"/>
              </w:rPr>
            </w:pPr>
          </w:p>
        </w:tc>
      </w:tr>
      <w:tr>
        <w:trPr>
          <w:trHeight w:val="169"/>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Foreign currency movement</w:t>
            </w:r>
          </w:p>
        </w:tc>
        <w:tc>
          <w:tcPr>
            <w:tcW w:w="332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(74)</w:t>
            </w:r>
          </w:p>
        </w:tc>
        <w:tc>
          <w:tcPr>
            <w:tcW w:w="164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rPr>
              <w:t>(146)</w:t>
            </w:r>
          </w:p>
        </w:tc>
        <w:tc>
          <w:tcPr>
            <w:tcW w:w="2080" w:type="dxa"/>
            <w:vAlign w:val="bottom"/>
            <w:tcBorders>
              <w:bottom w:val="single" w:sz="8" w:color="auto"/>
            </w:tcBorders>
          </w:tcPr>
          <w:p>
            <w:pPr>
              <w:jc w:val="right"/>
              <w:ind w:right="596"/>
              <w:spacing w:after="0"/>
              <w:rPr>
                <w:sz w:val="20"/>
                <w:szCs w:val="20"/>
                <w:color w:val="auto"/>
              </w:rPr>
            </w:pPr>
            <w:r>
              <w:rPr>
                <w:rFonts w:ascii="Arial" w:cs="Arial" w:eastAsia="Arial" w:hAnsi="Arial"/>
                <w:sz w:val="13"/>
                <w:szCs w:val="13"/>
                <w:color w:val="auto"/>
              </w:rPr>
              <w:t>(135)</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(355)</w:t>
            </w:r>
          </w:p>
        </w:tc>
        <w:tc>
          <w:tcPr>
            <w:tcW w:w="260" w:type="dxa"/>
            <w:vAlign w:val="bottom"/>
          </w:tcPr>
          <w:p>
            <w:pPr>
              <w:spacing w:after="0"/>
              <w:rPr>
                <w:sz w:val="14"/>
                <w:szCs w:val="14"/>
                <w:color w:val="auto"/>
              </w:rPr>
            </w:pPr>
          </w:p>
        </w:tc>
      </w:tr>
      <w:tr>
        <w:trPr>
          <w:trHeight w:val="151"/>
        </w:trPr>
        <w:tc>
          <w:tcPr>
            <w:tcW w:w="3160" w:type="dxa"/>
            <w:vAlign w:val="bottom"/>
            <w:shd w:val="clear" w:color="auto" w:fill="CCEEFF"/>
          </w:tcPr>
          <w:p>
            <w:pPr>
              <w:spacing w:after="0"/>
              <w:rPr>
                <w:sz w:val="13"/>
                <w:szCs w:val="13"/>
                <w:color w:val="auto"/>
              </w:rPr>
            </w:pPr>
          </w:p>
        </w:tc>
        <w:tc>
          <w:tcPr>
            <w:tcW w:w="332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20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60" w:type="dxa"/>
            <w:vAlign w:val="bottom"/>
          </w:tcPr>
          <w:p>
            <w:pPr>
              <w:spacing w:after="0"/>
              <w:rPr>
                <w:sz w:val="13"/>
                <w:szCs w:val="13"/>
                <w:color w:val="auto"/>
              </w:rPr>
            </w:pPr>
          </w:p>
        </w:tc>
      </w:tr>
      <w:tr>
        <w:trPr>
          <w:trHeight w:val="170"/>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At 31 December 2021</w:t>
            </w:r>
          </w:p>
        </w:tc>
        <w:tc>
          <w:tcPr>
            <w:tcW w:w="332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965</w:t>
            </w:r>
          </w:p>
        </w:tc>
        <w:tc>
          <w:tcPr>
            <w:tcW w:w="164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1,910</w:t>
            </w:r>
          </w:p>
        </w:tc>
        <w:tc>
          <w:tcPr>
            <w:tcW w:w="2080" w:type="dxa"/>
            <w:vAlign w:val="bottom"/>
            <w:tcBorders>
              <w:bottom w:val="single" w:sz="8" w:color="auto"/>
            </w:tcBorders>
          </w:tcPr>
          <w:p>
            <w:pPr>
              <w:jc w:val="right"/>
              <w:ind w:right="636"/>
              <w:spacing w:after="0"/>
              <w:rPr>
                <w:sz w:val="20"/>
                <w:szCs w:val="20"/>
                <w:color w:val="auto"/>
              </w:rPr>
            </w:pPr>
            <w:r>
              <w:rPr>
                <w:rFonts w:ascii="Arial" w:cs="Arial" w:eastAsia="Arial" w:hAnsi="Arial"/>
                <w:sz w:val="13"/>
                <w:szCs w:val="13"/>
                <w:b w:val="1"/>
                <w:bCs w:val="1"/>
                <w:color w:val="auto"/>
              </w:rPr>
              <w:t>1,775</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4,650</w:t>
            </w:r>
          </w:p>
        </w:tc>
        <w:tc>
          <w:tcPr>
            <w:tcW w:w="260" w:type="dxa"/>
            <w:vAlign w:val="bottom"/>
          </w:tcPr>
          <w:p>
            <w:pPr>
              <w:spacing w:after="0"/>
              <w:rPr>
                <w:sz w:val="14"/>
                <w:szCs w:val="14"/>
                <w:color w:val="auto"/>
              </w:rPr>
            </w:pPr>
          </w:p>
        </w:tc>
      </w:tr>
      <w:tr>
        <w:trPr>
          <w:trHeight w:val="150"/>
        </w:trPr>
        <w:tc>
          <w:tcPr>
            <w:tcW w:w="3160" w:type="dxa"/>
            <w:vAlign w:val="bottom"/>
            <w:shd w:val="clear" w:color="auto" w:fill="CCEEFF"/>
          </w:tcPr>
          <w:p>
            <w:pPr>
              <w:spacing w:after="0"/>
              <w:rPr>
                <w:sz w:val="13"/>
                <w:szCs w:val="13"/>
                <w:color w:val="auto"/>
              </w:rPr>
            </w:pPr>
          </w:p>
        </w:tc>
        <w:tc>
          <w:tcPr>
            <w:tcW w:w="332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20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60" w:type="dxa"/>
            <w:vAlign w:val="bottom"/>
          </w:tcPr>
          <w:p>
            <w:pPr>
              <w:spacing w:after="0"/>
              <w:rPr>
                <w:sz w:val="13"/>
                <w:szCs w:val="13"/>
                <w:color w:val="auto"/>
              </w:rPr>
            </w:pPr>
          </w:p>
        </w:tc>
      </w:tr>
      <w:tr>
        <w:trPr>
          <w:trHeight w:val="170"/>
        </w:trPr>
        <w:tc>
          <w:tcPr>
            <w:tcW w:w="3160" w:type="dxa"/>
            <w:vAlign w:val="bottom"/>
          </w:tcPr>
          <w:p>
            <w:pPr>
              <w:ind w:left="20"/>
              <w:spacing w:after="0"/>
              <w:rPr>
                <w:sz w:val="20"/>
                <w:szCs w:val="20"/>
                <w:color w:val="auto"/>
              </w:rPr>
            </w:pPr>
            <w:r>
              <w:rPr>
                <w:rFonts w:ascii="Arial" w:cs="Arial" w:eastAsia="Arial" w:hAnsi="Arial"/>
                <w:sz w:val="13"/>
                <w:szCs w:val="13"/>
                <w:b w:val="1"/>
                <w:bCs w:val="1"/>
                <w:color w:val="auto"/>
              </w:rPr>
              <w:t>Depreciation</w:t>
            </w:r>
          </w:p>
        </w:tc>
        <w:tc>
          <w:tcPr>
            <w:tcW w:w="3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0"/>
        </w:trPr>
        <w:tc>
          <w:tcPr>
            <w:tcW w:w="3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At 1 January 2021</w:t>
            </w:r>
          </w:p>
        </w:tc>
        <w:tc>
          <w:tcPr>
            <w:tcW w:w="332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1,031</w:t>
            </w:r>
          </w:p>
        </w:tc>
        <w:tc>
          <w:tcPr>
            <w:tcW w:w="164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1,996</w:t>
            </w:r>
          </w:p>
        </w:tc>
        <w:tc>
          <w:tcPr>
            <w:tcW w:w="2080" w:type="dxa"/>
            <w:vAlign w:val="bottom"/>
            <w:shd w:val="clear" w:color="auto" w:fill="CCEEFF"/>
          </w:tcPr>
          <w:p>
            <w:pPr>
              <w:jc w:val="right"/>
              <w:ind w:right="636"/>
              <w:spacing w:after="0"/>
              <w:rPr>
                <w:sz w:val="20"/>
                <w:szCs w:val="20"/>
                <w:color w:val="auto"/>
              </w:rPr>
            </w:pPr>
            <w:r>
              <w:rPr>
                <w:rFonts w:ascii="Arial" w:cs="Arial" w:eastAsia="Arial" w:hAnsi="Arial"/>
                <w:sz w:val="13"/>
                <w:szCs w:val="13"/>
                <w:color w:val="auto"/>
              </w:rPr>
              <w:t>1,455</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4,482</w:t>
            </w:r>
          </w:p>
        </w:tc>
        <w:tc>
          <w:tcPr>
            <w:tcW w:w="260" w:type="dxa"/>
            <w:vAlign w:val="bottom"/>
          </w:tcPr>
          <w:p>
            <w:pPr>
              <w:spacing w:after="0"/>
              <w:rPr>
                <w:sz w:val="14"/>
                <w:szCs w:val="14"/>
                <w:color w:val="auto"/>
              </w:rPr>
            </w:pPr>
          </w:p>
        </w:tc>
      </w:tr>
      <w:tr>
        <w:trPr>
          <w:trHeight w:val="169"/>
        </w:trPr>
        <w:tc>
          <w:tcPr>
            <w:tcW w:w="3160" w:type="dxa"/>
            <w:vAlign w:val="bottom"/>
          </w:tcPr>
          <w:p>
            <w:pPr>
              <w:ind w:left="20"/>
              <w:spacing w:after="0"/>
              <w:rPr>
                <w:sz w:val="20"/>
                <w:szCs w:val="20"/>
                <w:color w:val="auto"/>
              </w:rPr>
            </w:pPr>
            <w:r>
              <w:rPr>
                <w:rFonts w:ascii="Arial" w:cs="Arial" w:eastAsia="Arial" w:hAnsi="Arial"/>
                <w:sz w:val="13"/>
                <w:szCs w:val="13"/>
                <w:color w:val="auto"/>
              </w:rPr>
              <w:t>Charge for the year</w:t>
            </w:r>
          </w:p>
        </w:tc>
        <w:tc>
          <w:tcPr>
            <w:tcW w:w="3320" w:type="dxa"/>
            <w:vAlign w:val="bottom"/>
          </w:tcPr>
          <w:p>
            <w:pPr>
              <w:jc w:val="right"/>
              <w:ind w:right="196"/>
              <w:spacing w:after="0"/>
              <w:rPr>
                <w:sz w:val="20"/>
                <w:szCs w:val="20"/>
                <w:color w:val="auto"/>
              </w:rPr>
            </w:pPr>
            <w:r>
              <w:rPr>
                <w:rFonts w:ascii="Arial" w:cs="Arial" w:eastAsia="Arial" w:hAnsi="Arial"/>
                <w:sz w:val="13"/>
                <w:szCs w:val="13"/>
                <w:color w:val="auto"/>
              </w:rPr>
              <w:t>1</w:t>
            </w:r>
          </w:p>
        </w:tc>
        <w:tc>
          <w:tcPr>
            <w:tcW w:w="1640" w:type="dxa"/>
            <w:vAlign w:val="bottom"/>
          </w:tcPr>
          <w:p>
            <w:pPr>
              <w:jc w:val="right"/>
              <w:ind w:right="236"/>
              <w:spacing w:after="0"/>
              <w:rPr>
                <w:sz w:val="20"/>
                <w:szCs w:val="20"/>
                <w:color w:val="auto"/>
              </w:rPr>
            </w:pPr>
            <w:r>
              <w:rPr>
                <w:rFonts w:ascii="Arial" w:cs="Arial" w:eastAsia="Arial" w:hAnsi="Arial"/>
                <w:sz w:val="13"/>
                <w:szCs w:val="13"/>
                <w:color w:val="auto"/>
              </w:rPr>
              <w:t>29</w:t>
            </w:r>
          </w:p>
        </w:tc>
        <w:tc>
          <w:tcPr>
            <w:tcW w:w="2080" w:type="dxa"/>
            <w:vAlign w:val="bottom"/>
          </w:tcPr>
          <w:p>
            <w:pPr>
              <w:jc w:val="right"/>
              <w:ind w:right="636"/>
              <w:spacing w:after="0"/>
              <w:rPr>
                <w:sz w:val="20"/>
                <w:szCs w:val="20"/>
                <w:color w:val="auto"/>
              </w:rPr>
            </w:pPr>
            <w:r>
              <w:rPr>
                <w:rFonts w:ascii="Arial" w:cs="Arial" w:eastAsia="Arial" w:hAnsi="Arial"/>
                <w:sz w:val="13"/>
                <w:szCs w:val="13"/>
                <w:color w:val="auto"/>
              </w:rPr>
              <w:t>93</w:t>
            </w:r>
          </w:p>
        </w:tc>
        <w:tc>
          <w:tcPr>
            <w:tcW w:w="820" w:type="dxa"/>
            <w:vAlign w:val="bottom"/>
          </w:tcPr>
          <w:p>
            <w:pPr>
              <w:jc w:val="right"/>
              <w:spacing w:after="0"/>
              <w:rPr>
                <w:sz w:val="20"/>
                <w:szCs w:val="20"/>
                <w:color w:val="auto"/>
              </w:rPr>
            </w:pPr>
            <w:r>
              <w:rPr>
                <w:rFonts w:ascii="Arial" w:cs="Arial" w:eastAsia="Arial" w:hAnsi="Arial"/>
                <w:sz w:val="13"/>
                <w:szCs w:val="13"/>
                <w:color w:val="auto"/>
              </w:rPr>
              <w:t>123</w:t>
            </w:r>
          </w:p>
        </w:tc>
        <w:tc>
          <w:tcPr>
            <w:tcW w:w="260" w:type="dxa"/>
            <w:vAlign w:val="bottom"/>
          </w:tcPr>
          <w:p>
            <w:pPr>
              <w:spacing w:after="0"/>
              <w:rPr>
                <w:sz w:val="14"/>
                <w:szCs w:val="14"/>
                <w:color w:val="auto"/>
              </w:rPr>
            </w:pPr>
          </w:p>
        </w:tc>
      </w:tr>
      <w:tr>
        <w:trPr>
          <w:trHeight w:val="170"/>
        </w:trPr>
        <w:tc>
          <w:tcPr>
            <w:tcW w:w="3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Foreign currency movement</w:t>
            </w:r>
          </w:p>
        </w:tc>
        <w:tc>
          <w:tcPr>
            <w:tcW w:w="332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rPr>
              <w:t>(74)</w:t>
            </w:r>
          </w:p>
        </w:tc>
        <w:tc>
          <w:tcPr>
            <w:tcW w:w="164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rPr>
              <w:t>(139)</w:t>
            </w:r>
          </w:p>
        </w:tc>
        <w:tc>
          <w:tcPr>
            <w:tcW w:w="2080" w:type="dxa"/>
            <w:vAlign w:val="bottom"/>
            <w:tcBorders>
              <w:bottom w:val="single" w:sz="8" w:color="auto"/>
            </w:tcBorders>
            <w:shd w:val="clear" w:color="auto" w:fill="CCEEFF"/>
          </w:tcPr>
          <w:p>
            <w:pPr>
              <w:jc w:val="right"/>
              <w:ind w:right="596"/>
              <w:spacing w:after="0"/>
              <w:rPr>
                <w:sz w:val="20"/>
                <w:szCs w:val="20"/>
                <w:color w:val="auto"/>
              </w:rPr>
            </w:pPr>
            <w:r>
              <w:rPr>
                <w:rFonts w:ascii="Arial" w:cs="Arial" w:eastAsia="Arial" w:hAnsi="Arial"/>
                <w:sz w:val="13"/>
                <w:szCs w:val="13"/>
                <w:color w:val="auto"/>
              </w:rPr>
              <w:t>(111)</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(324)</w:t>
            </w:r>
          </w:p>
        </w:tc>
        <w:tc>
          <w:tcPr>
            <w:tcW w:w="260" w:type="dxa"/>
            <w:vAlign w:val="bottom"/>
          </w:tcPr>
          <w:p>
            <w:pPr>
              <w:spacing w:after="0"/>
              <w:rPr>
                <w:sz w:val="14"/>
                <w:szCs w:val="14"/>
                <w:color w:val="auto"/>
              </w:rPr>
            </w:pPr>
          </w:p>
        </w:tc>
      </w:tr>
      <w:tr>
        <w:trPr>
          <w:trHeight w:val="151"/>
        </w:trPr>
        <w:tc>
          <w:tcPr>
            <w:tcW w:w="316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170"/>
        </w:trPr>
        <w:tc>
          <w:tcPr>
            <w:tcW w:w="3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At 31 December 2021</w:t>
            </w:r>
          </w:p>
        </w:tc>
        <w:tc>
          <w:tcPr>
            <w:tcW w:w="332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958</w:t>
            </w:r>
          </w:p>
        </w:tc>
        <w:tc>
          <w:tcPr>
            <w:tcW w:w="164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1,886</w:t>
            </w:r>
          </w:p>
        </w:tc>
        <w:tc>
          <w:tcPr>
            <w:tcW w:w="208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3"/>
                <w:szCs w:val="13"/>
                <w:b w:val="1"/>
                <w:bCs w:val="1"/>
                <w:color w:val="auto"/>
              </w:rPr>
              <w:t>1,437</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4,281</w:t>
            </w:r>
          </w:p>
        </w:tc>
        <w:tc>
          <w:tcPr>
            <w:tcW w:w="260" w:type="dxa"/>
            <w:vAlign w:val="bottom"/>
          </w:tcPr>
          <w:p>
            <w:pPr>
              <w:spacing w:after="0"/>
              <w:rPr>
                <w:sz w:val="14"/>
                <w:szCs w:val="14"/>
                <w:color w:val="auto"/>
              </w:rPr>
            </w:pPr>
          </w:p>
        </w:tc>
      </w:tr>
      <w:tr>
        <w:trPr>
          <w:trHeight w:val="150"/>
        </w:trPr>
        <w:tc>
          <w:tcPr>
            <w:tcW w:w="316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170"/>
        </w:trPr>
        <w:tc>
          <w:tcPr>
            <w:tcW w:w="31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book value</w:t>
            </w:r>
          </w:p>
        </w:tc>
        <w:tc>
          <w:tcPr>
            <w:tcW w:w="332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tcPr>
          <w:p>
            <w:pPr>
              <w:spacing w:after="0"/>
              <w:rPr>
                <w:sz w:val="14"/>
                <w:szCs w:val="14"/>
                <w:color w:val="auto"/>
              </w:rPr>
            </w:pPr>
          </w:p>
        </w:tc>
      </w:tr>
      <w:tr>
        <w:trPr>
          <w:trHeight w:val="171"/>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At 31 December 2021</w:t>
            </w:r>
          </w:p>
        </w:tc>
        <w:tc>
          <w:tcPr>
            <w:tcW w:w="332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7</w:t>
            </w:r>
          </w:p>
        </w:tc>
        <w:tc>
          <w:tcPr>
            <w:tcW w:w="164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24</w:t>
            </w:r>
          </w:p>
        </w:tc>
        <w:tc>
          <w:tcPr>
            <w:tcW w:w="2080" w:type="dxa"/>
            <w:vAlign w:val="bottom"/>
            <w:tcBorders>
              <w:bottom w:val="single" w:sz="8" w:color="auto"/>
            </w:tcBorders>
          </w:tcPr>
          <w:p>
            <w:pPr>
              <w:jc w:val="right"/>
              <w:ind w:right="636"/>
              <w:spacing w:after="0"/>
              <w:rPr>
                <w:sz w:val="20"/>
                <w:szCs w:val="20"/>
                <w:color w:val="auto"/>
              </w:rPr>
            </w:pPr>
            <w:r>
              <w:rPr>
                <w:rFonts w:ascii="Arial" w:cs="Arial" w:eastAsia="Arial" w:hAnsi="Arial"/>
                <w:sz w:val="13"/>
                <w:szCs w:val="13"/>
                <w:b w:val="1"/>
                <w:bCs w:val="1"/>
                <w:color w:val="auto"/>
              </w:rPr>
              <w:t>338</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369</w:t>
            </w:r>
          </w:p>
        </w:tc>
        <w:tc>
          <w:tcPr>
            <w:tcW w:w="260" w:type="dxa"/>
            <w:vAlign w:val="bottom"/>
          </w:tcPr>
          <w:p>
            <w:pPr>
              <w:spacing w:after="0"/>
              <w:rPr>
                <w:sz w:val="14"/>
                <w:szCs w:val="14"/>
                <w:color w:val="auto"/>
              </w:rPr>
            </w:pPr>
          </w:p>
        </w:tc>
      </w:tr>
      <w:tr>
        <w:trPr>
          <w:trHeight w:val="159"/>
        </w:trPr>
        <w:tc>
          <w:tcPr>
            <w:tcW w:w="3160" w:type="dxa"/>
            <w:vAlign w:val="bottom"/>
            <w:shd w:val="clear" w:color="auto" w:fill="CCEEFF"/>
          </w:tcPr>
          <w:p>
            <w:pPr>
              <w:spacing w:after="0"/>
              <w:rPr>
                <w:sz w:val="13"/>
                <w:szCs w:val="13"/>
                <w:color w:val="auto"/>
              </w:rPr>
            </w:pPr>
          </w:p>
        </w:tc>
        <w:tc>
          <w:tcPr>
            <w:tcW w:w="332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20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60" w:type="dxa"/>
            <w:vAlign w:val="bottom"/>
          </w:tcPr>
          <w:p>
            <w:pPr>
              <w:spacing w:after="0"/>
              <w:rPr>
                <w:sz w:val="13"/>
                <w:szCs w:val="13"/>
                <w:color w:val="auto"/>
              </w:rPr>
            </w:pPr>
          </w:p>
        </w:tc>
      </w:tr>
      <w:tr>
        <w:trPr>
          <w:trHeight w:val="171"/>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At 31 December 2020</w:t>
            </w:r>
          </w:p>
        </w:tc>
        <w:tc>
          <w:tcPr>
            <w:tcW w:w="332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rPr>
              <w:t>8</w:t>
            </w:r>
          </w:p>
        </w:tc>
        <w:tc>
          <w:tcPr>
            <w:tcW w:w="164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color w:val="auto"/>
              </w:rPr>
              <w:t>58</w:t>
            </w:r>
          </w:p>
        </w:tc>
        <w:tc>
          <w:tcPr>
            <w:tcW w:w="2080" w:type="dxa"/>
            <w:vAlign w:val="bottom"/>
            <w:tcBorders>
              <w:bottom w:val="single" w:sz="8" w:color="auto"/>
            </w:tcBorders>
          </w:tcPr>
          <w:p>
            <w:pPr>
              <w:jc w:val="right"/>
              <w:ind w:right="636"/>
              <w:spacing w:after="0"/>
              <w:rPr>
                <w:sz w:val="20"/>
                <w:szCs w:val="20"/>
                <w:color w:val="auto"/>
              </w:rPr>
            </w:pPr>
            <w:r>
              <w:rPr>
                <w:rFonts w:ascii="Arial" w:cs="Arial" w:eastAsia="Arial" w:hAnsi="Arial"/>
                <w:sz w:val="13"/>
                <w:szCs w:val="13"/>
                <w:color w:val="auto"/>
              </w:rPr>
              <w:t>455</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521</w:t>
            </w:r>
          </w:p>
        </w:tc>
        <w:tc>
          <w:tcPr>
            <w:tcW w:w="260" w:type="dxa"/>
            <w:vAlign w:val="bottom"/>
          </w:tcPr>
          <w:p>
            <w:pPr>
              <w:spacing w:after="0"/>
              <w:rPr>
                <w:sz w:val="14"/>
                <w:szCs w:val="14"/>
                <w:color w:val="auto"/>
              </w:rPr>
            </w:pPr>
          </w:p>
        </w:tc>
      </w:tr>
      <w:tr>
        <w:trPr>
          <w:trHeight w:val="85"/>
        </w:trPr>
        <w:tc>
          <w:tcPr>
            <w:tcW w:w="3160" w:type="dxa"/>
            <w:vAlign w:val="bottom"/>
          </w:tcPr>
          <w:p>
            <w:pPr>
              <w:spacing w:after="0"/>
              <w:rPr>
                <w:sz w:val="7"/>
                <w:szCs w:val="7"/>
                <w:color w:val="auto"/>
              </w:rPr>
            </w:pPr>
          </w:p>
        </w:tc>
        <w:tc>
          <w:tcPr>
            <w:tcW w:w="3320" w:type="dxa"/>
            <w:vAlign w:val="bottom"/>
          </w:tcPr>
          <w:p>
            <w:pPr>
              <w:spacing w:after="0"/>
              <w:rPr>
                <w:sz w:val="7"/>
                <w:szCs w:val="7"/>
                <w:color w:val="auto"/>
              </w:rPr>
            </w:pPr>
          </w:p>
        </w:tc>
        <w:tc>
          <w:tcPr>
            <w:tcW w:w="164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080" w:type="dxa"/>
            <w:vAlign w:val="bottom"/>
            <w:gridSpan w:val="2"/>
          </w:tcPr>
          <w:p>
            <w:pPr>
              <w:spacing w:after="0"/>
              <w:rPr>
                <w:sz w:val="7"/>
                <w:szCs w:val="7"/>
                <w:color w:val="auto"/>
              </w:rPr>
            </w:pPr>
          </w:p>
        </w:tc>
      </w:tr>
      <w:tr>
        <w:trPr>
          <w:trHeight w:val="170"/>
        </w:trPr>
        <w:tc>
          <w:tcPr>
            <w:tcW w:w="3160" w:type="dxa"/>
            <w:vAlign w:val="bottom"/>
            <w:tcBorders>
              <w:bottom w:val="single" w:sz="8" w:color="auto"/>
            </w:tcBorders>
            <w:shd w:val="clear" w:color="auto" w:fill="CCEEFF"/>
          </w:tcPr>
          <w:p>
            <w:pPr>
              <w:spacing w:after="0"/>
              <w:rPr>
                <w:sz w:val="14"/>
                <w:szCs w:val="14"/>
                <w:color w:val="auto"/>
              </w:rPr>
            </w:pPr>
          </w:p>
        </w:tc>
        <w:tc>
          <w:tcPr>
            <w:tcW w:w="33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Leasehold improvements</w:t>
            </w:r>
          </w:p>
        </w:tc>
        <w:tc>
          <w:tcPr>
            <w:tcW w:w="16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Computer equipment</w:t>
            </w:r>
          </w:p>
        </w:tc>
        <w:tc>
          <w:tcPr>
            <w:tcW w:w="208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b w:val="1"/>
                <w:bCs w:val="1"/>
                <w:color w:val="auto"/>
              </w:rPr>
              <w:t>Office furniture &amp; fixtures</w:t>
            </w:r>
          </w:p>
        </w:tc>
        <w:tc>
          <w:tcPr>
            <w:tcW w:w="1080" w:type="dxa"/>
            <w:vAlign w:val="bottom"/>
            <w:tcBorders>
              <w:bottom w:val="single" w:sz="8" w:color="auto"/>
            </w:tcBorders>
            <w:gridSpan w:val="2"/>
            <w:shd w:val="clear" w:color="auto" w:fill="CCEEFF"/>
          </w:tcPr>
          <w:p>
            <w:pPr>
              <w:jc w:val="center"/>
              <w:ind w:left="696"/>
              <w:spacing w:after="0"/>
              <w:rPr>
                <w:sz w:val="20"/>
                <w:szCs w:val="20"/>
                <w:color w:val="auto"/>
              </w:rPr>
            </w:pPr>
            <w:r>
              <w:rPr>
                <w:rFonts w:ascii="Arial" w:cs="Arial" w:eastAsia="Arial" w:hAnsi="Arial"/>
                <w:sz w:val="13"/>
                <w:szCs w:val="13"/>
                <w:b w:val="1"/>
                <w:bCs w:val="1"/>
                <w:color w:val="auto"/>
                <w:w w:val="89"/>
              </w:rPr>
              <w:t>Total</w:t>
            </w:r>
          </w:p>
        </w:tc>
      </w:tr>
      <w:tr>
        <w:trPr>
          <w:trHeight w:val="160"/>
        </w:trPr>
        <w:tc>
          <w:tcPr>
            <w:tcW w:w="3160" w:type="dxa"/>
            <w:vAlign w:val="bottom"/>
          </w:tcPr>
          <w:p>
            <w:pPr>
              <w:spacing w:after="0"/>
              <w:rPr>
                <w:sz w:val="13"/>
                <w:szCs w:val="13"/>
                <w:color w:val="auto"/>
              </w:rPr>
            </w:pPr>
          </w:p>
        </w:tc>
        <w:tc>
          <w:tcPr>
            <w:tcW w:w="3320" w:type="dxa"/>
            <w:vAlign w:val="bottom"/>
          </w:tcPr>
          <w:p>
            <w:pPr>
              <w:jc w:val="right"/>
              <w:ind w:right="16"/>
              <w:spacing w:after="0"/>
              <w:rPr>
                <w:sz w:val="20"/>
                <w:szCs w:val="20"/>
                <w:color w:val="auto"/>
              </w:rPr>
            </w:pPr>
            <w:r>
              <w:rPr>
                <w:rFonts w:ascii="Arial" w:cs="Arial" w:eastAsia="Arial" w:hAnsi="Arial"/>
                <w:sz w:val="13"/>
                <w:szCs w:val="13"/>
                <w:b w:val="1"/>
                <w:bCs w:val="1"/>
                <w:color w:val="auto"/>
              </w:rPr>
              <w:t>$’000</w:t>
            </w:r>
          </w:p>
        </w:tc>
        <w:tc>
          <w:tcPr>
            <w:tcW w:w="1640" w:type="dxa"/>
            <w:vAlign w:val="bottom"/>
          </w:tcPr>
          <w:p>
            <w:pPr>
              <w:jc w:val="right"/>
              <w:ind w:right="36"/>
              <w:spacing w:after="0"/>
              <w:rPr>
                <w:sz w:val="20"/>
                <w:szCs w:val="20"/>
                <w:color w:val="auto"/>
              </w:rPr>
            </w:pPr>
            <w:r>
              <w:rPr>
                <w:rFonts w:ascii="Arial" w:cs="Arial" w:eastAsia="Arial" w:hAnsi="Arial"/>
                <w:sz w:val="13"/>
                <w:szCs w:val="13"/>
                <w:b w:val="1"/>
                <w:bCs w:val="1"/>
                <w:color w:val="auto"/>
              </w:rPr>
              <w:t>$’000</w:t>
            </w:r>
          </w:p>
        </w:tc>
        <w:tc>
          <w:tcPr>
            <w:tcW w:w="2080" w:type="dxa"/>
            <w:vAlign w:val="bottom"/>
          </w:tcPr>
          <w:p>
            <w:pPr>
              <w:jc w:val="right"/>
              <w:ind w:right="376"/>
              <w:spacing w:after="0"/>
              <w:rPr>
                <w:sz w:val="20"/>
                <w:szCs w:val="20"/>
                <w:color w:val="auto"/>
              </w:rPr>
            </w:pPr>
            <w:r>
              <w:rPr>
                <w:rFonts w:ascii="Arial" w:cs="Arial" w:eastAsia="Arial" w:hAnsi="Arial"/>
                <w:sz w:val="13"/>
                <w:szCs w:val="13"/>
                <w:b w:val="1"/>
                <w:bCs w:val="1"/>
                <w:color w:val="auto"/>
              </w:rPr>
              <w:t>$’000</w:t>
            </w:r>
          </w:p>
        </w:tc>
        <w:tc>
          <w:tcPr>
            <w:tcW w:w="1080" w:type="dxa"/>
            <w:vAlign w:val="bottom"/>
            <w:gridSpan w:val="2"/>
          </w:tcPr>
          <w:p>
            <w:pPr>
              <w:jc w:val="center"/>
              <w:ind w:left="676"/>
              <w:spacing w:after="0"/>
              <w:rPr>
                <w:sz w:val="20"/>
                <w:szCs w:val="20"/>
                <w:color w:val="auto"/>
              </w:rPr>
            </w:pPr>
            <w:r>
              <w:rPr>
                <w:rFonts w:ascii="Arial" w:cs="Arial" w:eastAsia="Arial" w:hAnsi="Arial"/>
                <w:sz w:val="13"/>
                <w:szCs w:val="13"/>
                <w:b w:val="1"/>
                <w:bCs w:val="1"/>
                <w:color w:val="auto"/>
                <w:w w:val="92"/>
              </w:rPr>
              <w:t>$’000</w:t>
            </w:r>
          </w:p>
        </w:tc>
      </w:tr>
      <w:tr>
        <w:trPr>
          <w:trHeight w:val="170"/>
        </w:trPr>
        <w:tc>
          <w:tcPr>
            <w:tcW w:w="31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Cost</w:t>
            </w:r>
          </w:p>
        </w:tc>
        <w:tc>
          <w:tcPr>
            <w:tcW w:w="332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r>
      <w:tr>
        <w:trPr>
          <w:trHeight w:val="169"/>
        </w:trPr>
        <w:tc>
          <w:tcPr>
            <w:tcW w:w="3160" w:type="dxa"/>
            <w:vAlign w:val="bottom"/>
          </w:tcPr>
          <w:p>
            <w:pPr>
              <w:ind w:left="20"/>
              <w:spacing w:after="0"/>
              <w:rPr>
                <w:sz w:val="20"/>
                <w:szCs w:val="20"/>
                <w:color w:val="auto"/>
              </w:rPr>
            </w:pPr>
            <w:r>
              <w:rPr>
                <w:rFonts w:ascii="Arial" w:cs="Arial" w:eastAsia="Arial" w:hAnsi="Arial"/>
                <w:sz w:val="13"/>
                <w:szCs w:val="13"/>
                <w:color w:val="auto"/>
              </w:rPr>
              <w:t>At 1 January 2020</w:t>
            </w:r>
          </w:p>
        </w:tc>
        <w:tc>
          <w:tcPr>
            <w:tcW w:w="3320" w:type="dxa"/>
            <w:vAlign w:val="bottom"/>
          </w:tcPr>
          <w:p>
            <w:pPr>
              <w:jc w:val="right"/>
              <w:ind w:right="56"/>
              <w:spacing w:after="0"/>
              <w:rPr>
                <w:sz w:val="20"/>
                <w:szCs w:val="20"/>
                <w:color w:val="auto"/>
              </w:rPr>
            </w:pPr>
            <w:r>
              <w:rPr>
                <w:rFonts w:ascii="Arial" w:cs="Arial" w:eastAsia="Arial" w:hAnsi="Arial"/>
                <w:sz w:val="13"/>
                <w:szCs w:val="13"/>
                <w:color w:val="auto"/>
              </w:rPr>
              <w:t>980</w:t>
            </w:r>
          </w:p>
        </w:tc>
        <w:tc>
          <w:tcPr>
            <w:tcW w:w="1640" w:type="dxa"/>
            <w:vAlign w:val="bottom"/>
          </w:tcPr>
          <w:p>
            <w:pPr>
              <w:jc w:val="right"/>
              <w:ind w:right="76"/>
              <w:spacing w:after="0"/>
              <w:rPr>
                <w:sz w:val="20"/>
                <w:szCs w:val="20"/>
                <w:color w:val="auto"/>
              </w:rPr>
            </w:pPr>
            <w:r>
              <w:rPr>
                <w:rFonts w:ascii="Arial" w:cs="Arial" w:eastAsia="Arial" w:hAnsi="Arial"/>
                <w:sz w:val="13"/>
                <w:szCs w:val="13"/>
                <w:color w:val="auto"/>
              </w:rPr>
              <w:t>1,920</w:t>
            </w:r>
          </w:p>
        </w:tc>
        <w:tc>
          <w:tcPr>
            <w:tcW w:w="2080" w:type="dxa"/>
            <w:vAlign w:val="bottom"/>
          </w:tcPr>
          <w:p>
            <w:pPr>
              <w:jc w:val="right"/>
              <w:ind w:right="436"/>
              <w:spacing w:after="0"/>
              <w:rPr>
                <w:sz w:val="20"/>
                <w:szCs w:val="20"/>
                <w:color w:val="auto"/>
              </w:rPr>
            </w:pPr>
            <w:r>
              <w:rPr>
                <w:rFonts w:ascii="Arial" w:cs="Arial" w:eastAsia="Arial" w:hAnsi="Arial"/>
                <w:sz w:val="13"/>
                <w:szCs w:val="13"/>
                <w:color w:val="auto"/>
              </w:rPr>
              <w:t>1,783</w:t>
            </w:r>
          </w:p>
        </w:tc>
        <w:tc>
          <w:tcPr>
            <w:tcW w:w="1080" w:type="dxa"/>
            <w:vAlign w:val="bottom"/>
            <w:gridSpan w:val="2"/>
          </w:tcPr>
          <w:p>
            <w:pPr>
              <w:jc w:val="right"/>
              <w:ind w:right="60"/>
              <w:spacing w:after="0"/>
              <w:rPr>
                <w:sz w:val="20"/>
                <w:szCs w:val="20"/>
                <w:color w:val="auto"/>
              </w:rPr>
            </w:pPr>
            <w:r>
              <w:rPr>
                <w:rFonts w:ascii="Arial" w:cs="Arial" w:eastAsia="Arial" w:hAnsi="Arial"/>
                <w:sz w:val="13"/>
                <w:szCs w:val="13"/>
                <w:color w:val="auto"/>
              </w:rPr>
              <w:t>4,683</w:t>
            </w:r>
          </w:p>
        </w:tc>
      </w:tr>
      <w:tr>
        <w:trPr>
          <w:trHeight w:val="171"/>
        </w:trPr>
        <w:tc>
          <w:tcPr>
            <w:tcW w:w="3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Additions</w:t>
            </w:r>
          </w:p>
        </w:tc>
        <w:tc>
          <w:tcPr>
            <w:tcW w:w="33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6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10</w:t>
            </w:r>
          </w:p>
        </w:tc>
        <w:tc>
          <w:tcPr>
            <w:tcW w:w="208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rPr>
              <w:t>13</w:t>
            </w:r>
          </w:p>
        </w:tc>
        <w:tc>
          <w:tcPr>
            <w:tcW w:w="1080" w:type="dxa"/>
            <w:vAlign w:val="bottom"/>
            <w:gridSpan w:val="2"/>
            <w:shd w:val="clear" w:color="auto" w:fill="CCEEFF"/>
          </w:tcPr>
          <w:p>
            <w:pPr>
              <w:jc w:val="center"/>
              <w:ind w:left="716"/>
              <w:spacing w:after="0"/>
              <w:rPr>
                <w:sz w:val="20"/>
                <w:szCs w:val="20"/>
                <w:color w:val="auto"/>
              </w:rPr>
            </w:pPr>
            <w:r>
              <w:rPr>
                <w:rFonts w:ascii="Arial" w:cs="Arial" w:eastAsia="Arial" w:hAnsi="Arial"/>
                <w:sz w:val="13"/>
                <w:szCs w:val="13"/>
                <w:color w:val="auto"/>
                <w:w w:val="96"/>
              </w:rPr>
              <w:t>23</w:t>
            </w:r>
          </w:p>
        </w:tc>
      </w:tr>
      <w:tr>
        <w:trPr>
          <w:trHeight w:val="169"/>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Foreign currency movement</w:t>
            </w:r>
          </w:p>
        </w:tc>
        <w:tc>
          <w:tcPr>
            <w:tcW w:w="33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59</w:t>
            </w:r>
          </w:p>
        </w:tc>
        <w:tc>
          <w:tcPr>
            <w:tcW w:w="16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124</w:t>
            </w:r>
          </w:p>
        </w:tc>
        <w:tc>
          <w:tcPr>
            <w:tcW w:w="208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color w:val="auto"/>
              </w:rPr>
              <w:t>114</w:t>
            </w:r>
          </w:p>
        </w:tc>
        <w:tc>
          <w:tcPr>
            <w:tcW w:w="10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297</w:t>
            </w:r>
          </w:p>
        </w:tc>
      </w:tr>
      <w:tr>
        <w:trPr>
          <w:trHeight w:val="151"/>
        </w:trPr>
        <w:tc>
          <w:tcPr>
            <w:tcW w:w="3160" w:type="dxa"/>
            <w:vAlign w:val="bottom"/>
            <w:shd w:val="clear" w:color="auto" w:fill="CCEEFF"/>
          </w:tcPr>
          <w:p>
            <w:pPr>
              <w:spacing w:after="0"/>
              <w:rPr>
                <w:sz w:val="13"/>
                <w:szCs w:val="13"/>
                <w:color w:val="auto"/>
              </w:rPr>
            </w:pPr>
          </w:p>
        </w:tc>
        <w:tc>
          <w:tcPr>
            <w:tcW w:w="332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20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r>
      <w:tr>
        <w:trPr>
          <w:trHeight w:val="170"/>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At 31 December 2020</w:t>
            </w:r>
          </w:p>
        </w:tc>
        <w:tc>
          <w:tcPr>
            <w:tcW w:w="33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1,039</w:t>
            </w:r>
          </w:p>
        </w:tc>
        <w:tc>
          <w:tcPr>
            <w:tcW w:w="16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2,054</w:t>
            </w:r>
          </w:p>
        </w:tc>
        <w:tc>
          <w:tcPr>
            <w:tcW w:w="208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1,910</w:t>
            </w:r>
          </w:p>
        </w:tc>
        <w:tc>
          <w:tcPr>
            <w:tcW w:w="10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b w:val="1"/>
                <w:bCs w:val="1"/>
                <w:color w:val="auto"/>
              </w:rPr>
              <w:t>5,003</w:t>
            </w:r>
          </w:p>
        </w:tc>
      </w:tr>
      <w:tr>
        <w:trPr>
          <w:trHeight w:val="150"/>
        </w:trPr>
        <w:tc>
          <w:tcPr>
            <w:tcW w:w="3160" w:type="dxa"/>
            <w:vAlign w:val="bottom"/>
            <w:shd w:val="clear" w:color="auto" w:fill="CCEEFF"/>
          </w:tcPr>
          <w:p>
            <w:pPr>
              <w:spacing w:after="0"/>
              <w:rPr>
                <w:sz w:val="13"/>
                <w:szCs w:val="13"/>
                <w:color w:val="auto"/>
              </w:rPr>
            </w:pPr>
          </w:p>
        </w:tc>
        <w:tc>
          <w:tcPr>
            <w:tcW w:w="332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20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r>
      <w:tr>
        <w:trPr>
          <w:trHeight w:val="170"/>
        </w:trPr>
        <w:tc>
          <w:tcPr>
            <w:tcW w:w="3160" w:type="dxa"/>
            <w:vAlign w:val="bottom"/>
          </w:tcPr>
          <w:p>
            <w:pPr>
              <w:ind w:left="20"/>
              <w:spacing w:after="0"/>
              <w:rPr>
                <w:sz w:val="20"/>
                <w:szCs w:val="20"/>
                <w:color w:val="auto"/>
              </w:rPr>
            </w:pPr>
            <w:r>
              <w:rPr>
                <w:rFonts w:ascii="Arial" w:cs="Arial" w:eastAsia="Arial" w:hAnsi="Arial"/>
                <w:sz w:val="13"/>
                <w:szCs w:val="13"/>
                <w:b w:val="1"/>
                <w:bCs w:val="1"/>
                <w:color w:val="auto"/>
              </w:rPr>
              <w:t>Depreciation</w:t>
            </w:r>
          </w:p>
        </w:tc>
        <w:tc>
          <w:tcPr>
            <w:tcW w:w="3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0"/>
        </w:trPr>
        <w:tc>
          <w:tcPr>
            <w:tcW w:w="3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At 1 January 2020</w:t>
            </w:r>
          </w:p>
        </w:tc>
        <w:tc>
          <w:tcPr>
            <w:tcW w:w="33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958</w:t>
            </w:r>
          </w:p>
        </w:tc>
        <w:tc>
          <w:tcPr>
            <w:tcW w:w="16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1,841</w:t>
            </w:r>
          </w:p>
        </w:tc>
        <w:tc>
          <w:tcPr>
            <w:tcW w:w="208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rPr>
              <w:t>1,275</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4,074</w:t>
            </w:r>
          </w:p>
        </w:tc>
      </w:tr>
      <w:tr>
        <w:trPr>
          <w:trHeight w:val="169"/>
        </w:trPr>
        <w:tc>
          <w:tcPr>
            <w:tcW w:w="3160" w:type="dxa"/>
            <w:vAlign w:val="bottom"/>
          </w:tcPr>
          <w:p>
            <w:pPr>
              <w:ind w:left="20"/>
              <w:spacing w:after="0"/>
              <w:rPr>
                <w:sz w:val="20"/>
                <w:szCs w:val="20"/>
                <w:color w:val="auto"/>
              </w:rPr>
            </w:pPr>
            <w:r>
              <w:rPr>
                <w:rFonts w:ascii="Arial" w:cs="Arial" w:eastAsia="Arial" w:hAnsi="Arial"/>
                <w:sz w:val="13"/>
                <w:szCs w:val="13"/>
                <w:color w:val="auto"/>
              </w:rPr>
              <w:t>Charge for the year</w:t>
            </w:r>
          </w:p>
        </w:tc>
        <w:tc>
          <w:tcPr>
            <w:tcW w:w="3320" w:type="dxa"/>
            <w:vAlign w:val="bottom"/>
          </w:tcPr>
          <w:p>
            <w:pPr>
              <w:jc w:val="right"/>
              <w:ind w:right="56"/>
              <w:spacing w:after="0"/>
              <w:rPr>
                <w:sz w:val="20"/>
                <w:szCs w:val="20"/>
                <w:color w:val="auto"/>
              </w:rPr>
            </w:pPr>
            <w:r>
              <w:rPr>
                <w:rFonts w:ascii="Arial" w:cs="Arial" w:eastAsia="Arial" w:hAnsi="Arial"/>
                <w:sz w:val="13"/>
                <w:szCs w:val="13"/>
                <w:color w:val="auto"/>
              </w:rPr>
              <w:t>15</w:t>
            </w:r>
          </w:p>
        </w:tc>
        <w:tc>
          <w:tcPr>
            <w:tcW w:w="1640" w:type="dxa"/>
            <w:vAlign w:val="bottom"/>
          </w:tcPr>
          <w:p>
            <w:pPr>
              <w:jc w:val="right"/>
              <w:ind w:right="76"/>
              <w:spacing w:after="0"/>
              <w:rPr>
                <w:sz w:val="20"/>
                <w:szCs w:val="20"/>
                <w:color w:val="auto"/>
              </w:rPr>
            </w:pPr>
            <w:r>
              <w:rPr>
                <w:rFonts w:ascii="Arial" w:cs="Arial" w:eastAsia="Arial" w:hAnsi="Arial"/>
                <w:sz w:val="13"/>
                <w:szCs w:val="13"/>
                <w:color w:val="auto"/>
              </w:rPr>
              <w:t>34</w:t>
            </w:r>
          </w:p>
        </w:tc>
        <w:tc>
          <w:tcPr>
            <w:tcW w:w="2080" w:type="dxa"/>
            <w:vAlign w:val="bottom"/>
          </w:tcPr>
          <w:p>
            <w:pPr>
              <w:jc w:val="right"/>
              <w:ind w:right="436"/>
              <w:spacing w:after="0"/>
              <w:rPr>
                <w:sz w:val="20"/>
                <w:szCs w:val="20"/>
                <w:color w:val="auto"/>
              </w:rPr>
            </w:pPr>
            <w:r>
              <w:rPr>
                <w:rFonts w:ascii="Arial" w:cs="Arial" w:eastAsia="Arial" w:hAnsi="Arial"/>
                <w:sz w:val="13"/>
                <w:szCs w:val="13"/>
                <w:color w:val="auto"/>
              </w:rPr>
              <w:t>88</w:t>
            </w:r>
          </w:p>
        </w:tc>
        <w:tc>
          <w:tcPr>
            <w:tcW w:w="1080" w:type="dxa"/>
            <w:vAlign w:val="bottom"/>
            <w:gridSpan w:val="2"/>
          </w:tcPr>
          <w:p>
            <w:pPr>
              <w:jc w:val="right"/>
              <w:ind w:right="60"/>
              <w:spacing w:after="0"/>
              <w:rPr>
                <w:sz w:val="20"/>
                <w:szCs w:val="20"/>
                <w:color w:val="auto"/>
              </w:rPr>
            </w:pPr>
            <w:r>
              <w:rPr>
                <w:rFonts w:ascii="Arial" w:cs="Arial" w:eastAsia="Arial" w:hAnsi="Arial"/>
                <w:sz w:val="13"/>
                <w:szCs w:val="13"/>
                <w:color w:val="auto"/>
              </w:rPr>
              <w:t>137</w:t>
            </w:r>
          </w:p>
        </w:tc>
      </w:tr>
      <w:tr>
        <w:trPr>
          <w:trHeight w:val="170"/>
        </w:trPr>
        <w:tc>
          <w:tcPr>
            <w:tcW w:w="3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Foreign currency movement</w:t>
            </w:r>
          </w:p>
        </w:tc>
        <w:tc>
          <w:tcPr>
            <w:tcW w:w="33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58</w:t>
            </w:r>
          </w:p>
        </w:tc>
        <w:tc>
          <w:tcPr>
            <w:tcW w:w="16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121</w:t>
            </w:r>
          </w:p>
        </w:tc>
        <w:tc>
          <w:tcPr>
            <w:tcW w:w="208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color w:val="auto"/>
              </w:rPr>
              <w:t>92</w:t>
            </w:r>
          </w:p>
        </w:tc>
        <w:tc>
          <w:tcPr>
            <w:tcW w:w="10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271</w:t>
            </w:r>
          </w:p>
        </w:tc>
      </w:tr>
      <w:tr>
        <w:trPr>
          <w:trHeight w:val="151"/>
        </w:trPr>
        <w:tc>
          <w:tcPr>
            <w:tcW w:w="316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170"/>
        </w:trPr>
        <w:tc>
          <w:tcPr>
            <w:tcW w:w="3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At 31 December 2020</w:t>
            </w:r>
          </w:p>
        </w:tc>
        <w:tc>
          <w:tcPr>
            <w:tcW w:w="33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1,031</w:t>
            </w:r>
          </w:p>
        </w:tc>
        <w:tc>
          <w:tcPr>
            <w:tcW w:w="16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1,996</w:t>
            </w:r>
          </w:p>
        </w:tc>
        <w:tc>
          <w:tcPr>
            <w:tcW w:w="208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1,455</w:t>
            </w:r>
          </w:p>
        </w:tc>
        <w:tc>
          <w:tcPr>
            <w:tcW w:w="10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4,482</w:t>
            </w:r>
          </w:p>
        </w:tc>
      </w:tr>
      <w:tr>
        <w:trPr>
          <w:trHeight w:val="150"/>
        </w:trPr>
        <w:tc>
          <w:tcPr>
            <w:tcW w:w="316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170"/>
        </w:trPr>
        <w:tc>
          <w:tcPr>
            <w:tcW w:w="31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book value</w:t>
            </w:r>
          </w:p>
        </w:tc>
        <w:tc>
          <w:tcPr>
            <w:tcW w:w="332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r>
      <w:tr>
        <w:trPr>
          <w:trHeight w:val="171"/>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At 31 December 2020</w:t>
            </w:r>
          </w:p>
        </w:tc>
        <w:tc>
          <w:tcPr>
            <w:tcW w:w="33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8</w:t>
            </w:r>
          </w:p>
        </w:tc>
        <w:tc>
          <w:tcPr>
            <w:tcW w:w="16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58</w:t>
            </w:r>
          </w:p>
        </w:tc>
        <w:tc>
          <w:tcPr>
            <w:tcW w:w="208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455</w:t>
            </w:r>
          </w:p>
        </w:tc>
        <w:tc>
          <w:tcPr>
            <w:tcW w:w="10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b w:val="1"/>
                <w:bCs w:val="1"/>
                <w:color w:val="auto"/>
              </w:rPr>
              <w:t>521</w:t>
            </w:r>
          </w:p>
        </w:tc>
      </w:tr>
      <w:tr>
        <w:trPr>
          <w:trHeight w:val="159"/>
        </w:trPr>
        <w:tc>
          <w:tcPr>
            <w:tcW w:w="3160" w:type="dxa"/>
            <w:vAlign w:val="bottom"/>
            <w:shd w:val="clear" w:color="auto" w:fill="CCEEFF"/>
          </w:tcPr>
          <w:p>
            <w:pPr>
              <w:spacing w:after="0"/>
              <w:rPr>
                <w:sz w:val="13"/>
                <w:szCs w:val="13"/>
                <w:color w:val="auto"/>
              </w:rPr>
            </w:pPr>
          </w:p>
        </w:tc>
        <w:tc>
          <w:tcPr>
            <w:tcW w:w="332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20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r>
      <w:tr>
        <w:trPr>
          <w:trHeight w:val="171"/>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At 31 December 2019</w:t>
            </w:r>
          </w:p>
        </w:tc>
        <w:tc>
          <w:tcPr>
            <w:tcW w:w="33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22</w:t>
            </w:r>
          </w:p>
        </w:tc>
        <w:tc>
          <w:tcPr>
            <w:tcW w:w="16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79</w:t>
            </w:r>
          </w:p>
        </w:tc>
        <w:tc>
          <w:tcPr>
            <w:tcW w:w="208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color w:val="auto"/>
              </w:rPr>
              <w:t>508</w:t>
            </w:r>
          </w:p>
        </w:tc>
        <w:tc>
          <w:tcPr>
            <w:tcW w:w="10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609</w:t>
            </w:r>
          </w:p>
        </w:tc>
      </w:tr>
    </w:tbl>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142</w:t>
      </w:r>
    </w:p>
    <w:p>
      <w:pPr>
        <w:sectPr>
          <w:pgSz w:w="11900" w:h="16838" w:orient="portrait"/>
          <w:cols w:equalWidth="0" w:num="1">
            <w:col w:w="11280"/>
          </w:cols>
          <w:pgMar w:left="300" w:top="698" w:right="31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color w:val="auto"/>
        </w:rPr>
        <w:t>Notes to Company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190" w:lineRule="exact"/>
        <w:rPr>
          <w:sz w:val="20"/>
          <w:szCs w:val="20"/>
          <w:color w:val="auto"/>
        </w:rPr>
      </w:pPr>
    </w:p>
    <w:p>
      <w:pPr>
        <w:spacing w:after="0"/>
        <w:tabs>
          <w:tab w:leader="none" w:pos="240" w:val="left"/>
        </w:tabs>
        <w:rPr>
          <w:sz w:val="20"/>
          <w:szCs w:val="20"/>
          <w:color w:val="auto"/>
        </w:rPr>
      </w:pPr>
      <w:r>
        <w:rPr>
          <w:rFonts w:ascii="Arial" w:cs="Arial" w:eastAsia="Arial" w:hAnsi="Arial"/>
          <w:sz w:val="13"/>
          <w:szCs w:val="13"/>
          <w:b w:val="1"/>
          <w:bCs w:val="1"/>
          <w:color w:val="auto"/>
        </w:rPr>
        <w:t>2.</w:t>
      </w:r>
      <w:r>
        <w:rPr>
          <w:sz w:val="20"/>
          <w:szCs w:val="20"/>
          <w:color w:val="auto"/>
        </w:rPr>
        <w:tab/>
      </w:r>
      <w:r>
        <w:rPr>
          <w:rFonts w:ascii="Arial" w:cs="Arial" w:eastAsia="Arial" w:hAnsi="Arial"/>
          <w:sz w:val="12"/>
          <w:szCs w:val="12"/>
          <w:b w:val="1"/>
          <w:bCs w:val="1"/>
          <w:color w:val="auto"/>
        </w:rPr>
        <w:t>Intangible assets</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760" w:type="dxa"/>
            <w:vAlign w:val="bottom"/>
            <w:tcBorders>
              <w:bottom w:val="single" w:sz="8" w:color="auto"/>
            </w:tcBorders>
            <w:shd w:val="clear" w:color="auto" w:fill="CCEEFF"/>
          </w:tcPr>
          <w:p>
            <w:pPr>
              <w:spacing w:after="0"/>
              <w:rPr>
                <w:sz w:val="17"/>
                <w:szCs w:val="17"/>
                <w:color w:val="auto"/>
              </w:rPr>
            </w:pPr>
          </w:p>
        </w:tc>
        <w:tc>
          <w:tcPr>
            <w:tcW w:w="5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Computer Software</w:t>
            </w:r>
          </w:p>
        </w:tc>
      </w:tr>
      <w:tr>
        <w:trPr>
          <w:trHeight w:val="188"/>
        </w:trPr>
        <w:tc>
          <w:tcPr>
            <w:tcW w:w="5760" w:type="dxa"/>
            <w:vAlign w:val="bottom"/>
          </w:tcPr>
          <w:p>
            <w:pPr>
              <w:spacing w:after="0"/>
              <w:rPr>
                <w:sz w:val="16"/>
                <w:szCs w:val="16"/>
                <w:color w:val="auto"/>
              </w:rPr>
            </w:pPr>
          </w:p>
        </w:tc>
        <w:tc>
          <w:tcPr>
            <w:tcW w:w="5260" w:type="dxa"/>
            <w:vAlign w:val="bottom"/>
          </w:tcPr>
          <w:p>
            <w:pPr>
              <w:jc w:val="right"/>
              <w:spacing w:after="0"/>
              <w:rPr>
                <w:sz w:val="20"/>
                <w:szCs w:val="20"/>
                <w:color w:val="auto"/>
              </w:rPr>
            </w:pPr>
            <w:r>
              <w:rPr>
                <w:rFonts w:ascii="Arial" w:cs="Arial" w:eastAsia="Arial" w:hAnsi="Arial"/>
                <w:sz w:val="13"/>
                <w:szCs w:val="13"/>
                <w:b w:val="1"/>
                <w:bCs w:val="1"/>
                <w:color w:val="auto"/>
              </w:rPr>
              <w:t>$’000</w:t>
            </w:r>
          </w:p>
        </w:tc>
      </w:tr>
      <w:tr>
        <w:trPr>
          <w:trHeight w:val="179"/>
        </w:trPr>
        <w:tc>
          <w:tcPr>
            <w:tcW w:w="5760" w:type="dxa"/>
            <w:vAlign w:val="bottom"/>
            <w:shd w:val="clear" w:color="auto" w:fill="CCEEFF"/>
          </w:tcPr>
          <w:p>
            <w:pPr>
              <w:spacing w:after="0"/>
              <w:rPr>
                <w:sz w:val="15"/>
                <w:szCs w:val="15"/>
                <w:color w:val="auto"/>
              </w:rPr>
            </w:pPr>
          </w:p>
        </w:tc>
        <w:tc>
          <w:tcPr>
            <w:tcW w:w="5260" w:type="dxa"/>
            <w:vAlign w:val="bottom"/>
            <w:shd w:val="clear" w:color="auto" w:fill="CCEEFF"/>
          </w:tcPr>
          <w:p>
            <w:pPr>
              <w:spacing w:after="0"/>
              <w:rPr>
                <w:sz w:val="15"/>
                <w:szCs w:val="15"/>
                <w:color w:val="auto"/>
              </w:rPr>
            </w:pPr>
          </w:p>
        </w:tc>
      </w:tr>
      <w:tr>
        <w:trPr>
          <w:trHeight w:val="170"/>
        </w:trPr>
        <w:tc>
          <w:tcPr>
            <w:tcW w:w="5760" w:type="dxa"/>
            <w:vAlign w:val="bottom"/>
          </w:tcPr>
          <w:p>
            <w:pPr>
              <w:ind w:left="20"/>
              <w:spacing w:after="0"/>
              <w:rPr>
                <w:sz w:val="20"/>
                <w:szCs w:val="20"/>
                <w:color w:val="auto"/>
              </w:rPr>
            </w:pPr>
            <w:r>
              <w:rPr>
                <w:rFonts w:ascii="Arial" w:cs="Arial" w:eastAsia="Arial" w:hAnsi="Arial"/>
                <w:sz w:val="13"/>
                <w:szCs w:val="13"/>
                <w:b w:val="1"/>
                <w:bCs w:val="1"/>
                <w:color w:val="auto"/>
              </w:rPr>
              <w:t>Cost</w:t>
            </w:r>
          </w:p>
        </w:tc>
        <w:tc>
          <w:tcPr>
            <w:tcW w:w="5260" w:type="dxa"/>
            <w:vAlign w:val="bottom"/>
          </w:tcPr>
          <w:p>
            <w:pPr>
              <w:spacing w:after="0"/>
              <w:rPr>
                <w:sz w:val="14"/>
                <w:szCs w:val="14"/>
                <w:color w:val="auto"/>
              </w:rPr>
            </w:pPr>
          </w:p>
        </w:tc>
      </w:tr>
      <w:tr>
        <w:trPr>
          <w:trHeight w:val="170"/>
        </w:trPr>
        <w:tc>
          <w:tcPr>
            <w:tcW w:w="5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At 1 January 2020</w:t>
            </w:r>
          </w:p>
        </w:tc>
        <w:tc>
          <w:tcPr>
            <w:tcW w:w="5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1,227</w:t>
            </w:r>
          </w:p>
        </w:tc>
      </w:tr>
      <w:tr>
        <w:trPr>
          <w:trHeight w:val="169"/>
        </w:trPr>
        <w:tc>
          <w:tcPr>
            <w:tcW w:w="5760" w:type="dxa"/>
            <w:vAlign w:val="bottom"/>
          </w:tcPr>
          <w:p>
            <w:pPr>
              <w:ind w:left="20"/>
              <w:spacing w:after="0"/>
              <w:rPr>
                <w:sz w:val="20"/>
                <w:szCs w:val="20"/>
                <w:color w:val="auto"/>
              </w:rPr>
            </w:pPr>
            <w:r>
              <w:rPr>
                <w:rFonts w:ascii="Arial" w:cs="Arial" w:eastAsia="Arial" w:hAnsi="Arial"/>
                <w:sz w:val="13"/>
                <w:szCs w:val="13"/>
                <w:color w:val="auto"/>
              </w:rPr>
              <w:t>Additions</w:t>
            </w:r>
          </w:p>
        </w:tc>
        <w:tc>
          <w:tcPr>
            <w:tcW w:w="52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5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Foreign exchange movement</w:t>
            </w:r>
          </w:p>
        </w:tc>
        <w:tc>
          <w:tcPr>
            <w:tcW w:w="5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w:t>
            </w:r>
          </w:p>
        </w:tc>
      </w:tr>
      <w:tr>
        <w:trPr>
          <w:trHeight w:val="183"/>
        </w:trPr>
        <w:tc>
          <w:tcPr>
            <w:tcW w:w="5760" w:type="dxa"/>
            <w:vAlign w:val="bottom"/>
          </w:tcPr>
          <w:p>
            <w:pPr>
              <w:spacing w:after="0"/>
              <w:rPr>
                <w:sz w:val="15"/>
                <w:szCs w:val="15"/>
                <w:color w:val="auto"/>
              </w:rPr>
            </w:pPr>
          </w:p>
        </w:tc>
        <w:tc>
          <w:tcPr>
            <w:tcW w:w="5260" w:type="dxa"/>
            <w:vAlign w:val="bottom"/>
          </w:tcPr>
          <w:p>
            <w:pPr>
              <w:spacing w:after="0"/>
              <w:rPr>
                <w:sz w:val="15"/>
                <w:szCs w:val="15"/>
                <w:color w:val="auto"/>
              </w:rPr>
            </w:pPr>
          </w:p>
        </w:tc>
      </w:tr>
      <w:tr>
        <w:trPr>
          <w:trHeight w:val="169"/>
        </w:trPr>
        <w:tc>
          <w:tcPr>
            <w:tcW w:w="5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At 31 December 2020</w:t>
            </w:r>
          </w:p>
        </w:tc>
        <w:tc>
          <w:tcPr>
            <w:tcW w:w="5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1,240</w:t>
            </w:r>
          </w:p>
        </w:tc>
      </w:tr>
      <w:tr>
        <w:trPr>
          <w:trHeight w:val="183"/>
        </w:trPr>
        <w:tc>
          <w:tcPr>
            <w:tcW w:w="5760" w:type="dxa"/>
            <w:vAlign w:val="bottom"/>
          </w:tcPr>
          <w:p>
            <w:pPr>
              <w:spacing w:after="0"/>
              <w:rPr>
                <w:sz w:val="15"/>
                <w:szCs w:val="15"/>
                <w:color w:val="auto"/>
              </w:rPr>
            </w:pPr>
          </w:p>
        </w:tc>
        <w:tc>
          <w:tcPr>
            <w:tcW w:w="5260" w:type="dxa"/>
            <w:vAlign w:val="bottom"/>
          </w:tcPr>
          <w:p>
            <w:pPr>
              <w:spacing w:after="0"/>
              <w:rPr>
                <w:sz w:val="15"/>
                <w:szCs w:val="15"/>
                <w:color w:val="auto"/>
              </w:rPr>
            </w:pPr>
          </w:p>
        </w:tc>
      </w:tr>
      <w:tr>
        <w:trPr>
          <w:trHeight w:val="170"/>
        </w:trPr>
        <w:tc>
          <w:tcPr>
            <w:tcW w:w="5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Additions</w:t>
            </w:r>
          </w:p>
        </w:tc>
        <w:tc>
          <w:tcPr>
            <w:tcW w:w="5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5760" w:type="dxa"/>
            <w:vAlign w:val="bottom"/>
          </w:tcPr>
          <w:p>
            <w:pPr>
              <w:ind w:left="20"/>
              <w:spacing w:after="0"/>
              <w:rPr>
                <w:sz w:val="20"/>
                <w:szCs w:val="20"/>
                <w:color w:val="auto"/>
              </w:rPr>
            </w:pPr>
            <w:r>
              <w:rPr>
                <w:rFonts w:ascii="Arial" w:cs="Arial" w:eastAsia="Arial" w:hAnsi="Arial"/>
                <w:sz w:val="13"/>
                <w:szCs w:val="13"/>
                <w:color w:val="auto"/>
              </w:rPr>
              <w:t>Disposals</w:t>
            </w:r>
          </w:p>
        </w:tc>
        <w:tc>
          <w:tcPr>
            <w:tcW w:w="5260" w:type="dxa"/>
            <w:vAlign w:val="bottom"/>
          </w:tcPr>
          <w:p>
            <w:pPr>
              <w:jc w:val="right"/>
              <w:spacing w:after="0"/>
              <w:rPr>
                <w:sz w:val="20"/>
                <w:szCs w:val="20"/>
                <w:color w:val="auto"/>
              </w:rPr>
            </w:pPr>
            <w:r>
              <w:rPr>
                <w:rFonts w:ascii="Arial" w:cs="Arial" w:eastAsia="Arial" w:hAnsi="Arial"/>
                <w:sz w:val="13"/>
                <w:szCs w:val="13"/>
                <w:color w:val="auto"/>
              </w:rPr>
              <w:t>(4)</w:t>
            </w:r>
          </w:p>
        </w:tc>
      </w:tr>
      <w:tr>
        <w:trPr>
          <w:trHeight w:val="170"/>
        </w:trPr>
        <w:tc>
          <w:tcPr>
            <w:tcW w:w="5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Foreign exchange movement</w:t>
            </w:r>
          </w:p>
        </w:tc>
        <w:tc>
          <w:tcPr>
            <w:tcW w:w="5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w:t>
            </w: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At 31 December 2021</w:t>
            </w:r>
          </w:p>
        </w:tc>
        <w:tc>
          <w:tcPr>
            <w:tcW w:w="4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1,219</w:t>
            </w:r>
          </w:p>
        </w:tc>
      </w:tr>
      <w:tr>
        <w:trPr>
          <w:trHeight w:val="182"/>
        </w:trPr>
        <w:tc>
          <w:tcPr>
            <w:tcW w:w="6160" w:type="dxa"/>
            <w:vAlign w:val="bottom"/>
          </w:tcPr>
          <w:p>
            <w:pPr>
              <w:spacing w:after="0"/>
              <w:rPr>
                <w:sz w:val="15"/>
                <w:szCs w:val="15"/>
                <w:color w:val="auto"/>
              </w:rPr>
            </w:pPr>
          </w:p>
        </w:tc>
        <w:tc>
          <w:tcPr>
            <w:tcW w:w="4860" w:type="dxa"/>
            <w:vAlign w:val="bottom"/>
          </w:tcPr>
          <w:p>
            <w:pPr>
              <w:spacing w:after="0"/>
              <w:rPr>
                <w:sz w:val="15"/>
                <w:szCs w:val="15"/>
                <w:color w:val="auto"/>
              </w:rPr>
            </w:pPr>
          </w:p>
        </w:tc>
      </w:tr>
      <w:tr>
        <w:trPr>
          <w:trHeight w:val="170"/>
        </w:trPr>
        <w:tc>
          <w:tcPr>
            <w:tcW w:w="61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Amortisation</w:t>
            </w:r>
          </w:p>
        </w:tc>
        <w:tc>
          <w:tcPr>
            <w:tcW w:w="4860" w:type="dxa"/>
            <w:vAlign w:val="bottom"/>
            <w:shd w:val="clear" w:color="auto" w:fill="CCEEFF"/>
          </w:tcPr>
          <w:p>
            <w:pPr>
              <w:spacing w:after="0"/>
              <w:rPr>
                <w:sz w:val="14"/>
                <w:szCs w:val="14"/>
                <w:color w:val="auto"/>
              </w:rPr>
            </w:pPr>
          </w:p>
        </w:tc>
      </w:tr>
      <w:tr>
        <w:trPr>
          <w:trHeight w:val="169"/>
        </w:trPr>
        <w:tc>
          <w:tcPr>
            <w:tcW w:w="6160" w:type="dxa"/>
            <w:vAlign w:val="bottom"/>
          </w:tcPr>
          <w:p>
            <w:pPr>
              <w:ind w:left="20"/>
              <w:spacing w:after="0"/>
              <w:rPr>
                <w:sz w:val="20"/>
                <w:szCs w:val="20"/>
                <w:color w:val="auto"/>
              </w:rPr>
            </w:pPr>
            <w:r>
              <w:rPr>
                <w:rFonts w:ascii="Arial" w:cs="Arial" w:eastAsia="Arial" w:hAnsi="Arial"/>
                <w:sz w:val="13"/>
                <w:szCs w:val="13"/>
                <w:color w:val="auto"/>
              </w:rPr>
              <w:t>At 1 January 2020</w:t>
            </w:r>
          </w:p>
        </w:tc>
        <w:tc>
          <w:tcPr>
            <w:tcW w:w="4860" w:type="dxa"/>
            <w:vAlign w:val="bottom"/>
          </w:tcPr>
          <w:p>
            <w:pPr>
              <w:jc w:val="right"/>
              <w:spacing w:after="0"/>
              <w:rPr>
                <w:sz w:val="20"/>
                <w:szCs w:val="20"/>
                <w:color w:val="auto"/>
              </w:rPr>
            </w:pPr>
            <w:r>
              <w:rPr>
                <w:rFonts w:ascii="Arial" w:cs="Arial" w:eastAsia="Arial" w:hAnsi="Arial"/>
                <w:sz w:val="13"/>
                <w:szCs w:val="13"/>
                <w:color w:val="auto"/>
              </w:rPr>
              <w:t>1,152</w:t>
            </w:r>
          </w:p>
        </w:tc>
      </w:tr>
      <w:tr>
        <w:trPr>
          <w:trHeight w:val="171"/>
        </w:trPr>
        <w:tc>
          <w:tcPr>
            <w:tcW w:w="6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Charge during the year</w:t>
            </w:r>
          </w:p>
        </w:tc>
        <w:tc>
          <w:tcPr>
            <w:tcW w:w="4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w:t>
            </w:r>
          </w:p>
        </w:tc>
      </w:tr>
      <w:tr>
        <w:trPr>
          <w:trHeight w:val="169"/>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Foreign exchange movement</w:t>
            </w:r>
          </w:p>
        </w:tc>
        <w:tc>
          <w:tcPr>
            <w:tcW w:w="4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w:t>
            </w:r>
          </w:p>
        </w:tc>
      </w:tr>
      <w:tr>
        <w:trPr>
          <w:trHeight w:val="183"/>
        </w:trPr>
        <w:tc>
          <w:tcPr>
            <w:tcW w:w="6160" w:type="dxa"/>
            <w:vAlign w:val="bottom"/>
            <w:shd w:val="clear" w:color="auto" w:fill="CCEEFF"/>
          </w:tcPr>
          <w:p>
            <w:pPr>
              <w:spacing w:after="0"/>
              <w:rPr>
                <w:sz w:val="15"/>
                <w:szCs w:val="15"/>
                <w:color w:val="auto"/>
              </w:rPr>
            </w:pPr>
          </w:p>
        </w:tc>
        <w:tc>
          <w:tcPr>
            <w:tcW w:w="4860" w:type="dxa"/>
            <w:vAlign w:val="bottom"/>
            <w:shd w:val="clear" w:color="auto" w:fill="CCEEFF"/>
          </w:tcPr>
          <w:p>
            <w:pPr>
              <w:spacing w:after="0"/>
              <w:rPr>
                <w:sz w:val="15"/>
                <w:szCs w:val="15"/>
                <w:color w:val="auto"/>
              </w:rPr>
            </w:pPr>
          </w:p>
        </w:tc>
      </w:tr>
      <w:tr>
        <w:trPr>
          <w:trHeight w:val="169"/>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At 31 December 2020</w:t>
            </w:r>
          </w:p>
        </w:tc>
        <w:tc>
          <w:tcPr>
            <w:tcW w:w="4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1,196</w:t>
            </w:r>
          </w:p>
        </w:tc>
      </w:tr>
      <w:tr>
        <w:trPr>
          <w:trHeight w:val="183"/>
        </w:trPr>
        <w:tc>
          <w:tcPr>
            <w:tcW w:w="6160" w:type="dxa"/>
            <w:vAlign w:val="bottom"/>
            <w:shd w:val="clear" w:color="auto" w:fill="CCEEFF"/>
          </w:tcPr>
          <w:p>
            <w:pPr>
              <w:spacing w:after="0"/>
              <w:rPr>
                <w:sz w:val="15"/>
                <w:szCs w:val="15"/>
                <w:color w:val="auto"/>
              </w:rPr>
            </w:pPr>
          </w:p>
        </w:tc>
        <w:tc>
          <w:tcPr>
            <w:tcW w:w="4860" w:type="dxa"/>
            <w:vAlign w:val="bottom"/>
            <w:shd w:val="clear" w:color="auto" w:fill="CCEEFF"/>
          </w:tcPr>
          <w:p>
            <w:pPr>
              <w:spacing w:after="0"/>
              <w:rPr>
                <w:sz w:val="15"/>
                <w:szCs w:val="15"/>
                <w:color w:val="auto"/>
              </w:rPr>
            </w:pPr>
          </w:p>
        </w:tc>
      </w:tr>
      <w:tr>
        <w:trPr>
          <w:trHeight w:val="169"/>
        </w:trPr>
        <w:tc>
          <w:tcPr>
            <w:tcW w:w="6160" w:type="dxa"/>
            <w:vAlign w:val="bottom"/>
          </w:tcPr>
          <w:p>
            <w:pPr>
              <w:ind w:left="20"/>
              <w:spacing w:after="0"/>
              <w:rPr>
                <w:sz w:val="20"/>
                <w:szCs w:val="20"/>
                <w:color w:val="auto"/>
              </w:rPr>
            </w:pPr>
            <w:r>
              <w:rPr>
                <w:rFonts w:ascii="Arial" w:cs="Arial" w:eastAsia="Arial" w:hAnsi="Arial"/>
                <w:sz w:val="13"/>
                <w:szCs w:val="13"/>
                <w:color w:val="auto"/>
              </w:rPr>
              <w:t>Charge during the year</w:t>
            </w:r>
          </w:p>
        </w:tc>
        <w:tc>
          <w:tcPr>
            <w:tcW w:w="4860" w:type="dxa"/>
            <w:vAlign w:val="bottom"/>
          </w:tcPr>
          <w:p>
            <w:pPr>
              <w:jc w:val="right"/>
              <w:spacing w:after="0"/>
              <w:rPr>
                <w:sz w:val="20"/>
                <w:szCs w:val="20"/>
                <w:color w:val="auto"/>
              </w:rPr>
            </w:pPr>
            <w:r>
              <w:rPr>
                <w:rFonts w:ascii="Arial" w:cs="Arial" w:eastAsia="Arial" w:hAnsi="Arial"/>
                <w:sz w:val="13"/>
                <w:szCs w:val="13"/>
                <w:color w:val="auto"/>
              </w:rPr>
              <w:t>29</w:t>
            </w:r>
          </w:p>
        </w:tc>
      </w:tr>
      <w:tr>
        <w:trPr>
          <w:trHeight w:val="171"/>
        </w:trPr>
        <w:tc>
          <w:tcPr>
            <w:tcW w:w="6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Eliminated on disposal</w:t>
            </w:r>
          </w:p>
        </w:tc>
        <w:tc>
          <w:tcPr>
            <w:tcW w:w="4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r>
      <w:tr>
        <w:trPr>
          <w:trHeight w:val="169"/>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Foreign exchange movement</w:t>
            </w:r>
          </w:p>
        </w:tc>
        <w:tc>
          <w:tcPr>
            <w:tcW w:w="4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w:t>
            </w:r>
          </w:p>
        </w:tc>
      </w:tr>
      <w:tr>
        <w:trPr>
          <w:trHeight w:val="183"/>
        </w:trPr>
        <w:tc>
          <w:tcPr>
            <w:tcW w:w="6160" w:type="dxa"/>
            <w:vAlign w:val="bottom"/>
            <w:shd w:val="clear" w:color="auto" w:fill="CCEEFF"/>
          </w:tcPr>
          <w:p>
            <w:pPr>
              <w:spacing w:after="0"/>
              <w:rPr>
                <w:sz w:val="15"/>
                <w:szCs w:val="15"/>
                <w:color w:val="auto"/>
              </w:rPr>
            </w:pPr>
          </w:p>
        </w:tc>
        <w:tc>
          <w:tcPr>
            <w:tcW w:w="4860" w:type="dxa"/>
            <w:vAlign w:val="bottom"/>
            <w:shd w:val="clear" w:color="auto" w:fill="CCEEFF"/>
          </w:tcPr>
          <w:p>
            <w:pPr>
              <w:spacing w:after="0"/>
              <w:rPr>
                <w:sz w:val="15"/>
                <w:szCs w:val="15"/>
                <w:color w:val="auto"/>
              </w:rPr>
            </w:pPr>
          </w:p>
        </w:tc>
      </w:tr>
      <w:tr>
        <w:trPr>
          <w:trHeight w:val="170"/>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At 31 December 2021</w:t>
            </w:r>
          </w:p>
        </w:tc>
        <w:tc>
          <w:tcPr>
            <w:tcW w:w="4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1,205</w:t>
            </w:r>
          </w:p>
        </w:tc>
      </w:tr>
      <w:tr>
        <w:trPr>
          <w:trHeight w:val="182"/>
        </w:trPr>
        <w:tc>
          <w:tcPr>
            <w:tcW w:w="6160" w:type="dxa"/>
            <w:vAlign w:val="bottom"/>
            <w:shd w:val="clear" w:color="auto" w:fill="CCEEFF"/>
          </w:tcPr>
          <w:p>
            <w:pPr>
              <w:spacing w:after="0"/>
              <w:rPr>
                <w:sz w:val="15"/>
                <w:szCs w:val="15"/>
                <w:color w:val="auto"/>
              </w:rPr>
            </w:pPr>
          </w:p>
        </w:tc>
        <w:tc>
          <w:tcPr>
            <w:tcW w:w="4860" w:type="dxa"/>
            <w:vAlign w:val="bottom"/>
            <w:shd w:val="clear" w:color="auto" w:fill="CCEEFF"/>
          </w:tcPr>
          <w:p>
            <w:pPr>
              <w:spacing w:after="0"/>
              <w:rPr>
                <w:sz w:val="15"/>
                <w:szCs w:val="15"/>
                <w:color w:val="auto"/>
              </w:rPr>
            </w:pPr>
          </w:p>
        </w:tc>
      </w:tr>
      <w:tr>
        <w:trPr>
          <w:trHeight w:val="170"/>
        </w:trPr>
        <w:tc>
          <w:tcPr>
            <w:tcW w:w="6160" w:type="dxa"/>
            <w:vAlign w:val="bottom"/>
          </w:tcPr>
          <w:p>
            <w:pPr>
              <w:ind w:left="20"/>
              <w:spacing w:after="0"/>
              <w:rPr>
                <w:sz w:val="20"/>
                <w:szCs w:val="20"/>
                <w:color w:val="auto"/>
              </w:rPr>
            </w:pPr>
            <w:r>
              <w:rPr>
                <w:rFonts w:ascii="Arial" w:cs="Arial" w:eastAsia="Arial" w:hAnsi="Arial"/>
                <w:sz w:val="13"/>
                <w:szCs w:val="13"/>
                <w:b w:val="1"/>
                <w:bCs w:val="1"/>
                <w:color w:val="auto"/>
              </w:rPr>
              <w:t>Net book value</w:t>
            </w:r>
          </w:p>
        </w:tc>
        <w:tc>
          <w:tcPr>
            <w:tcW w:w="4860" w:type="dxa"/>
            <w:vAlign w:val="bottom"/>
          </w:tcPr>
          <w:p>
            <w:pPr>
              <w:spacing w:after="0"/>
              <w:rPr>
                <w:sz w:val="14"/>
                <w:szCs w:val="14"/>
                <w:color w:val="auto"/>
              </w:rPr>
            </w:pPr>
          </w:p>
        </w:tc>
      </w:tr>
      <w:tr>
        <w:trPr>
          <w:trHeight w:val="171"/>
        </w:trPr>
        <w:tc>
          <w:tcPr>
            <w:tcW w:w="6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At 31 December 2021</w:t>
            </w:r>
          </w:p>
        </w:tc>
        <w:tc>
          <w:tcPr>
            <w:tcW w:w="4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14</w:t>
            </w:r>
          </w:p>
        </w:tc>
      </w:tr>
      <w:tr>
        <w:trPr>
          <w:trHeight w:val="191"/>
        </w:trPr>
        <w:tc>
          <w:tcPr>
            <w:tcW w:w="6160" w:type="dxa"/>
            <w:vAlign w:val="bottom"/>
          </w:tcPr>
          <w:p>
            <w:pPr>
              <w:spacing w:after="0"/>
              <w:rPr>
                <w:sz w:val="16"/>
                <w:szCs w:val="16"/>
                <w:color w:val="auto"/>
              </w:rPr>
            </w:pPr>
          </w:p>
        </w:tc>
        <w:tc>
          <w:tcPr>
            <w:tcW w:w="4860" w:type="dxa"/>
            <w:vAlign w:val="bottom"/>
          </w:tcPr>
          <w:p>
            <w:pPr>
              <w:spacing w:after="0"/>
              <w:rPr>
                <w:sz w:val="16"/>
                <w:szCs w:val="16"/>
                <w:color w:val="auto"/>
              </w:rPr>
            </w:pPr>
          </w:p>
        </w:tc>
      </w:tr>
      <w:tr>
        <w:trPr>
          <w:trHeight w:val="171"/>
        </w:trPr>
        <w:tc>
          <w:tcPr>
            <w:tcW w:w="6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At 31 December 2020</w:t>
            </w:r>
          </w:p>
        </w:tc>
        <w:tc>
          <w:tcPr>
            <w:tcW w:w="4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w:t>
            </w:r>
          </w:p>
        </w:tc>
      </w:tr>
    </w:tbl>
    <w:p>
      <w:pPr>
        <w:spacing w:after="0" w:line="200" w:lineRule="exact"/>
        <w:rPr>
          <w:sz w:val="20"/>
          <w:szCs w:val="20"/>
          <w:color w:val="auto"/>
        </w:rPr>
      </w:pPr>
    </w:p>
    <w:p>
      <w:pPr>
        <w:spacing w:after="0" w:line="379"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143</w:t>
      </w:r>
    </w:p>
    <w:p>
      <w:pPr>
        <w:sectPr>
          <w:pgSz w:w="11900" w:h="16838" w:orient="portrait"/>
          <w:cols w:equalWidth="0" w:num="1">
            <w:col w:w="11020"/>
          </w:cols>
          <w:pgMar w:left="300" w:top="698" w:right="57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color w:val="auto"/>
        </w:rPr>
        <w:t>Notes to Company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190" w:lineRule="exact"/>
        <w:rPr>
          <w:sz w:val="20"/>
          <w:szCs w:val="20"/>
          <w:color w:val="auto"/>
        </w:rPr>
      </w:pPr>
    </w:p>
    <w:p>
      <w:pPr>
        <w:spacing w:after="0"/>
        <w:tabs>
          <w:tab w:leader="none" w:pos="240" w:val="left"/>
        </w:tabs>
        <w:rPr>
          <w:sz w:val="20"/>
          <w:szCs w:val="20"/>
          <w:color w:val="auto"/>
        </w:rPr>
      </w:pPr>
      <w:r>
        <w:rPr>
          <w:rFonts w:ascii="Arial" w:cs="Arial" w:eastAsia="Arial" w:hAnsi="Arial"/>
          <w:sz w:val="13"/>
          <w:szCs w:val="13"/>
          <w:b w:val="1"/>
          <w:bCs w:val="1"/>
          <w:color w:val="auto"/>
        </w:rPr>
        <w:t>3.</w:t>
      </w:r>
      <w:r>
        <w:rPr>
          <w:sz w:val="20"/>
          <w:szCs w:val="20"/>
          <w:color w:val="auto"/>
        </w:rPr>
        <w:tab/>
      </w:r>
      <w:r>
        <w:rPr>
          <w:rFonts w:ascii="Arial" w:cs="Arial" w:eastAsia="Arial" w:hAnsi="Arial"/>
          <w:sz w:val="12"/>
          <w:szCs w:val="12"/>
          <w:b w:val="1"/>
          <w:bCs w:val="1"/>
          <w:color w:val="auto"/>
        </w:rPr>
        <w:t>Investment in subsidiaries</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320" w:type="dxa"/>
            <w:vAlign w:val="bottom"/>
            <w:shd w:val="clear" w:color="auto" w:fill="CCEEFF"/>
          </w:tcPr>
          <w:p>
            <w:pPr>
              <w:spacing w:after="0"/>
              <w:rPr>
                <w:sz w:val="16"/>
                <w:szCs w:val="16"/>
                <w:color w:val="auto"/>
              </w:rPr>
            </w:pPr>
          </w:p>
        </w:tc>
        <w:tc>
          <w:tcPr>
            <w:tcW w:w="46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Investment in Subsidiary</w:t>
            </w:r>
          </w:p>
        </w:tc>
      </w:tr>
      <w:tr>
        <w:trPr>
          <w:trHeight w:val="182"/>
        </w:trPr>
        <w:tc>
          <w:tcPr>
            <w:tcW w:w="6320" w:type="dxa"/>
            <w:vAlign w:val="bottom"/>
            <w:tcBorders>
              <w:bottom w:val="single" w:sz="8" w:color="auto"/>
            </w:tcBorders>
            <w:shd w:val="clear" w:color="auto" w:fill="CCEEFF"/>
          </w:tcPr>
          <w:p>
            <w:pPr>
              <w:spacing w:after="0"/>
              <w:rPr>
                <w:sz w:val="15"/>
                <w:szCs w:val="15"/>
                <w:color w:val="auto"/>
              </w:rPr>
            </w:pPr>
          </w:p>
        </w:tc>
        <w:tc>
          <w:tcPr>
            <w:tcW w:w="4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Undertakings</w:t>
            </w:r>
          </w:p>
        </w:tc>
      </w:tr>
      <w:tr>
        <w:trPr>
          <w:trHeight w:val="192"/>
        </w:trPr>
        <w:tc>
          <w:tcPr>
            <w:tcW w:w="6320" w:type="dxa"/>
            <w:vAlign w:val="bottom"/>
          </w:tcPr>
          <w:p>
            <w:pPr>
              <w:spacing w:after="0"/>
              <w:rPr>
                <w:sz w:val="16"/>
                <w:szCs w:val="16"/>
                <w:color w:val="auto"/>
              </w:rPr>
            </w:pPr>
          </w:p>
        </w:tc>
        <w:tc>
          <w:tcPr>
            <w:tcW w:w="4680" w:type="dxa"/>
            <w:vAlign w:val="bottom"/>
          </w:tcPr>
          <w:p>
            <w:pPr>
              <w:jc w:val="right"/>
              <w:spacing w:after="0"/>
              <w:rPr>
                <w:sz w:val="20"/>
                <w:szCs w:val="20"/>
                <w:color w:val="auto"/>
              </w:rPr>
            </w:pPr>
            <w:r>
              <w:rPr>
                <w:rFonts w:ascii="Arial" w:cs="Arial" w:eastAsia="Arial" w:hAnsi="Arial"/>
                <w:sz w:val="13"/>
                <w:szCs w:val="13"/>
                <w:b w:val="1"/>
                <w:bCs w:val="1"/>
                <w:color w:val="auto"/>
              </w:rPr>
              <w:t>$’000</w:t>
            </w:r>
          </w:p>
        </w:tc>
      </w:tr>
      <w:tr>
        <w:trPr>
          <w:trHeight w:val="179"/>
        </w:trPr>
        <w:tc>
          <w:tcPr>
            <w:tcW w:w="6320" w:type="dxa"/>
            <w:vAlign w:val="bottom"/>
            <w:shd w:val="clear" w:color="auto" w:fill="CCEEFF"/>
          </w:tcPr>
          <w:p>
            <w:pPr>
              <w:spacing w:after="0"/>
              <w:rPr>
                <w:sz w:val="15"/>
                <w:szCs w:val="15"/>
                <w:color w:val="auto"/>
              </w:rPr>
            </w:pPr>
          </w:p>
        </w:tc>
        <w:tc>
          <w:tcPr>
            <w:tcW w:w="4680" w:type="dxa"/>
            <w:vAlign w:val="bottom"/>
            <w:shd w:val="clear" w:color="auto" w:fill="CCEEFF"/>
          </w:tcPr>
          <w:p>
            <w:pPr>
              <w:spacing w:after="0"/>
              <w:rPr>
                <w:sz w:val="15"/>
                <w:szCs w:val="15"/>
                <w:color w:val="auto"/>
              </w:rPr>
            </w:pPr>
          </w:p>
        </w:tc>
      </w:tr>
      <w:tr>
        <w:trPr>
          <w:trHeight w:val="170"/>
        </w:trPr>
        <w:tc>
          <w:tcPr>
            <w:tcW w:w="6320" w:type="dxa"/>
            <w:vAlign w:val="bottom"/>
          </w:tcPr>
          <w:p>
            <w:pPr>
              <w:ind w:left="20"/>
              <w:spacing w:after="0"/>
              <w:rPr>
                <w:sz w:val="20"/>
                <w:szCs w:val="20"/>
                <w:color w:val="auto"/>
              </w:rPr>
            </w:pPr>
            <w:r>
              <w:rPr>
                <w:rFonts w:ascii="Arial" w:cs="Arial" w:eastAsia="Arial" w:hAnsi="Arial"/>
                <w:sz w:val="13"/>
                <w:szCs w:val="13"/>
                <w:b w:val="1"/>
                <w:bCs w:val="1"/>
                <w:color w:val="auto"/>
              </w:rPr>
              <w:t>Cost</w:t>
            </w:r>
          </w:p>
        </w:tc>
        <w:tc>
          <w:tcPr>
            <w:tcW w:w="4680" w:type="dxa"/>
            <w:vAlign w:val="bottom"/>
          </w:tcPr>
          <w:p>
            <w:pPr>
              <w:spacing w:after="0"/>
              <w:rPr>
                <w:sz w:val="14"/>
                <w:szCs w:val="14"/>
                <w:color w:val="auto"/>
              </w:rPr>
            </w:pPr>
          </w:p>
        </w:tc>
      </w:tr>
      <w:tr>
        <w:trPr>
          <w:trHeight w:val="170"/>
        </w:trPr>
        <w:tc>
          <w:tcPr>
            <w:tcW w:w="6320" w:type="dxa"/>
            <w:vAlign w:val="bottom"/>
            <w:shd w:val="clear" w:color="auto" w:fill="CCEEFF"/>
          </w:tcPr>
          <w:p>
            <w:pPr>
              <w:spacing w:after="0"/>
              <w:rPr>
                <w:sz w:val="14"/>
                <w:szCs w:val="14"/>
                <w:color w:val="auto"/>
              </w:rPr>
            </w:pPr>
          </w:p>
        </w:tc>
        <w:tc>
          <w:tcPr>
            <w:tcW w:w="4680" w:type="dxa"/>
            <w:vAlign w:val="bottom"/>
            <w:shd w:val="clear" w:color="auto" w:fill="CCEEFF"/>
          </w:tcPr>
          <w:p>
            <w:pPr>
              <w:spacing w:after="0"/>
              <w:rPr>
                <w:sz w:val="14"/>
                <w:szCs w:val="14"/>
                <w:color w:val="auto"/>
              </w:rPr>
            </w:pPr>
          </w:p>
        </w:tc>
      </w:tr>
      <w:tr>
        <w:trPr>
          <w:trHeight w:val="169"/>
        </w:trPr>
        <w:tc>
          <w:tcPr>
            <w:tcW w:w="6320" w:type="dxa"/>
            <w:vAlign w:val="bottom"/>
          </w:tcPr>
          <w:p>
            <w:pPr>
              <w:ind w:left="20"/>
              <w:spacing w:after="0"/>
              <w:rPr>
                <w:sz w:val="20"/>
                <w:szCs w:val="20"/>
                <w:color w:val="auto"/>
              </w:rPr>
            </w:pPr>
            <w:r>
              <w:rPr>
                <w:rFonts w:ascii="Arial" w:cs="Arial" w:eastAsia="Arial" w:hAnsi="Arial"/>
                <w:sz w:val="13"/>
                <w:szCs w:val="13"/>
                <w:color w:val="auto"/>
              </w:rPr>
              <w:t>At 1 January 2020</w:t>
            </w:r>
          </w:p>
        </w:tc>
        <w:tc>
          <w:tcPr>
            <w:tcW w:w="4680" w:type="dxa"/>
            <w:vAlign w:val="bottom"/>
          </w:tcPr>
          <w:p>
            <w:pPr>
              <w:jc w:val="right"/>
              <w:spacing w:after="0"/>
              <w:rPr>
                <w:sz w:val="20"/>
                <w:szCs w:val="20"/>
                <w:color w:val="auto"/>
              </w:rPr>
            </w:pPr>
            <w:r>
              <w:rPr>
                <w:rFonts w:ascii="Arial" w:cs="Arial" w:eastAsia="Arial" w:hAnsi="Arial"/>
                <w:sz w:val="13"/>
                <w:szCs w:val="13"/>
                <w:color w:val="auto"/>
              </w:rPr>
              <w:t>241,366</w:t>
            </w:r>
          </w:p>
        </w:tc>
      </w:tr>
      <w:tr>
        <w:trPr>
          <w:trHeight w:val="171"/>
        </w:trPr>
        <w:tc>
          <w:tcPr>
            <w:tcW w:w="6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Additions</w:t>
            </w:r>
          </w:p>
        </w:tc>
        <w:tc>
          <w:tcPr>
            <w:tcW w:w="4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365,074</w:t>
            </w:r>
          </w:p>
        </w:tc>
      </w:tr>
      <w:tr>
        <w:trPr>
          <w:trHeight w:val="169"/>
        </w:trPr>
        <w:tc>
          <w:tcPr>
            <w:tcW w:w="6320" w:type="dxa"/>
            <w:vAlign w:val="bottom"/>
          </w:tcPr>
          <w:p>
            <w:pPr>
              <w:ind w:left="20"/>
              <w:spacing w:after="0"/>
              <w:rPr>
                <w:sz w:val="20"/>
                <w:szCs w:val="20"/>
                <w:color w:val="auto"/>
              </w:rPr>
            </w:pPr>
            <w:r>
              <w:rPr>
                <w:rFonts w:ascii="Arial" w:cs="Arial" w:eastAsia="Arial" w:hAnsi="Arial"/>
                <w:sz w:val="13"/>
                <w:szCs w:val="13"/>
                <w:color w:val="auto"/>
              </w:rPr>
              <w:t>Share-based payment</w:t>
            </w:r>
          </w:p>
        </w:tc>
        <w:tc>
          <w:tcPr>
            <w:tcW w:w="4680" w:type="dxa"/>
            <w:vAlign w:val="bottom"/>
          </w:tcPr>
          <w:p>
            <w:pPr>
              <w:jc w:val="right"/>
              <w:spacing w:after="0"/>
              <w:rPr>
                <w:sz w:val="20"/>
                <w:szCs w:val="20"/>
                <w:color w:val="auto"/>
              </w:rPr>
            </w:pPr>
            <w:r>
              <w:rPr>
                <w:rFonts w:ascii="Arial" w:cs="Arial" w:eastAsia="Arial" w:hAnsi="Arial"/>
                <w:sz w:val="13"/>
                <w:szCs w:val="13"/>
                <w:color w:val="auto"/>
              </w:rPr>
              <w:t>21,061</w:t>
            </w:r>
          </w:p>
        </w:tc>
      </w:tr>
      <w:tr>
        <w:trPr>
          <w:trHeight w:val="170"/>
        </w:trPr>
        <w:tc>
          <w:tcPr>
            <w:tcW w:w="6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Share subscription payment from subsidiary companies</w:t>
            </w:r>
          </w:p>
        </w:tc>
        <w:tc>
          <w:tcPr>
            <w:tcW w:w="4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(36,680)</w:t>
            </w:r>
          </w:p>
        </w:tc>
      </w:tr>
      <w:tr>
        <w:trPr>
          <w:trHeight w:val="162"/>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At 31 December 2020</w:t>
            </w:r>
          </w:p>
        </w:tc>
        <w:tc>
          <w:tcPr>
            <w:tcW w:w="46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590,821</w:t>
            </w:r>
          </w:p>
        </w:tc>
      </w:tr>
      <w:tr>
        <w:trPr>
          <w:trHeight w:val="182"/>
        </w:trPr>
        <w:tc>
          <w:tcPr>
            <w:tcW w:w="6320" w:type="dxa"/>
            <w:vAlign w:val="bottom"/>
            <w:shd w:val="clear" w:color="auto" w:fill="CCEEFF"/>
          </w:tcPr>
          <w:p>
            <w:pPr>
              <w:spacing w:after="0"/>
              <w:rPr>
                <w:sz w:val="15"/>
                <w:szCs w:val="15"/>
                <w:color w:val="auto"/>
              </w:rPr>
            </w:pPr>
          </w:p>
        </w:tc>
        <w:tc>
          <w:tcPr>
            <w:tcW w:w="4680" w:type="dxa"/>
            <w:vAlign w:val="bottom"/>
            <w:shd w:val="clear" w:color="auto" w:fill="CCEEFF"/>
          </w:tcPr>
          <w:p>
            <w:pPr>
              <w:spacing w:after="0"/>
              <w:rPr>
                <w:sz w:val="15"/>
                <w:szCs w:val="15"/>
                <w:color w:val="auto"/>
              </w:rPr>
            </w:pPr>
          </w:p>
        </w:tc>
      </w:tr>
      <w:tr>
        <w:trPr>
          <w:trHeight w:val="169"/>
        </w:trPr>
        <w:tc>
          <w:tcPr>
            <w:tcW w:w="6320" w:type="dxa"/>
            <w:vAlign w:val="bottom"/>
          </w:tcPr>
          <w:p>
            <w:pPr>
              <w:ind w:left="20"/>
              <w:spacing w:after="0"/>
              <w:rPr>
                <w:sz w:val="20"/>
                <w:szCs w:val="20"/>
                <w:color w:val="auto"/>
              </w:rPr>
            </w:pPr>
            <w:r>
              <w:rPr>
                <w:rFonts w:ascii="Arial" w:cs="Arial" w:eastAsia="Arial" w:hAnsi="Arial"/>
                <w:sz w:val="13"/>
                <w:szCs w:val="13"/>
                <w:color w:val="auto"/>
              </w:rPr>
              <w:t>Acquisition of PRA</w:t>
            </w:r>
          </w:p>
        </w:tc>
        <w:tc>
          <w:tcPr>
            <w:tcW w:w="4680" w:type="dxa"/>
            <w:vAlign w:val="bottom"/>
          </w:tcPr>
          <w:p>
            <w:pPr>
              <w:jc w:val="right"/>
              <w:spacing w:after="0"/>
              <w:rPr>
                <w:sz w:val="20"/>
                <w:szCs w:val="20"/>
                <w:color w:val="auto"/>
              </w:rPr>
            </w:pPr>
            <w:r>
              <w:rPr>
                <w:rFonts w:ascii="Arial" w:cs="Arial" w:eastAsia="Arial" w:hAnsi="Arial"/>
                <w:sz w:val="13"/>
                <w:szCs w:val="13"/>
                <w:color w:val="auto"/>
              </w:rPr>
              <w:t>5,925,751</w:t>
            </w:r>
          </w:p>
        </w:tc>
      </w:tr>
      <w:tr>
        <w:trPr>
          <w:trHeight w:val="171"/>
        </w:trPr>
        <w:tc>
          <w:tcPr>
            <w:tcW w:w="6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Additions</w:t>
            </w:r>
          </w:p>
        </w:tc>
        <w:tc>
          <w:tcPr>
            <w:tcW w:w="4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772,500</w:t>
            </w:r>
          </w:p>
        </w:tc>
      </w:tr>
      <w:tr>
        <w:trPr>
          <w:trHeight w:val="169"/>
        </w:trPr>
        <w:tc>
          <w:tcPr>
            <w:tcW w:w="6320" w:type="dxa"/>
            <w:vAlign w:val="bottom"/>
          </w:tcPr>
          <w:p>
            <w:pPr>
              <w:ind w:left="20"/>
              <w:spacing w:after="0"/>
              <w:rPr>
                <w:sz w:val="20"/>
                <w:szCs w:val="20"/>
                <w:color w:val="auto"/>
              </w:rPr>
            </w:pPr>
            <w:r>
              <w:rPr>
                <w:rFonts w:ascii="Arial" w:cs="Arial" w:eastAsia="Arial" w:hAnsi="Arial"/>
                <w:sz w:val="13"/>
                <w:szCs w:val="13"/>
                <w:color w:val="auto"/>
              </w:rPr>
              <w:t>Disposals/redemptions</w:t>
            </w:r>
          </w:p>
        </w:tc>
        <w:tc>
          <w:tcPr>
            <w:tcW w:w="4680" w:type="dxa"/>
            <w:vAlign w:val="bottom"/>
          </w:tcPr>
          <w:p>
            <w:pPr>
              <w:jc w:val="right"/>
              <w:spacing w:after="0"/>
              <w:rPr>
                <w:sz w:val="20"/>
                <w:szCs w:val="20"/>
                <w:color w:val="auto"/>
              </w:rPr>
            </w:pPr>
            <w:r>
              <w:rPr>
                <w:rFonts w:ascii="Arial" w:cs="Arial" w:eastAsia="Arial" w:hAnsi="Arial"/>
                <w:sz w:val="13"/>
                <w:szCs w:val="13"/>
                <w:color w:val="auto"/>
              </w:rPr>
              <w:t>(101,000)</w:t>
            </w:r>
          </w:p>
        </w:tc>
      </w:tr>
      <w:tr>
        <w:trPr>
          <w:trHeight w:val="171"/>
        </w:trPr>
        <w:tc>
          <w:tcPr>
            <w:tcW w:w="6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Impairment charge</w:t>
            </w:r>
          </w:p>
        </w:tc>
        <w:tc>
          <w:tcPr>
            <w:tcW w:w="4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w:t>
            </w:r>
          </w:p>
        </w:tc>
      </w:tr>
      <w:tr>
        <w:trPr>
          <w:trHeight w:val="169"/>
        </w:trPr>
        <w:tc>
          <w:tcPr>
            <w:tcW w:w="6320" w:type="dxa"/>
            <w:vAlign w:val="bottom"/>
          </w:tcPr>
          <w:p>
            <w:pPr>
              <w:ind w:left="20"/>
              <w:spacing w:after="0"/>
              <w:rPr>
                <w:sz w:val="20"/>
                <w:szCs w:val="20"/>
                <w:color w:val="auto"/>
              </w:rPr>
            </w:pPr>
            <w:r>
              <w:rPr>
                <w:rFonts w:ascii="Arial" w:cs="Arial" w:eastAsia="Arial" w:hAnsi="Arial"/>
                <w:sz w:val="13"/>
                <w:szCs w:val="13"/>
                <w:color w:val="auto"/>
              </w:rPr>
              <w:t>Share-based payment</w:t>
            </w:r>
          </w:p>
        </w:tc>
        <w:tc>
          <w:tcPr>
            <w:tcW w:w="4680" w:type="dxa"/>
            <w:vAlign w:val="bottom"/>
          </w:tcPr>
          <w:p>
            <w:pPr>
              <w:jc w:val="right"/>
              <w:spacing w:after="0"/>
              <w:rPr>
                <w:sz w:val="20"/>
                <w:szCs w:val="20"/>
                <w:color w:val="auto"/>
              </w:rPr>
            </w:pPr>
            <w:r>
              <w:rPr>
                <w:rFonts w:ascii="Arial" w:cs="Arial" w:eastAsia="Arial" w:hAnsi="Arial"/>
                <w:sz w:val="13"/>
                <w:szCs w:val="13"/>
                <w:color w:val="auto"/>
              </w:rPr>
              <w:t>100,647</w:t>
            </w:r>
          </w:p>
        </w:tc>
      </w:tr>
      <w:tr>
        <w:trPr>
          <w:trHeight w:val="170"/>
        </w:trPr>
        <w:tc>
          <w:tcPr>
            <w:tcW w:w="6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Share subscription payment from subsidiary companies</w:t>
            </w:r>
          </w:p>
        </w:tc>
        <w:tc>
          <w:tcPr>
            <w:tcW w:w="4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(314,285)</w:t>
            </w:r>
          </w:p>
        </w:tc>
      </w:tr>
      <w:tr>
        <w:trPr>
          <w:trHeight w:val="163"/>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At 31 December 2021</w:t>
            </w:r>
          </w:p>
        </w:tc>
        <w:tc>
          <w:tcPr>
            <w:tcW w:w="46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6,974,348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144</w:t>
      </w:r>
    </w:p>
    <w:p>
      <w:pPr>
        <w:sectPr>
          <w:pgSz w:w="11900" w:h="16838" w:orient="portrait"/>
          <w:cols w:equalWidth="0" w:num="1">
            <w:col w:w="11000"/>
          </w:cols>
          <w:pgMar w:left="300" w:top="698" w:right="59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color w:val="auto"/>
        </w:rPr>
        <w:t>Notes to Company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190" w:lineRule="exact"/>
        <w:rPr>
          <w:sz w:val="20"/>
          <w:szCs w:val="20"/>
          <w:color w:val="auto"/>
        </w:rPr>
      </w:pPr>
    </w:p>
    <w:p>
      <w:pPr>
        <w:spacing w:after="0"/>
        <w:tabs>
          <w:tab w:leader="none" w:pos="240" w:val="left"/>
        </w:tabs>
        <w:rPr>
          <w:sz w:val="20"/>
          <w:szCs w:val="20"/>
          <w:color w:val="auto"/>
        </w:rPr>
      </w:pPr>
      <w:r>
        <w:rPr>
          <w:rFonts w:ascii="Arial" w:cs="Arial" w:eastAsia="Arial" w:hAnsi="Arial"/>
          <w:sz w:val="13"/>
          <w:szCs w:val="13"/>
          <w:b w:val="1"/>
          <w:bCs w:val="1"/>
          <w:color w:val="auto"/>
        </w:rPr>
        <w:t>4.</w:t>
      </w:r>
      <w:r>
        <w:rPr>
          <w:sz w:val="20"/>
          <w:szCs w:val="20"/>
          <w:color w:val="auto"/>
        </w:rPr>
        <w:tab/>
      </w:r>
      <w:r>
        <w:rPr>
          <w:rFonts w:ascii="Arial" w:cs="Arial" w:eastAsia="Arial" w:hAnsi="Arial"/>
          <w:sz w:val="12"/>
          <w:szCs w:val="12"/>
          <w:b w:val="1"/>
          <w:bCs w:val="1"/>
          <w:color w:val="auto"/>
        </w:rPr>
        <w:t>Deferred taxation</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The net deferred tax asset at 31 December 2021 and 31 December 2020 was as follows: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60" w:type="dxa"/>
            <w:vAlign w:val="bottom"/>
            <w:shd w:val="clear" w:color="auto" w:fill="CCEEFF"/>
          </w:tcPr>
          <w:p>
            <w:pPr>
              <w:spacing w:after="0"/>
              <w:rPr>
                <w:sz w:val="13"/>
                <w:szCs w:val="13"/>
                <w:color w:val="auto"/>
              </w:rPr>
            </w:pPr>
          </w:p>
        </w:tc>
        <w:tc>
          <w:tcPr>
            <w:tcW w:w="3540" w:type="dxa"/>
            <w:vAlign w:val="bottom"/>
            <w:shd w:val="clear" w:color="auto" w:fill="CCEEFF"/>
          </w:tcPr>
          <w:p>
            <w:pPr>
              <w:spacing w:after="0"/>
              <w:rPr>
                <w:sz w:val="13"/>
                <w:szCs w:val="13"/>
                <w:color w:val="auto"/>
              </w:rPr>
            </w:pPr>
          </w:p>
        </w:tc>
        <w:tc>
          <w:tcPr>
            <w:tcW w:w="1600" w:type="dxa"/>
            <w:vAlign w:val="bottom"/>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31 December</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c>
          <w:tcPr>
            <w:tcW w:w="0" w:type="dxa"/>
            <w:vAlign w:val="bottom"/>
          </w:tcPr>
          <w:p>
            <w:pPr>
              <w:spacing w:after="0"/>
              <w:rPr>
                <w:sz w:val="1"/>
                <w:szCs w:val="1"/>
                <w:color w:val="auto"/>
              </w:rPr>
            </w:pPr>
          </w:p>
        </w:tc>
      </w:tr>
      <w:tr>
        <w:trPr>
          <w:trHeight w:val="170"/>
        </w:trPr>
        <w:tc>
          <w:tcPr>
            <w:tcW w:w="4660" w:type="dxa"/>
            <w:vAlign w:val="bottom"/>
            <w:tcBorders>
              <w:bottom w:val="single" w:sz="8" w:color="auto"/>
            </w:tcBorders>
            <w:shd w:val="clear" w:color="auto" w:fill="CCEEFF"/>
          </w:tcPr>
          <w:p>
            <w:pPr>
              <w:spacing w:after="0"/>
              <w:rPr>
                <w:sz w:val="14"/>
                <w:szCs w:val="14"/>
                <w:color w:val="auto"/>
              </w:rPr>
            </w:pPr>
          </w:p>
        </w:tc>
        <w:tc>
          <w:tcPr>
            <w:tcW w:w="354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2021</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2020</w:t>
            </w:r>
          </w:p>
        </w:tc>
        <w:tc>
          <w:tcPr>
            <w:tcW w:w="0" w:type="dxa"/>
            <w:vAlign w:val="bottom"/>
          </w:tcPr>
          <w:p>
            <w:pPr>
              <w:spacing w:after="0"/>
              <w:rPr>
                <w:sz w:val="1"/>
                <w:szCs w:val="1"/>
                <w:color w:val="auto"/>
              </w:rPr>
            </w:pPr>
          </w:p>
        </w:tc>
      </w:tr>
      <w:tr>
        <w:trPr>
          <w:trHeight w:val="160"/>
        </w:trPr>
        <w:tc>
          <w:tcPr>
            <w:tcW w:w="466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600" w:type="dxa"/>
            <w:vAlign w:val="bottom"/>
          </w:tcPr>
          <w:p>
            <w:pPr>
              <w:jc w:val="right"/>
              <w:ind w:right="276"/>
              <w:spacing w:after="0"/>
              <w:rPr>
                <w:sz w:val="20"/>
                <w:szCs w:val="20"/>
                <w:color w:val="auto"/>
              </w:rPr>
            </w:pPr>
            <w:r>
              <w:rPr>
                <w:rFonts w:ascii="Arial" w:cs="Arial" w:eastAsia="Arial" w:hAnsi="Arial"/>
                <w:sz w:val="13"/>
                <w:szCs w:val="13"/>
                <w:b w:val="1"/>
                <w:bCs w:val="1"/>
                <w:color w:val="auto"/>
              </w:rPr>
              <w:t>$'000</w:t>
            </w:r>
          </w:p>
        </w:tc>
        <w:tc>
          <w:tcPr>
            <w:tcW w:w="1460" w:type="dxa"/>
            <w:vAlign w:val="bottom"/>
          </w:tcPr>
          <w:p>
            <w:pPr>
              <w:jc w:val="right"/>
              <w:ind w:right="136"/>
              <w:spacing w:after="0"/>
              <w:rPr>
                <w:sz w:val="20"/>
                <w:szCs w:val="20"/>
                <w:color w:val="auto"/>
              </w:rPr>
            </w:pPr>
            <w:r>
              <w:rPr>
                <w:rFonts w:ascii="Arial" w:cs="Arial" w:eastAsia="Arial" w:hAnsi="Arial"/>
                <w:sz w:val="13"/>
                <w:szCs w:val="13"/>
                <w:color w:val="auto"/>
              </w:rPr>
              <w:t>$'000</w:t>
            </w:r>
          </w:p>
        </w:tc>
        <w:tc>
          <w:tcPr>
            <w:tcW w:w="0" w:type="dxa"/>
            <w:vAlign w:val="bottom"/>
          </w:tcPr>
          <w:p>
            <w:pPr>
              <w:spacing w:after="0"/>
              <w:rPr>
                <w:sz w:val="1"/>
                <w:szCs w:val="1"/>
                <w:color w:val="auto"/>
              </w:rPr>
            </w:pPr>
          </w:p>
        </w:tc>
      </w:tr>
      <w:tr>
        <w:trPr>
          <w:trHeight w:val="170"/>
        </w:trPr>
        <w:tc>
          <w:tcPr>
            <w:tcW w:w="4660" w:type="dxa"/>
            <w:vAlign w:val="bottom"/>
            <w:shd w:val="clear" w:color="auto" w:fill="CCEEFF"/>
          </w:tcPr>
          <w:p>
            <w:pPr>
              <w:spacing w:after="0"/>
              <w:rPr>
                <w:sz w:val="14"/>
                <w:szCs w:val="14"/>
                <w:color w:val="auto"/>
              </w:rPr>
            </w:pPr>
          </w:p>
        </w:tc>
        <w:tc>
          <w:tcPr>
            <w:tcW w:w="354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660" w:type="dxa"/>
            <w:vAlign w:val="bottom"/>
          </w:tcPr>
          <w:p>
            <w:pPr>
              <w:ind w:left="100"/>
              <w:spacing w:after="0"/>
              <w:rPr>
                <w:sz w:val="20"/>
                <w:szCs w:val="20"/>
                <w:color w:val="auto"/>
              </w:rPr>
            </w:pPr>
            <w:r>
              <w:rPr>
                <w:rFonts w:ascii="Arial" w:cs="Arial" w:eastAsia="Arial" w:hAnsi="Arial"/>
                <w:sz w:val="13"/>
                <w:szCs w:val="13"/>
                <w:b w:val="1"/>
                <w:bCs w:val="1"/>
                <w:color w:val="auto"/>
              </w:rPr>
              <w:t>Deferred taxation assets:</w:t>
            </w:r>
          </w:p>
        </w:tc>
        <w:tc>
          <w:tcPr>
            <w:tcW w:w="35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6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Accrued expenses and payments on account</w:t>
            </w:r>
          </w:p>
        </w:tc>
        <w:tc>
          <w:tcPr>
            <w:tcW w:w="3540" w:type="dxa"/>
            <w:vAlign w:val="bottom"/>
            <w:shd w:val="clear" w:color="auto" w:fill="CCEEFF"/>
          </w:tcPr>
          <w:p>
            <w:pPr>
              <w:spacing w:after="0"/>
              <w:rPr>
                <w:sz w:val="14"/>
                <w:szCs w:val="14"/>
                <w:color w:val="auto"/>
              </w:rPr>
            </w:pPr>
          </w:p>
        </w:tc>
        <w:tc>
          <w:tcPr>
            <w:tcW w:w="1600" w:type="dxa"/>
            <w:vAlign w:val="bottom"/>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435</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376</w:t>
            </w:r>
          </w:p>
        </w:tc>
        <w:tc>
          <w:tcPr>
            <w:tcW w:w="0" w:type="dxa"/>
            <w:vAlign w:val="bottom"/>
          </w:tcPr>
          <w:p>
            <w:pPr>
              <w:spacing w:after="0"/>
              <w:rPr>
                <w:sz w:val="1"/>
                <w:szCs w:val="1"/>
                <w:color w:val="auto"/>
              </w:rPr>
            </w:pPr>
          </w:p>
        </w:tc>
      </w:tr>
      <w:tr>
        <w:trPr>
          <w:trHeight w:val="170"/>
        </w:trPr>
        <w:tc>
          <w:tcPr>
            <w:tcW w:w="4660" w:type="dxa"/>
            <w:vAlign w:val="bottom"/>
          </w:tcPr>
          <w:p>
            <w:pPr>
              <w:ind w:left="100"/>
              <w:spacing w:after="0"/>
              <w:rPr>
                <w:sz w:val="20"/>
                <w:szCs w:val="20"/>
                <w:color w:val="auto"/>
              </w:rPr>
            </w:pPr>
            <w:r>
              <w:rPr>
                <w:rFonts w:ascii="Arial" w:cs="Arial" w:eastAsia="Arial" w:hAnsi="Arial"/>
                <w:sz w:val="13"/>
                <w:szCs w:val="13"/>
                <w:color w:val="auto"/>
              </w:rPr>
              <w:t>Property, plant and equipment</w:t>
            </w:r>
          </w:p>
        </w:tc>
        <w:tc>
          <w:tcPr>
            <w:tcW w:w="3540" w:type="dxa"/>
            <w:vAlign w:val="bottom"/>
          </w:tcPr>
          <w:p>
            <w:pPr>
              <w:spacing w:after="0"/>
              <w:rPr>
                <w:sz w:val="14"/>
                <w:szCs w:val="14"/>
                <w:color w:val="auto"/>
              </w:rPr>
            </w:pPr>
          </w:p>
        </w:tc>
        <w:tc>
          <w:tcPr>
            <w:tcW w:w="1600" w:type="dxa"/>
            <w:vAlign w:val="bottom"/>
          </w:tcPr>
          <w:p>
            <w:pPr>
              <w:jc w:val="right"/>
              <w:ind w:right="116"/>
              <w:spacing w:after="0"/>
              <w:rPr>
                <w:sz w:val="20"/>
                <w:szCs w:val="20"/>
                <w:color w:val="auto"/>
              </w:rPr>
            </w:pPr>
            <w:r>
              <w:rPr>
                <w:rFonts w:ascii="Arial" w:cs="Arial" w:eastAsia="Arial" w:hAnsi="Arial"/>
                <w:sz w:val="13"/>
                <w:szCs w:val="13"/>
                <w:b w:val="1"/>
                <w:bCs w:val="1"/>
                <w:color w:val="auto"/>
              </w:rPr>
              <w:t>6</w:t>
            </w:r>
          </w:p>
        </w:tc>
        <w:tc>
          <w:tcPr>
            <w:tcW w:w="1460" w:type="dxa"/>
            <w:vAlign w:val="bottom"/>
          </w:tcPr>
          <w:p>
            <w:pPr>
              <w:jc w:val="right"/>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70"/>
        </w:trPr>
        <w:tc>
          <w:tcPr>
            <w:tcW w:w="46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3"/>
                <w:szCs w:val="13"/>
                <w:color w:val="auto"/>
              </w:rPr>
              <w:t>Loans to subsidiaries</w:t>
            </w:r>
          </w:p>
        </w:tc>
        <w:tc>
          <w:tcPr>
            <w:tcW w:w="354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50</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82"/>
        </w:trPr>
        <w:tc>
          <w:tcPr>
            <w:tcW w:w="466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6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3"/>
                <w:szCs w:val="13"/>
                <w:b w:val="1"/>
                <w:bCs w:val="1"/>
                <w:color w:val="auto"/>
              </w:rPr>
              <w:t>Total deferred taxation assets</w:t>
            </w:r>
          </w:p>
        </w:tc>
        <w:tc>
          <w:tcPr>
            <w:tcW w:w="354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491</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435</w:t>
            </w:r>
          </w:p>
        </w:tc>
        <w:tc>
          <w:tcPr>
            <w:tcW w:w="0" w:type="dxa"/>
            <w:vAlign w:val="bottom"/>
          </w:tcPr>
          <w:p>
            <w:pPr>
              <w:spacing w:after="0"/>
              <w:rPr>
                <w:sz w:val="1"/>
                <w:szCs w:val="1"/>
                <w:color w:val="auto"/>
              </w:rPr>
            </w:pPr>
          </w:p>
        </w:tc>
      </w:tr>
      <w:tr>
        <w:trPr>
          <w:trHeight w:val="182"/>
        </w:trPr>
        <w:tc>
          <w:tcPr>
            <w:tcW w:w="466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660" w:type="dxa"/>
            <w:vAlign w:val="bottom"/>
            <w:shd w:val="clear" w:color="auto" w:fill="CCEEFF"/>
          </w:tcPr>
          <w:p>
            <w:pPr>
              <w:ind w:left="100"/>
              <w:spacing w:after="0"/>
              <w:rPr>
                <w:sz w:val="20"/>
                <w:szCs w:val="20"/>
                <w:color w:val="auto"/>
              </w:rPr>
            </w:pPr>
            <w:r>
              <w:rPr>
                <w:rFonts w:ascii="Arial" w:cs="Arial" w:eastAsia="Arial" w:hAnsi="Arial"/>
                <w:sz w:val="13"/>
                <w:szCs w:val="13"/>
                <w:b w:val="1"/>
                <w:bCs w:val="1"/>
                <w:color w:val="auto"/>
              </w:rPr>
              <w:t>Deferred taxation liabilities:</w:t>
            </w:r>
          </w:p>
        </w:tc>
        <w:tc>
          <w:tcPr>
            <w:tcW w:w="354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660" w:type="dxa"/>
            <w:vAlign w:val="bottom"/>
          </w:tcPr>
          <w:p>
            <w:pPr>
              <w:ind w:left="100"/>
              <w:spacing w:after="0"/>
              <w:rPr>
                <w:sz w:val="20"/>
                <w:szCs w:val="20"/>
                <w:color w:val="auto"/>
              </w:rPr>
            </w:pPr>
            <w:r>
              <w:rPr>
                <w:rFonts w:ascii="Arial" w:cs="Arial" w:eastAsia="Arial" w:hAnsi="Arial"/>
                <w:sz w:val="13"/>
                <w:szCs w:val="13"/>
                <w:color w:val="auto"/>
              </w:rPr>
              <w:t>Property, plant and equipment</w:t>
            </w:r>
          </w:p>
        </w:tc>
        <w:tc>
          <w:tcPr>
            <w:tcW w:w="3540" w:type="dxa"/>
            <w:vAlign w:val="bottom"/>
          </w:tcPr>
          <w:p>
            <w:pPr>
              <w:spacing w:after="0"/>
              <w:rPr>
                <w:sz w:val="14"/>
                <w:szCs w:val="14"/>
                <w:color w:val="auto"/>
              </w:rPr>
            </w:pPr>
          </w:p>
        </w:tc>
        <w:tc>
          <w:tcPr>
            <w:tcW w:w="1600" w:type="dxa"/>
            <w:vAlign w:val="bottom"/>
          </w:tcPr>
          <w:p>
            <w:pPr>
              <w:jc w:val="right"/>
              <w:ind w:right="116"/>
              <w:spacing w:after="0"/>
              <w:rPr>
                <w:sz w:val="20"/>
                <w:szCs w:val="20"/>
                <w:color w:val="auto"/>
              </w:rPr>
            </w:pPr>
            <w:r>
              <w:rPr>
                <w:rFonts w:ascii="Arial" w:cs="Arial" w:eastAsia="Arial" w:hAnsi="Arial"/>
                <w:sz w:val="13"/>
                <w:szCs w:val="13"/>
                <w:b w:val="1"/>
                <w:bCs w:val="1"/>
                <w:color w:val="auto"/>
              </w:rPr>
              <w:t>—</w:t>
            </w:r>
          </w:p>
        </w:tc>
        <w:tc>
          <w:tcPr>
            <w:tcW w:w="146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70"/>
        </w:trPr>
        <w:tc>
          <w:tcPr>
            <w:tcW w:w="46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3"/>
                <w:szCs w:val="13"/>
                <w:color w:val="auto"/>
              </w:rPr>
              <w:t>Accrued expenses and payments on account</w:t>
            </w:r>
          </w:p>
        </w:tc>
        <w:tc>
          <w:tcPr>
            <w:tcW w:w="354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466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6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3"/>
                <w:szCs w:val="13"/>
                <w:color w:val="auto"/>
              </w:rPr>
              <w:t>Total deferred taxation liabilities</w:t>
            </w:r>
          </w:p>
        </w:tc>
        <w:tc>
          <w:tcPr>
            <w:tcW w:w="354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82"/>
        </w:trPr>
        <w:tc>
          <w:tcPr>
            <w:tcW w:w="466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6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3"/>
                <w:szCs w:val="13"/>
                <w:b w:val="1"/>
                <w:bCs w:val="1"/>
                <w:color w:val="auto"/>
              </w:rPr>
              <w:t>Net deferred taxation asset</w:t>
            </w:r>
          </w:p>
        </w:tc>
        <w:tc>
          <w:tcPr>
            <w:tcW w:w="354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491</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434</w:t>
            </w:r>
          </w:p>
        </w:tc>
        <w:tc>
          <w:tcPr>
            <w:tcW w:w="0" w:type="dxa"/>
            <w:vAlign w:val="bottom"/>
          </w:tcPr>
          <w:p>
            <w:pPr>
              <w:spacing w:after="0"/>
              <w:rPr>
                <w:sz w:val="1"/>
                <w:szCs w:val="1"/>
                <w:color w:val="auto"/>
              </w:rPr>
            </w:pPr>
          </w:p>
        </w:tc>
      </w:tr>
      <w:tr>
        <w:trPr>
          <w:trHeight w:val="276"/>
        </w:trPr>
        <w:tc>
          <w:tcPr>
            <w:tcW w:w="4660" w:type="dxa"/>
            <w:vAlign w:val="bottom"/>
          </w:tcPr>
          <w:p>
            <w:pPr>
              <w:spacing w:after="0"/>
              <w:rPr>
                <w:sz w:val="23"/>
                <w:szCs w:val="23"/>
                <w:color w:val="auto"/>
              </w:rPr>
            </w:pPr>
          </w:p>
        </w:tc>
        <w:tc>
          <w:tcPr>
            <w:tcW w:w="35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7"/>
        </w:trPr>
        <w:tc>
          <w:tcPr>
            <w:tcW w:w="4660" w:type="dxa"/>
            <w:vAlign w:val="bottom"/>
            <w:shd w:val="clear" w:color="auto" w:fill="CCEEFF"/>
          </w:tcPr>
          <w:p>
            <w:pPr>
              <w:spacing w:after="0"/>
              <w:rPr>
                <w:sz w:val="11"/>
                <w:szCs w:val="11"/>
                <w:color w:val="auto"/>
              </w:rPr>
            </w:pPr>
          </w:p>
        </w:tc>
        <w:tc>
          <w:tcPr>
            <w:tcW w:w="354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Balance 1 January 2021</w:t>
            </w:r>
          </w:p>
        </w:tc>
        <w:tc>
          <w:tcPr>
            <w:tcW w:w="1600" w:type="dxa"/>
            <w:vAlign w:val="bottom"/>
            <w:vMerge w:val="restart"/>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Recognised in Income</w:t>
            </w:r>
          </w:p>
        </w:tc>
        <w:tc>
          <w:tcPr>
            <w:tcW w:w="146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Balance 31 December</w:t>
            </w:r>
          </w:p>
        </w:tc>
        <w:tc>
          <w:tcPr>
            <w:tcW w:w="0" w:type="dxa"/>
            <w:vAlign w:val="bottom"/>
          </w:tcPr>
          <w:p>
            <w:pPr>
              <w:spacing w:after="0"/>
              <w:rPr>
                <w:sz w:val="1"/>
                <w:szCs w:val="1"/>
                <w:color w:val="auto"/>
              </w:rPr>
            </w:pPr>
          </w:p>
        </w:tc>
      </w:tr>
      <w:tr>
        <w:trPr>
          <w:trHeight w:val="170"/>
        </w:trPr>
        <w:tc>
          <w:tcPr>
            <w:tcW w:w="4660" w:type="dxa"/>
            <w:vAlign w:val="bottom"/>
            <w:tcBorders>
              <w:bottom w:val="single" w:sz="8" w:color="auto"/>
            </w:tcBorders>
            <w:shd w:val="clear" w:color="auto" w:fill="CCEEFF"/>
          </w:tcPr>
          <w:p>
            <w:pPr>
              <w:spacing w:after="0"/>
              <w:rPr>
                <w:sz w:val="14"/>
                <w:szCs w:val="14"/>
                <w:color w:val="auto"/>
              </w:rPr>
            </w:pPr>
          </w:p>
        </w:tc>
        <w:tc>
          <w:tcPr>
            <w:tcW w:w="3540" w:type="dxa"/>
            <w:vAlign w:val="bottom"/>
            <w:tcBorders>
              <w:bottom w:val="single" w:sz="8" w:color="auto"/>
            </w:tcBorders>
            <w:vMerge w:val="continue"/>
            <w:shd w:val="clear" w:color="auto" w:fill="CCEEFF"/>
          </w:tcPr>
          <w:p>
            <w:pPr>
              <w:spacing w:after="0"/>
              <w:rPr>
                <w:sz w:val="14"/>
                <w:szCs w:val="14"/>
                <w:color w:val="auto"/>
              </w:rPr>
            </w:pPr>
          </w:p>
        </w:tc>
        <w:tc>
          <w:tcPr>
            <w:tcW w:w="1600" w:type="dxa"/>
            <w:vAlign w:val="bottom"/>
            <w:tcBorders>
              <w:bottom w:val="single" w:sz="8" w:color="auto"/>
            </w:tcBorders>
            <w:vMerge w:val="continue"/>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60"/>
        </w:trPr>
        <w:tc>
          <w:tcPr>
            <w:tcW w:w="4660" w:type="dxa"/>
            <w:vAlign w:val="bottom"/>
          </w:tcPr>
          <w:p>
            <w:pPr>
              <w:spacing w:after="0"/>
              <w:rPr>
                <w:sz w:val="13"/>
                <w:szCs w:val="13"/>
                <w:color w:val="auto"/>
              </w:rPr>
            </w:pPr>
          </w:p>
        </w:tc>
        <w:tc>
          <w:tcPr>
            <w:tcW w:w="3540" w:type="dxa"/>
            <w:vAlign w:val="bottom"/>
          </w:tcPr>
          <w:p>
            <w:pPr>
              <w:jc w:val="right"/>
              <w:ind w:right="236"/>
              <w:spacing w:after="0"/>
              <w:rPr>
                <w:sz w:val="20"/>
                <w:szCs w:val="20"/>
                <w:color w:val="auto"/>
              </w:rPr>
            </w:pPr>
            <w:r>
              <w:rPr>
                <w:rFonts w:ascii="Arial" w:cs="Arial" w:eastAsia="Arial" w:hAnsi="Arial"/>
                <w:sz w:val="13"/>
                <w:szCs w:val="13"/>
                <w:b w:val="1"/>
                <w:bCs w:val="1"/>
                <w:color w:val="auto"/>
              </w:rPr>
              <w:t>$'000</w:t>
            </w:r>
          </w:p>
        </w:tc>
        <w:tc>
          <w:tcPr>
            <w:tcW w:w="1600" w:type="dxa"/>
            <w:vAlign w:val="bottom"/>
          </w:tcPr>
          <w:p>
            <w:pPr>
              <w:jc w:val="right"/>
              <w:ind w:right="256"/>
              <w:spacing w:after="0"/>
              <w:rPr>
                <w:sz w:val="20"/>
                <w:szCs w:val="20"/>
                <w:color w:val="auto"/>
              </w:rPr>
            </w:pPr>
            <w:r>
              <w:rPr>
                <w:rFonts w:ascii="Arial" w:cs="Arial" w:eastAsia="Arial" w:hAnsi="Arial"/>
                <w:sz w:val="13"/>
                <w:szCs w:val="13"/>
                <w:b w:val="1"/>
                <w:bCs w:val="1"/>
                <w:color w:val="auto"/>
              </w:rPr>
              <w:t>$'000</w:t>
            </w:r>
          </w:p>
        </w:tc>
        <w:tc>
          <w:tcPr>
            <w:tcW w:w="1460" w:type="dxa"/>
            <w:vAlign w:val="bottom"/>
          </w:tcPr>
          <w:p>
            <w:pPr>
              <w:jc w:val="right"/>
              <w:ind w:right="136"/>
              <w:spacing w:after="0"/>
              <w:rPr>
                <w:sz w:val="20"/>
                <w:szCs w:val="20"/>
                <w:color w:val="auto"/>
              </w:rPr>
            </w:pPr>
            <w:r>
              <w:rPr>
                <w:rFonts w:ascii="Arial" w:cs="Arial" w:eastAsia="Arial" w:hAnsi="Arial"/>
                <w:sz w:val="13"/>
                <w:szCs w:val="13"/>
                <w:b w:val="1"/>
                <w:bCs w:val="1"/>
                <w:color w:val="auto"/>
              </w:rPr>
              <w:t>$'000</w:t>
            </w:r>
          </w:p>
        </w:tc>
        <w:tc>
          <w:tcPr>
            <w:tcW w:w="0" w:type="dxa"/>
            <w:vAlign w:val="bottom"/>
          </w:tcPr>
          <w:p>
            <w:pPr>
              <w:spacing w:after="0"/>
              <w:rPr>
                <w:sz w:val="1"/>
                <w:szCs w:val="1"/>
                <w:color w:val="auto"/>
              </w:rPr>
            </w:pPr>
          </w:p>
        </w:tc>
      </w:tr>
      <w:tr>
        <w:trPr>
          <w:trHeight w:val="170"/>
        </w:trPr>
        <w:tc>
          <w:tcPr>
            <w:tcW w:w="4660" w:type="dxa"/>
            <w:vAlign w:val="bottom"/>
            <w:shd w:val="clear" w:color="auto" w:fill="CCEEFF"/>
          </w:tcPr>
          <w:p>
            <w:pPr>
              <w:spacing w:after="0"/>
              <w:rPr>
                <w:sz w:val="14"/>
                <w:szCs w:val="14"/>
                <w:color w:val="auto"/>
              </w:rPr>
            </w:pPr>
          </w:p>
        </w:tc>
        <w:tc>
          <w:tcPr>
            <w:tcW w:w="354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660" w:type="dxa"/>
            <w:vAlign w:val="bottom"/>
          </w:tcPr>
          <w:p>
            <w:pPr>
              <w:ind w:left="20"/>
              <w:spacing w:after="0"/>
              <w:rPr>
                <w:sz w:val="20"/>
                <w:szCs w:val="20"/>
                <w:color w:val="auto"/>
              </w:rPr>
            </w:pPr>
            <w:r>
              <w:rPr>
                <w:rFonts w:ascii="Arial" w:cs="Arial" w:eastAsia="Arial" w:hAnsi="Arial"/>
                <w:sz w:val="13"/>
                <w:szCs w:val="13"/>
                <w:b w:val="1"/>
                <w:bCs w:val="1"/>
                <w:color w:val="auto"/>
              </w:rPr>
              <w:t>Deferred taxation assets</w:t>
            </w:r>
          </w:p>
        </w:tc>
        <w:tc>
          <w:tcPr>
            <w:tcW w:w="35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660" w:type="dxa"/>
            <w:vAlign w:val="bottom"/>
            <w:shd w:val="clear" w:color="auto" w:fill="CCEEFF"/>
          </w:tcPr>
          <w:p>
            <w:pPr>
              <w:ind w:left="60"/>
              <w:spacing w:after="0"/>
              <w:rPr>
                <w:sz w:val="20"/>
                <w:szCs w:val="20"/>
                <w:color w:val="auto"/>
              </w:rPr>
            </w:pPr>
            <w:r>
              <w:rPr>
                <w:rFonts w:ascii="Arial" w:cs="Arial" w:eastAsia="Arial" w:hAnsi="Arial"/>
                <w:sz w:val="13"/>
                <w:szCs w:val="13"/>
                <w:color w:val="auto"/>
              </w:rPr>
              <w:t>Accrued expenses and payments on account</w:t>
            </w:r>
          </w:p>
        </w:tc>
        <w:tc>
          <w:tcPr>
            <w:tcW w:w="35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376</w:t>
            </w:r>
          </w:p>
        </w:tc>
        <w:tc>
          <w:tcPr>
            <w:tcW w:w="160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59</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435</w:t>
            </w:r>
          </w:p>
        </w:tc>
        <w:tc>
          <w:tcPr>
            <w:tcW w:w="0" w:type="dxa"/>
            <w:vAlign w:val="bottom"/>
          </w:tcPr>
          <w:p>
            <w:pPr>
              <w:spacing w:after="0"/>
              <w:rPr>
                <w:sz w:val="1"/>
                <w:szCs w:val="1"/>
                <w:color w:val="auto"/>
              </w:rPr>
            </w:pPr>
          </w:p>
        </w:tc>
      </w:tr>
      <w:tr>
        <w:trPr>
          <w:trHeight w:val="169"/>
        </w:trPr>
        <w:tc>
          <w:tcPr>
            <w:tcW w:w="4660" w:type="dxa"/>
            <w:vAlign w:val="bottom"/>
          </w:tcPr>
          <w:p>
            <w:pPr>
              <w:ind w:left="60"/>
              <w:spacing w:after="0"/>
              <w:rPr>
                <w:sz w:val="20"/>
                <w:szCs w:val="20"/>
                <w:color w:val="auto"/>
              </w:rPr>
            </w:pPr>
            <w:r>
              <w:rPr>
                <w:rFonts w:ascii="Arial" w:cs="Arial" w:eastAsia="Arial" w:hAnsi="Arial"/>
                <w:sz w:val="13"/>
                <w:szCs w:val="13"/>
                <w:color w:val="auto"/>
              </w:rPr>
              <w:t>Property plant and equipment</w:t>
            </w:r>
          </w:p>
        </w:tc>
        <w:tc>
          <w:tcPr>
            <w:tcW w:w="3540" w:type="dxa"/>
            <w:vAlign w:val="bottom"/>
          </w:tcPr>
          <w:p>
            <w:pPr>
              <w:jc w:val="right"/>
              <w:ind w:right="76"/>
              <w:spacing w:after="0"/>
              <w:rPr>
                <w:sz w:val="20"/>
                <w:szCs w:val="20"/>
                <w:color w:val="auto"/>
              </w:rPr>
            </w:pPr>
            <w:r>
              <w:rPr>
                <w:rFonts w:ascii="Arial" w:cs="Arial" w:eastAsia="Arial" w:hAnsi="Arial"/>
                <w:sz w:val="13"/>
                <w:szCs w:val="13"/>
                <w:color w:val="auto"/>
              </w:rPr>
              <w:t>9</w:t>
            </w:r>
          </w:p>
        </w:tc>
        <w:tc>
          <w:tcPr>
            <w:tcW w:w="1600" w:type="dxa"/>
            <w:vAlign w:val="bottom"/>
          </w:tcPr>
          <w:p>
            <w:pPr>
              <w:jc w:val="right"/>
              <w:ind w:right="76"/>
              <w:spacing w:after="0"/>
              <w:rPr>
                <w:sz w:val="20"/>
                <w:szCs w:val="20"/>
                <w:color w:val="auto"/>
              </w:rPr>
            </w:pPr>
            <w:r>
              <w:rPr>
                <w:rFonts w:ascii="Arial" w:cs="Arial" w:eastAsia="Arial" w:hAnsi="Arial"/>
                <w:sz w:val="13"/>
                <w:szCs w:val="13"/>
                <w:color w:val="auto"/>
              </w:rPr>
              <w:t>(3)</w:t>
            </w:r>
          </w:p>
        </w:tc>
        <w:tc>
          <w:tcPr>
            <w:tcW w:w="1460" w:type="dxa"/>
            <w:vAlign w:val="bottom"/>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70"/>
        </w:trPr>
        <w:tc>
          <w:tcPr>
            <w:tcW w:w="46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Loans to subsidiaries</w:t>
            </w:r>
          </w:p>
        </w:tc>
        <w:tc>
          <w:tcPr>
            <w:tcW w:w="35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50</w:t>
            </w:r>
          </w:p>
        </w:tc>
        <w:tc>
          <w:tcPr>
            <w:tcW w:w="16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83"/>
        </w:trPr>
        <w:tc>
          <w:tcPr>
            <w:tcW w:w="466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deferred taxation assets</w:t>
            </w:r>
          </w:p>
        </w:tc>
        <w:tc>
          <w:tcPr>
            <w:tcW w:w="35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435</w:t>
            </w:r>
          </w:p>
        </w:tc>
        <w:tc>
          <w:tcPr>
            <w:tcW w:w="16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56</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491</w:t>
            </w:r>
          </w:p>
        </w:tc>
        <w:tc>
          <w:tcPr>
            <w:tcW w:w="0" w:type="dxa"/>
            <w:vAlign w:val="bottom"/>
          </w:tcPr>
          <w:p>
            <w:pPr>
              <w:spacing w:after="0"/>
              <w:rPr>
                <w:sz w:val="1"/>
                <w:szCs w:val="1"/>
                <w:color w:val="auto"/>
              </w:rPr>
            </w:pPr>
          </w:p>
        </w:tc>
      </w:tr>
      <w:tr>
        <w:trPr>
          <w:trHeight w:val="182"/>
        </w:trPr>
        <w:tc>
          <w:tcPr>
            <w:tcW w:w="466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6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Deferred taxation liabilities</w:t>
            </w:r>
          </w:p>
        </w:tc>
        <w:tc>
          <w:tcPr>
            <w:tcW w:w="354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660" w:type="dxa"/>
            <w:vAlign w:val="bottom"/>
          </w:tcPr>
          <w:p>
            <w:pPr>
              <w:ind w:left="20"/>
              <w:spacing w:after="0"/>
              <w:rPr>
                <w:sz w:val="20"/>
                <w:szCs w:val="20"/>
                <w:color w:val="auto"/>
              </w:rPr>
            </w:pPr>
            <w:r>
              <w:rPr>
                <w:rFonts w:ascii="Arial" w:cs="Arial" w:eastAsia="Arial" w:hAnsi="Arial"/>
                <w:sz w:val="13"/>
                <w:szCs w:val="13"/>
                <w:color w:val="auto"/>
              </w:rPr>
              <w:t>Property, plant and equipment</w:t>
            </w:r>
          </w:p>
        </w:tc>
        <w:tc>
          <w:tcPr>
            <w:tcW w:w="3540" w:type="dxa"/>
            <w:vAlign w:val="bottom"/>
          </w:tcPr>
          <w:p>
            <w:pPr>
              <w:jc w:val="right"/>
              <w:ind w:right="56"/>
              <w:spacing w:after="0"/>
              <w:rPr>
                <w:sz w:val="20"/>
                <w:szCs w:val="20"/>
                <w:color w:val="auto"/>
              </w:rPr>
            </w:pPr>
            <w:r>
              <w:rPr>
                <w:rFonts w:ascii="Arial" w:cs="Arial" w:eastAsia="Arial" w:hAnsi="Arial"/>
                <w:sz w:val="13"/>
                <w:szCs w:val="13"/>
                <w:color w:val="auto"/>
              </w:rPr>
              <w:t>(1)</w:t>
            </w:r>
          </w:p>
        </w:tc>
        <w:tc>
          <w:tcPr>
            <w:tcW w:w="1600" w:type="dxa"/>
            <w:vAlign w:val="bottom"/>
          </w:tcPr>
          <w:p>
            <w:pPr>
              <w:jc w:val="right"/>
              <w:ind w:right="116"/>
              <w:spacing w:after="0"/>
              <w:rPr>
                <w:sz w:val="20"/>
                <w:szCs w:val="20"/>
                <w:color w:val="auto"/>
              </w:rPr>
            </w:pPr>
            <w:r>
              <w:rPr>
                <w:rFonts w:ascii="Arial" w:cs="Arial" w:eastAsia="Arial" w:hAnsi="Arial"/>
                <w:sz w:val="13"/>
                <w:szCs w:val="13"/>
                <w:color w:val="auto"/>
              </w:rPr>
              <w:t>1</w:t>
            </w:r>
          </w:p>
        </w:tc>
        <w:tc>
          <w:tcPr>
            <w:tcW w:w="14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4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Accrued expenses and payments on account</w:t>
            </w:r>
          </w:p>
        </w:tc>
        <w:tc>
          <w:tcPr>
            <w:tcW w:w="35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6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466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deferred taxation liabilities</w:t>
            </w:r>
          </w:p>
        </w:tc>
        <w:tc>
          <w:tcPr>
            <w:tcW w:w="35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(1)</w:t>
            </w:r>
          </w:p>
        </w:tc>
        <w:tc>
          <w:tcPr>
            <w:tcW w:w="16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1</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82"/>
        </w:trPr>
        <w:tc>
          <w:tcPr>
            <w:tcW w:w="466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Net deferred taxation asset</w:t>
            </w:r>
          </w:p>
        </w:tc>
        <w:tc>
          <w:tcPr>
            <w:tcW w:w="35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434</w:t>
            </w:r>
          </w:p>
        </w:tc>
        <w:tc>
          <w:tcPr>
            <w:tcW w:w="16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57</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491</w:t>
            </w:r>
          </w:p>
        </w:tc>
        <w:tc>
          <w:tcPr>
            <w:tcW w:w="0" w:type="dxa"/>
            <w:vAlign w:val="bottom"/>
          </w:tcPr>
          <w:p>
            <w:pPr>
              <w:spacing w:after="0"/>
              <w:rPr>
                <w:sz w:val="1"/>
                <w:szCs w:val="1"/>
                <w:color w:val="auto"/>
              </w:rPr>
            </w:pPr>
          </w:p>
        </w:tc>
      </w:tr>
    </w:tbl>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145</w:t>
      </w:r>
    </w:p>
    <w:p>
      <w:pPr>
        <w:sectPr>
          <w:pgSz w:w="11900" w:h="16838" w:orient="portrait"/>
          <w:cols w:equalWidth="0" w:num="1">
            <w:col w:w="11260"/>
          </w:cols>
          <w:pgMar w:left="300" w:top="697" w:right="33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color w:val="auto"/>
        </w:rPr>
        <w:t xml:space="preserve">Notes to Company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232" w:lineRule="exact"/>
        <w:rPr>
          <w:sz w:val="20"/>
          <w:szCs w:val="20"/>
          <w:color w:val="auto"/>
        </w:rPr>
      </w:pPr>
    </w:p>
    <w:p>
      <w:pPr>
        <w:spacing w:after="0"/>
        <w:tabs>
          <w:tab w:leader="none" w:pos="240" w:val="left"/>
        </w:tabs>
        <w:rPr>
          <w:sz w:val="20"/>
          <w:szCs w:val="20"/>
          <w:color w:val="auto"/>
        </w:rPr>
      </w:pPr>
      <w:r>
        <w:rPr>
          <w:rFonts w:ascii="Arial" w:cs="Arial" w:eastAsia="Arial" w:hAnsi="Arial"/>
          <w:sz w:val="13"/>
          <w:szCs w:val="13"/>
          <w:b w:val="1"/>
          <w:bCs w:val="1"/>
          <w:color w:val="auto"/>
        </w:rPr>
        <w:t>4.</w:t>
      </w:r>
      <w:r>
        <w:rPr>
          <w:sz w:val="20"/>
          <w:szCs w:val="20"/>
          <w:color w:val="auto"/>
        </w:rPr>
        <w:tab/>
      </w:r>
      <w:r>
        <w:rPr>
          <w:rFonts w:ascii="Arial" w:cs="Arial" w:eastAsia="Arial" w:hAnsi="Arial"/>
          <w:sz w:val="12"/>
          <w:szCs w:val="12"/>
          <w:b w:val="1"/>
          <w:bCs w:val="1"/>
          <w:color w:val="auto"/>
        </w:rPr>
        <w:t>Deferred taxation (</w:t>
      </w:r>
      <w:r>
        <w:rPr>
          <w:rFonts w:ascii="Arial" w:cs="Arial" w:eastAsia="Arial" w:hAnsi="Arial"/>
          <w:sz w:val="12"/>
          <w:szCs w:val="12"/>
          <w:b w:val="1"/>
          <w:bCs w:val="1"/>
          <w:i w:val="1"/>
          <w:iCs w:val="1"/>
          <w:color w:val="auto"/>
        </w:rPr>
        <w:t>continued</w:t>
      </w:r>
      <w:r>
        <w:rPr>
          <w:rFonts w:ascii="Arial" w:cs="Arial" w:eastAsia="Arial" w:hAnsi="Arial"/>
          <w:sz w:val="12"/>
          <w:szCs w:val="12"/>
          <w:b w:val="1"/>
          <w:bCs w:val="1"/>
          <w:color w:val="auto"/>
        </w:rPr>
        <w:t>)</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20" w:type="dxa"/>
            <w:vAlign w:val="bottom"/>
            <w:shd w:val="clear" w:color="auto" w:fill="CCEEFF"/>
          </w:tcPr>
          <w:p>
            <w:pPr>
              <w:spacing w:after="0"/>
              <w:rPr>
                <w:sz w:val="13"/>
                <w:szCs w:val="13"/>
                <w:color w:val="auto"/>
              </w:rPr>
            </w:pPr>
          </w:p>
        </w:tc>
        <w:tc>
          <w:tcPr>
            <w:tcW w:w="358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Balance 1 January 2020</w:t>
            </w:r>
          </w:p>
        </w:tc>
        <w:tc>
          <w:tcPr>
            <w:tcW w:w="1600" w:type="dxa"/>
            <w:vAlign w:val="bottom"/>
            <w:vMerge w:val="restart"/>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Recognised in Income</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Balance 31 December</w:t>
            </w:r>
          </w:p>
        </w:tc>
        <w:tc>
          <w:tcPr>
            <w:tcW w:w="0" w:type="dxa"/>
            <w:vAlign w:val="bottom"/>
          </w:tcPr>
          <w:p>
            <w:pPr>
              <w:spacing w:after="0"/>
              <w:rPr>
                <w:sz w:val="1"/>
                <w:szCs w:val="1"/>
                <w:color w:val="auto"/>
              </w:rPr>
            </w:pPr>
          </w:p>
        </w:tc>
      </w:tr>
      <w:tr>
        <w:trPr>
          <w:trHeight w:val="170"/>
        </w:trPr>
        <w:tc>
          <w:tcPr>
            <w:tcW w:w="4620" w:type="dxa"/>
            <w:vAlign w:val="bottom"/>
            <w:tcBorders>
              <w:bottom w:val="single" w:sz="8" w:color="auto"/>
            </w:tcBorders>
            <w:shd w:val="clear" w:color="auto" w:fill="CCEEFF"/>
          </w:tcPr>
          <w:p>
            <w:pPr>
              <w:spacing w:after="0"/>
              <w:rPr>
                <w:sz w:val="14"/>
                <w:szCs w:val="14"/>
                <w:color w:val="auto"/>
              </w:rPr>
            </w:pPr>
          </w:p>
        </w:tc>
        <w:tc>
          <w:tcPr>
            <w:tcW w:w="3580" w:type="dxa"/>
            <w:vAlign w:val="bottom"/>
            <w:tcBorders>
              <w:bottom w:val="single" w:sz="8" w:color="auto"/>
            </w:tcBorders>
            <w:vMerge w:val="continue"/>
            <w:shd w:val="clear" w:color="auto" w:fill="CCEEFF"/>
          </w:tcPr>
          <w:p>
            <w:pPr>
              <w:spacing w:after="0"/>
              <w:rPr>
                <w:sz w:val="14"/>
                <w:szCs w:val="14"/>
                <w:color w:val="auto"/>
              </w:rPr>
            </w:pPr>
          </w:p>
        </w:tc>
        <w:tc>
          <w:tcPr>
            <w:tcW w:w="1600" w:type="dxa"/>
            <w:vAlign w:val="bottom"/>
            <w:tcBorders>
              <w:bottom w:val="single" w:sz="8" w:color="auto"/>
            </w:tcBorders>
            <w:vMerge w:val="continue"/>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60"/>
        </w:trPr>
        <w:tc>
          <w:tcPr>
            <w:tcW w:w="4620" w:type="dxa"/>
            <w:vAlign w:val="bottom"/>
          </w:tcPr>
          <w:p>
            <w:pPr>
              <w:spacing w:after="0"/>
              <w:rPr>
                <w:sz w:val="13"/>
                <w:szCs w:val="13"/>
                <w:color w:val="auto"/>
              </w:rPr>
            </w:pPr>
          </w:p>
        </w:tc>
        <w:tc>
          <w:tcPr>
            <w:tcW w:w="3580" w:type="dxa"/>
            <w:vAlign w:val="bottom"/>
          </w:tcPr>
          <w:p>
            <w:pPr>
              <w:jc w:val="right"/>
              <w:ind w:right="236"/>
              <w:spacing w:after="0"/>
              <w:rPr>
                <w:sz w:val="20"/>
                <w:szCs w:val="20"/>
                <w:color w:val="auto"/>
              </w:rPr>
            </w:pPr>
            <w:r>
              <w:rPr>
                <w:rFonts w:ascii="Arial" w:cs="Arial" w:eastAsia="Arial" w:hAnsi="Arial"/>
                <w:sz w:val="13"/>
                <w:szCs w:val="13"/>
                <w:b w:val="1"/>
                <w:bCs w:val="1"/>
                <w:color w:val="auto"/>
              </w:rPr>
              <w:t>$'000</w:t>
            </w:r>
          </w:p>
        </w:tc>
        <w:tc>
          <w:tcPr>
            <w:tcW w:w="1600" w:type="dxa"/>
            <w:vAlign w:val="bottom"/>
          </w:tcPr>
          <w:p>
            <w:pPr>
              <w:jc w:val="right"/>
              <w:ind w:right="256"/>
              <w:spacing w:after="0"/>
              <w:rPr>
                <w:sz w:val="20"/>
                <w:szCs w:val="20"/>
                <w:color w:val="auto"/>
              </w:rPr>
            </w:pPr>
            <w:r>
              <w:rPr>
                <w:rFonts w:ascii="Arial" w:cs="Arial" w:eastAsia="Arial" w:hAnsi="Arial"/>
                <w:sz w:val="13"/>
                <w:szCs w:val="13"/>
                <w:b w:val="1"/>
                <w:bCs w:val="1"/>
                <w:color w:val="auto"/>
              </w:rPr>
              <w:t>$'000</w:t>
            </w:r>
          </w:p>
        </w:tc>
        <w:tc>
          <w:tcPr>
            <w:tcW w:w="1460" w:type="dxa"/>
            <w:vAlign w:val="bottom"/>
          </w:tcPr>
          <w:p>
            <w:pPr>
              <w:jc w:val="right"/>
              <w:ind w:right="136"/>
              <w:spacing w:after="0"/>
              <w:rPr>
                <w:sz w:val="20"/>
                <w:szCs w:val="20"/>
                <w:color w:val="auto"/>
              </w:rPr>
            </w:pPr>
            <w:r>
              <w:rPr>
                <w:rFonts w:ascii="Arial" w:cs="Arial" w:eastAsia="Arial" w:hAnsi="Arial"/>
                <w:sz w:val="13"/>
                <w:szCs w:val="13"/>
                <w:color w:val="auto"/>
              </w:rPr>
              <w:t>$'000</w:t>
            </w:r>
          </w:p>
        </w:tc>
        <w:tc>
          <w:tcPr>
            <w:tcW w:w="0" w:type="dxa"/>
            <w:vAlign w:val="bottom"/>
          </w:tcPr>
          <w:p>
            <w:pPr>
              <w:spacing w:after="0"/>
              <w:rPr>
                <w:sz w:val="1"/>
                <w:szCs w:val="1"/>
                <w:color w:val="auto"/>
              </w:rPr>
            </w:pPr>
          </w:p>
        </w:tc>
      </w:tr>
      <w:tr>
        <w:trPr>
          <w:trHeight w:val="170"/>
        </w:trPr>
        <w:tc>
          <w:tcPr>
            <w:tcW w:w="4620" w:type="dxa"/>
            <w:vAlign w:val="bottom"/>
            <w:shd w:val="clear" w:color="auto" w:fill="CCEEFF"/>
          </w:tcPr>
          <w:p>
            <w:pPr>
              <w:spacing w:after="0"/>
              <w:rPr>
                <w:sz w:val="14"/>
                <w:szCs w:val="14"/>
                <w:color w:val="auto"/>
              </w:rPr>
            </w:pPr>
          </w:p>
        </w:tc>
        <w:tc>
          <w:tcPr>
            <w:tcW w:w="358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620" w:type="dxa"/>
            <w:vAlign w:val="bottom"/>
          </w:tcPr>
          <w:p>
            <w:pPr>
              <w:ind w:left="20"/>
              <w:spacing w:after="0"/>
              <w:rPr>
                <w:sz w:val="20"/>
                <w:szCs w:val="20"/>
                <w:color w:val="auto"/>
              </w:rPr>
            </w:pPr>
            <w:r>
              <w:rPr>
                <w:rFonts w:ascii="Arial" w:cs="Arial" w:eastAsia="Arial" w:hAnsi="Arial"/>
                <w:sz w:val="13"/>
                <w:szCs w:val="13"/>
                <w:b w:val="1"/>
                <w:bCs w:val="1"/>
                <w:color w:val="auto"/>
              </w:rPr>
              <w:t>Deferred taxation assets</w:t>
            </w:r>
          </w:p>
        </w:tc>
        <w:tc>
          <w:tcPr>
            <w:tcW w:w="35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620" w:type="dxa"/>
            <w:vAlign w:val="bottom"/>
            <w:shd w:val="clear" w:color="auto" w:fill="CCEEFF"/>
          </w:tcPr>
          <w:p>
            <w:pPr>
              <w:ind w:left="60"/>
              <w:spacing w:after="0"/>
              <w:rPr>
                <w:sz w:val="20"/>
                <w:szCs w:val="20"/>
                <w:color w:val="auto"/>
              </w:rPr>
            </w:pPr>
            <w:r>
              <w:rPr>
                <w:rFonts w:ascii="Arial" w:cs="Arial" w:eastAsia="Arial" w:hAnsi="Arial"/>
                <w:sz w:val="13"/>
                <w:szCs w:val="13"/>
                <w:color w:val="auto"/>
              </w:rPr>
              <w:t>Accrued expenses and payments on account</w:t>
            </w:r>
          </w:p>
        </w:tc>
        <w:tc>
          <w:tcPr>
            <w:tcW w:w="35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364</w:t>
            </w:r>
          </w:p>
        </w:tc>
        <w:tc>
          <w:tcPr>
            <w:tcW w:w="160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12</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376</w:t>
            </w:r>
          </w:p>
        </w:tc>
        <w:tc>
          <w:tcPr>
            <w:tcW w:w="0" w:type="dxa"/>
            <w:vAlign w:val="bottom"/>
          </w:tcPr>
          <w:p>
            <w:pPr>
              <w:spacing w:after="0"/>
              <w:rPr>
                <w:sz w:val="1"/>
                <w:szCs w:val="1"/>
                <w:color w:val="auto"/>
              </w:rPr>
            </w:pPr>
          </w:p>
        </w:tc>
      </w:tr>
      <w:tr>
        <w:trPr>
          <w:trHeight w:val="169"/>
        </w:trPr>
        <w:tc>
          <w:tcPr>
            <w:tcW w:w="4620" w:type="dxa"/>
            <w:vAlign w:val="bottom"/>
          </w:tcPr>
          <w:p>
            <w:pPr>
              <w:ind w:left="60"/>
              <w:spacing w:after="0"/>
              <w:rPr>
                <w:sz w:val="20"/>
                <w:szCs w:val="20"/>
                <w:color w:val="auto"/>
              </w:rPr>
            </w:pPr>
            <w:r>
              <w:rPr>
                <w:rFonts w:ascii="Arial" w:cs="Arial" w:eastAsia="Arial" w:hAnsi="Arial"/>
                <w:sz w:val="13"/>
                <w:szCs w:val="13"/>
                <w:color w:val="auto"/>
              </w:rPr>
              <w:t>Property, plant and equipment</w:t>
            </w:r>
          </w:p>
        </w:tc>
        <w:tc>
          <w:tcPr>
            <w:tcW w:w="3580" w:type="dxa"/>
            <w:vAlign w:val="bottom"/>
          </w:tcPr>
          <w:p>
            <w:pPr>
              <w:jc w:val="right"/>
              <w:ind w:right="76"/>
              <w:spacing w:after="0"/>
              <w:rPr>
                <w:sz w:val="20"/>
                <w:szCs w:val="20"/>
                <w:color w:val="auto"/>
              </w:rPr>
            </w:pPr>
            <w:r>
              <w:rPr>
                <w:rFonts w:ascii="Arial" w:cs="Arial" w:eastAsia="Arial" w:hAnsi="Arial"/>
                <w:sz w:val="13"/>
                <w:szCs w:val="13"/>
                <w:color w:val="auto"/>
              </w:rPr>
              <w:t>9</w:t>
            </w:r>
          </w:p>
        </w:tc>
        <w:tc>
          <w:tcPr>
            <w:tcW w:w="1600" w:type="dxa"/>
            <w:vAlign w:val="bottom"/>
          </w:tcPr>
          <w:p>
            <w:pPr>
              <w:jc w:val="right"/>
              <w:ind w:right="116"/>
              <w:spacing w:after="0"/>
              <w:rPr>
                <w:sz w:val="20"/>
                <w:szCs w:val="20"/>
                <w:color w:val="auto"/>
              </w:rPr>
            </w:pPr>
            <w:r>
              <w:rPr>
                <w:rFonts w:ascii="Arial" w:cs="Arial" w:eastAsia="Arial" w:hAnsi="Arial"/>
                <w:sz w:val="13"/>
                <w:szCs w:val="13"/>
                <w:color w:val="auto"/>
              </w:rPr>
              <w:t>0</w:t>
            </w:r>
          </w:p>
        </w:tc>
        <w:tc>
          <w:tcPr>
            <w:tcW w:w="1460" w:type="dxa"/>
            <w:vAlign w:val="bottom"/>
          </w:tcPr>
          <w:p>
            <w:pPr>
              <w:jc w:val="right"/>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70"/>
        </w:trPr>
        <w:tc>
          <w:tcPr>
            <w:tcW w:w="46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Loans to subsidiaries</w:t>
            </w:r>
          </w:p>
        </w:tc>
        <w:tc>
          <w:tcPr>
            <w:tcW w:w="35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50</w:t>
            </w:r>
          </w:p>
        </w:tc>
        <w:tc>
          <w:tcPr>
            <w:tcW w:w="16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83"/>
        </w:trPr>
        <w:tc>
          <w:tcPr>
            <w:tcW w:w="46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deferred taxation assets</w:t>
            </w:r>
          </w:p>
        </w:tc>
        <w:tc>
          <w:tcPr>
            <w:tcW w:w="35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423</w:t>
            </w:r>
          </w:p>
        </w:tc>
        <w:tc>
          <w:tcPr>
            <w:tcW w:w="16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12</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435</w:t>
            </w:r>
          </w:p>
        </w:tc>
        <w:tc>
          <w:tcPr>
            <w:tcW w:w="0" w:type="dxa"/>
            <w:vAlign w:val="bottom"/>
          </w:tcPr>
          <w:p>
            <w:pPr>
              <w:spacing w:after="0"/>
              <w:rPr>
                <w:sz w:val="1"/>
                <w:szCs w:val="1"/>
                <w:color w:val="auto"/>
              </w:rPr>
            </w:pPr>
          </w:p>
        </w:tc>
      </w:tr>
      <w:tr>
        <w:trPr>
          <w:trHeight w:val="182"/>
        </w:trPr>
        <w:tc>
          <w:tcPr>
            <w:tcW w:w="46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6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Deferred taxation liabilities</w:t>
            </w:r>
          </w:p>
        </w:tc>
        <w:tc>
          <w:tcPr>
            <w:tcW w:w="358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620" w:type="dxa"/>
            <w:vAlign w:val="bottom"/>
          </w:tcPr>
          <w:p>
            <w:pPr>
              <w:ind w:left="20"/>
              <w:spacing w:after="0"/>
              <w:rPr>
                <w:sz w:val="20"/>
                <w:szCs w:val="20"/>
                <w:color w:val="auto"/>
              </w:rPr>
            </w:pPr>
            <w:r>
              <w:rPr>
                <w:rFonts w:ascii="Arial" w:cs="Arial" w:eastAsia="Arial" w:hAnsi="Arial"/>
                <w:sz w:val="13"/>
                <w:szCs w:val="13"/>
                <w:color w:val="auto"/>
              </w:rPr>
              <w:t>Property, plant and equipment</w:t>
            </w:r>
          </w:p>
        </w:tc>
        <w:tc>
          <w:tcPr>
            <w:tcW w:w="3580" w:type="dxa"/>
            <w:vAlign w:val="bottom"/>
          </w:tcPr>
          <w:p>
            <w:pPr>
              <w:jc w:val="right"/>
              <w:ind w:right="56"/>
              <w:spacing w:after="0"/>
              <w:rPr>
                <w:sz w:val="20"/>
                <w:szCs w:val="20"/>
                <w:color w:val="auto"/>
              </w:rPr>
            </w:pPr>
            <w:r>
              <w:rPr>
                <w:rFonts w:ascii="Arial" w:cs="Arial" w:eastAsia="Arial" w:hAnsi="Arial"/>
                <w:sz w:val="13"/>
                <w:szCs w:val="13"/>
                <w:color w:val="auto"/>
              </w:rPr>
              <w:t>(2)</w:t>
            </w:r>
          </w:p>
        </w:tc>
        <w:tc>
          <w:tcPr>
            <w:tcW w:w="1600" w:type="dxa"/>
            <w:vAlign w:val="bottom"/>
          </w:tcPr>
          <w:p>
            <w:pPr>
              <w:jc w:val="right"/>
              <w:ind w:right="116"/>
              <w:spacing w:after="0"/>
              <w:rPr>
                <w:sz w:val="20"/>
                <w:szCs w:val="20"/>
                <w:color w:val="auto"/>
              </w:rPr>
            </w:pPr>
            <w:r>
              <w:rPr>
                <w:rFonts w:ascii="Arial" w:cs="Arial" w:eastAsia="Arial" w:hAnsi="Arial"/>
                <w:sz w:val="13"/>
                <w:szCs w:val="13"/>
                <w:color w:val="auto"/>
              </w:rPr>
              <w:t>1</w:t>
            </w:r>
          </w:p>
        </w:tc>
        <w:tc>
          <w:tcPr>
            <w:tcW w:w="146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70"/>
        </w:trPr>
        <w:tc>
          <w:tcPr>
            <w:tcW w:w="4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Accrued expenses and payments on account</w:t>
            </w:r>
          </w:p>
        </w:tc>
        <w:tc>
          <w:tcPr>
            <w:tcW w:w="35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6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46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deferred taxation liabilities</w:t>
            </w:r>
          </w:p>
        </w:tc>
        <w:tc>
          <w:tcPr>
            <w:tcW w:w="35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(2)</w:t>
            </w:r>
          </w:p>
        </w:tc>
        <w:tc>
          <w:tcPr>
            <w:tcW w:w="16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1</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w:t>
            </w:r>
          </w:p>
        </w:tc>
        <w:tc>
          <w:tcPr>
            <w:tcW w:w="0" w:type="dxa"/>
            <w:vAlign w:val="bottom"/>
          </w:tcPr>
          <w:p>
            <w:pPr>
              <w:spacing w:after="0"/>
              <w:rPr>
                <w:sz w:val="1"/>
                <w:szCs w:val="1"/>
                <w:color w:val="auto"/>
              </w:rPr>
            </w:pPr>
          </w:p>
        </w:tc>
      </w:tr>
      <w:tr>
        <w:trPr>
          <w:trHeight w:val="182"/>
        </w:trPr>
        <w:tc>
          <w:tcPr>
            <w:tcW w:w="46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Net deferred taxation asset</w:t>
            </w:r>
          </w:p>
        </w:tc>
        <w:tc>
          <w:tcPr>
            <w:tcW w:w="35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421</w:t>
            </w:r>
          </w:p>
        </w:tc>
        <w:tc>
          <w:tcPr>
            <w:tcW w:w="16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13</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434</w:t>
            </w:r>
          </w:p>
        </w:tc>
        <w:tc>
          <w:tcPr>
            <w:tcW w:w="0" w:type="dxa"/>
            <w:vAlign w:val="bottom"/>
          </w:tcPr>
          <w:p>
            <w:pPr>
              <w:spacing w:after="0"/>
              <w:rPr>
                <w:sz w:val="1"/>
                <w:szCs w:val="1"/>
                <w:color w:val="auto"/>
              </w:rPr>
            </w:pPr>
          </w:p>
        </w:tc>
      </w:tr>
    </w:tbl>
    <w:p>
      <w:pPr>
        <w:spacing w:after="0" w:line="244"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At 31 December 2021 and 31 December 2020 the Company had no operating loss carry forwards for income tax purposes. At 31 December 2021 the Company had an unrecognised deferred tax asset in respect of unutilised foreign tax credits carried forward of $7.8 million (2020: $6.6million).</w:t>
      </w:r>
    </w:p>
    <w:p>
      <w:pPr>
        <w:spacing w:after="0" w:line="337" w:lineRule="exact"/>
        <w:rPr>
          <w:sz w:val="20"/>
          <w:szCs w:val="20"/>
          <w:color w:val="auto"/>
        </w:rPr>
      </w:pPr>
    </w:p>
    <w:p>
      <w:pPr>
        <w:ind w:left="260" w:hanging="255"/>
        <w:spacing w:after="0"/>
        <w:tabs>
          <w:tab w:leader="none" w:pos="260" w:val="left"/>
        </w:tabs>
        <w:numPr>
          <w:ilvl w:val="0"/>
          <w:numId w:val="139"/>
        </w:numPr>
        <w:rPr>
          <w:rFonts w:ascii="Arial" w:cs="Arial" w:eastAsia="Arial" w:hAnsi="Arial"/>
          <w:sz w:val="13"/>
          <w:szCs w:val="13"/>
          <w:b w:val="1"/>
          <w:bCs w:val="1"/>
          <w:color w:val="auto"/>
        </w:rPr>
      </w:pPr>
      <w:r>
        <w:rPr>
          <w:rFonts w:ascii="Arial" w:cs="Arial" w:eastAsia="Arial" w:hAnsi="Arial"/>
          <w:sz w:val="13"/>
          <w:szCs w:val="13"/>
          <w:b w:val="1"/>
          <w:bCs w:val="1"/>
          <w:color w:val="auto"/>
        </w:rPr>
        <w:t>Other current assets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940" w:type="dxa"/>
            <w:vAlign w:val="bottom"/>
            <w:shd w:val="clear" w:color="auto" w:fill="CCEEFF"/>
          </w:tcPr>
          <w:p>
            <w:pPr>
              <w:spacing w:after="0"/>
              <w:rPr>
                <w:sz w:val="13"/>
                <w:szCs w:val="13"/>
                <w:color w:val="auto"/>
              </w:rPr>
            </w:pPr>
          </w:p>
        </w:tc>
        <w:tc>
          <w:tcPr>
            <w:tcW w:w="512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31 December</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0"/>
        </w:trPr>
        <w:tc>
          <w:tcPr>
            <w:tcW w:w="4940" w:type="dxa"/>
            <w:vAlign w:val="bottom"/>
            <w:tcBorders>
              <w:bottom w:val="single" w:sz="8" w:color="auto"/>
            </w:tcBorders>
            <w:shd w:val="clear" w:color="auto" w:fill="CCEEFF"/>
          </w:tcPr>
          <w:p>
            <w:pPr>
              <w:spacing w:after="0"/>
              <w:rPr>
                <w:sz w:val="14"/>
                <w:szCs w:val="14"/>
                <w:color w:val="auto"/>
              </w:rPr>
            </w:pPr>
          </w:p>
        </w:tc>
        <w:tc>
          <w:tcPr>
            <w:tcW w:w="51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2021</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2020</w:t>
            </w:r>
          </w:p>
        </w:tc>
      </w:tr>
      <w:tr>
        <w:trPr>
          <w:trHeight w:val="160"/>
        </w:trPr>
        <w:tc>
          <w:tcPr>
            <w:tcW w:w="4940" w:type="dxa"/>
            <w:vAlign w:val="bottom"/>
          </w:tcPr>
          <w:p>
            <w:pPr>
              <w:spacing w:after="0"/>
              <w:rPr>
                <w:sz w:val="13"/>
                <w:szCs w:val="13"/>
                <w:color w:val="auto"/>
              </w:rPr>
            </w:pPr>
          </w:p>
        </w:tc>
        <w:tc>
          <w:tcPr>
            <w:tcW w:w="5120" w:type="dxa"/>
            <w:vAlign w:val="bottom"/>
          </w:tcPr>
          <w:p>
            <w:pPr>
              <w:jc w:val="right"/>
              <w:ind w:right="336"/>
              <w:spacing w:after="0"/>
              <w:rPr>
                <w:sz w:val="20"/>
                <w:szCs w:val="20"/>
                <w:color w:val="auto"/>
              </w:rPr>
            </w:pPr>
            <w:r>
              <w:rPr>
                <w:rFonts w:ascii="Arial" w:cs="Arial" w:eastAsia="Arial" w:hAnsi="Arial"/>
                <w:sz w:val="13"/>
                <w:szCs w:val="13"/>
                <w:b w:val="1"/>
                <w:bCs w:val="1"/>
                <w:color w:val="auto"/>
              </w:rPr>
              <w:t>$’000</w:t>
            </w:r>
          </w:p>
        </w:tc>
        <w:tc>
          <w:tcPr>
            <w:tcW w:w="120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202"/>
        </w:trPr>
        <w:tc>
          <w:tcPr>
            <w:tcW w:w="4940" w:type="dxa"/>
            <w:vAlign w:val="bottom"/>
            <w:shd w:val="clear" w:color="auto" w:fill="CCEEFF"/>
          </w:tcPr>
          <w:p>
            <w:pPr>
              <w:spacing w:after="0"/>
              <w:rPr>
                <w:sz w:val="17"/>
                <w:szCs w:val="17"/>
                <w:color w:val="auto"/>
              </w:rPr>
            </w:pPr>
          </w:p>
        </w:tc>
        <w:tc>
          <w:tcPr>
            <w:tcW w:w="5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170"/>
        </w:trPr>
        <w:tc>
          <w:tcPr>
            <w:tcW w:w="4940" w:type="dxa"/>
            <w:vAlign w:val="bottom"/>
          </w:tcPr>
          <w:p>
            <w:pPr>
              <w:ind w:left="20"/>
              <w:spacing w:after="0"/>
              <w:rPr>
                <w:sz w:val="20"/>
                <w:szCs w:val="20"/>
                <w:color w:val="auto"/>
              </w:rPr>
            </w:pPr>
            <w:r>
              <w:rPr>
                <w:rFonts w:ascii="Arial" w:cs="Arial" w:eastAsia="Arial" w:hAnsi="Arial"/>
                <w:sz w:val="13"/>
                <w:szCs w:val="13"/>
                <w:color w:val="auto"/>
              </w:rPr>
              <w:t>Prepayments</w:t>
            </w:r>
          </w:p>
        </w:tc>
        <w:tc>
          <w:tcPr>
            <w:tcW w:w="5120" w:type="dxa"/>
            <w:vAlign w:val="bottom"/>
          </w:tcPr>
          <w:p>
            <w:pPr>
              <w:jc w:val="right"/>
              <w:ind w:right="376"/>
              <w:spacing w:after="0"/>
              <w:rPr>
                <w:sz w:val="20"/>
                <w:szCs w:val="20"/>
                <w:color w:val="auto"/>
              </w:rPr>
            </w:pPr>
            <w:r>
              <w:rPr>
                <w:rFonts w:ascii="Arial" w:cs="Arial" w:eastAsia="Arial" w:hAnsi="Arial"/>
                <w:sz w:val="13"/>
                <w:szCs w:val="13"/>
                <w:b w:val="1"/>
                <w:bCs w:val="1"/>
                <w:color w:val="auto"/>
              </w:rPr>
              <w:t>98</w:t>
            </w:r>
          </w:p>
        </w:tc>
        <w:tc>
          <w:tcPr>
            <w:tcW w:w="1200" w:type="dxa"/>
            <w:vAlign w:val="bottom"/>
          </w:tcPr>
          <w:p>
            <w:pPr>
              <w:jc w:val="right"/>
              <w:ind w:right="16"/>
              <w:spacing w:after="0"/>
              <w:rPr>
                <w:sz w:val="20"/>
                <w:szCs w:val="20"/>
                <w:color w:val="auto"/>
              </w:rPr>
            </w:pPr>
            <w:r>
              <w:rPr>
                <w:rFonts w:ascii="Arial" w:cs="Arial" w:eastAsia="Arial" w:hAnsi="Arial"/>
                <w:sz w:val="13"/>
                <w:szCs w:val="13"/>
                <w:color w:val="auto"/>
              </w:rPr>
              <w:t>192</w:t>
            </w:r>
          </w:p>
        </w:tc>
      </w:tr>
      <w:tr>
        <w:trPr>
          <w:trHeight w:val="170"/>
        </w:trPr>
        <w:tc>
          <w:tcPr>
            <w:tcW w:w="4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Other receivables</w:t>
            </w:r>
          </w:p>
        </w:tc>
        <w:tc>
          <w:tcPr>
            <w:tcW w:w="512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b w:val="1"/>
                <w:bCs w:val="1"/>
                <w:color w:val="auto"/>
              </w:rPr>
              <w:t>1,138</w:t>
            </w:r>
          </w:p>
        </w:tc>
        <w:tc>
          <w:tcPr>
            <w:tcW w:w="1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1,239</w:t>
            </w:r>
          </w:p>
        </w:tc>
      </w:tr>
      <w:tr>
        <w:trPr>
          <w:trHeight w:val="182"/>
        </w:trPr>
        <w:tc>
          <w:tcPr>
            <w:tcW w:w="494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1"/>
        </w:trPr>
        <w:tc>
          <w:tcPr>
            <w:tcW w:w="4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w:t>
            </w:r>
          </w:p>
        </w:tc>
        <w:tc>
          <w:tcPr>
            <w:tcW w:w="512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b w:val="1"/>
                <w:bCs w:val="1"/>
                <w:color w:val="auto"/>
              </w:rPr>
              <w:t>1,236</w:t>
            </w:r>
          </w:p>
        </w:tc>
        <w:tc>
          <w:tcPr>
            <w:tcW w:w="1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1,431</w:t>
            </w:r>
          </w:p>
        </w:tc>
      </w:tr>
    </w:tbl>
    <w:p>
      <w:pPr>
        <w:spacing w:after="0" w:line="200" w:lineRule="exact"/>
        <w:rPr>
          <w:sz w:val="20"/>
          <w:szCs w:val="20"/>
          <w:color w:val="auto"/>
        </w:rPr>
      </w:pPr>
    </w:p>
    <w:p>
      <w:pPr>
        <w:spacing w:after="0" w:line="235" w:lineRule="exact"/>
        <w:rPr>
          <w:sz w:val="20"/>
          <w:szCs w:val="20"/>
          <w:color w:val="auto"/>
        </w:rPr>
      </w:pPr>
    </w:p>
    <w:p>
      <w:pPr>
        <w:ind w:left="240" w:hanging="235"/>
        <w:spacing w:after="0"/>
        <w:tabs>
          <w:tab w:leader="none" w:pos="240" w:val="left"/>
        </w:tabs>
        <w:numPr>
          <w:ilvl w:val="0"/>
          <w:numId w:val="140"/>
        </w:numPr>
        <w:rPr>
          <w:rFonts w:ascii="Arial" w:cs="Arial" w:eastAsia="Arial" w:hAnsi="Arial"/>
          <w:sz w:val="13"/>
          <w:szCs w:val="13"/>
          <w:b w:val="1"/>
          <w:bCs w:val="1"/>
          <w:color w:val="auto"/>
        </w:rPr>
      </w:pPr>
      <w:r>
        <w:rPr>
          <w:rFonts w:ascii="Arial" w:cs="Arial" w:eastAsia="Arial" w:hAnsi="Arial"/>
          <w:sz w:val="13"/>
          <w:szCs w:val="13"/>
          <w:b w:val="1"/>
          <w:bCs w:val="1"/>
          <w:color w:val="auto"/>
        </w:rPr>
        <w:t>Amounts due from/to subsidiary undertakings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700" w:type="dxa"/>
            <w:vAlign w:val="bottom"/>
            <w:shd w:val="clear" w:color="auto" w:fill="CCEEFF"/>
          </w:tcPr>
          <w:p>
            <w:pPr>
              <w:spacing w:after="0"/>
              <w:rPr>
                <w:sz w:val="12"/>
                <w:szCs w:val="12"/>
                <w:color w:val="auto"/>
              </w:rPr>
            </w:pPr>
          </w:p>
        </w:tc>
        <w:tc>
          <w:tcPr>
            <w:tcW w:w="442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0"/>
        </w:trPr>
        <w:tc>
          <w:tcPr>
            <w:tcW w:w="5700" w:type="dxa"/>
            <w:vAlign w:val="bottom"/>
            <w:tcBorders>
              <w:bottom w:val="single" w:sz="8" w:color="auto"/>
            </w:tcBorders>
            <w:shd w:val="clear" w:color="auto" w:fill="CCEEFF"/>
          </w:tcPr>
          <w:p>
            <w:pPr>
              <w:spacing w:after="0"/>
              <w:rPr>
                <w:sz w:val="14"/>
                <w:szCs w:val="14"/>
                <w:color w:val="auto"/>
              </w:rPr>
            </w:pPr>
          </w:p>
        </w:tc>
        <w:tc>
          <w:tcPr>
            <w:tcW w:w="442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2021</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2020</w:t>
            </w:r>
          </w:p>
        </w:tc>
      </w:tr>
      <w:tr>
        <w:trPr>
          <w:trHeight w:val="160"/>
        </w:trPr>
        <w:tc>
          <w:tcPr>
            <w:tcW w:w="5700" w:type="dxa"/>
            <w:vAlign w:val="bottom"/>
          </w:tcPr>
          <w:p>
            <w:pPr>
              <w:spacing w:after="0"/>
              <w:rPr>
                <w:sz w:val="13"/>
                <w:szCs w:val="13"/>
                <w:color w:val="auto"/>
              </w:rPr>
            </w:pPr>
          </w:p>
        </w:tc>
        <w:tc>
          <w:tcPr>
            <w:tcW w:w="442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202"/>
        </w:trPr>
        <w:tc>
          <w:tcPr>
            <w:tcW w:w="5700" w:type="dxa"/>
            <w:vAlign w:val="bottom"/>
            <w:shd w:val="clear" w:color="auto" w:fill="CCEEFF"/>
          </w:tcPr>
          <w:p>
            <w:pPr>
              <w:spacing w:after="0"/>
              <w:rPr>
                <w:sz w:val="17"/>
                <w:szCs w:val="17"/>
                <w:color w:val="auto"/>
              </w:rPr>
            </w:pPr>
          </w:p>
        </w:tc>
        <w:tc>
          <w:tcPr>
            <w:tcW w:w="44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70"/>
        </w:trPr>
        <w:tc>
          <w:tcPr>
            <w:tcW w:w="5700" w:type="dxa"/>
            <w:vAlign w:val="bottom"/>
          </w:tcPr>
          <w:p>
            <w:pPr>
              <w:ind w:left="20"/>
              <w:spacing w:after="0"/>
              <w:rPr>
                <w:sz w:val="20"/>
                <w:szCs w:val="20"/>
                <w:color w:val="auto"/>
              </w:rPr>
            </w:pPr>
            <w:r>
              <w:rPr>
                <w:rFonts w:ascii="Arial" w:cs="Arial" w:eastAsia="Arial" w:hAnsi="Arial"/>
                <w:sz w:val="13"/>
                <w:szCs w:val="13"/>
                <w:color w:val="auto"/>
              </w:rPr>
              <w:t>Amounts due from subsidiary undertakings</w:t>
            </w:r>
          </w:p>
        </w:tc>
        <w:tc>
          <w:tcPr>
            <w:tcW w:w="4420" w:type="dxa"/>
            <w:vAlign w:val="bottom"/>
          </w:tcPr>
          <w:p>
            <w:pPr>
              <w:jc w:val="right"/>
              <w:ind w:right="336"/>
              <w:spacing w:after="0"/>
              <w:rPr>
                <w:sz w:val="20"/>
                <w:szCs w:val="20"/>
                <w:color w:val="auto"/>
              </w:rPr>
            </w:pPr>
            <w:r>
              <w:rPr>
                <w:rFonts w:ascii="Arial" w:cs="Arial" w:eastAsia="Arial" w:hAnsi="Arial"/>
                <w:sz w:val="13"/>
                <w:szCs w:val="13"/>
                <w:b w:val="1"/>
                <w:bCs w:val="1"/>
                <w:color w:val="auto"/>
              </w:rPr>
              <w:t>265,788</w:t>
            </w:r>
          </w:p>
        </w:tc>
        <w:tc>
          <w:tcPr>
            <w:tcW w:w="1140" w:type="dxa"/>
            <w:vAlign w:val="bottom"/>
          </w:tcPr>
          <w:p>
            <w:pPr>
              <w:jc w:val="right"/>
              <w:spacing w:after="0"/>
              <w:rPr>
                <w:sz w:val="20"/>
                <w:szCs w:val="20"/>
                <w:color w:val="auto"/>
              </w:rPr>
            </w:pPr>
            <w:r>
              <w:rPr>
                <w:rFonts w:ascii="Arial" w:cs="Arial" w:eastAsia="Arial" w:hAnsi="Arial"/>
                <w:sz w:val="13"/>
                <w:szCs w:val="13"/>
                <w:color w:val="auto"/>
              </w:rPr>
              <w:t>164,992</w:t>
            </w:r>
          </w:p>
        </w:tc>
      </w:tr>
      <w:tr>
        <w:trPr>
          <w:trHeight w:val="171"/>
        </w:trPr>
        <w:tc>
          <w:tcPr>
            <w:tcW w:w="5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Amounts due to subsidiary undertakings</w:t>
            </w:r>
          </w:p>
        </w:tc>
        <w:tc>
          <w:tcPr>
            <w:tcW w:w="442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(1,283)</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(1,305)</w:t>
            </w:r>
          </w:p>
        </w:tc>
      </w:tr>
    </w:tbl>
    <w:p>
      <w:pPr>
        <w:spacing w:after="0" w:line="244"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Amounts owed by subsidiary undertakings are non-interest bearing and repayable on demand. All amounts fall due within one year. No allowance for expected credit losses has been recorded as amounts are expected to be fully recovered.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146</w:t>
      </w:r>
    </w:p>
    <w:p>
      <w:pPr>
        <w:sectPr>
          <w:pgSz w:w="11900" w:h="16838" w:orient="portrait"/>
          <w:cols w:equalWidth="0" w:num="1">
            <w:col w:w="11280"/>
          </w:cols>
          <w:pgMar w:left="300" w:top="698" w:right="31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color w:val="auto"/>
        </w:rPr>
        <w:t xml:space="preserve">Notes to Company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232" w:lineRule="exact"/>
        <w:rPr>
          <w:sz w:val="20"/>
          <w:szCs w:val="20"/>
          <w:color w:val="auto"/>
        </w:rPr>
      </w:pPr>
    </w:p>
    <w:p>
      <w:pPr>
        <w:spacing w:after="0"/>
        <w:tabs>
          <w:tab w:leader="none" w:pos="220" w:val="left"/>
        </w:tabs>
        <w:rPr>
          <w:sz w:val="20"/>
          <w:szCs w:val="20"/>
          <w:color w:val="auto"/>
        </w:rPr>
      </w:pPr>
      <w:r>
        <w:rPr>
          <w:rFonts w:ascii="Arial" w:cs="Arial" w:eastAsia="Arial" w:hAnsi="Arial"/>
          <w:sz w:val="13"/>
          <w:szCs w:val="13"/>
          <w:b w:val="1"/>
          <w:bCs w:val="1"/>
          <w:color w:val="auto"/>
        </w:rPr>
        <w:t>7.</w:t>
      </w:r>
      <w:r>
        <w:rPr>
          <w:sz w:val="20"/>
          <w:szCs w:val="20"/>
          <w:color w:val="auto"/>
        </w:rPr>
        <w:tab/>
      </w:r>
      <w:r>
        <w:rPr>
          <w:rFonts w:ascii="Arial" w:cs="Arial" w:eastAsia="Arial" w:hAnsi="Arial"/>
          <w:sz w:val="12"/>
          <w:szCs w:val="12"/>
          <w:b w:val="1"/>
          <w:bCs w:val="1"/>
          <w:color w:val="auto"/>
        </w:rPr>
        <w:t>Accrued and other liabilities</w:t>
      </w: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220" w:type="dxa"/>
            <w:vAlign w:val="bottom"/>
            <w:shd w:val="clear" w:color="auto" w:fill="CCEEFF"/>
          </w:tcPr>
          <w:p>
            <w:pPr>
              <w:spacing w:after="0"/>
              <w:rPr>
                <w:sz w:val="13"/>
                <w:szCs w:val="13"/>
                <w:color w:val="auto"/>
              </w:rPr>
            </w:pPr>
          </w:p>
        </w:tc>
        <w:tc>
          <w:tcPr>
            <w:tcW w:w="292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0"/>
        </w:trPr>
        <w:tc>
          <w:tcPr>
            <w:tcW w:w="7220" w:type="dxa"/>
            <w:vAlign w:val="bottom"/>
            <w:tcBorders>
              <w:bottom w:val="single" w:sz="8" w:color="auto"/>
            </w:tcBorders>
            <w:shd w:val="clear" w:color="auto" w:fill="CCEEFF"/>
          </w:tcPr>
          <w:p>
            <w:pPr>
              <w:spacing w:after="0"/>
              <w:rPr>
                <w:sz w:val="14"/>
                <w:szCs w:val="14"/>
                <w:color w:val="auto"/>
              </w:rPr>
            </w:pPr>
          </w:p>
        </w:tc>
        <w:tc>
          <w:tcPr>
            <w:tcW w:w="292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2021</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2020</w:t>
            </w:r>
          </w:p>
        </w:tc>
      </w:tr>
      <w:tr>
        <w:trPr>
          <w:trHeight w:val="160"/>
        </w:trPr>
        <w:tc>
          <w:tcPr>
            <w:tcW w:w="7220" w:type="dxa"/>
            <w:vAlign w:val="bottom"/>
          </w:tcPr>
          <w:p>
            <w:pPr>
              <w:spacing w:after="0"/>
              <w:rPr>
                <w:sz w:val="13"/>
                <w:szCs w:val="13"/>
                <w:color w:val="auto"/>
              </w:rPr>
            </w:pPr>
          </w:p>
        </w:tc>
        <w:tc>
          <w:tcPr>
            <w:tcW w:w="292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202"/>
        </w:trPr>
        <w:tc>
          <w:tcPr>
            <w:tcW w:w="7220" w:type="dxa"/>
            <w:vAlign w:val="bottom"/>
            <w:shd w:val="clear" w:color="auto" w:fill="CCEEFF"/>
          </w:tcPr>
          <w:p>
            <w:pPr>
              <w:spacing w:after="0"/>
              <w:rPr>
                <w:sz w:val="17"/>
                <w:szCs w:val="17"/>
                <w:color w:val="auto"/>
              </w:rPr>
            </w:pPr>
          </w:p>
        </w:tc>
        <w:tc>
          <w:tcPr>
            <w:tcW w:w="29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70"/>
        </w:trPr>
        <w:tc>
          <w:tcPr>
            <w:tcW w:w="7220" w:type="dxa"/>
            <w:vAlign w:val="bottom"/>
          </w:tcPr>
          <w:p>
            <w:pPr>
              <w:ind w:left="20"/>
              <w:spacing w:after="0"/>
              <w:rPr>
                <w:sz w:val="20"/>
                <w:szCs w:val="20"/>
                <w:color w:val="auto"/>
              </w:rPr>
            </w:pPr>
            <w:r>
              <w:rPr>
                <w:rFonts w:ascii="Arial" w:cs="Arial" w:eastAsia="Arial" w:hAnsi="Arial"/>
                <w:sz w:val="13"/>
                <w:szCs w:val="13"/>
                <w:b w:val="1"/>
                <w:bCs w:val="1"/>
                <w:color w:val="auto"/>
              </w:rPr>
              <w:t>Non-current other liabilities</w:t>
            </w:r>
          </w:p>
        </w:tc>
        <w:tc>
          <w:tcPr>
            <w:tcW w:w="29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7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Non-current lease liabilities</w:t>
            </w:r>
          </w:p>
        </w:tc>
        <w:tc>
          <w:tcPr>
            <w:tcW w:w="292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1,558</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2,108</w:t>
            </w:r>
          </w:p>
        </w:tc>
      </w:tr>
      <w:tr>
        <w:trPr>
          <w:trHeight w:val="170"/>
        </w:trPr>
        <w:tc>
          <w:tcPr>
            <w:tcW w:w="72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Non-current other liabilities</w:t>
            </w:r>
          </w:p>
        </w:tc>
        <w:tc>
          <w:tcPr>
            <w:tcW w:w="292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5,122</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6,022</w:t>
            </w:r>
          </w:p>
        </w:tc>
      </w:tr>
      <w:tr>
        <w:trPr>
          <w:trHeight w:val="182"/>
        </w:trPr>
        <w:tc>
          <w:tcPr>
            <w:tcW w:w="7220" w:type="dxa"/>
            <w:vAlign w:val="bottom"/>
            <w:shd w:val="clear" w:color="auto" w:fill="CCEEFF"/>
          </w:tcPr>
          <w:p>
            <w:pPr>
              <w:spacing w:after="0"/>
              <w:rPr>
                <w:sz w:val="15"/>
                <w:szCs w:val="15"/>
                <w:color w:val="auto"/>
              </w:rPr>
            </w:pPr>
          </w:p>
        </w:tc>
        <w:tc>
          <w:tcPr>
            <w:tcW w:w="29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70"/>
        </w:trPr>
        <w:tc>
          <w:tcPr>
            <w:tcW w:w="72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w:t>
            </w:r>
          </w:p>
        </w:tc>
        <w:tc>
          <w:tcPr>
            <w:tcW w:w="292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6,680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8,130</w:t>
            </w:r>
          </w:p>
        </w:tc>
      </w:tr>
      <w:tr>
        <w:trPr>
          <w:trHeight w:val="266"/>
        </w:trPr>
        <w:tc>
          <w:tcPr>
            <w:tcW w:w="7220" w:type="dxa"/>
            <w:vAlign w:val="bottom"/>
          </w:tcPr>
          <w:p>
            <w:pPr>
              <w:spacing w:after="0"/>
              <w:rPr>
                <w:sz w:val="23"/>
                <w:szCs w:val="23"/>
                <w:color w:val="auto"/>
              </w:rPr>
            </w:pPr>
          </w:p>
        </w:tc>
        <w:tc>
          <w:tcPr>
            <w:tcW w:w="292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127"/>
        </w:trPr>
        <w:tc>
          <w:tcPr>
            <w:tcW w:w="7220" w:type="dxa"/>
            <w:vAlign w:val="bottom"/>
            <w:shd w:val="clear" w:color="auto" w:fill="CCEEFF"/>
          </w:tcPr>
          <w:p>
            <w:pPr>
              <w:spacing w:after="0"/>
              <w:rPr>
                <w:sz w:val="11"/>
                <w:szCs w:val="11"/>
                <w:color w:val="auto"/>
              </w:rPr>
            </w:pPr>
          </w:p>
        </w:tc>
        <w:tc>
          <w:tcPr>
            <w:tcW w:w="2920" w:type="dxa"/>
            <w:vAlign w:val="bottom"/>
            <w:shd w:val="clear" w:color="auto" w:fill="CCEEFF"/>
          </w:tcPr>
          <w:p>
            <w:pPr>
              <w:jc w:val="right"/>
              <w:ind w:right="296"/>
              <w:spacing w:after="0" w:line="128" w:lineRule="exact"/>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31 December</w:t>
            </w:r>
          </w:p>
        </w:tc>
      </w:tr>
      <w:tr>
        <w:trPr>
          <w:trHeight w:val="170"/>
        </w:trPr>
        <w:tc>
          <w:tcPr>
            <w:tcW w:w="7220" w:type="dxa"/>
            <w:vAlign w:val="bottom"/>
            <w:tcBorders>
              <w:bottom w:val="single" w:sz="8" w:color="auto"/>
            </w:tcBorders>
            <w:shd w:val="clear" w:color="auto" w:fill="CCEEFF"/>
          </w:tcPr>
          <w:p>
            <w:pPr>
              <w:spacing w:after="0"/>
              <w:rPr>
                <w:sz w:val="14"/>
                <w:szCs w:val="14"/>
                <w:color w:val="auto"/>
              </w:rPr>
            </w:pPr>
          </w:p>
        </w:tc>
        <w:tc>
          <w:tcPr>
            <w:tcW w:w="292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2021</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2020</w:t>
            </w:r>
          </w:p>
        </w:tc>
      </w:tr>
      <w:tr>
        <w:trPr>
          <w:trHeight w:val="160"/>
        </w:trPr>
        <w:tc>
          <w:tcPr>
            <w:tcW w:w="7220" w:type="dxa"/>
            <w:vAlign w:val="bottom"/>
          </w:tcPr>
          <w:p>
            <w:pPr>
              <w:spacing w:after="0"/>
              <w:rPr>
                <w:sz w:val="13"/>
                <w:szCs w:val="13"/>
                <w:color w:val="auto"/>
              </w:rPr>
            </w:pPr>
          </w:p>
        </w:tc>
        <w:tc>
          <w:tcPr>
            <w:tcW w:w="292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202"/>
        </w:trPr>
        <w:tc>
          <w:tcPr>
            <w:tcW w:w="7220" w:type="dxa"/>
            <w:vAlign w:val="bottom"/>
            <w:shd w:val="clear" w:color="auto" w:fill="CCEEFF"/>
          </w:tcPr>
          <w:p>
            <w:pPr>
              <w:spacing w:after="0"/>
              <w:rPr>
                <w:sz w:val="17"/>
                <w:szCs w:val="17"/>
                <w:color w:val="auto"/>
              </w:rPr>
            </w:pPr>
          </w:p>
        </w:tc>
        <w:tc>
          <w:tcPr>
            <w:tcW w:w="29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70"/>
        </w:trPr>
        <w:tc>
          <w:tcPr>
            <w:tcW w:w="7220" w:type="dxa"/>
            <w:vAlign w:val="bottom"/>
          </w:tcPr>
          <w:p>
            <w:pPr>
              <w:ind w:left="20"/>
              <w:spacing w:after="0"/>
              <w:rPr>
                <w:sz w:val="20"/>
                <w:szCs w:val="20"/>
                <w:color w:val="auto"/>
              </w:rPr>
            </w:pPr>
            <w:r>
              <w:rPr>
                <w:rFonts w:ascii="Arial" w:cs="Arial" w:eastAsia="Arial" w:hAnsi="Arial"/>
                <w:sz w:val="13"/>
                <w:szCs w:val="13"/>
                <w:b w:val="1"/>
                <w:bCs w:val="1"/>
                <w:color w:val="auto"/>
              </w:rPr>
              <w:t>Current liabilities</w:t>
            </w:r>
          </w:p>
        </w:tc>
        <w:tc>
          <w:tcPr>
            <w:tcW w:w="29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7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Current lease liabilities</w:t>
            </w:r>
          </w:p>
        </w:tc>
        <w:tc>
          <w:tcPr>
            <w:tcW w:w="292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1,050</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1,410</w:t>
            </w:r>
          </w:p>
        </w:tc>
      </w:tr>
      <w:tr>
        <w:trPr>
          <w:trHeight w:val="170"/>
        </w:trPr>
        <w:tc>
          <w:tcPr>
            <w:tcW w:w="72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Accruals and other liabilities</w:t>
            </w:r>
          </w:p>
        </w:tc>
        <w:tc>
          <w:tcPr>
            <w:tcW w:w="292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9,764</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9,875</w:t>
            </w:r>
          </w:p>
        </w:tc>
      </w:tr>
      <w:tr>
        <w:trPr>
          <w:trHeight w:val="182"/>
        </w:trPr>
        <w:tc>
          <w:tcPr>
            <w:tcW w:w="7220" w:type="dxa"/>
            <w:vAlign w:val="bottom"/>
            <w:shd w:val="clear" w:color="auto" w:fill="CCEEFF"/>
          </w:tcPr>
          <w:p>
            <w:pPr>
              <w:spacing w:after="0"/>
              <w:rPr>
                <w:sz w:val="15"/>
                <w:szCs w:val="15"/>
                <w:color w:val="auto"/>
              </w:rPr>
            </w:pPr>
          </w:p>
        </w:tc>
        <w:tc>
          <w:tcPr>
            <w:tcW w:w="29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71"/>
        </w:trPr>
        <w:tc>
          <w:tcPr>
            <w:tcW w:w="72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w:t>
            </w:r>
          </w:p>
        </w:tc>
        <w:tc>
          <w:tcPr>
            <w:tcW w:w="292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10,814</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11,285</w:t>
            </w:r>
          </w:p>
        </w:tc>
      </w:tr>
      <w:tr>
        <w:trPr>
          <w:trHeight w:val="428"/>
        </w:trPr>
        <w:tc>
          <w:tcPr>
            <w:tcW w:w="7220" w:type="dxa"/>
            <w:vAlign w:val="bottom"/>
          </w:tcPr>
          <w:p>
            <w:pPr>
              <w:spacing w:after="0"/>
              <w:rPr>
                <w:sz w:val="20"/>
                <w:szCs w:val="20"/>
                <w:color w:val="auto"/>
              </w:rPr>
            </w:pPr>
            <w:r>
              <w:rPr>
                <w:rFonts w:ascii="Arial" w:cs="Arial" w:eastAsia="Arial" w:hAnsi="Arial"/>
                <w:sz w:val="13"/>
                <w:szCs w:val="13"/>
                <w:b w:val="1"/>
                <w:bCs w:val="1"/>
                <w:color w:val="auto"/>
              </w:rPr>
              <w:t>8.  Related parties</w:t>
            </w:r>
          </w:p>
        </w:tc>
        <w:tc>
          <w:tcPr>
            <w:tcW w:w="29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44"/>
        </w:trPr>
        <w:tc>
          <w:tcPr>
            <w:tcW w:w="7220" w:type="dxa"/>
            <w:vAlign w:val="bottom"/>
          </w:tcPr>
          <w:p>
            <w:pPr>
              <w:spacing w:after="0"/>
              <w:rPr>
                <w:sz w:val="20"/>
                <w:szCs w:val="20"/>
                <w:color w:val="auto"/>
              </w:rPr>
            </w:pPr>
            <w:r>
              <w:rPr>
                <w:rFonts w:ascii="Arial" w:cs="Arial" w:eastAsia="Arial" w:hAnsi="Arial"/>
                <w:sz w:val="13"/>
                <w:szCs w:val="13"/>
                <w:color w:val="auto"/>
              </w:rPr>
              <w:t>The Company entered into the following transactions with subsidiary companies during the period:</w:t>
            </w:r>
          </w:p>
        </w:tc>
        <w:tc>
          <w:tcPr>
            <w:tcW w:w="29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87"/>
        </w:trPr>
        <w:tc>
          <w:tcPr>
            <w:tcW w:w="7220" w:type="dxa"/>
            <w:vAlign w:val="bottom"/>
          </w:tcPr>
          <w:p>
            <w:pPr>
              <w:spacing w:after="0"/>
              <w:rPr>
                <w:sz w:val="7"/>
                <w:szCs w:val="7"/>
                <w:color w:val="auto"/>
              </w:rPr>
            </w:pPr>
          </w:p>
        </w:tc>
        <w:tc>
          <w:tcPr>
            <w:tcW w:w="4060" w:type="dxa"/>
            <w:vAlign w:val="bottom"/>
            <w:gridSpan w:val="2"/>
          </w:tcPr>
          <w:p>
            <w:pPr>
              <w:spacing w:after="0"/>
              <w:rPr>
                <w:sz w:val="7"/>
                <w:szCs w:val="7"/>
                <w:color w:val="auto"/>
              </w:rPr>
            </w:pPr>
          </w:p>
        </w:tc>
      </w:tr>
      <w:tr>
        <w:trPr>
          <w:trHeight w:val="127"/>
        </w:trPr>
        <w:tc>
          <w:tcPr>
            <w:tcW w:w="7220" w:type="dxa"/>
            <w:vAlign w:val="bottom"/>
            <w:shd w:val="clear" w:color="auto" w:fill="CCEEFF"/>
          </w:tcPr>
          <w:p>
            <w:pPr>
              <w:spacing w:after="0"/>
              <w:rPr>
                <w:sz w:val="11"/>
                <w:szCs w:val="11"/>
                <w:color w:val="auto"/>
              </w:rPr>
            </w:pPr>
          </w:p>
        </w:tc>
        <w:tc>
          <w:tcPr>
            <w:tcW w:w="406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 xml:space="preserve">Year ended 31 </w:t>
            </w:r>
            <w:r>
              <w:rPr>
                <w:rFonts w:ascii="Arial" w:cs="Arial" w:eastAsia="Arial" w:hAnsi="Arial"/>
                <w:sz w:val="13"/>
                <w:szCs w:val="13"/>
                <w:color w:val="auto"/>
              </w:rPr>
              <w:t>Year ended 31 December</w:t>
            </w:r>
          </w:p>
        </w:tc>
      </w:tr>
      <w:tr>
        <w:trPr>
          <w:trHeight w:val="127"/>
        </w:trPr>
        <w:tc>
          <w:tcPr>
            <w:tcW w:w="7220" w:type="dxa"/>
            <w:vAlign w:val="bottom"/>
            <w:shd w:val="clear" w:color="auto" w:fill="CCEEFF"/>
          </w:tcPr>
          <w:p>
            <w:pPr>
              <w:spacing w:after="0"/>
              <w:rPr>
                <w:sz w:val="11"/>
                <w:szCs w:val="11"/>
                <w:color w:val="auto"/>
              </w:rPr>
            </w:pPr>
          </w:p>
        </w:tc>
        <w:tc>
          <w:tcPr>
            <w:tcW w:w="2920" w:type="dxa"/>
            <w:vAlign w:val="bottom"/>
            <w:shd w:val="clear" w:color="auto" w:fill="CCEEFF"/>
          </w:tcPr>
          <w:p>
            <w:pPr>
              <w:jc w:val="right"/>
              <w:ind w:right="296"/>
              <w:spacing w:after="0" w:line="128" w:lineRule="exact"/>
              <w:rPr>
                <w:sz w:val="20"/>
                <w:szCs w:val="20"/>
                <w:color w:val="auto"/>
              </w:rPr>
            </w:pPr>
            <w:r>
              <w:rPr>
                <w:rFonts w:ascii="Arial" w:cs="Arial" w:eastAsia="Arial" w:hAnsi="Arial"/>
                <w:sz w:val="13"/>
                <w:szCs w:val="13"/>
                <w:b w:val="1"/>
                <w:bCs w:val="1"/>
                <w:color w:val="auto"/>
              </w:rPr>
              <w:t>December</w:t>
            </w:r>
          </w:p>
        </w:tc>
        <w:tc>
          <w:tcPr>
            <w:tcW w:w="114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2020</w:t>
            </w:r>
          </w:p>
        </w:tc>
      </w:tr>
      <w:tr>
        <w:trPr>
          <w:trHeight w:val="170"/>
        </w:trPr>
        <w:tc>
          <w:tcPr>
            <w:tcW w:w="7220" w:type="dxa"/>
            <w:vAlign w:val="bottom"/>
            <w:tcBorders>
              <w:bottom w:val="single" w:sz="8" w:color="auto"/>
            </w:tcBorders>
            <w:shd w:val="clear" w:color="auto" w:fill="CCEEFF"/>
          </w:tcPr>
          <w:p>
            <w:pPr>
              <w:spacing w:after="0"/>
              <w:rPr>
                <w:sz w:val="14"/>
                <w:szCs w:val="14"/>
                <w:color w:val="auto"/>
              </w:rPr>
            </w:pPr>
          </w:p>
        </w:tc>
        <w:tc>
          <w:tcPr>
            <w:tcW w:w="292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2021</w:t>
            </w:r>
          </w:p>
        </w:tc>
        <w:tc>
          <w:tcPr>
            <w:tcW w:w="1140" w:type="dxa"/>
            <w:vAlign w:val="bottom"/>
            <w:tcBorders>
              <w:bottom w:val="single" w:sz="8" w:color="auto"/>
            </w:tcBorders>
            <w:shd w:val="clear" w:color="auto" w:fill="CCEEFF"/>
          </w:tcPr>
          <w:p>
            <w:pPr>
              <w:spacing w:after="0"/>
              <w:rPr>
                <w:sz w:val="14"/>
                <w:szCs w:val="14"/>
                <w:color w:val="auto"/>
              </w:rPr>
            </w:pPr>
          </w:p>
        </w:tc>
      </w:tr>
      <w:tr>
        <w:trPr>
          <w:trHeight w:val="160"/>
        </w:trPr>
        <w:tc>
          <w:tcPr>
            <w:tcW w:w="7220" w:type="dxa"/>
            <w:vAlign w:val="bottom"/>
          </w:tcPr>
          <w:p>
            <w:pPr>
              <w:spacing w:after="0"/>
              <w:rPr>
                <w:sz w:val="13"/>
                <w:szCs w:val="13"/>
                <w:color w:val="auto"/>
              </w:rPr>
            </w:pPr>
          </w:p>
        </w:tc>
        <w:tc>
          <w:tcPr>
            <w:tcW w:w="292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202"/>
        </w:trPr>
        <w:tc>
          <w:tcPr>
            <w:tcW w:w="7220" w:type="dxa"/>
            <w:vAlign w:val="bottom"/>
            <w:shd w:val="clear" w:color="auto" w:fill="CCEEFF"/>
          </w:tcPr>
          <w:p>
            <w:pPr>
              <w:spacing w:after="0"/>
              <w:rPr>
                <w:sz w:val="17"/>
                <w:szCs w:val="17"/>
                <w:color w:val="auto"/>
              </w:rPr>
            </w:pPr>
          </w:p>
        </w:tc>
        <w:tc>
          <w:tcPr>
            <w:tcW w:w="29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70"/>
        </w:trPr>
        <w:tc>
          <w:tcPr>
            <w:tcW w:w="7220" w:type="dxa"/>
            <w:vAlign w:val="bottom"/>
          </w:tcPr>
          <w:p>
            <w:pPr>
              <w:ind w:left="20"/>
              <w:spacing w:after="0"/>
              <w:rPr>
                <w:sz w:val="20"/>
                <w:szCs w:val="20"/>
                <w:color w:val="auto"/>
              </w:rPr>
            </w:pPr>
            <w:r>
              <w:rPr>
                <w:rFonts w:ascii="Arial" w:cs="Arial" w:eastAsia="Arial" w:hAnsi="Arial"/>
                <w:sz w:val="13"/>
                <w:szCs w:val="13"/>
                <w:b w:val="1"/>
                <w:bCs w:val="1"/>
                <w:color w:val="auto"/>
              </w:rPr>
              <w:t>Statement of Profit and Loss</w:t>
            </w:r>
          </w:p>
        </w:tc>
        <w:tc>
          <w:tcPr>
            <w:tcW w:w="29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7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Expenses recharged to subsidiary companies</w:t>
            </w:r>
          </w:p>
        </w:tc>
        <w:tc>
          <w:tcPr>
            <w:tcW w:w="292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9,117</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5,953</w:t>
            </w:r>
          </w:p>
        </w:tc>
      </w:tr>
      <w:tr>
        <w:trPr>
          <w:trHeight w:val="170"/>
        </w:trPr>
        <w:tc>
          <w:tcPr>
            <w:tcW w:w="72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 xml:space="preserve">Dividend received from subsidiary companies </w:t>
            </w:r>
            <w:r>
              <w:rPr>
                <w:rFonts w:ascii="Arial" w:cs="Arial" w:eastAsia="Arial" w:hAnsi="Arial"/>
                <w:sz w:val="13"/>
                <w:szCs w:val="13"/>
                <w:i w:val="1"/>
                <w:iCs w:val="1"/>
                <w:color w:val="auto"/>
              </w:rPr>
              <w:t>(a)</w:t>
            </w:r>
          </w:p>
        </w:tc>
        <w:tc>
          <w:tcPr>
            <w:tcW w:w="292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41,237</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233,927</w:t>
            </w:r>
          </w:p>
        </w:tc>
      </w:tr>
      <w:tr>
        <w:trPr>
          <w:trHeight w:val="182"/>
        </w:trPr>
        <w:tc>
          <w:tcPr>
            <w:tcW w:w="7220" w:type="dxa"/>
            <w:vAlign w:val="bottom"/>
            <w:shd w:val="clear" w:color="auto" w:fill="CCEEFF"/>
          </w:tcPr>
          <w:p>
            <w:pPr>
              <w:spacing w:after="0"/>
              <w:rPr>
                <w:sz w:val="15"/>
                <w:szCs w:val="15"/>
                <w:color w:val="auto"/>
              </w:rPr>
            </w:pPr>
          </w:p>
        </w:tc>
        <w:tc>
          <w:tcPr>
            <w:tcW w:w="29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71"/>
        </w:trPr>
        <w:tc>
          <w:tcPr>
            <w:tcW w:w="72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w:t>
            </w:r>
          </w:p>
        </w:tc>
        <w:tc>
          <w:tcPr>
            <w:tcW w:w="292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50,354</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239,880</w:t>
            </w:r>
          </w:p>
        </w:tc>
      </w:tr>
      <w:tr>
        <w:trPr>
          <w:trHeight w:val="191"/>
        </w:trPr>
        <w:tc>
          <w:tcPr>
            <w:tcW w:w="7220" w:type="dxa"/>
            <w:vAlign w:val="bottom"/>
            <w:shd w:val="clear" w:color="auto" w:fill="CCEEFF"/>
          </w:tcPr>
          <w:p>
            <w:pPr>
              <w:spacing w:after="0"/>
              <w:rPr>
                <w:sz w:val="16"/>
                <w:szCs w:val="16"/>
                <w:color w:val="auto"/>
              </w:rPr>
            </w:pPr>
          </w:p>
        </w:tc>
        <w:tc>
          <w:tcPr>
            <w:tcW w:w="29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70"/>
        </w:trPr>
        <w:tc>
          <w:tcPr>
            <w:tcW w:w="7220" w:type="dxa"/>
            <w:vAlign w:val="bottom"/>
          </w:tcPr>
          <w:p>
            <w:pPr>
              <w:ind w:left="20"/>
              <w:spacing w:after="0"/>
              <w:rPr>
                <w:sz w:val="20"/>
                <w:szCs w:val="20"/>
                <w:color w:val="auto"/>
              </w:rPr>
            </w:pPr>
            <w:r>
              <w:rPr>
                <w:rFonts w:ascii="Arial" w:cs="Arial" w:eastAsia="Arial" w:hAnsi="Arial"/>
                <w:sz w:val="13"/>
                <w:szCs w:val="13"/>
                <w:b w:val="1"/>
                <w:bCs w:val="1"/>
                <w:color w:val="auto"/>
              </w:rPr>
              <w:t>Statement of Cash Flows</w:t>
            </w:r>
          </w:p>
        </w:tc>
        <w:tc>
          <w:tcPr>
            <w:tcW w:w="29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7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Decrease in amounts due from/to subsidiary undertakings</w:t>
            </w:r>
          </w:p>
        </w:tc>
        <w:tc>
          <w:tcPr>
            <w:tcW w:w="29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213,052</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424,379</w:t>
            </w:r>
          </w:p>
        </w:tc>
      </w:tr>
      <w:tr>
        <w:trPr>
          <w:trHeight w:val="182"/>
        </w:trPr>
        <w:tc>
          <w:tcPr>
            <w:tcW w:w="72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1"/>
        </w:trPr>
        <w:tc>
          <w:tcPr>
            <w:tcW w:w="7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w:t>
            </w:r>
          </w:p>
        </w:tc>
        <w:tc>
          <w:tcPr>
            <w:tcW w:w="29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213,052</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424,379</w:t>
            </w:r>
          </w:p>
        </w:tc>
      </w:tr>
    </w:tbl>
    <w:p>
      <w:pPr>
        <w:spacing w:after="0" w:line="64" w:lineRule="exact"/>
        <w:rPr>
          <w:sz w:val="20"/>
          <w:szCs w:val="20"/>
          <w:color w:val="auto"/>
        </w:rPr>
      </w:pPr>
    </w:p>
    <w:p>
      <w:pPr>
        <w:ind w:left="380" w:hanging="375"/>
        <w:spacing w:after="0" w:line="283" w:lineRule="auto"/>
        <w:tabs>
          <w:tab w:leader="none" w:pos="376" w:val="left"/>
        </w:tabs>
        <w:numPr>
          <w:ilvl w:val="0"/>
          <w:numId w:val="141"/>
        </w:numPr>
        <w:rPr>
          <w:rFonts w:ascii="Arial" w:cs="Arial" w:eastAsia="Arial" w:hAnsi="Arial"/>
          <w:sz w:val="13"/>
          <w:szCs w:val="13"/>
          <w:i w:val="1"/>
          <w:iCs w:val="1"/>
          <w:color w:val="auto"/>
        </w:rPr>
      </w:pPr>
      <w:r>
        <w:rPr>
          <w:rFonts w:ascii="Arial" w:cs="Arial" w:eastAsia="Arial" w:hAnsi="Arial"/>
          <w:sz w:val="13"/>
          <w:szCs w:val="13"/>
          <w:color w:val="auto"/>
        </w:rPr>
        <w:t>During 2021, the Company received dividends of $41.2 million (2020: $233.9 million) from its subsidiary undertakings; ICON Clinical Research Limited ($35.9 million) and ICON Clinical International Unlimited Company ($5.3 million).</w:t>
      </w:r>
    </w:p>
    <w:p>
      <w:pPr>
        <w:spacing w:after="0" w:line="157"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 xml:space="preserve">Directors and Executive Officers of the Parent Company are the same as those for the Group. For information on transactions with Directors and Executive Officers see </w:t>
      </w:r>
      <w:r>
        <w:rPr>
          <w:rFonts w:ascii="Arial" w:cs="Arial" w:eastAsia="Arial" w:hAnsi="Arial"/>
          <w:sz w:val="13"/>
          <w:szCs w:val="13"/>
          <w:i w:val="1"/>
          <w:iCs w:val="1"/>
          <w:color w:val="auto"/>
        </w:rPr>
        <w:t>note 30 Related parties</w:t>
      </w:r>
      <w:r>
        <w:rPr>
          <w:rFonts w:ascii="Arial" w:cs="Arial" w:eastAsia="Arial" w:hAnsi="Arial"/>
          <w:sz w:val="13"/>
          <w:szCs w:val="13"/>
          <w:color w:val="auto"/>
        </w:rPr>
        <w:t xml:space="preserve">, to the Consolidated Financial Statements, and for information on Directors’ remuneration see </w:t>
      </w:r>
      <w:r>
        <w:rPr>
          <w:rFonts w:ascii="Arial" w:cs="Arial" w:eastAsia="Arial" w:hAnsi="Arial"/>
          <w:sz w:val="13"/>
          <w:szCs w:val="13"/>
          <w:i w:val="1"/>
          <w:iCs w:val="1"/>
          <w:color w:val="auto"/>
        </w:rPr>
        <w:t>note 9 Payroll and related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147</w:t>
      </w:r>
    </w:p>
    <w:p>
      <w:pPr>
        <w:sectPr>
          <w:pgSz w:w="11900" w:h="16838" w:orient="portrait"/>
          <w:cols w:equalWidth="0" w:num="1">
            <w:col w:w="11280"/>
          </w:cols>
          <w:pgMar w:left="300" w:top="698" w:right="31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color w:val="auto"/>
        </w:rPr>
        <w:t xml:space="preserve">Notes to Company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232" w:lineRule="exact"/>
        <w:rPr>
          <w:sz w:val="20"/>
          <w:szCs w:val="20"/>
          <w:color w:val="auto"/>
        </w:rPr>
      </w:pPr>
    </w:p>
    <w:p>
      <w:pPr>
        <w:spacing w:after="0"/>
        <w:tabs>
          <w:tab w:leader="none" w:pos="240" w:val="left"/>
        </w:tabs>
        <w:rPr>
          <w:sz w:val="20"/>
          <w:szCs w:val="20"/>
          <w:color w:val="auto"/>
        </w:rPr>
      </w:pPr>
      <w:r>
        <w:rPr>
          <w:rFonts w:ascii="Arial" w:cs="Arial" w:eastAsia="Arial" w:hAnsi="Arial"/>
          <w:sz w:val="13"/>
          <w:szCs w:val="13"/>
          <w:b w:val="1"/>
          <w:bCs w:val="1"/>
          <w:color w:val="auto"/>
        </w:rPr>
        <w:t>9.</w:t>
      </w:r>
      <w:r>
        <w:rPr>
          <w:sz w:val="20"/>
          <w:szCs w:val="20"/>
          <w:color w:val="auto"/>
        </w:rPr>
        <w:tab/>
      </w:r>
      <w:r>
        <w:rPr>
          <w:rFonts w:ascii="Arial" w:cs="Arial" w:eastAsia="Arial" w:hAnsi="Arial"/>
          <w:sz w:val="12"/>
          <w:szCs w:val="12"/>
          <w:b w:val="1"/>
          <w:bCs w:val="1"/>
          <w:color w:val="auto"/>
        </w:rPr>
        <w:t>Leases</w:t>
      </w:r>
    </w:p>
    <w:p>
      <w:pPr>
        <w:spacing w:after="0" w:line="36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Right-of-use assets</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color w:val="auto"/>
        </w:rPr>
        <w:t>The Company has the following right-of-use assets: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2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3"/>
                <w:szCs w:val="13"/>
                <w:b w:val="1"/>
                <w:bCs w:val="1"/>
                <w:color w:val="auto"/>
              </w:rPr>
              <w:t>Premises</w:t>
            </w:r>
          </w:p>
        </w:tc>
        <w:tc>
          <w:tcPr>
            <w:tcW w:w="164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b w:val="1"/>
                <w:bCs w:val="1"/>
                <w:color w:val="auto"/>
              </w:rPr>
              <w:t>Equipment</w:t>
            </w:r>
          </w:p>
        </w:tc>
        <w:tc>
          <w:tcPr>
            <w:tcW w:w="202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3"/>
                <w:szCs w:val="13"/>
                <w:b w:val="1"/>
                <w:bCs w:val="1"/>
                <w:color w:val="auto"/>
              </w:rPr>
              <w:t>Motor vehicles</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Total</w:t>
            </w:r>
          </w:p>
        </w:tc>
      </w:tr>
      <w:tr>
        <w:trPr>
          <w:trHeight w:val="160"/>
        </w:trPr>
        <w:tc>
          <w:tcPr>
            <w:tcW w:w="5020" w:type="dxa"/>
            <w:vAlign w:val="bottom"/>
          </w:tcPr>
          <w:p>
            <w:pPr>
              <w:spacing w:after="0"/>
              <w:rPr>
                <w:sz w:val="13"/>
                <w:szCs w:val="13"/>
                <w:color w:val="auto"/>
              </w:rPr>
            </w:pPr>
          </w:p>
        </w:tc>
        <w:tc>
          <w:tcPr>
            <w:tcW w:w="1520" w:type="dxa"/>
            <w:vAlign w:val="bottom"/>
          </w:tcPr>
          <w:p>
            <w:pPr>
              <w:jc w:val="right"/>
              <w:ind w:right="496"/>
              <w:spacing w:after="0"/>
              <w:rPr>
                <w:sz w:val="20"/>
                <w:szCs w:val="20"/>
                <w:color w:val="auto"/>
              </w:rPr>
            </w:pPr>
            <w:r>
              <w:rPr>
                <w:rFonts w:ascii="Arial" w:cs="Arial" w:eastAsia="Arial" w:hAnsi="Arial"/>
                <w:sz w:val="13"/>
                <w:szCs w:val="13"/>
                <w:b w:val="1"/>
                <w:bCs w:val="1"/>
                <w:color w:val="auto"/>
              </w:rPr>
              <w:t>$'000</w:t>
            </w:r>
          </w:p>
        </w:tc>
        <w:tc>
          <w:tcPr>
            <w:tcW w:w="1640" w:type="dxa"/>
            <w:vAlign w:val="bottom"/>
          </w:tcPr>
          <w:p>
            <w:pPr>
              <w:jc w:val="right"/>
              <w:ind w:right="376"/>
              <w:spacing w:after="0"/>
              <w:rPr>
                <w:sz w:val="20"/>
                <w:szCs w:val="20"/>
                <w:color w:val="auto"/>
              </w:rPr>
            </w:pPr>
            <w:r>
              <w:rPr>
                <w:rFonts w:ascii="Arial" w:cs="Arial" w:eastAsia="Arial" w:hAnsi="Arial"/>
                <w:sz w:val="13"/>
                <w:szCs w:val="13"/>
                <w:b w:val="1"/>
                <w:bCs w:val="1"/>
                <w:color w:val="auto"/>
              </w:rPr>
              <w:t>$'000</w:t>
            </w:r>
          </w:p>
        </w:tc>
        <w:tc>
          <w:tcPr>
            <w:tcW w:w="2020" w:type="dxa"/>
            <w:vAlign w:val="bottom"/>
          </w:tcPr>
          <w:p>
            <w:pPr>
              <w:jc w:val="center"/>
              <w:ind w:left="256"/>
              <w:spacing w:after="0"/>
              <w:rPr>
                <w:sz w:val="20"/>
                <w:szCs w:val="20"/>
                <w:color w:val="auto"/>
              </w:rPr>
            </w:pPr>
            <w:r>
              <w:rPr>
                <w:rFonts w:ascii="Arial" w:cs="Arial" w:eastAsia="Arial" w:hAnsi="Arial"/>
                <w:sz w:val="13"/>
                <w:szCs w:val="13"/>
                <w:b w:val="1"/>
                <w:bCs w:val="1"/>
                <w:color w:val="auto"/>
                <w:w w:val="93"/>
              </w:rPr>
              <w:t>$'000</w:t>
            </w: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$'000</w:t>
            </w:r>
          </w:p>
        </w:tc>
      </w:tr>
      <w:tr>
        <w:trPr>
          <w:trHeight w:val="169"/>
        </w:trPr>
        <w:tc>
          <w:tcPr>
            <w:tcW w:w="5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Depreciation charge for 2021</w:t>
            </w:r>
          </w:p>
        </w:tc>
        <w:tc>
          <w:tcPr>
            <w:tcW w:w="152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3"/>
                <w:szCs w:val="13"/>
                <w:color w:val="auto"/>
              </w:rPr>
              <w:t>936</w:t>
            </w:r>
          </w:p>
        </w:tc>
        <w:tc>
          <w:tcPr>
            <w:tcW w:w="164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color w:val="auto"/>
              </w:rPr>
              <w:t>28</w:t>
            </w:r>
          </w:p>
        </w:tc>
        <w:tc>
          <w:tcPr>
            <w:tcW w:w="2020" w:type="dxa"/>
            <w:vAlign w:val="bottom"/>
            <w:tcBorders>
              <w:bottom w:val="single" w:sz="8" w:color="auto"/>
            </w:tcBorders>
            <w:shd w:val="clear" w:color="auto" w:fill="CCEEFF"/>
          </w:tcPr>
          <w:p>
            <w:pPr>
              <w:jc w:val="center"/>
              <w:ind w:left="276"/>
              <w:spacing w:after="0"/>
              <w:rPr>
                <w:sz w:val="20"/>
                <w:szCs w:val="20"/>
                <w:color w:val="auto"/>
              </w:rPr>
            </w:pPr>
            <w:r>
              <w:rPr>
                <w:rFonts w:ascii="Arial" w:cs="Arial" w:eastAsia="Arial" w:hAnsi="Arial"/>
                <w:sz w:val="13"/>
                <w:szCs w:val="13"/>
                <w:color w:val="auto"/>
                <w:w w:val="92"/>
              </w:rPr>
              <w:t>353</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1,317</w:t>
            </w:r>
          </w:p>
        </w:tc>
      </w:tr>
      <w:tr>
        <w:trPr>
          <w:trHeight w:val="160"/>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Right-of-use assets at 31 December 2021</w:t>
            </w:r>
          </w:p>
        </w:tc>
        <w:tc>
          <w:tcPr>
            <w:tcW w:w="152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color w:val="auto"/>
              </w:rPr>
              <w:t>1,911</w:t>
            </w:r>
          </w:p>
        </w:tc>
        <w:tc>
          <w:tcPr>
            <w:tcW w:w="164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color w:val="auto"/>
              </w:rPr>
              <w:t>9</w:t>
            </w:r>
          </w:p>
        </w:tc>
        <w:tc>
          <w:tcPr>
            <w:tcW w:w="2020" w:type="dxa"/>
            <w:vAlign w:val="bottom"/>
            <w:tcBorders>
              <w:bottom w:val="single" w:sz="8" w:color="auto"/>
            </w:tcBorders>
          </w:tcPr>
          <w:p>
            <w:pPr>
              <w:jc w:val="center"/>
              <w:ind w:left="276"/>
              <w:spacing w:after="0"/>
              <w:rPr>
                <w:sz w:val="20"/>
                <w:szCs w:val="20"/>
                <w:color w:val="auto"/>
              </w:rPr>
            </w:pPr>
            <w:r>
              <w:rPr>
                <w:rFonts w:ascii="Arial" w:cs="Arial" w:eastAsia="Arial" w:hAnsi="Arial"/>
                <w:sz w:val="13"/>
                <w:szCs w:val="13"/>
                <w:color w:val="auto"/>
                <w:w w:val="92"/>
              </w:rPr>
              <w:t>699</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2,619</w:t>
            </w:r>
          </w:p>
        </w:tc>
      </w:tr>
      <w:tr>
        <w:trPr>
          <w:trHeight w:val="160"/>
        </w:trPr>
        <w:tc>
          <w:tcPr>
            <w:tcW w:w="5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Depreciation charge for 2020</w:t>
            </w:r>
          </w:p>
        </w:tc>
        <w:tc>
          <w:tcPr>
            <w:tcW w:w="152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3"/>
                <w:szCs w:val="13"/>
                <w:color w:val="auto"/>
              </w:rPr>
              <w:t>1,083</w:t>
            </w:r>
          </w:p>
        </w:tc>
        <w:tc>
          <w:tcPr>
            <w:tcW w:w="164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color w:val="auto"/>
              </w:rPr>
              <w:t>38</w:t>
            </w:r>
          </w:p>
        </w:tc>
        <w:tc>
          <w:tcPr>
            <w:tcW w:w="2020" w:type="dxa"/>
            <w:vAlign w:val="bottom"/>
            <w:tcBorders>
              <w:bottom w:val="single" w:sz="8" w:color="auto"/>
            </w:tcBorders>
            <w:shd w:val="clear" w:color="auto" w:fill="CCEEFF"/>
          </w:tcPr>
          <w:p>
            <w:pPr>
              <w:jc w:val="center"/>
              <w:ind w:left="276"/>
              <w:spacing w:after="0"/>
              <w:rPr>
                <w:sz w:val="20"/>
                <w:szCs w:val="20"/>
                <w:color w:val="auto"/>
              </w:rPr>
            </w:pPr>
            <w:r>
              <w:rPr>
                <w:rFonts w:ascii="Arial" w:cs="Arial" w:eastAsia="Arial" w:hAnsi="Arial"/>
                <w:sz w:val="13"/>
                <w:szCs w:val="13"/>
                <w:color w:val="auto"/>
                <w:w w:val="92"/>
              </w:rPr>
              <w:t>426</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1,547</w:t>
            </w:r>
          </w:p>
        </w:tc>
      </w:tr>
      <w:tr>
        <w:trPr>
          <w:trHeight w:val="160"/>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Right-of-use assets at 31 December 2020</w:t>
            </w:r>
          </w:p>
        </w:tc>
        <w:tc>
          <w:tcPr>
            <w:tcW w:w="152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color w:val="auto"/>
              </w:rPr>
              <w:t>2,900</w:t>
            </w:r>
          </w:p>
        </w:tc>
        <w:tc>
          <w:tcPr>
            <w:tcW w:w="164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color w:val="auto"/>
              </w:rPr>
              <w:t>39</w:t>
            </w:r>
          </w:p>
        </w:tc>
        <w:tc>
          <w:tcPr>
            <w:tcW w:w="2020" w:type="dxa"/>
            <w:vAlign w:val="bottom"/>
            <w:tcBorders>
              <w:bottom w:val="single" w:sz="8" w:color="auto"/>
            </w:tcBorders>
          </w:tcPr>
          <w:p>
            <w:pPr>
              <w:jc w:val="center"/>
              <w:ind w:left="276"/>
              <w:spacing w:after="0"/>
              <w:rPr>
                <w:sz w:val="20"/>
                <w:szCs w:val="20"/>
                <w:color w:val="auto"/>
              </w:rPr>
            </w:pPr>
            <w:r>
              <w:rPr>
                <w:rFonts w:ascii="Arial" w:cs="Arial" w:eastAsia="Arial" w:hAnsi="Arial"/>
                <w:sz w:val="13"/>
                <w:szCs w:val="13"/>
                <w:color w:val="auto"/>
                <w:w w:val="92"/>
              </w:rPr>
              <w:t>243</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3,182</w:t>
            </w:r>
          </w:p>
        </w:tc>
      </w:tr>
      <w:tr>
        <w:trPr>
          <w:trHeight w:val="276"/>
        </w:trPr>
        <w:tc>
          <w:tcPr>
            <w:tcW w:w="5020" w:type="dxa"/>
            <w:vAlign w:val="bottom"/>
          </w:tcPr>
          <w:p>
            <w:pPr>
              <w:spacing w:after="0"/>
              <w:rPr>
                <w:sz w:val="20"/>
                <w:szCs w:val="20"/>
                <w:color w:val="auto"/>
              </w:rPr>
            </w:pPr>
            <w:r>
              <w:rPr>
                <w:rFonts w:ascii="Arial" w:cs="Arial" w:eastAsia="Arial" w:hAnsi="Arial"/>
                <w:sz w:val="13"/>
                <w:szCs w:val="13"/>
                <w:color w:val="auto"/>
              </w:rPr>
              <w:t>Additions to right-of-use assets during 2021 were $1.0 million (2020: $0.3 million).</w:t>
            </w:r>
          </w:p>
        </w:tc>
        <w:tc>
          <w:tcPr>
            <w:tcW w:w="15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6"/>
        </w:trPr>
        <w:tc>
          <w:tcPr>
            <w:tcW w:w="6540" w:type="dxa"/>
            <w:vAlign w:val="bottom"/>
            <w:gridSpan w:val="2"/>
          </w:tcPr>
          <w:p>
            <w:pPr>
              <w:spacing w:after="0"/>
              <w:rPr>
                <w:sz w:val="20"/>
                <w:szCs w:val="20"/>
                <w:color w:val="auto"/>
              </w:rPr>
            </w:pPr>
            <w:r>
              <w:rPr>
                <w:rFonts w:ascii="Arial" w:cs="Arial" w:eastAsia="Arial" w:hAnsi="Arial"/>
                <w:sz w:val="13"/>
                <w:szCs w:val="13"/>
                <w:color w:val="auto"/>
              </w:rPr>
              <w:t>The weighted average remaining lease term as at 31 December 2021 is 2.18 years (2020: 2.70 years).</w:t>
            </w:r>
          </w:p>
        </w:tc>
        <w:tc>
          <w:tcPr>
            <w:tcW w:w="164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82"/>
        </w:trPr>
        <w:tc>
          <w:tcPr>
            <w:tcW w:w="5020" w:type="dxa"/>
            <w:vAlign w:val="bottom"/>
          </w:tcPr>
          <w:p>
            <w:pPr>
              <w:spacing w:after="0"/>
              <w:rPr>
                <w:sz w:val="20"/>
                <w:szCs w:val="20"/>
                <w:color w:val="auto"/>
              </w:rPr>
            </w:pPr>
            <w:r>
              <w:rPr>
                <w:rFonts w:ascii="Arial" w:cs="Arial" w:eastAsia="Arial" w:hAnsi="Arial"/>
                <w:sz w:val="13"/>
                <w:szCs w:val="13"/>
                <w:b w:val="1"/>
                <w:bCs w:val="1"/>
                <w:i w:val="1"/>
                <w:iCs w:val="1"/>
                <w:color w:val="auto"/>
              </w:rPr>
              <w:t>Lease liabilities</w:t>
            </w:r>
          </w:p>
        </w:tc>
        <w:tc>
          <w:tcPr>
            <w:tcW w:w="15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80"/>
        </w:trPr>
        <w:tc>
          <w:tcPr>
            <w:tcW w:w="6540" w:type="dxa"/>
            <w:vAlign w:val="bottom"/>
            <w:gridSpan w:val="2"/>
          </w:tcPr>
          <w:p>
            <w:pPr>
              <w:spacing w:after="0"/>
              <w:rPr>
                <w:sz w:val="20"/>
                <w:szCs w:val="20"/>
                <w:color w:val="auto"/>
              </w:rPr>
            </w:pPr>
            <w:r>
              <w:rPr>
                <w:rFonts w:ascii="Arial" w:cs="Arial" w:eastAsia="Arial" w:hAnsi="Arial"/>
                <w:sz w:val="13"/>
                <w:szCs w:val="13"/>
                <w:color w:val="auto"/>
              </w:rPr>
              <w:t>Future minimum lease payments under non-cancellable leases as of 31 December 2021 were as follows:</w:t>
            </w:r>
          </w:p>
        </w:tc>
        <w:tc>
          <w:tcPr>
            <w:tcW w:w="16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20" w:type="dxa"/>
            <w:vAlign w:val="bottom"/>
            <w:shd w:val="clear" w:color="auto" w:fill="CCEEFF"/>
          </w:tcPr>
          <w:p>
            <w:pPr>
              <w:spacing w:after="0"/>
              <w:rPr>
                <w:sz w:val="14"/>
                <w:szCs w:val="14"/>
                <w:color w:val="auto"/>
              </w:rPr>
            </w:pPr>
          </w:p>
        </w:tc>
        <w:tc>
          <w:tcPr>
            <w:tcW w:w="50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Minimum rental</w:t>
            </w:r>
          </w:p>
        </w:tc>
      </w:tr>
      <w:tr>
        <w:trPr>
          <w:trHeight w:val="170"/>
        </w:trPr>
        <w:tc>
          <w:tcPr>
            <w:tcW w:w="6220" w:type="dxa"/>
            <w:vAlign w:val="bottom"/>
            <w:tcBorders>
              <w:bottom w:val="single" w:sz="8" w:color="auto"/>
            </w:tcBorders>
          </w:tcPr>
          <w:p>
            <w:pPr>
              <w:spacing w:after="0"/>
              <w:rPr>
                <w:sz w:val="14"/>
                <w:szCs w:val="14"/>
                <w:color w:val="auto"/>
              </w:rPr>
            </w:pPr>
          </w:p>
        </w:tc>
        <w:tc>
          <w:tcPr>
            <w:tcW w:w="50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payments</w:t>
            </w:r>
          </w:p>
        </w:tc>
      </w:tr>
      <w:tr>
        <w:trPr>
          <w:trHeight w:val="160"/>
        </w:trPr>
        <w:tc>
          <w:tcPr>
            <w:tcW w:w="6220" w:type="dxa"/>
            <w:vAlign w:val="bottom"/>
            <w:shd w:val="clear" w:color="auto" w:fill="CCEEFF"/>
          </w:tcPr>
          <w:p>
            <w:pPr>
              <w:spacing w:after="0"/>
              <w:rPr>
                <w:sz w:val="13"/>
                <w:szCs w:val="13"/>
                <w:color w:val="auto"/>
              </w:rPr>
            </w:pPr>
          </w:p>
        </w:tc>
        <w:tc>
          <w:tcPr>
            <w:tcW w:w="50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$'000</w:t>
            </w:r>
          </w:p>
        </w:tc>
      </w:tr>
      <w:tr>
        <w:trPr>
          <w:trHeight w:val="169"/>
        </w:trPr>
        <w:tc>
          <w:tcPr>
            <w:tcW w:w="6220" w:type="dxa"/>
            <w:vAlign w:val="bottom"/>
          </w:tcPr>
          <w:p>
            <w:pPr>
              <w:ind w:left="20"/>
              <w:spacing w:after="0"/>
              <w:rPr>
                <w:sz w:val="20"/>
                <w:szCs w:val="20"/>
                <w:color w:val="auto"/>
              </w:rPr>
            </w:pPr>
            <w:r>
              <w:rPr>
                <w:rFonts w:ascii="Arial" w:cs="Arial" w:eastAsia="Arial" w:hAnsi="Arial"/>
                <w:sz w:val="13"/>
                <w:szCs w:val="13"/>
                <w:color w:val="auto"/>
              </w:rPr>
              <w:t>2022</w:t>
            </w:r>
          </w:p>
        </w:tc>
        <w:tc>
          <w:tcPr>
            <w:tcW w:w="5060" w:type="dxa"/>
            <w:vAlign w:val="bottom"/>
          </w:tcPr>
          <w:p>
            <w:pPr>
              <w:jc w:val="right"/>
              <w:spacing w:after="0"/>
              <w:rPr>
                <w:sz w:val="20"/>
                <w:szCs w:val="20"/>
                <w:color w:val="auto"/>
              </w:rPr>
            </w:pPr>
            <w:r>
              <w:rPr>
                <w:rFonts w:ascii="Arial" w:cs="Arial" w:eastAsia="Arial" w:hAnsi="Arial"/>
                <w:sz w:val="13"/>
                <w:szCs w:val="13"/>
                <w:color w:val="auto"/>
              </w:rPr>
              <w:t>1,277</w:t>
            </w:r>
          </w:p>
        </w:tc>
      </w:tr>
      <w:tr>
        <w:trPr>
          <w:trHeight w:val="171"/>
        </w:trPr>
        <w:tc>
          <w:tcPr>
            <w:tcW w:w="6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2023</w:t>
            </w:r>
          </w:p>
        </w:tc>
        <w:tc>
          <w:tcPr>
            <w:tcW w:w="5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818</w:t>
            </w:r>
          </w:p>
        </w:tc>
      </w:tr>
      <w:tr>
        <w:trPr>
          <w:trHeight w:val="169"/>
        </w:trPr>
        <w:tc>
          <w:tcPr>
            <w:tcW w:w="6220" w:type="dxa"/>
            <w:vAlign w:val="bottom"/>
          </w:tcPr>
          <w:p>
            <w:pPr>
              <w:ind w:left="20"/>
              <w:spacing w:after="0"/>
              <w:rPr>
                <w:sz w:val="20"/>
                <w:szCs w:val="20"/>
                <w:color w:val="auto"/>
              </w:rPr>
            </w:pPr>
            <w:r>
              <w:rPr>
                <w:rFonts w:ascii="Arial" w:cs="Arial" w:eastAsia="Arial" w:hAnsi="Arial"/>
                <w:sz w:val="13"/>
                <w:szCs w:val="13"/>
                <w:color w:val="auto"/>
              </w:rPr>
              <w:t>2024</w:t>
            </w:r>
          </w:p>
        </w:tc>
        <w:tc>
          <w:tcPr>
            <w:tcW w:w="5060" w:type="dxa"/>
            <w:vAlign w:val="bottom"/>
          </w:tcPr>
          <w:p>
            <w:pPr>
              <w:jc w:val="right"/>
              <w:spacing w:after="0"/>
              <w:rPr>
                <w:sz w:val="20"/>
                <w:szCs w:val="20"/>
                <w:color w:val="auto"/>
              </w:rPr>
            </w:pPr>
            <w:r>
              <w:rPr>
                <w:rFonts w:ascii="Arial" w:cs="Arial" w:eastAsia="Arial" w:hAnsi="Arial"/>
                <w:sz w:val="13"/>
                <w:szCs w:val="13"/>
                <w:color w:val="auto"/>
              </w:rPr>
              <w:t>457</w:t>
            </w:r>
          </w:p>
        </w:tc>
      </w:tr>
      <w:tr>
        <w:trPr>
          <w:trHeight w:val="171"/>
        </w:trPr>
        <w:tc>
          <w:tcPr>
            <w:tcW w:w="6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2025</w:t>
            </w:r>
          </w:p>
        </w:tc>
        <w:tc>
          <w:tcPr>
            <w:tcW w:w="5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w:t>
            </w:r>
          </w:p>
        </w:tc>
      </w:tr>
      <w:tr>
        <w:trPr>
          <w:trHeight w:val="169"/>
        </w:trPr>
        <w:tc>
          <w:tcPr>
            <w:tcW w:w="6220" w:type="dxa"/>
            <w:vAlign w:val="bottom"/>
          </w:tcPr>
          <w:p>
            <w:pPr>
              <w:ind w:left="20"/>
              <w:spacing w:after="0"/>
              <w:rPr>
                <w:sz w:val="20"/>
                <w:szCs w:val="20"/>
                <w:color w:val="auto"/>
              </w:rPr>
            </w:pPr>
            <w:r>
              <w:rPr>
                <w:rFonts w:ascii="Arial" w:cs="Arial" w:eastAsia="Arial" w:hAnsi="Arial"/>
                <w:sz w:val="13"/>
                <w:szCs w:val="13"/>
                <w:color w:val="auto"/>
              </w:rPr>
              <w:t>2026</w:t>
            </w:r>
          </w:p>
        </w:tc>
        <w:tc>
          <w:tcPr>
            <w:tcW w:w="50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6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Thereafter</w:t>
            </w:r>
          </w:p>
        </w:tc>
        <w:tc>
          <w:tcPr>
            <w:tcW w:w="5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0"/>
        </w:trPr>
        <w:tc>
          <w:tcPr>
            <w:tcW w:w="6220" w:type="dxa"/>
            <w:vAlign w:val="bottom"/>
          </w:tcPr>
          <w:p>
            <w:pPr>
              <w:ind w:left="20"/>
              <w:spacing w:after="0"/>
              <w:rPr>
                <w:sz w:val="20"/>
                <w:szCs w:val="20"/>
                <w:color w:val="auto"/>
              </w:rPr>
            </w:pPr>
            <w:r>
              <w:rPr>
                <w:rFonts w:ascii="Arial" w:cs="Arial" w:eastAsia="Arial" w:hAnsi="Arial"/>
                <w:sz w:val="13"/>
                <w:szCs w:val="13"/>
                <w:color w:val="auto"/>
              </w:rPr>
              <w:t>Total future minimum lease payments</w:t>
            </w:r>
          </w:p>
        </w:tc>
        <w:tc>
          <w:tcPr>
            <w:tcW w:w="5060" w:type="dxa"/>
            <w:vAlign w:val="bottom"/>
          </w:tcPr>
          <w:p>
            <w:pPr>
              <w:jc w:val="right"/>
              <w:spacing w:after="0"/>
              <w:rPr>
                <w:sz w:val="20"/>
                <w:szCs w:val="20"/>
                <w:color w:val="auto"/>
              </w:rPr>
            </w:pPr>
            <w:r>
              <w:rPr>
                <w:rFonts w:ascii="Arial" w:cs="Arial" w:eastAsia="Arial" w:hAnsi="Arial"/>
                <w:sz w:val="13"/>
                <w:szCs w:val="13"/>
                <w:color w:val="auto"/>
              </w:rPr>
              <w:t>2,631</w:t>
            </w:r>
          </w:p>
        </w:tc>
      </w:tr>
      <w:tr>
        <w:trPr>
          <w:trHeight w:val="170"/>
        </w:trPr>
        <w:tc>
          <w:tcPr>
            <w:tcW w:w="6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Lease imputed interest</w:t>
            </w:r>
          </w:p>
        </w:tc>
        <w:tc>
          <w:tcPr>
            <w:tcW w:w="5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w:t>
            </w:r>
          </w:p>
        </w:tc>
      </w:tr>
      <w:tr>
        <w:trPr>
          <w:trHeight w:val="163"/>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w:t>
            </w:r>
          </w:p>
        </w:tc>
        <w:tc>
          <w:tcPr>
            <w:tcW w:w="5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2,608</w:t>
            </w:r>
          </w:p>
        </w:tc>
      </w:tr>
    </w:tbl>
    <w:p>
      <w:pPr>
        <w:spacing w:after="0" w:line="117" w:lineRule="exact"/>
        <w:rPr>
          <w:sz w:val="20"/>
          <w:szCs w:val="20"/>
          <w:color w:val="auto"/>
        </w:rPr>
      </w:pPr>
    </w:p>
    <w:p>
      <w:pPr>
        <w:spacing w:after="0"/>
        <w:rPr>
          <w:sz w:val="20"/>
          <w:szCs w:val="20"/>
          <w:color w:val="auto"/>
        </w:rPr>
      </w:pPr>
      <w:r>
        <w:rPr>
          <w:rFonts w:ascii="Arial" w:cs="Arial" w:eastAsia="Arial" w:hAnsi="Arial"/>
          <w:sz w:val="13"/>
          <w:szCs w:val="13"/>
          <w:color w:val="auto"/>
        </w:rPr>
        <w:t>Lease liabilities are presented as current and non-current. Current lease liabilities of $1.1 million have been included in accrued and other liabilities as at 31 December 2021 (2020: $1.4 million).</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Amounts recognised in profit or loss</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color w:val="auto"/>
        </w:rPr>
        <w:t>The following amounts were recognised in profit and loss: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00" w:type="dxa"/>
            <w:vAlign w:val="bottom"/>
            <w:shd w:val="clear" w:color="auto" w:fill="CCEEFF"/>
          </w:tcPr>
          <w:p>
            <w:pPr>
              <w:spacing w:after="0"/>
              <w:rPr>
                <w:sz w:val="12"/>
                <w:szCs w:val="12"/>
                <w:color w:val="auto"/>
              </w:rPr>
            </w:pPr>
          </w:p>
        </w:tc>
        <w:tc>
          <w:tcPr>
            <w:tcW w:w="4660" w:type="dxa"/>
            <w:vAlign w:val="bottom"/>
            <w:shd w:val="clear" w:color="auto" w:fill="CCEEFF"/>
          </w:tcPr>
          <w:p>
            <w:pPr>
              <w:jc w:val="right"/>
              <w:ind w:right="656"/>
              <w:spacing w:after="0"/>
              <w:rPr>
                <w:sz w:val="20"/>
                <w:szCs w:val="20"/>
                <w:color w:val="auto"/>
              </w:rPr>
            </w:pPr>
            <w:r>
              <w:rPr>
                <w:rFonts w:ascii="Arial" w:cs="Arial" w:eastAsia="Arial" w:hAnsi="Arial"/>
                <w:sz w:val="13"/>
                <w:szCs w:val="13"/>
                <w:b w:val="1"/>
                <w:bCs w:val="1"/>
                <w:color w:val="auto"/>
              </w:rPr>
              <w:t>31 December</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0"/>
        </w:trPr>
        <w:tc>
          <w:tcPr>
            <w:tcW w:w="5100" w:type="dxa"/>
            <w:vAlign w:val="bottom"/>
            <w:tcBorders>
              <w:bottom w:val="single" w:sz="8" w:color="auto"/>
            </w:tcBorders>
            <w:shd w:val="clear" w:color="auto" w:fill="CCEEFF"/>
          </w:tcPr>
          <w:p>
            <w:pPr>
              <w:spacing w:after="0"/>
              <w:rPr>
                <w:sz w:val="14"/>
                <w:szCs w:val="14"/>
                <w:color w:val="auto"/>
              </w:rPr>
            </w:pPr>
          </w:p>
        </w:tc>
        <w:tc>
          <w:tcPr>
            <w:tcW w:w="466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3"/>
                <w:szCs w:val="13"/>
                <w:b w:val="1"/>
                <w:bCs w:val="1"/>
                <w:color w:val="auto"/>
              </w:rPr>
              <w:t>2021</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2020</w:t>
            </w:r>
          </w:p>
        </w:tc>
      </w:tr>
      <w:tr>
        <w:trPr>
          <w:trHeight w:val="160"/>
        </w:trPr>
        <w:tc>
          <w:tcPr>
            <w:tcW w:w="5100" w:type="dxa"/>
            <w:vAlign w:val="bottom"/>
          </w:tcPr>
          <w:p>
            <w:pPr>
              <w:spacing w:after="0"/>
              <w:rPr>
                <w:sz w:val="13"/>
                <w:szCs w:val="13"/>
                <w:color w:val="auto"/>
              </w:rPr>
            </w:pPr>
          </w:p>
        </w:tc>
        <w:tc>
          <w:tcPr>
            <w:tcW w:w="4660" w:type="dxa"/>
            <w:vAlign w:val="bottom"/>
          </w:tcPr>
          <w:p>
            <w:pPr>
              <w:jc w:val="right"/>
              <w:ind w:right="656"/>
              <w:spacing w:after="0"/>
              <w:rPr>
                <w:sz w:val="20"/>
                <w:szCs w:val="20"/>
                <w:color w:val="auto"/>
              </w:rPr>
            </w:pPr>
            <w:r>
              <w:rPr>
                <w:rFonts w:ascii="Arial" w:cs="Arial" w:eastAsia="Arial" w:hAnsi="Arial"/>
                <w:sz w:val="13"/>
                <w:szCs w:val="13"/>
                <w:b w:val="1"/>
                <w:bCs w:val="1"/>
                <w:color w:val="auto"/>
              </w:rPr>
              <w:t>$'000</w:t>
            </w:r>
          </w:p>
        </w:tc>
        <w:tc>
          <w:tcPr>
            <w:tcW w:w="150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5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of right-of-use assets</w:t>
            </w:r>
          </w:p>
        </w:tc>
        <w:tc>
          <w:tcPr>
            <w:tcW w:w="4660" w:type="dxa"/>
            <w:vAlign w:val="bottom"/>
            <w:shd w:val="clear" w:color="auto" w:fill="CCEEFF"/>
          </w:tcPr>
          <w:p>
            <w:pPr>
              <w:jc w:val="right"/>
              <w:ind w:right="696"/>
              <w:spacing w:after="0"/>
              <w:rPr>
                <w:sz w:val="20"/>
                <w:szCs w:val="20"/>
                <w:color w:val="auto"/>
              </w:rPr>
            </w:pPr>
            <w:r>
              <w:rPr>
                <w:rFonts w:ascii="Arial" w:cs="Arial" w:eastAsia="Arial" w:hAnsi="Arial"/>
                <w:sz w:val="13"/>
                <w:szCs w:val="13"/>
                <w:color w:val="auto"/>
              </w:rPr>
              <w:t>1,317</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1,547</w:t>
            </w:r>
          </w:p>
        </w:tc>
      </w:tr>
      <w:tr>
        <w:trPr>
          <w:trHeight w:val="169"/>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Interest on lease liabilities</w:t>
            </w:r>
          </w:p>
        </w:tc>
        <w:tc>
          <w:tcPr>
            <w:tcW w:w="4660" w:type="dxa"/>
            <w:vAlign w:val="bottom"/>
            <w:tcBorders>
              <w:bottom w:val="single" w:sz="8" w:color="auto"/>
            </w:tcBorders>
          </w:tcPr>
          <w:p>
            <w:pPr>
              <w:jc w:val="right"/>
              <w:ind w:right="696"/>
              <w:spacing w:after="0"/>
              <w:rPr>
                <w:sz w:val="20"/>
                <w:szCs w:val="20"/>
                <w:color w:val="auto"/>
              </w:rPr>
            </w:pPr>
            <w:r>
              <w:rPr>
                <w:rFonts w:ascii="Arial" w:cs="Arial" w:eastAsia="Arial" w:hAnsi="Arial"/>
                <w:sz w:val="13"/>
                <w:szCs w:val="13"/>
                <w:color w:val="auto"/>
              </w:rPr>
              <w:t>17</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w:t>
            </w:r>
          </w:p>
        </w:tc>
      </w:tr>
    </w:tbl>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The depreciation cost of right-of-use assets is recorded within other operating expenses and interest on lease liabilities is recorded within finance costs.</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color w:val="auto"/>
        </w:rPr>
        <w:t>During the year ended 31 December 2021, the Company did not incur any costs related to variable lease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148</w:t>
      </w:r>
    </w:p>
    <w:p>
      <w:pPr>
        <w:sectPr>
          <w:pgSz w:w="11900" w:h="16838" w:orient="portrait"/>
          <w:cols w:equalWidth="0" w:num="1">
            <w:col w:w="11280"/>
          </w:cols>
          <w:pgMar w:left="300" w:top="698" w:right="31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color w:val="auto"/>
        </w:rPr>
        <w:t xml:space="preserve">Notes to Company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232" w:lineRule="exact"/>
        <w:rPr>
          <w:sz w:val="20"/>
          <w:szCs w:val="20"/>
          <w:color w:val="auto"/>
        </w:rPr>
      </w:pPr>
    </w:p>
    <w:p>
      <w:pPr>
        <w:ind w:left="320" w:hanging="315"/>
        <w:spacing w:after="0"/>
        <w:tabs>
          <w:tab w:leader="none" w:pos="320" w:val="left"/>
        </w:tabs>
        <w:numPr>
          <w:ilvl w:val="0"/>
          <w:numId w:val="142"/>
        </w:numPr>
        <w:rPr>
          <w:rFonts w:ascii="Arial" w:cs="Arial" w:eastAsia="Arial" w:hAnsi="Arial"/>
          <w:sz w:val="13"/>
          <w:szCs w:val="13"/>
          <w:b w:val="1"/>
          <w:bCs w:val="1"/>
          <w:color w:val="auto"/>
        </w:rPr>
      </w:pPr>
      <w:r>
        <w:rPr>
          <w:rFonts w:ascii="Arial" w:cs="Arial" w:eastAsia="Arial" w:hAnsi="Arial"/>
          <w:sz w:val="13"/>
          <w:szCs w:val="13"/>
          <w:b w:val="1"/>
          <w:bCs w:val="1"/>
          <w:color w:val="auto"/>
        </w:rPr>
        <w:t>Litigation</w:t>
      </w:r>
    </w:p>
    <w:p>
      <w:pPr>
        <w:spacing w:after="0" w:line="200" w:lineRule="exact"/>
        <w:rPr>
          <w:sz w:val="20"/>
          <w:szCs w:val="20"/>
          <w:color w:val="auto"/>
        </w:rPr>
      </w:pPr>
    </w:p>
    <w:p>
      <w:pPr>
        <w:spacing w:after="0" w:line="35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Company is not party to any litigation or other legal proceedings that the Company believes could reasonably be expected to have a material adverse effect on the Company’s business, results of operations and financial position. However, from time to time, we may become involved in various lawsuits and legal proceedings which arise in the ordinary course of business. Litigation is subject to inherent uncertainties, and an adverse result in these or other matters may arise from time to time that may harm our business.</w:t>
      </w:r>
    </w:p>
    <w:p>
      <w:pPr>
        <w:spacing w:after="0" w:line="64" w:lineRule="exact"/>
        <w:rPr>
          <w:sz w:val="20"/>
          <w:szCs w:val="20"/>
          <w:color w:val="auto"/>
        </w:rPr>
      </w:pPr>
    </w:p>
    <w:p>
      <w:pPr>
        <w:ind w:left="320" w:hanging="315"/>
        <w:spacing w:after="0"/>
        <w:tabs>
          <w:tab w:leader="none" w:pos="320" w:val="left"/>
        </w:tabs>
        <w:numPr>
          <w:ilvl w:val="0"/>
          <w:numId w:val="143"/>
        </w:numPr>
        <w:rPr>
          <w:rFonts w:ascii="Arial" w:cs="Arial" w:eastAsia="Arial" w:hAnsi="Arial"/>
          <w:sz w:val="13"/>
          <w:szCs w:val="13"/>
          <w:b w:val="1"/>
          <w:bCs w:val="1"/>
          <w:color w:val="auto"/>
        </w:rPr>
      </w:pPr>
      <w:r>
        <w:rPr>
          <w:rFonts w:ascii="Arial" w:cs="Arial" w:eastAsia="Arial" w:hAnsi="Arial"/>
          <w:sz w:val="13"/>
          <w:szCs w:val="13"/>
          <w:b w:val="1"/>
          <w:bCs w:val="1"/>
          <w:color w:val="auto"/>
        </w:rPr>
        <w:t>Financial instruments</w:t>
      </w:r>
    </w:p>
    <w:p>
      <w:pPr>
        <w:spacing w:after="0" w:line="201"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The Company is exposed to various financial risks in the normal course of the business. The Company’s financial instruments typically comprise cash and accounts payable. The main purpose of these financial instruments is to provide finance for the Company’s operations. The main risks arising from the Company’s financial instruments are credit risk, liquidity risk, foreign exchange risk and interest rate risk.</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Credit risk</w:t>
      </w:r>
    </w:p>
    <w:p>
      <w:pPr>
        <w:spacing w:after="0" w:line="199"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Intercompany loans receivable and payable are initially recognised at fair value. These are subsequently measured at amortised cost, less any loss allowance. An expected credit loss assessment was performed in respect of the receivables at 31 December 2020 and 31 December 2021. The identified impairment loss was immaterial.</w:t>
      </w:r>
    </w:p>
    <w:p>
      <w:pPr>
        <w:spacing w:after="0" w:line="146"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Credit risk is the risk of financial loss to the Company if a customer or counterparty to a financial instrument fails to meet its contractual obligations. Credit risk in respect of the Company arises on balances due from group companies. As the Group is financially sound and the subsidiary entities that the Company trades with are in a position to make payments as and when they fall due, the Company has assessed the exposure to credit risk as low.</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Liquidity risk</w:t>
      </w:r>
    </w:p>
    <w:p>
      <w:pPr>
        <w:spacing w:after="0" w:line="199"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 xml:space="preserve">Liquidity risk is the risk that the Company will not be able to meet its financial obligations as they fall due. The Company’s liquidity risk arises from the repayment of short-term debt and other obligations as they fall due. The Company minimises liquidity risk by ensuring that sufficient cash balances and committed bank lines of credit are available to meet its obligations as they fall due. The Company’s bank credit lines and facilities are the same as the Group. Details of the Group’s bank credit lines and facilities are set out in </w:t>
      </w:r>
      <w:r>
        <w:rPr>
          <w:rFonts w:ascii="Arial" w:cs="Arial" w:eastAsia="Arial" w:hAnsi="Arial"/>
          <w:sz w:val="13"/>
          <w:szCs w:val="13"/>
          <w:i w:val="1"/>
          <w:iCs w:val="1"/>
          <w:color w:val="auto"/>
        </w:rPr>
        <w:t>note 23 Bank credit lines and loan facilities.</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following table sets out details of the maturity of the Company’s financial liabilities into the relevant maturity groupings based on the remaining period from the financial year end date to the contractual maturity date:</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At 31 December 2021</w:t>
      </w:r>
    </w:p>
    <w:tbl>
      <w:tblPr>
        <w:tblLayout w:type="fixed"/>
        <w:tblInd w:w="0" w:type="dxa"/>
        <w:tblCellMar>
          <w:top w:w="0" w:type="dxa"/>
          <w:left w:w="0" w:type="dxa"/>
          <w:bottom w:w="0" w:type="dxa"/>
          <w:right w:w="0" w:type="dxa"/>
        </w:tblCellMar>
      </w:tblPr>
      <w:tr>
        <w:trPr>
          <w:trHeight w:val="148"/>
        </w:trPr>
        <w:tc>
          <w:tcPr>
            <w:tcW w:w="2400" w:type="dxa"/>
            <w:vAlign w:val="bottom"/>
            <w:shd w:val="clear" w:color="auto" w:fill="CCEEFF"/>
          </w:tcPr>
          <w:p>
            <w:pPr>
              <w:spacing w:after="0"/>
              <w:rPr>
                <w:sz w:val="12"/>
                <w:szCs w:val="12"/>
                <w:color w:val="auto"/>
              </w:rPr>
            </w:pPr>
          </w:p>
        </w:tc>
        <w:tc>
          <w:tcPr>
            <w:tcW w:w="1660" w:type="dxa"/>
            <w:vAlign w:val="bottom"/>
            <w:shd w:val="clear" w:color="auto" w:fill="CCEEFF"/>
          </w:tcPr>
          <w:p>
            <w:pPr>
              <w:jc w:val="right"/>
              <w:ind w:right="276"/>
              <w:spacing w:after="0" w:line="148" w:lineRule="exact"/>
              <w:rPr>
                <w:sz w:val="20"/>
                <w:szCs w:val="20"/>
                <w:color w:val="auto"/>
              </w:rPr>
            </w:pPr>
            <w:r>
              <w:rPr>
                <w:rFonts w:ascii="Arial" w:cs="Arial" w:eastAsia="Arial" w:hAnsi="Arial"/>
                <w:sz w:val="13"/>
                <w:szCs w:val="13"/>
                <w:b w:val="1"/>
                <w:bCs w:val="1"/>
                <w:color w:val="auto"/>
              </w:rPr>
              <w:t>Carrying</w:t>
            </w:r>
          </w:p>
        </w:tc>
        <w:tc>
          <w:tcPr>
            <w:tcW w:w="1220" w:type="dxa"/>
            <w:vAlign w:val="bottom"/>
            <w:shd w:val="clear" w:color="auto" w:fill="CCEEFF"/>
          </w:tcPr>
          <w:p>
            <w:pPr>
              <w:jc w:val="right"/>
              <w:ind w:right="116"/>
              <w:spacing w:after="0" w:line="148" w:lineRule="exact"/>
              <w:rPr>
                <w:sz w:val="20"/>
                <w:szCs w:val="20"/>
                <w:color w:val="auto"/>
              </w:rPr>
            </w:pPr>
            <w:r>
              <w:rPr>
                <w:rFonts w:ascii="Arial" w:cs="Arial" w:eastAsia="Arial" w:hAnsi="Arial"/>
                <w:sz w:val="13"/>
                <w:szCs w:val="13"/>
                <w:b w:val="1"/>
                <w:bCs w:val="1"/>
                <w:color w:val="auto"/>
              </w:rPr>
              <w:t>Contractual</w:t>
            </w:r>
          </w:p>
        </w:tc>
        <w:tc>
          <w:tcPr>
            <w:tcW w:w="1440" w:type="dxa"/>
            <w:vAlign w:val="bottom"/>
            <w:vMerge w:val="restart"/>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6 mths or less</w:t>
            </w:r>
          </w:p>
        </w:tc>
        <w:tc>
          <w:tcPr>
            <w:tcW w:w="1260" w:type="dxa"/>
            <w:vAlign w:val="bottom"/>
            <w:shd w:val="clear" w:color="auto" w:fill="CCEEFF"/>
          </w:tcPr>
          <w:p>
            <w:pPr>
              <w:jc w:val="right"/>
              <w:ind w:right="396"/>
              <w:spacing w:after="0" w:line="148" w:lineRule="exact"/>
              <w:rPr>
                <w:sz w:val="20"/>
                <w:szCs w:val="20"/>
                <w:color w:val="auto"/>
              </w:rPr>
            </w:pPr>
            <w:r>
              <w:rPr>
                <w:rFonts w:ascii="Arial" w:cs="Arial" w:eastAsia="Arial" w:hAnsi="Arial"/>
                <w:sz w:val="13"/>
                <w:szCs w:val="13"/>
                <w:b w:val="1"/>
                <w:bCs w:val="1"/>
                <w:color w:val="auto"/>
              </w:rPr>
              <w:t>6 to 12</w:t>
            </w:r>
          </w:p>
        </w:tc>
        <w:tc>
          <w:tcPr>
            <w:tcW w:w="1240" w:type="dxa"/>
            <w:vAlign w:val="bottom"/>
            <w:shd w:val="clear" w:color="auto" w:fill="CCEEFF"/>
          </w:tcPr>
          <w:p>
            <w:pPr>
              <w:jc w:val="right"/>
              <w:ind w:right="396"/>
              <w:spacing w:after="0" w:line="148" w:lineRule="exact"/>
              <w:rPr>
                <w:sz w:val="20"/>
                <w:szCs w:val="20"/>
                <w:color w:val="auto"/>
              </w:rPr>
            </w:pPr>
            <w:r>
              <w:rPr>
                <w:rFonts w:ascii="Arial" w:cs="Arial" w:eastAsia="Arial" w:hAnsi="Arial"/>
                <w:sz w:val="13"/>
                <w:szCs w:val="13"/>
                <w:b w:val="1"/>
                <w:bCs w:val="1"/>
                <w:color w:val="auto"/>
              </w:rPr>
              <w:t>1 to 2</w:t>
            </w:r>
          </w:p>
        </w:tc>
        <w:tc>
          <w:tcPr>
            <w:tcW w:w="1100" w:type="dxa"/>
            <w:vAlign w:val="bottom"/>
            <w:shd w:val="clear" w:color="auto" w:fill="CCEEFF"/>
          </w:tcPr>
          <w:p>
            <w:pPr>
              <w:jc w:val="right"/>
              <w:ind w:right="276"/>
              <w:spacing w:after="0" w:line="148" w:lineRule="exact"/>
              <w:rPr>
                <w:sz w:val="20"/>
                <w:szCs w:val="20"/>
                <w:color w:val="auto"/>
              </w:rPr>
            </w:pPr>
            <w:r>
              <w:rPr>
                <w:rFonts w:ascii="Arial" w:cs="Arial" w:eastAsia="Arial" w:hAnsi="Arial"/>
                <w:sz w:val="13"/>
                <w:szCs w:val="13"/>
                <w:b w:val="1"/>
                <w:bCs w:val="1"/>
                <w:color w:val="auto"/>
              </w:rPr>
              <w:t>2 to 5</w:t>
            </w:r>
          </w:p>
        </w:tc>
        <w:tc>
          <w:tcPr>
            <w:tcW w:w="9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b w:val="1"/>
                <w:bCs w:val="1"/>
                <w:color w:val="auto"/>
              </w:rPr>
              <w:t>More than</w:t>
            </w:r>
          </w:p>
        </w:tc>
        <w:tc>
          <w:tcPr>
            <w:tcW w:w="0" w:type="dxa"/>
            <w:vAlign w:val="bottom"/>
          </w:tcPr>
          <w:p>
            <w:pPr>
              <w:spacing w:after="0"/>
              <w:rPr>
                <w:sz w:val="1"/>
                <w:szCs w:val="1"/>
                <w:color w:val="auto"/>
              </w:rPr>
            </w:pPr>
          </w:p>
        </w:tc>
      </w:tr>
      <w:tr>
        <w:trPr>
          <w:trHeight w:val="127"/>
        </w:trPr>
        <w:tc>
          <w:tcPr>
            <w:tcW w:w="2400" w:type="dxa"/>
            <w:vAlign w:val="bottom"/>
            <w:shd w:val="clear" w:color="auto" w:fill="CCEEFF"/>
          </w:tcPr>
          <w:p>
            <w:pPr>
              <w:spacing w:after="0"/>
              <w:rPr>
                <w:sz w:val="11"/>
                <w:szCs w:val="11"/>
                <w:color w:val="auto"/>
              </w:rPr>
            </w:pPr>
          </w:p>
        </w:tc>
        <w:tc>
          <w:tcPr>
            <w:tcW w:w="1660" w:type="dxa"/>
            <w:vAlign w:val="bottom"/>
            <w:shd w:val="clear" w:color="auto" w:fill="CCEEFF"/>
          </w:tcPr>
          <w:p>
            <w:pPr>
              <w:jc w:val="right"/>
              <w:ind w:right="276"/>
              <w:spacing w:after="0" w:line="128" w:lineRule="exact"/>
              <w:rPr>
                <w:sz w:val="20"/>
                <w:szCs w:val="20"/>
                <w:color w:val="auto"/>
              </w:rPr>
            </w:pPr>
            <w:r>
              <w:rPr>
                <w:rFonts w:ascii="Arial" w:cs="Arial" w:eastAsia="Arial" w:hAnsi="Arial"/>
                <w:sz w:val="13"/>
                <w:szCs w:val="13"/>
                <w:b w:val="1"/>
                <w:bCs w:val="1"/>
                <w:color w:val="auto"/>
              </w:rPr>
              <w:t>Amount</w:t>
            </w:r>
          </w:p>
        </w:tc>
        <w:tc>
          <w:tcPr>
            <w:tcW w:w="1220" w:type="dxa"/>
            <w:vAlign w:val="bottom"/>
            <w:shd w:val="clear" w:color="auto" w:fill="CCEEFF"/>
          </w:tcPr>
          <w:p>
            <w:pPr>
              <w:jc w:val="right"/>
              <w:ind w:right="116"/>
              <w:spacing w:after="0" w:line="128" w:lineRule="exact"/>
              <w:rPr>
                <w:sz w:val="20"/>
                <w:szCs w:val="20"/>
                <w:color w:val="auto"/>
              </w:rPr>
            </w:pPr>
            <w:r>
              <w:rPr>
                <w:rFonts w:ascii="Arial" w:cs="Arial" w:eastAsia="Arial" w:hAnsi="Arial"/>
                <w:sz w:val="13"/>
                <w:szCs w:val="13"/>
                <w:b w:val="1"/>
                <w:bCs w:val="1"/>
                <w:color w:val="auto"/>
              </w:rPr>
              <w:t>Cashflows</w:t>
            </w:r>
          </w:p>
        </w:tc>
        <w:tc>
          <w:tcPr>
            <w:tcW w:w="1440" w:type="dxa"/>
            <w:vAlign w:val="bottom"/>
            <w:vMerge w:val="continue"/>
            <w:shd w:val="clear" w:color="auto" w:fill="CCEEFF"/>
          </w:tcPr>
          <w:p>
            <w:pPr>
              <w:spacing w:after="0"/>
              <w:rPr>
                <w:sz w:val="11"/>
                <w:szCs w:val="11"/>
                <w:color w:val="auto"/>
              </w:rPr>
            </w:pPr>
          </w:p>
        </w:tc>
        <w:tc>
          <w:tcPr>
            <w:tcW w:w="1260" w:type="dxa"/>
            <w:vAlign w:val="bottom"/>
            <w:shd w:val="clear" w:color="auto" w:fill="CCEEFF"/>
          </w:tcPr>
          <w:p>
            <w:pPr>
              <w:jc w:val="right"/>
              <w:ind w:right="356"/>
              <w:spacing w:after="0" w:line="128" w:lineRule="exact"/>
              <w:rPr>
                <w:sz w:val="20"/>
                <w:szCs w:val="20"/>
                <w:color w:val="auto"/>
              </w:rPr>
            </w:pPr>
            <w:r>
              <w:rPr>
                <w:rFonts w:ascii="Arial" w:cs="Arial" w:eastAsia="Arial" w:hAnsi="Arial"/>
                <w:sz w:val="13"/>
                <w:szCs w:val="13"/>
                <w:b w:val="1"/>
                <w:bCs w:val="1"/>
                <w:color w:val="auto"/>
              </w:rPr>
              <w:t>mths</w:t>
            </w:r>
          </w:p>
        </w:tc>
        <w:tc>
          <w:tcPr>
            <w:tcW w:w="1240" w:type="dxa"/>
            <w:vAlign w:val="bottom"/>
            <w:shd w:val="clear" w:color="auto" w:fill="CCEEFF"/>
          </w:tcPr>
          <w:p>
            <w:pPr>
              <w:jc w:val="right"/>
              <w:ind w:right="376"/>
              <w:spacing w:after="0" w:line="128" w:lineRule="exact"/>
              <w:rPr>
                <w:sz w:val="20"/>
                <w:szCs w:val="20"/>
                <w:color w:val="auto"/>
              </w:rPr>
            </w:pPr>
            <w:r>
              <w:rPr>
                <w:rFonts w:ascii="Arial" w:cs="Arial" w:eastAsia="Arial" w:hAnsi="Arial"/>
                <w:sz w:val="13"/>
                <w:szCs w:val="13"/>
                <w:b w:val="1"/>
                <w:bCs w:val="1"/>
                <w:color w:val="auto"/>
              </w:rPr>
              <w:t>years</w:t>
            </w:r>
          </w:p>
        </w:tc>
        <w:tc>
          <w:tcPr>
            <w:tcW w:w="1100" w:type="dxa"/>
            <w:vAlign w:val="bottom"/>
            <w:shd w:val="clear" w:color="auto" w:fill="CCEEFF"/>
          </w:tcPr>
          <w:p>
            <w:pPr>
              <w:jc w:val="right"/>
              <w:ind w:right="236"/>
              <w:spacing w:after="0" w:line="128" w:lineRule="exact"/>
              <w:rPr>
                <w:sz w:val="20"/>
                <w:szCs w:val="20"/>
                <w:color w:val="auto"/>
              </w:rPr>
            </w:pPr>
            <w:r>
              <w:rPr>
                <w:rFonts w:ascii="Arial" w:cs="Arial" w:eastAsia="Arial" w:hAnsi="Arial"/>
                <w:sz w:val="13"/>
                <w:szCs w:val="13"/>
                <w:b w:val="1"/>
                <w:bCs w:val="1"/>
                <w:color w:val="auto"/>
              </w:rPr>
              <w:t>years</w:t>
            </w:r>
          </w:p>
        </w:tc>
        <w:tc>
          <w:tcPr>
            <w:tcW w:w="94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5 years</w:t>
            </w:r>
          </w:p>
        </w:tc>
        <w:tc>
          <w:tcPr>
            <w:tcW w:w="0" w:type="dxa"/>
            <w:vAlign w:val="bottom"/>
          </w:tcPr>
          <w:p>
            <w:pPr>
              <w:spacing w:after="0"/>
              <w:rPr>
                <w:sz w:val="1"/>
                <w:szCs w:val="1"/>
                <w:color w:val="auto"/>
              </w:rPr>
            </w:pPr>
          </w:p>
        </w:tc>
      </w:tr>
      <w:tr>
        <w:trPr>
          <w:trHeight w:val="170"/>
        </w:trPr>
        <w:tc>
          <w:tcPr>
            <w:tcW w:w="2400" w:type="dxa"/>
            <w:vAlign w:val="bottom"/>
            <w:tcBorders>
              <w:bottom w:val="single" w:sz="8" w:color="auto"/>
            </w:tcBorders>
            <w:shd w:val="clear" w:color="auto" w:fill="CCEEFF"/>
          </w:tcPr>
          <w:p>
            <w:pPr>
              <w:spacing w:after="0"/>
              <w:rPr>
                <w:sz w:val="14"/>
                <w:szCs w:val="14"/>
                <w:color w:val="auto"/>
              </w:rPr>
            </w:pPr>
          </w:p>
        </w:tc>
        <w:tc>
          <w:tcPr>
            <w:tcW w:w="166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$’000</w:t>
            </w:r>
          </w:p>
        </w:tc>
        <w:tc>
          <w:tcPr>
            <w:tcW w:w="12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$’000</w:t>
            </w:r>
          </w:p>
        </w:tc>
        <w:tc>
          <w:tcPr>
            <w:tcW w:w="144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$’000</w:t>
            </w:r>
          </w:p>
        </w:tc>
        <w:tc>
          <w:tcPr>
            <w:tcW w:w="126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$’000</w:t>
            </w:r>
          </w:p>
        </w:tc>
        <w:tc>
          <w:tcPr>
            <w:tcW w:w="124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b w:val="1"/>
                <w:bCs w:val="1"/>
                <w:color w:val="auto"/>
              </w:rPr>
              <w:t>$’000</w:t>
            </w:r>
          </w:p>
        </w:tc>
        <w:tc>
          <w:tcPr>
            <w:tcW w:w="110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$’000</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$’000</w:t>
            </w:r>
          </w:p>
        </w:tc>
        <w:tc>
          <w:tcPr>
            <w:tcW w:w="0" w:type="dxa"/>
            <w:vAlign w:val="bottom"/>
          </w:tcPr>
          <w:p>
            <w:pPr>
              <w:spacing w:after="0"/>
              <w:rPr>
                <w:sz w:val="1"/>
                <w:szCs w:val="1"/>
                <w:color w:val="auto"/>
              </w:rPr>
            </w:pPr>
          </w:p>
        </w:tc>
      </w:tr>
      <w:tr>
        <w:trPr>
          <w:trHeight w:val="150"/>
        </w:trPr>
        <w:tc>
          <w:tcPr>
            <w:tcW w:w="24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Accounts payable</w:t>
            </w:r>
          </w:p>
        </w:tc>
        <w:tc>
          <w:tcPr>
            <w:tcW w:w="166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144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ind w:right="396"/>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2400" w:type="dxa"/>
            <w:vAlign w:val="bottom"/>
          </w:tcPr>
          <w:p>
            <w:pPr>
              <w:ind w:left="20"/>
              <w:spacing w:after="0"/>
              <w:rPr>
                <w:sz w:val="20"/>
                <w:szCs w:val="20"/>
                <w:color w:val="auto"/>
              </w:rPr>
            </w:pPr>
            <w:r>
              <w:rPr>
                <w:rFonts w:ascii="Arial" w:cs="Arial" w:eastAsia="Arial" w:hAnsi="Arial"/>
                <w:sz w:val="13"/>
                <w:szCs w:val="13"/>
                <w:color w:val="auto"/>
              </w:rPr>
              <w:t>Lease liability</w:t>
            </w:r>
          </w:p>
        </w:tc>
        <w:tc>
          <w:tcPr>
            <w:tcW w:w="1660" w:type="dxa"/>
            <w:vAlign w:val="bottom"/>
          </w:tcPr>
          <w:p>
            <w:pPr>
              <w:jc w:val="right"/>
              <w:ind w:right="316"/>
              <w:spacing w:after="0"/>
              <w:rPr>
                <w:sz w:val="20"/>
                <w:szCs w:val="20"/>
                <w:color w:val="auto"/>
              </w:rPr>
            </w:pPr>
            <w:r>
              <w:rPr>
                <w:rFonts w:ascii="Arial" w:cs="Arial" w:eastAsia="Arial" w:hAnsi="Arial"/>
                <w:sz w:val="13"/>
                <w:szCs w:val="13"/>
                <w:color w:val="auto"/>
              </w:rPr>
              <w:t>2,608</w:t>
            </w:r>
          </w:p>
        </w:tc>
        <w:tc>
          <w:tcPr>
            <w:tcW w:w="1220" w:type="dxa"/>
            <w:vAlign w:val="bottom"/>
          </w:tcPr>
          <w:p>
            <w:pPr>
              <w:jc w:val="right"/>
              <w:ind w:right="156"/>
              <w:spacing w:after="0"/>
              <w:rPr>
                <w:sz w:val="20"/>
                <w:szCs w:val="20"/>
                <w:color w:val="auto"/>
              </w:rPr>
            </w:pPr>
            <w:r>
              <w:rPr>
                <w:rFonts w:ascii="Arial" w:cs="Arial" w:eastAsia="Arial" w:hAnsi="Arial"/>
                <w:sz w:val="13"/>
                <w:szCs w:val="13"/>
                <w:color w:val="auto"/>
              </w:rPr>
              <w:t>2,631</w:t>
            </w:r>
          </w:p>
        </w:tc>
        <w:tc>
          <w:tcPr>
            <w:tcW w:w="1440" w:type="dxa"/>
            <w:vAlign w:val="bottom"/>
          </w:tcPr>
          <w:p>
            <w:pPr>
              <w:jc w:val="right"/>
              <w:ind w:right="376"/>
              <w:spacing w:after="0"/>
              <w:rPr>
                <w:sz w:val="20"/>
                <w:szCs w:val="20"/>
                <w:color w:val="auto"/>
              </w:rPr>
            </w:pPr>
            <w:r>
              <w:rPr>
                <w:rFonts w:ascii="Arial" w:cs="Arial" w:eastAsia="Arial" w:hAnsi="Arial"/>
                <w:sz w:val="13"/>
                <w:szCs w:val="13"/>
                <w:color w:val="auto"/>
              </w:rPr>
              <w:t>639</w:t>
            </w:r>
          </w:p>
        </w:tc>
        <w:tc>
          <w:tcPr>
            <w:tcW w:w="1260" w:type="dxa"/>
            <w:vAlign w:val="bottom"/>
          </w:tcPr>
          <w:p>
            <w:pPr>
              <w:jc w:val="right"/>
              <w:ind w:right="396"/>
              <w:spacing w:after="0"/>
              <w:rPr>
                <w:sz w:val="20"/>
                <w:szCs w:val="20"/>
                <w:color w:val="auto"/>
              </w:rPr>
            </w:pPr>
            <w:r>
              <w:rPr>
                <w:rFonts w:ascii="Arial" w:cs="Arial" w:eastAsia="Arial" w:hAnsi="Arial"/>
                <w:sz w:val="13"/>
                <w:szCs w:val="13"/>
                <w:color w:val="auto"/>
              </w:rPr>
              <w:t>638</w:t>
            </w:r>
          </w:p>
        </w:tc>
        <w:tc>
          <w:tcPr>
            <w:tcW w:w="1240" w:type="dxa"/>
            <w:vAlign w:val="bottom"/>
          </w:tcPr>
          <w:p>
            <w:pPr>
              <w:jc w:val="right"/>
              <w:ind w:right="416"/>
              <w:spacing w:after="0"/>
              <w:rPr>
                <w:sz w:val="20"/>
                <w:szCs w:val="20"/>
                <w:color w:val="auto"/>
              </w:rPr>
            </w:pPr>
            <w:r>
              <w:rPr>
                <w:rFonts w:ascii="Arial" w:cs="Arial" w:eastAsia="Arial" w:hAnsi="Arial"/>
                <w:sz w:val="13"/>
                <w:szCs w:val="13"/>
                <w:color w:val="auto"/>
              </w:rPr>
              <w:t>818</w:t>
            </w:r>
          </w:p>
        </w:tc>
        <w:tc>
          <w:tcPr>
            <w:tcW w:w="1100" w:type="dxa"/>
            <w:vAlign w:val="bottom"/>
          </w:tcPr>
          <w:p>
            <w:pPr>
              <w:jc w:val="right"/>
              <w:ind w:right="276"/>
              <w:spacing w:after="0"/>
              <w:rPr>
                <w:sz w:val="20"/>
                <w:szCs w:val="20"/>
                <w:color w:val="auto"/>
              </w:rPr>
            </w:pPr>
            <w:r>
              <w:rPr>
                <w:rFonts w:ascii="Arial" w:cs="Arial" w:eastAsia="Arial" w:hAnsi="Arial"/>
                <w:sz w:val="13"/>
                <w:szCs w:val="13"/>
                <w:color w:val="auto"/>
              </w:rPr>
              <w:t>536</w:t>
            </w: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2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Accruals and other liabilities</w:t>
            </w:r>
          </w:p>
        </w:tc>
        <w:tc>
          <w:tcPr>
            <w:tcW w:w="166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color w:val="auto"/>
              </w:rPr>
              <w:t>14,886</w:t>
            </w:r>
          </w:p>
        </w:tc>
        <w:tc>
          <w:tcPr>
            <w:tcW w:w="122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rPr>
              <w:t>14,886</w:t>
            </w:r>
          </w:p>
        </w:tc>
        <w:tc>
          <w:tcPr>
            <w:tcW w:w="144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color w:val="auto"/>
              </w:rPr>
              <w:t>7,984</w:t>
            </w:r>
          </w:p>
        </w:tc>
        <w:tc>
          <w:tcPr>
            <w:tcW w:w="126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color w:val="auto"/>
              </w:rPr>
              <w:t>1,780</w:t>
            </w:r>
          </w:p>
        </w:tc>
        <w:tc>
          <w:tcPr>
            <w:tcW w:w="124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color w:val="auto"/>
              </w:rPr>
              <w:t>300</w:t>
            </w:r>
          </w:p>
        </w:tc>
        <w:tc>
          <w:tcPr>
            <w:tcW w:w="110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color w:val="auto"/>
              </w:rPr>
              <w:t>2,427</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2,395</w:t>
            </w:r>
          </w:p>
        </w:tc>
        <w:tc>
          <w:tcPr>
            <w:tcW w:w="0" w:type="dxa"/>
            <w:vAlign w:val="bottom"/>
          </w:tcPr>
          <w:p>
            <w:pPr>
              <w:spacing w:after="0"/>
              <w:rPr>
                <w:sz w:val="1"/>
                <w:szCs w:val="1"/>
                <w:color w:val="auto"/>
              </w:rPr>
            </w:pPr>
          </w:p>
        </w:tc>
      </w:tr>
      <w:tr>
        <w:trPr>
          <w:trHeight w:val="163"/>
        </w:trPr>
        <w:tc>
          <w:tcPr>
            <w:tcW w:w="24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17,494</w:t>
            </w:r>
          </w:p>
        </w:tc>
        <w:tc>
          <w:tcPr>
            <w:tcW w:w="122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17,517</w:t>
            </w:r>
          </w:p>
        </w:tc>
        <w:tc>
          <w:tcPr>
            <w:tcW w:w="144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b w:val="1"/>
                <w:bCs w:val="1"/>
                <w:color w:val="auto"/>
              </w:rPr>
              <w:t>8,623</w:t>
            </w:r>
          </w:p>
        </w:tc>
        <w:tc>
          <w:tcPr>
            <w:tcW w:w="126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2,418</w:t>
            </w:r>
          </w:p>
        </w:tc>
        <w:tc>
          <w:tcPr>
            <w:tcW w:w="124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1,118</w:t>
            </w:r>
          </w:p>
        </w:tc>
        <w:tc>
          <w:tcPr>
            <w:tcW w:w="110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2,963</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2,395</w:t>
            </w:r>
          </w:p>
        </w:tc>
        <w:tc>
          <w:tcPr>
            <w:tcW w:w="0" w:type="dxa"/>
            <w:vAlign w:val="bottom"/>
          </w:tcPr>
          <w:p>
            <w:pPr>
              <w:spacing w:after="0"/>
              <w:rPr>
                <w:sz w:val="1"/>
                <w:szCs w:val="1"/>
                <w:color w:val="auto"/>
              </w:rPr>
            </w:pPr>
          </w:p>
        </w:tc>
      </w:tr>
      <w:tr>
        <w:trPr>
          <w:trHeight w:val="460"/>
        </w:trPr>
        <w:tc>
          <w:tcPr>
            <w:tcW w:w="2400" w:type="dxa"/>
            <w:vAlign w:val="bottom"/>
          </w:tcPr>
          <w:p>
            <w:pPr>
              <w:ind w:left="20"/>
              <w:spacing w:after="0"/>
              <w:rPr>
                <w:sz w:val="20"/>
                <w:szCs w:val="20"/>
                <w:color w:val="auto"/>
              </w:rPr>
            </w:pPr>
            <w:r>
              <w:rPr>
                <w:rFonts w:ascii="Arial" w:cs="Arial" w:eastAsia="Arial" w:hAnsi="Arial"/>
                <w:sz w:val="13"/>
                <w:szCs w:val="13"/>
                <w:b w:val="1"/>
                <w:bCs w:val="1"/>
                <w:color w:val="auto"/>
              </w:rPr>
              <w:t>At 31 December 2020</w:t>
            </w:r>
          </w:p>
        </w:tc>
        <w:tc>
          <w:tcPr>
            <w:tcW w:w="1660" w:type="dxa"/>
            <w:vAlign w:val="bottom"/>
            <w:vMerge w:val="restart"/>
          </w:tcPr>
          <w:p>
            <w:pPr>
              <w:jc w:val="right"/>
              <w:ind w:right="276"/>
              <w:spacing w:after="0"/>
              <w:rPr>
                <w:sz w:val="20"/>
                <w:szCs w:val="20"/>
                <w:color w:val="auto"/>
              </w:rPr>
            </w:pPr>
            <w:r>
              <w:rPr>
                <w:rFonts w:ascii="Arial" w:cs="Arial" w:eastAsia="Arial" w:hAnsi="Arial"/>
                <w:sz w:val="13"/>
                <w:szCs w:val="13"/>
                <w:b w:val="1"/>
                <w:bCs w:val="1"/>
                <w:color w:val="auto"/>
              </w:rPr>
              <w:t>Carrying</w:t>
            </w:r>
          </w:p>
        </w:tc>
        <w:tc>
          <w:tcPr>
            <w:tcW w:w="1220" w:type="dxa"/>
            <w:vAlign w:val="bottom"/>
            <w:vMerge w:val="restart"/>
          </w:tcPr>
          <w:p>
            <w:pPr>
              <w:jc w:val="right"/>
              <w:ind w:right="116"/>
              <w:spacing w:after="0"/>
              <w:rPr>
                <w:sz w:val="20"/>
                <w:szCs w:val="20"/>
                <w:color w:val="auto"/>
              </w:rPr>
            </w:pPr>
            <w:r>
              <w:rPr>
                <w:rFonts w:ascii="Arial" w:cs="Arial" w:eastAsia="Arial" w:hAnsi="Arial"/>
                <w:sz w:val="13"/>
                <w:szCs w:val="13"/>
                <w:b w:val="1"/>
                <w:bCs w:val="1"/>
                <w:color w:val="auto"/>
              </w:rPr>
              <w:t>Contractual</w:t>
            </w:r>
          </w:p>
        </w:tc>
        <w:tc>
          <w:tcPr>
            <w:tcW w:w="1440" w:type="dxa"/>
            <w:vAlign w:val="bottom"/>
          </w:tcPr>
          <w:p>
            <w:pPr>
              <w:spacing w:after="0"/>
              <w:rPr>
                <w:sz w:val="24"/>
                <w:szCs w:val="24"/>
                <w:color w:val="auto"/>
              </w:rPr>
            </w:pPr>
          </w:p>
        </w:tc>
        <w:tc>
          <w:tcPr>
            <w:tcW w:w="1260" w:type="dxa"/>
            <w:vAlign w:val="bottom"/>
            <w:vMerge w:val="restart"/>
          </w:tcPr>
          <w:p>
            <w:pPr>
              <w:jc w:val="right"/>
              <w:ind w:right="396"/>
              <w:spacing w:after="0"/>
              <w:rPr>
                <w:sz w:val="20"/>
                <w:szCs w:val="20"/>
                <w:color w:val="auto"/>
              </w:rPr>
            </w:pPr>
            <w:r>
              <w:rPr>
                <w:rFonts w:ascii="Arial" w:cs="Arial" w:eastAsia="Arial" w:hAnsi="Arial"/>
                <w:sz w:val="13"/>
                <w:szCs w:val="13"/>
                <w:b w:val="1"/>
                <w:bCs w:val="1"/>
                <w:color w:val="auto"/>
              </w:rPr>
              <w:t>6 to 12</w:t>
            </w:r>
          </w:p>
        </w:tc>
        <w:tc>
          <w:tcPr>
            <w:tcW w:w="1240" w:type="dxa"/>
            <w:vAlign w:val="bottom"/>
            <w:vMerge w:val="restart"/>
          </w:tcPr>
          <w:p>
            <w:pPr>
              <w:jc w:val="right"/>
              <w:ind w:right="396"/>
              <w:spacing w:after="0"/>
              <w:rPr>
                <w:sz w:val="20"/>
                <w:szCs w:val="20"/>
                <w:color w:val="auto"/>
              </w:rPr>
            </w:pPr>
            <w:r>
              <w:rPr>
                <w:rFonts w:ascii="Arial" w:cs="Arial" w:eastAsia="Arial" w:hAnsi="Arial"/>
                <w:sz w:val="13"/>
                <w:szCs w:val="13"/>
                <w:b w:val="1"/>
                <w:bCs w:val="1"/>
                <w:color w:val="auto"/>
              </w:rPr>
              <w:t>1 to 2</w:t>
            </w:r>
          </w:p>
        </w:tc>
        <w:tc>
          <w:tcPr>
            <w:tcW w:w="1100" w:type="dxa"/>
            <w:vAlign w:val="bottom"/>
            <w:vMerge w:val="restart"/>
          </w:tcPr>
          <w:p>
            <w:pPr>
              <w:jc w:val="right"/>
              <w:ind w:right="276"/>
              <w:spacing w:after="0"/>
              <w:rPr>
                <w:sz w:val="20"/>
                <w:szCs w:val="20"/>
                <w:color w:val="auto"/>
              </w:rPr>
            </w:pPr>
            <w:r>
              <w:rPr>
                <w:rFonts w:ascii="Arial" w:cs="Arial" w:eastAsia="Arial" w:hAnsi="Arial"/>
                <w:sz w:val="13"/>
                <w:szCs w:val="13"/>
                <w:b w:val="1"/>
                <w:bCs w:val="1"/>
                <w:color w:val="auto"/>
              </w:rPr>
              <w:t>2 to 5</w:t>
            </w:r>
          </w:p>
        </w:tc>
        <w:tc>
          <w:tcPr>
            <w:tcW w:w="9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More than</w:t>
            </w:r>
          </w:p>
        </w:tc>
        <w:tc>
          <w:tcPr>
            <w:tcW w:w="0" w:type="dxa"/>
            <w:vAlign w:val="bottom"/>
          </w:tcPr>
          <w:p>
            <w:pPr>
              <w:spacing w:after="0"/>
              <w:rPr>
                <w:sz w:val="1"/>
                <w:szCs w:val="1"/>
                <w:color w:val="auto"/>
              </w:rPr>
            </w:pPr>
          </w:p>
        </w:tc>
      </w:tr>
      <w:tr>
        <w:trPr>
          <w:trHeight w:val="124"/>
        </w:trPr>
        <w:tc>
          <w:tcPr>
            <w:tcW w:w="24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440" w:type="dxa"/>
            <w:vAlign w:val="bottom"/>
            <w:vMerge w:val="restart"/>
          </w:tcPr>
          <w:p>
            <w:pPr>
              <w:jc w:val="right"/>
              <w:ind w:right="336"/>
              <w:spacing w:after="0"/>
              <w:rPr>
                <w:sz w:val="20"/>
                <w:szCs w:val="20"/>
                <w:color w:val="auto"/>
              </w:rPr>
            </w:pPr>
            <w:r>
              <w:rPr>
                <w:rFonts w:ascii="Arial" w:cs="Arial" w:eastAsia="Arial" w:hAnsi="Arial"/>
                <w:sz w:val="13"/>
                <w:szCs w:val="13"/>
                <w:b w:val="1"/>
                <w:bCs w:val="1"/>
                <w:color w:val="auto"/>
              </w:rPr>
              <w:t>6 mths or less</w:t>
            </w:r>
          </w:p>
        </w:tc>
        <w:tc>
          <w:tcPr>
            <w:tcW w:w="126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400" w:type="dxa"/>
            <w:vAlign w:val="bottom"/>
          </w:tcPr>
          <w:p>
            <w:pPr>
              <w:spacing w:after="0"/>
              <w:rPr>
                <w:sz w:val="11"/>
                <w:szCs w:val="11"/>
                <w:color w:val="auto"/>
              </w:rPr>
            </w:pPr>
          </w:p>
        </w:tc>
        <w:tc>
          <w:tcPr>
            <w:tcW w:w="1660" w:type="dxa"/>
            <w:vAlign w:val="bottom"/>
          </w:tcPr>
          <w:p>
            <w:pPr>
              <w:jc w:val="right"/>
              <w:ind w:right="276"/>
              <w:spacing w:after="0" w:line="128" w:lineRule="exact"/>
              <w:rPr>
                <w:sz w:val="20"/>
                <w:szCs w:val="20"/>
                <w:color w:val="auto"/>
              </w:rPr>
            </w:pPr>
            <w:r>
              <w:rPr>
                <w:rFonts w:ascii="Arial" w:cs="Arial" w:eastAsia="Arial" w:hAnsi="Arial"/>
                <w:sz w:val="13"/>
                <w:szCs w:val="13"/>
                <w:b w:val="1"/>
                <w:bCs w:val="1"/>
                <w:color w:val="auto"/>
              </w:rPr>
              <w:t>Amount</w:t>
            </w:r>
          </w:p>
        </w:tc>
        <w:tc>
          <w:tcPr>
            <w:tcW w:w="1220" w:type="dxa"/>
            <w:vAlign w:val="bottom"/>
          </w:tcPr>
          <w:p>
            <w:pPr>
              <w:jc w:val="right"/>
              <w:ind w:right="116"/>
              <w:spacing w:after="0" w:line="128" w:lineRule="exact"/>
              <w:rPr>
                <w:sz w:val="20"/>
                <w:szCs w:val="20"/>
                <w:color w:val="auto"/>
              </w:rPr>
            </w:pPr>
            <w:r>
              <w:rPr>
                <w:rFonts w:ascii="Arial" w:cs="Arial" w:eastAsia="Arial" w:hAnsi="Arial"/>
                <w:sz w:val="13"/>
                <w:szCs w:val="13"/>
                <w:b w:val="1"/>
                <w:bCs w:val="1"/>
                <w:color w:val="auto"/>
              </w:rPr>
              <w:t>Cashflows</w:t>
            </w:r>
          </w:p>
        </w:tc>
        <w:tc>
          <w:tcPr>
            <w:tcW w:w="1440" w:type="dxa"/>
            <w:vAlign w:val="bottom"/>
            <w:vMerge w:val="continue"/>
          </w:tcPr>
          <w:p>
            <w:pPr>
              <w:spacing w:after="0"/>
              <w:rPr>
                <w:sz w:val="11"/>
                <w:szCs w:val="11"/>
                <w:color w:val="auto"/>
              </w:rPr>
            </w:pPr>
          </w:p>
        </w:tc>
        <w:tc>
          <w:tcPr>
            <w:tcW w:w="1260" w:type="dxa"/>
            <w:vAlign w:val="bottom"/>
          </w:tcPr>
          <w:p>
            <w:pPr>
              <w:jc w:val="right"/>
              <w:ind w:right="356"/>
              <w:spacing w:after="0" w:line="128" w:lineRule="exact"/>
              <w:rPr>
                <w:sz w:val="20"/>
                <w:szCs w:val="20"/>
                <w:color w:val="auto"/>
              </w:rPr>
            </w:pPr>
            <w:r>
              <w:rPr>
                <w:rFonts w:ascii="Arial" w:cs="Arial" w:eastAsia="Arial" w:hAnsi="Arial"/>
                <w:sz w:val="13"/>
                <w:szCs w:val="13"/>
                <w:b w:val="1"/>
                <w:bCs w:val="1"/>
                <w:color w:val="auto"/>
              </w:rPr>
              <w:t>mths</w:t>
            </w:r>
          </w:p>
        </w:tc>
        <w:tc>
          <w:tcPr>
            <w:tcW w:w="1240" w:type="dxa"/>
            <w:vAlign w:val="bottom"/>
          </w:tcPr>
          <w:p>
            <w:pPr>
              <w:jc w:val="right"/>
              <w:ind w:right="376"/>
              <w:spacing w:after="0" w:line="128" w:lineRule="exact"/>
              <w:rPr>
                <w:sz w:val="20"/>
                <w:szCs w:val="20"/>
                <w:color w:val="auto"/>
              </w:rPr>
            </w:pPr>
            <w:r>
              <w:rPr>
                <w:rFonts w:ascii="Arial" w:cs="Arial" w:eastAsia="Arial" w:hAnsi="Arial"/>
                <w:sz w:val="13"/>
                <w:szCs w:val="13"/>
                <w:b w:val="1"/>
                <w:bCs w:val="1"/>
                <w:color w:val="auto"/>
              </w:rPr>
              <w:t>years</w:t>
            </w:r>
          </w:p>
        </w:tc>
        <w:tc>
          <w:tcPr>
            <w:tcW w:w="1100" w:type="dxa"/>
            <w:vAlign w:val="bottom"/>
          </w:tcPr>
          <w:p>
            <w:pPr>
              <w:jc w:val="right"/>
              <w:ind w:right="236"/>
              <w:spacing w:after="0" w:line="128" w:lineRule="exact"/>
              <w:rPr>
                <w:sz w:val="20"/>
                <w:szCs w:val="20"/>
                <w:color w:val="auto"/>
              </w:rPr>
            </w:pPr>
            <w:r>
              <w:rPr>
                <w:rFonts w:ascii="Arial" w:cs="Arial" w:eastAsia="Arial" w:hAnsi="Arial"/>
                <w:sz w:val="13"/>
                <w:szCs w:val="13"/>
                <w:b w:val="1"/>
                <w:bCs w:val="1"/>
                <w:color w:val="auto"/>
              </w:rPr>
              <w:t>years</w:t>
            </w:r>
          </w:p>
        </w:tc>
        <w:tc>
          <w:tcPr>
            <w:tcW w:w="940" w:type="dxa"/>
            <w:vAlign w:val="bottom"/>
          </w:tcPr>
          <w:p>
            <w:pPr>
              <w:jc w:val="right"/>
              <w:spacing w:after="0" w:line="128" w:lineRule="exact"/>
              <w:rPr>
                <w:sz w:val="20"/>
                <w:szCs w:val="20"/>
                <w:color w:val="auto"/>
              </w:rPr>
            </w:pPr>
            <w:r>
              <w:rPr>
                <w:rFonts w:ascii="Arial" w:cs="Arial" w:eastAsia="Arial" w:hAnsi="Arial"/>
                <w:sz w:val="13"/>
                <w:szCs w:val="13"/>
                <w:b w:val="1"/>
                <w:bCs w:val="1"/>
                <w:color w:val="auto"/>
              </w:rPr>
              <w:t>5 years</w:t>
            </w:r>
          </w:p>
        </w:tc>
        <w:tc>
          <w:tcPr>
            <w:tcW w:w="0" w:type="dxa"/>
            <w:vAlign w:val="bottom"/>
          </w:tcPr>
          <w:p>
            <w:pPr>
              <w:spacing w:after="0"/>
              <w:rPr>
                <w:sz w:val="1"/>
                <w:szCs w:val="1"/>
                <w:color w:val="auto"/>
              </w:rPr>
            </w:pPr>
          </w:p>
        </w:tc>
      </w:tr>
      <w:tr>
        <w:trPr>
          <w:trHeight w:val="170"/>
        </w:trPr>
        <w:tc>
          <w:tcPr>
            <w:tcW w:w="24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$’000</w:t>
            </w:r>
          </w:p>
        </w:tc>
        <w:tc>
          <w:tcPr>
            <w:tcW w:w="122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$’000</w:t>
            </w:r>
          </w:p>
        </w:tc>
        <w:tc>
          <w:tcPr>
            <w:tcW w:w="144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$’000</w:t>
            </w:r>
          </w:p>
        </w:tc>
        <w:tc>
          <w:tcPr>
            <w:tcW w:w="126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$’000</w:t>
            </w:r>
          </w:p>
        </w:tc>
        <w:tc>
          <w:tcPr>
            <w:tcW w:w="124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b w:val="1"/>
                <w:bCs w:val="1"/>
                <w:color w:val="auto"/>
              </w:rPr>
              <w:t>$’000</w:t>
            </w:r>
          </w:p>
        </w:tc>
        <w:tc>
          <w:tcPr>
            <w:tcW w:w="110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$’000</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0" w:type="dxa"/>
            <w:vAlign w:val="bottom"/>
          </w:tcPr>
          <w:p>
            <w:pPr>
              <w:spacing w:after="0"/>
              <w:rPr>
                <w:sz w:val="1"/>
                <w:szCs w:val="1"/>
                <w:color w:val="auto"/>
              </w:rPr>
            </w:pPr>
          </w:p>
        </w:tc>
      </w:tr>
      <w:tr>
        <w:trPr>
          <w:trHeight w:val="150"/>
        </w:trPr>
        <w:tc>
          <w:tcPr>
            <w:tcW w:w="24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400" w:type="dxa"/>
            <w:vAlign w:val="bottom"/>
          </w:tcPr>
          <w:p>
            <w:pPr>
              <w:ind w:left="20"/>
              <w:spacing w:after="0"/>
              <w:rPr>
                <w:sz w:val="20"/>
                <w:szCs w:val="20"/>
                <w:color w:val="auto"/>
              </w:rPr>
            </w:pPr>
            <w:r>
              <w:rPr>
                <w:rFonts w:ascii="Arial" w:cs="Arial" w:eastAsia="Arial" w:hAnsi="Arial"/>
                <w:sz w:val="13"/>
                <w:szCs w:val="13"/>
                <w:color w:val="auto"/>
              </w:rPr>
              <w:t>Accounts payable</w:t>
            </w:r>
          </w:p>
        </w:tc>
        <w:tc>
          <w:tcPr>
            <w:tcW w:w="1660" w:type="dxa"/>
            <w:vAlign w:val="bottom"/>
          </w:tcPr>
          <w:p>
            <w:pPr>
              <w:jc w:val="right"/>
              <w:ind w:right="316"/>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1440" w:type="dxa"/>
            <w:vAlign w:val="bottom"/>
          </w:tcPr>
          <w:p>
            <w:pPr>
              <w:jc w:val="right"/>
              <w:ind w:right="376"/>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396"/>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416"/>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Lease liability</w:t>
            </w:r>
          </w:p>
        </w:tc>
        <w:tc>
          <w:tcPr>
            <w:tcW w:w="166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3,518</w:t>
            </w:r>
          </w:p>
        </w:tc>
        <w:tc>
          <w:tcPr>
            <w:tcW w:w="122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3,540</w:t>
            </w:r>
          </w:p>
        </w:tc>
        <w:tc>
          <w:tcPr>
            <w:tcW w:w="144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rPr>
              <w:t>705</w:t>
            </w:r>
          </w:p>
        </w:tc>
        <w:tc>
          <w:tcPr>
            <w:tcW w:w="1260" w:type="dxa"/>
            <w:vAlign w:val="bottom"/>
            <w:shd w:val="clear" w:color="auto" w:fill="CCEEFF"/>
          </w:tcPr>
          <w:p>
            <w:pPr>
              <w:jc w:val="right"/>
              <w:ind w:right="396"/>
              <w:spacing w:after="0"/>
              <w:rPr>
                <w:sz w:val="20"/>
                <w:szCs w:val="20"/>
                <w:color w:val="auto"/>
              </w:rPr>
            </w:pPr>
            <w:r>
              <w:rPr>
                <w:rFonts w:ascii="Arial" w:cs="Arial" w:eastAsia="Arial" w:hAnsi="Arial"/>
                <w:sz w:val="13"/>
                <w:szCs w:val="13"/>
                <w:color w:val="auto"/>
              </w:rPr>
              <w:t>705</w:t>
            </w:r>
          </w:p>
        </w:tc>
        <w:tc>
          <w:tcPr>
            <w:tcW w:w="124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rPr>
              <w:t>1,176</w:t>
            </w:r>
          </w:p>
        </w:tc>
        <w:tc>
          <w:tcPr>
            <w:tcW w:w="110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954</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24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Accruals and other liabilities</w:t>
            </w:r>
          </w:p>
        </w:tc>
        <w:tc>
          <w:tcPr>
            <w:tcW w:w="166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color w:val="auto"/>
              </w:rPr>
              <w:t>15,897</w:t>
            </w:r>
          </w:p>
        </w:tc>
        <w:tc>
          <w:tcPr>
            <w:tcW w:w="122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15,897</w:t>
            </w:r>
          </w:p>
        </w:tc>
        <w:tc>
          <w:tcPr>
            <w:tcW w:w="144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color w:val="auto"/>
              </w:rPr>
              <w:t>8,059</w:t>
            </w:r>
          </w:p>
        </w:tc>
        <w:tc>
          <w:tcPr>
            <w:tcW w:w="126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color w:val="auto"/>
              </w:rPr>
              <w:t>1,815</w:t>
            </w:r>
          </w:p>
        </w:tc>
        <w:tc>
          <w:tcPr>
            <w:tcW w:w="124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color w:val="auto"/>
              </w:rPr>
              <w:t>1,285</w:t>
            </w:r>
          </w:p>
        </w:tc>
        <w:tc>
          <w:tcPr>
            <w:tcW w:w="110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color w:val="auto"/>
              </w:rPr>
              <w:t>2,414</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2,324</w:t>
            </w:r>
          </w:p>
        </w:tc>
        <w:tc>
          <w:tcPr>
            <w:tcW w:w="0" w:type="dxa"/>
            <w:vAlign w:val="bottom"/>
          </w:tcPr>
          <w:p>
            <w:pPr>
              <w:spacing w:after="0"/>
              <w:rPr>
                <w:sz w:val="1"/>
                <w:szCs w:val="1"/>
                <w:color w:val="auto"/>
              </w:rPr>
            </w:pPr>
          </w:p>
        </w:tc>
      </w:tr>
      <w:tr>
        <w:trPr>
          <w:trHeight w:val="163"/>
        </w:trPr>
        <w:tc>
          <w:tcPr>
            <w:tcW w:w="2400" w:type="dxa"/>
            <w:vAlign w:val="bottom"/>
            <w:tcBorders>
              <w:bottom w:val="single" w:sz="8" w:color="auto"/>
            </w:tcBorders>
            <w:shd w:val="clear" w:color="auto" w:fill="CCEEFF"/>
          </w:tcPr>
          <w:p>
            <w:pPr>
              <w:spacing w:after="0"/>
              <w:rPr>
                <w:sz w:val="14"/>
                <w:szCs w:val="14"/>
                <w:color w:val="auto"/>
              </w:rPr>
            </w:pPr>
          </w:p>
        </w:tc>
        <w:tc>
          <w:tcPr>
            <w:tcW w:w="166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19,415</w:t>
            </w:r>
          </w:p>
        </w:tc>
        <w:tc>
          <w:tcPr>
            <w:tcW w:w="122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19,437</w:t>
            </w:r>
          </w:p>
        </w:tc>
        <w:tc>
          <w:tcPr>
            <w:tcW w:w="144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b w:val="1"/>
                <w:bCs w:val="1"/>
                <w:color w:val="auto"/>
              </w:rPr>
              <w:t>8,764</w:t>
            </w:r>
          </w:p>
        </w:tc>
        <w:tc>
          <w:tcPr>
            <w:tcW w:w="126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b w:val="1"/>
                <w:bCs w:val="1"/>
                <w:color w:val="auto"/>
              </w:rPr>
              <w:t>2,520</w:t>
            </w:r>
          </w:p>
        </w:tc>
        <w:tc>
          <w:tcPr>
            <w:tcW w:w="124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2,461</w:t>
            </w:r>
          </w:p>
        </w:tc>
        <w:tc>
          <w:tcPr>
            <w:tcW w:w="110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3,368</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2,324</w:t>
            </w:r>
          </w:p>
        </w:tc>
        <w:tc>
          <w:tcPr>
            <w:tcW w:w="0" w:type="dxa"/>
            <w:vAlign w:val="bottom"/>
          </w:tcPr>
          <w:p>
            <w:pPr>
              <w:spacing w:after="0"/>
              <w:rPr>
                <w:sz w:val="1"/>
                <w:szCs w:val="1"/>
                <w:color w:val="auto"/>
              </w:rPr>
            </w:pPr>
          </w:p>
        </w:tc>
      </w:tr>
    </w:tbl>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149</w:t>
      </w:r>
    </w:p>
    <w:p>
      <w:pPr>
        <w:sectPr>
          <w:pgSz w:w="11900" w:h="16838" w:orient="portrait"/>
          <w:cols w:equalWidth="0" w:num="1">
            <w:col w:w="11280"/>
          </w:cols>
          <w:pgMar w:left="300" w:top="698" w:right="31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color w:val="auto"/>
        </w:rPr>
        <w:t xml:space="preserve">Notes to Company Financial Statements </w:t>
      </w:r>
      <w:r>
        <w:rPr>
          <w:rFonts w:ascii="Arial" w:cs="Arial" w:eastAsia="Arial" w:hAnsi="Arial"/>
          <w:sz w:val="18"/>
          <w:szCs w:val="18"/>
          <w:i w:val="1"/>
          <w:iCs w:val="1"/>
          <w:color w:val="auto"/>
        </w:rPr>
        <w:t>(continued)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275" w:lineRule="exact"/>
        <w:rPr>
          <w:sz w:val="20"/>
          <w:szCs w:val="20"/>
          <w:color w:val="auto"/>
        </w:rPr>
      </w:pPr>
    </w:p>
    <w:p>
      <w:pPr>
        <w:ind w:left="320" w:hanging="315"/>
        <w:spacing w:after="0"/>
        <w:tabs>
          <w:tab w:leader="none" w:pos="320" w:val="left"/>
        </w:tabs>
        <w:numPr>
          <w:ilvl w:val="0"/>
          <w:numId w:val="144"/>
        </w:numPr>
        <w:rPr>
          <w:rFonts w:ascii="Arial" w:cs="Arial" w:eastAsia="Arial" w:hAnsi="Arial"/>
          <w:sz w:val="13"/>
          <w:szCs w:val="13"/>
          <w:b w:val="1"/>
          <w:bCs w:val="1"/>
          <w:color w:val="auto"/>
        </w:rPr>
      </w:pPr>
      <w:r>
        <w:rPr>
          <w:rFonts w:ascii="Arial" w:cs="Arial" w:eastAsia="Arial" w:hAnsi="Arial"/>
          <w:sz w:val="13"/>
          <w:szCs w:val="13"/>
          <w:b w:val="1"/>
          <w:bCs w:val="1"/>
          <w:color w:val="auto"/>
        </w:rPr>
        <w:t>Financial instruments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Foreign currency risk</w:t>
      </w:r>
    </w:p>
    <w:p>
      <w:pPr>
        <w:spacing w:after="0" w:line="1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While the functional currency of the Company is USD, the functional currency of the branches is Euro. As a consequence, the results, when translated into U.S. dollars, could be affected by fluctuations in exchange rates against the U.S. dollar. At 31 December 2021 the Company had $Nil US dollar denominated bank loans (2020: $Nil).</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Interest rate risk</w:t>
      </w:r>
    </w:p>
    <w:p>
      <w:pPr>
        <w:spacing w:after="0" w:line="16" w:lineRule="exact"/>
        <w:rPr>
          <w:sz w:val="20"/>
          <w:szCs w:val="20"/>
          <w:color w:val="auto"/>
        </w:rPr>
      </w:pPr>
    </w:p>
    <w:p>
      <w:pPr>
        <w:jc w:val="both"/>
        <w:spacing w:after="0" w:line="263" w:lineRule="auto"/>
        <w:rPr>
          <w:sz w:val="20"/>
          <w:szCs w:val="20"/>
          <w:color w:val="auto"/>
        </w:rPr>
      </w:pPr>
      <w:r>
        <w:rPr>
          <w:rFonts w:ascii="Arial" w:cs="Arial" w:eastAsia="Arial" w:hAnsi="Arial"/>
          <w:sz w:val="13"/>
          <w:szCs w:val="13"/>
          <w:color w:val="auto"/>
        </w:rPr>
        <w:t>The Company finances its operations through a mixture of shareholders’ funds, borrowings and working capital. The Company borrows in required currencies at both fixed and floating interest rates. In general the Company borrows at floating rates of interest but may borrow at fixed rates depending on rates available having regard to current market rates and future trends. The Company has no external borrowings.</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Fair values</w:t>
      </w:r>
    </w:p>
    <w:p>
      <w:pPr>
        <w:spacing w:after="0" w:line="16"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Financial instruments are measured in the Statement of Financial Position at fair value using a fair value hierarchy of valuation inputs. The hierarchy prioritises the inputs into three levels based on the extent to which inputs used in measuring fair value are observable in the market. Each fair value measurement is reported in one of three levels, which is determined by the lowest level input that is significant to the fair value measurement in its entirety. These levels are:</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Level 1:</w:t>
            </w:r>
          </w:p>
        </w:tc>
        <w:tc>
          <w:tcPr>
            <w:tcW w:w="102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Inputs are based upon unadjusted quoted prices for identical instruments traded in active markets.</w:t>
            </w:r>
          </w:p>
        </w:tc>
      </w:tr>
      <w:tr>
        <w:trPr>
          <w:trHeight w:val="202"/>
        </w:trPr>
        <w:tc>
          <w:tcPr>
            <w:tcW w:w="920" w:type="dxa"/>
            <w:vAlign w:val="bottom"/>
          </w:tcPr>
          <w:p>
            <w:pPr>
              <w:spacing w:after="0"/>
              <w:rPr>
                <w:sz w:val="17"/>
                <w:szCs w:val="17"/>
                <w:color w:val="auto"/>
              </w:rPr>
            </w:pPr>
          </w:p>
        </w:tc>
        <w:tc>
          <w:tcPr>
            <w:tcW w:w="10240" w:type="dxa"/>
            <w:vAlign w:val="bottom"/>
          </w:tcPr>
          <w:p>
            <w:pPr>
              <w:spacing w:after="0"/>
              <w:rPr>
                <w:sz w:val="17"/>
                <w:szCs w:val="17"/>
                <w:color w:val="auto"/>
              </w:rPr>
            </w:pPr>
          </w:p>
        </w:tc>
      </w:tr>
      <w:tr>
        <w:trPr>
          <w:trHeight w:val="138"/>
        </w:trPr>
        <w:tc>
          <w:tcPr>
            <w:tcW w:w="92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rPr>
              <w:t>Level 2:</w:t>
            </w:r>
          </w:p>
        </w:tc>
        <w:tc>
          <w:tcPr>
            <w:tcW w:w="10240" w:type="dxa"/>
            <w:vAlign w:val="bottom"/>
            <w:shd w:val="clear" w:color="auto" w:fill="CCEEFF"/>
          </w:tcPr>
          <w:p>
            <w:pPr>
              <w:ind w:left="460"/>
              <w:spacing w:after="0" w:line="138" w:lineRule="exact"/>
              <w:rPr>
                <w:sz w:val="20"/>
                <w:szCs w:val="20"/>
                <w:color w:val="auto"/>
              </w:rPr>
            </w:pPr>
            <w:r>
              <w:rPr>
                <w:rFonts w:ascii="Arial" w:cs="Arial" w:eastAsia="Arial" w:hAnsi="Arial"/>
                <w:sz w:val="13"/>
                <w:szCs w:val="13"/>
                <w:color w:val="auto"/>
              </w:rPr>
              <w:t>Inputs are based upon quoted prices for similar instruments in active markets, quoted prices for identical or similar instruments in markets that are not active and model-</w:t>
            </w:r>
          </w:p>
        </w:tc>
      </w:tr>
      <w:tr>
        <w:trPr>
          <w:trHeight w:val="117"/>
        </w:trPr>
        <w:tc>
          <w:tcPr>
            <w:tcW w:w="920" w:type="dxa"/>
            <w:vAlign w:val="bottom"/>
            <w:shd w:val="clear" w:color="auto" w:fill="CCEEFF"/>
          </w:tcPr>
          <w:p>
            <w:pPr>
              <w:spacing w:after="0"/>
              <w:rPr>
                <w:sz w:val="10"/>
                <w:szCs w:val="10"/>
                <w:color w:val="auto"/>
              </w:rPr>
            </w:pPr>
          </w:p>
        </w:tc>
        <w:tc>
          <w:tcPr>
            <w:tcW w:w="10240" w:type="dxa"/>
            <w:vAlign w:val="bottom"/>
            <w:shd w:val="clear" w:color="auto" w:fill="CCEEFF"/>
          </w:tcPr>
          <w:p>
            <w:pPr>
              <w:ind w:left="460"/>
              <w:spacing w:after="0" w:line="117" w:lineRule="exact"/>
              <w:rPr>
                <w:sz w:val="20"/>
                <w:szCs w:val="20"/>
                <w:color w:val="auto"/>
              </w:rPr>
            </w:pPr>
            <w:r>
              <w:rPr>
                <w:rFonts w:ascii="Arial" w:cs="Arial" w:eastAsia="Arial" w:hAnsi="Arial"/>
                <w:sz w:val="13"/>
                <w:szCs w:val="13"/>
                <w:color w:val="auto"/>
                <w:w w:val="98"/>
              </w:rPr>
              <w:t>based valuation techniques for which all significant assumptions are observable in the market or can be corroborated by observable market data for substantially the full term</w:t>
            </w:r>
          </w:p>
        </w:tc>
      </w:tr>
      <w:tr>
        <w:trPr>
          <w:trHeight w:val="170"/>
        </w:trPr>
        <w:tc>
          <w:tcPr>
            <w:tcW w:w="920" w:type="dxa"/>
            <w:vAlign w:val="bottom"/>
            <w:shd w:val="clear" w:color="auto" w:fill="CCEEFF"/>
          </w:tcPr>
          <w:p>
            <w:pPr>
              <w:spacing w:after="0"/>
              <w:rPr>
                <w:sz w:val="14"/>
                <w:szCs w:val="14"/>
                <w:color w:val="auto"/>
              </w:rPr>
            </w:pPr>
          </w:p>
        </w:tc>
        <w:tc>
          <w:tcPr>
            <w:tcW w:w="102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of the assets or liabilities.</w:t>
            </w:r>
          </w:p>
        </w:tc>
      </w:tr>
      <w:tr>
        <w:trPr>
          <w:trHeight w:val="202"/>
        </w:trPr>
        <w:tc>
          <w:tcPr>
            <w:tcW w:w="920" w:type="dxa"/>
            <w:vAlign w:val="bottom"/>
          </w:tcPr>
          <w:p>
            <w:pPr>
              <w:spacing w:after="0"/>
              <w:rPr>
                <w:sz w:val="17"/>
                <w:szCs w:val="17"/>
                <w:color w:val="auto"/>
              </w:rPr>
            </w:pPr>
          </w:p>
        </w:tc>
        <w:tc>
          <w:tcPr>
            <w:tcW w:w="10240" w:type="dxa"/>
            <w:vAlign w:val="bottom"/>
          </w:tcPr>
          <w:p>
            <w:pPr>
              <w:spacing w:after="0"/>
              <w:rPr>
                <w:sz w:val="17"/>
                <w:szCs w:val="17"/>
                <w:color w:val="auto"/>
              </w:rPr>
            </w:pPr>
          </w:p>
        </w:tc>
      </w:tr>
      <w:tr>
        <w:trPr>
          <w:trHeight w:val="178"/>
        </w:trPr>
        <w:tc>
          <w:tcPr>
            <w:tcW w:w="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Level 3:</w:t>
            </w:r>
          </w:p>
        </w:tc>
        <w:tc>
          <w:tcPr>
            <w:tcW w:w="102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Inputs are generally unobservable and typically reflect management’s estimates of assumptions that market participants would use in pricing the asset or liability.</w:t>
            </w:r>
          </w:p>
        </w:tc>
      </w:tr>
      <w:tr>
        <w:trPr>
          <w:trHeight w:val="215"/>
        </w:trPr>
        <w:tc>
          <w:tcPr>
            <w:tcW w:w="920" w:type="dxa"/>
            <w:vAlign w:val="bottom"/>
            <w:shd w:val="clear" w:color="auto" w:fill="CCEEFF"/>
          </w:tcPr>
          <w:p>
            <w:pPr>
              <w:spacing w:after="0"/>
              <w:rPr>
                <w:sz w:val="18"/>
                <w:szCs w:val="18"/>
                <w:color w:val="auto"/>
              </w:rPr>
            </w:pPr>
          </w:p>
        </w:tc>
        <w:tc>
          <w:tcPr>
            <w:tcW w:w="10240" w:type="dxa"/>
            <w:vAlign w:val="bottom"/>
            <w:shd w:val="clear" w:color="auto" w:fill="CCEEFF"/>
          </w:tcPr>
          <w:p>
            <w:pPr>
              <w:spacing w:after="0"/>
              <w:rPr>
                <w:sz w:val="18"/>
                <w:szCs w:val="18"/>
                <w:color w:val="auto"/>
              </w:rPr>
            </w:pPr>
          </w:p>
        </w:tc>
      </w:tr>
    </w:tbl>
    <w:p>
      <w:pPr>
        <w:spacing w:after="0" w:line="255"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The carrying values of amounts due from subsidiary undertakings, cash and cash equivalents, other current assets, accounts payable and accruals and other liabilities are carried at amortised cost and assumed to be approximate to their fair values due to the short-term nature of these balances.</w:t>
      </w:r>
    </w:p>
    <w:p>
      <w:pPr>
        <w:spacing w:after="0" w:line="157"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Amounts owed by subsidiary undertakings are non-interest bearing and repayable on demand. All amounts are therefore recorded as due within one year. Fair value is deemed to equal carrying value on this basis.</w:t>
      </w:r>
    </w:p>
    <w:p>
      <w:pPr>
        <w:spacing w:after="0" w:line="146"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Each category of asset and liability has remained within the same level of hierarchy as the prior year as there has been no change in the extent to which the inputs used in measuring fair value are or are not observable within the market.</w:t>
      </w:r>
    </w:p>
    <w:p>
      <w:pPr>
        <w:spacing w:after="0" w:line="242" w:lineRule="exact"/>
        <w:rPr>
          <w:sz w:val="20"/>
          <w:szCs w:val="20"/>
          <w:color w:val="auto"/>
        </w:rPr>
      </w:pPr>
    </w:p>
    <w:p>
      <w:pPr>
        <w:ind w:left="320" w:hanging="315"/>
        <w:spacing w:after="0"/>
        <w:tabs>
          <w:tab w:leader="none" w:pos="320" w:val="left"/>
        </w:tabs>
        <w:numPr>
          <w:ilvl w:val="0"/>
          <w:numId w:val="145"/>
        </w:numPr>
        <w:rPr>
          <w:rFonts w:ascii="Arial" w:cs="Arial" w:eastAsia="Arial" w:hAnsi="Arial"/>
          <w:sz w:val="13"/>
          <w:szCs w:val="13"/>
          <w:b w:val="1"/>
          <w:bCs w:val="1"/>
          <w:color w:val="auto"/>
        </w:rPr>
      </w:pPr>
      <w:r>
        <w:rPr>
          <w:rFonts w:ascii="Arial" w:cs="Arial" w:eastAsia="Arial" w:hAnsi="Arial"/>
          <w:sz w:val="13"/>
          <w:szCs w:val="13"/>
          <w:b w:val="1"/>
          <w:bCs w:val="1"/>
          <w:color w:val="auto"/>
        </w:rPr>
        <w:t>Approval of financial statements</w:t>
      </w:r>
    </w:p>
    <w:p>
      <w:pPr>
        <w:spacing w:after="0" w:line="201" w:lineRule="exact"/>
        <w:rPr>
          <w:sz w:val="20"/>
          <w:szCs w:val="20"/>
          <w:color w:val="auto"/>
        </w:rPr>
      </w:pPr>
    </w:p>
    <w:p>
      <w:pPr>
        <w:ind w:left="40"/>
        <w:spacing w:after="0"/>
        <w:rPr>
          <w:sz w:val="20"/>
          <w:szCs w:val="20"/>
          <w:color w:val="auto"/>
        </w:rPr>
      </w:pPr>
      <w:r>
        <w:rPr>
          <w:rFonts w:ascii="Arial" w:cs="Arial" w:eastAsia="Arial" w:hAnsi="Arial"/>
          <w:sz w:val="13"/>
          <w:szCs w:val="13"/>
          <w:color w:val="auto"/>
        </w:rPr>
        <w:t>The Board of Directors approved the Company Financial Statements on 17 June 2022.</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150</w:t>
      </w:r>
    </w:p>
    <w:p>
      <w:pPr>
        <w:sectPr>
          <w:pgSz w:w="11900" w:h="16838" w:orient="portrait"/>
          <w:cols w:equalWidth="0" w:num="1">
            <w:col w:w="11280"/>
          </w:cols>
          <w:pgMar w:left="300" w:top="698" w:right="31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color w:val="auto"/>
        </w:rPr>
        <w:t>Reconciliation from IFRS to US Accounting Policies</w:t>
      </w:r>
    </w:p>
    <w:p>
      <w:pPr>
        <w:spacing w:after="0" w:line="200" w:lineRule="exact"/>
        <w:rPr>
          <w:sz w:val="20"/>
          <w:szCs w:val="20"/>
          <w:color w:val="auto"/>
        </w:rPr>
      </w:pPr>
    </w:p>
    <w:p>
      <w:pPr>
        <w:spacing w:after="0" w:line="35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Consolidated Financial Statements set out on pages 35 to 137 have been prepared in accordance with International Financial Reporting Standards (“IFRS”), as adopted by the European Union (“EU IFRS”), which differ in certain significant respects from generally accepted accounting principles applicable in the U.S. (“U.S. GAAP”). The material differences as they apply to the Consolidated Financial Statements are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 Financial statement format</w:t>
      </w:r>
    </w:p>
    <w:p>
      <w:pPr>
        <w:spacing w:after="0" w:line="201"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format of the financial statements and certain note disclosures differ under U.S. GAAP from those under EU IFRS. The Group prepared a U.S. Securities and Exchange Commission Form 20-F Report which was made available to all shareholders in March 2022. The financial statements included in such Form 20-F are prepared in accordance with U.S. GAAP.</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 Merger with PRAI</w:t>
      </w:r>
    </w:p>
    <w:p>
      <w:pPr>
        <w:spacing w:after="0" w:line="201"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 xml:space="preserve">The Group accounts for business combinations under EU IFRS in accordance with the IFRS 3 </w:t>
      </w:r>
      <w:r>
        <w:rPr>
          <w:rFonts w:ascii="Arial" w:cs="Arial" w:eastAsia="Arial" w:hAnsi="Arial"/>
          <w:sz w:val="13"/>
          <w:szCs w:val="13"/>
          <w:i w:val="1"/>
          <w:iCs w:val="1"/>
          <w:color w:val="auto"/>
        </w:rPr>
        <w:t>Business Combinations.</w:t>
      </w:r>
      <w:r>
        <w:rPr>
          <w:rFonts w:ascii="Arial" w:cs="Arial" w:eastAsia="Arial" w:hAnsi="Arial"/>
          <w:sz w:val="13"/>
          <w:szCs w:val="13"/>
          <w:color w:val="auto"/>
        </w:rPr>
        <w:t xml:space="preserve"> As permitted by IFRS 1 </w:t>
      </w:r>
      <w:r>
        <w:rPr>
          <w:rFonts w:ascii="Arial" w:cs="Arial" w:eastAsia="Arial" w:hAnsi="Arial"/>
          <w:sz w:val="13"/>
          <w:szCs w:val="13"/>
          <w:i w:val="1"/>
          <w:iCs w:val="1"/>
          <w:color w:val="auto"/>
        </w:rPr>
        <w:t>First Time Adoption of International Financial Reporting</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Standards </w:t>
      </w:r>
      <w:r>
        <w:rPr>
          <w:rFonts w:ascii="Arial" w:cs="Arial" w:eastAsia="Arial" w:hAnsi="Arial"/>
          <w:sz w:val="13"/>
          <w:szCs w:val="13"/>
          <w:color w:val="auto"/>
        </w:rPr>
        <w:t>the Group has only restated business combinations from 1 June 2001 onwards. Business combinations prior to this date have not been restated. In addition, goodwill has no longer been</w:t>
      </w:r>
      <w:r>
        <w:rPr>
          <w:rFonts w:ascii="Arial" w:cs="Arial" w:eastAsia="Arial" w:hAnsi="Arial"/>
          <w:sz w:val="13"/>
          <w:szCs w:val="13"/>
          <w:i w:val="1"/>
          <w:iCs w:val="1"/>
          <w:color w:val="auto"/>
        </w:rPr>
        <w:t xml:space="preserve"> </w:t>
      </w:r>
      <w:r>
        <w:rPr>
          <w:rFonts w:ascii="Arial" w:cs="Arial" w:eastAsia="Arial" w:hAnsi="Arial"/>
          <w:sz w:val="13"/>
          <w:szCs w:val="13"/>
          <w:color w:val="auto"/>
        </w:rPr>
        <w:t>amortised since 1 June 2001, but rather is tested annually for impairment. U.S. GAAP adopts different criteria to EU IFRS for establishing the method of accounting to be adopted for business combinations. On 28 January 2000, the Group completed a transaction with Pacific Research Associates Inc. (“PRAI”), a Group specialising in data management, statistical analysis and medical and regulatory consulting based in San Francisco, USA. The merger with PRAI was accounted for using acquisition accounting principles in accordance with EU IFRS whilst U.S. GAAP required that the merger be accounted for using the pooling-of-interest method of accounting. U.S. GAAP pooling-of-interest accounting has resulted in a number of adjustments. Most significantly:</w:t>
      </w:r>
    </w:p>
    <w:p>
      <w:pPr>
        <w:spacing w:after="0" w:line="175" w:lineRule="exact"/>
        <w:rPr>
          <w:sz w:val="20"/>
          <w:szCs w:val="20"/>
          <w:color w:val="auto"/>
        </w:rPr>
      </w:pPr>
    </w:p>
    <w:p>
      <w:pPr>
        <w:ind w:left="480" w:hanging="245"/>
        <w:spacing w:after="0"/>
        <w:tabs>
          <w:tab w:leader="none" w:pos="480" w:val="left"/>
        </w:tabs>
        <w:numPr>
          <w:ilvl w:val="0"/>
          <w:numId w:val="146"/>
        </w:numPr>
        <w:rPr>
          <w:rFonts w:ascii="Arial" w:cs="Arial" w:eastAsia="Arial" w:hAnsi="Arial"/>
          <w:sz w:val="13"/>
          <w:szCs w:val="13"/>
          <w:color w:val="auto"/>
        </w:rPr>
      </w:pPr>
      <w:r>
        <w:rPr>
          <w:rFonts w:ascii="Arial" w:cs="Arial" w:eastAsia="Arial" w:hAnsi="Arial"/>
          <w:sz w:val="13"/>
          <w:szCs w:val="13"/>
          <w:color w:val="auto"/>
        </w:rPr>
        <w:t>the Group’s historic U.S. GAAP financial statements have been restated to reflect the combined results of ICON and PRAI;</w:t>
      </w:r>
    </w:p>
    <w:p>
      <w:pPr>
        <w:spacing w:after="0" w:line="17" w:lineRule="exact"/>
        <w:rPr>
          <w:rFonts w:ascii="Arial" w:cs="Arial" w:eastAsia="Arial" w:hAnsi="Arial"/>
          <w:sz w:val="13"/>
          <w:szCs w:val="13"/>
          <w:color w:val="auto"/>
        </w:rPr>
      </w:pPr>
    </w:p>
    <w:p>
      <w:pPr>
        <w:ind w:left="480" w:hanging="245"/>
        <w:spacing w:after="0"/>
        <w:tabs>
          <w:tab w:leader="none" w:pos="480" w:val="left"/>
        </w:tabs>
        <w:numPr>
          <w:ilvl w:val="0"/>
          <w:numId w:val="146"/>
        </w:numPr>
        <w:rPr>
          <w:rFonts w:ascii="Arial" w:cs="Arial" w:eastAsia="Arial" w:hAnsi="Arial"/>
          <w:sz w:val="13"/>
          <w:szCs w:val="13"/>
          <w:color w:val="auto"/>
        </w:rPr>
      </w:pPr>
      <w:r>
        <w:rPr>
          <w:rFonts w:ascii="Arial" w:cs="Arial" w:eastAsia="Arial" w:hAnsi="Arial"/>
          <w:sz w:val="13"/>
          <w:szCs w:val="13"/>
          <w:color w:val="auto"/>
        </w:rPr>
        <w:t>the costs of the merger were expensed for U.S. GAAP purposes and included in the cost of acquisition for IFRS;</w:t>
      </w:r>
    </w:p>
    <w:p>
      <w:pPr>
        <w:spacing w:after="0" w:line="9" w:lineRule="exact"/>
        <w:rPr>
          <w:rFonts w:ascii="Arial" w:cs="Arial" w:eastAsia="Arial" w:hAnsi="Arial"/>
          <w:sz w:val="13"/>
          <w:szCs w:val="13"/>
          <w:color w:val="auto"/>
        </w:rPr>
      </w:pPr>
    </w:p>
    <w:p>
      <w:pPr>
        <w:ind w:left="480" w:hanging="245"/>
        <w:spacing w:after="0"/>
        <w:tabs>
          <w:tab w:leader="none" w:pos="480" w:val="left"/>
        </w:tabs>
        <w:numPr>
          <w:ilvl w:val="0"/>
          <w:numId w:val="146"/>
        </w:numPr>
        <w:rPr>
          <w:rFonts w:ascii="Arial" w:cs="Arial" w:eastAsia="Arial" w:hAnsi="Arial"/>
          <w:sz w:val="13"/>
          <w:szCs w:val="13"/>
          <w:color w:val="auto"/>
        </w:rPr>
      </w:pPr>
      <w:r>
        <w:rPr>
          <w:rFonts w:ascii="Arial" w:cs="Arial" w:eastAsia="Arial" w:hAnsi="Arial"/>
          <w:sz w:val="13"/>
          <w:szCs w:val="13"/>
          <w:color w:val="auto"/>
        </w:rPr>
        <w:t>goodwill arising on IFRS has been amortised over its expected useful life up to 31 May 2001. No goodwill arose on the merger under U.S. GAAP;</w:t>
      </w:r>
    </w:p>
    <w:p>
      <w:pPr>
        <w:spacing w:after="0" w:line="9" w:lineRule="exact"/>
        <w:rPr>
          <w:rFonts w:ascii="Arial" w:cs="Arial" w:eastAsia="Arial" w:hAnsi="Arial"/>
          <w:sz w:val="13"/>
          <w:szCs w:val="13"/>
          <w:color w:val="auto"/>
        </w:rPr>
      </w:pPr>
    </w:p>
    <w:p>
      <w:pPr>
        <w:ind w:left="480" w:hanging="245"/>
        <w:spacing w:after="0"/>
        <w:tabs>
          <w:tab w:leader="none" w:pos="480" w:val="left"/>
        </w:tabs>
        <w:numPr>
          <w:ilvl w:val="0"/>
          <w:numId w:val="146"/>
        </w:numPr>
        <w:rPr>
          <w:rFonts w:ascii="Arial" w:cs="Arial" w:eastAsia="Arial" w:hAnsi="Arial"/>
          <w:sz w:val="13"/>
          <w:szCs w:val="13"/>
          <w:color w:val="auto"/>
        </w:rPr>
      </w:pPr>
      <w:r>
        <w:rPr>
          <w:rFonts w:ascii="Arial" w:cs="Arial" w:eastAsia="Arial" w:hAnsi="Arial"/>
          <w:sz w:val="13"/>
          <w:szCs w:val="13"/>
          <w:color w:val="auto"/>
        </w:rPr>
        <w:t>the tax charge arising on the conversion of PRAI from an S-Corporation to a C-Corporation is treated as a pre-acquisition charge under IFRS.</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 Share-based payment expense</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 xml:space="preserve">IFRS requires that the fair value of share-based payments be expensed to the Consolidated Statement of Profit and Loss over the period the related services are received, with a corresponding increase in equity. In the year ending 31 December 2021, the Group has accounted for share-based payments under U.S. GAAP in accordance with </w:t>
      </w:r>
      <w:r>
        <w:rPr>
          <w:rFonts w:ascii="Arial" w:cs="Arial" w:eastAsia="Arial" w:hAnsi="Arial"/>
          <w:sz w:val="13"/>
          <w:szCs w:val="13"/>
          <w:i w:val="1"/>
          <w:iCs w:val="1"/>
          <w:color w:val="auto"/>
        </w:rPr>
        <w:t>FASB ASC 718, Compensation – Stock</w:t>
      </w:r>
      <w:r>
        <w:rPr>
          <w:rFonts w:ascii="Arial" w:cs="Arial" w:eastAsia="Arial" w:hAnsi="Arial"/>
          <w:sz w:val="13"/>
          <w:szCs w:val="13"/>
          <w:color w:val="auto"/>
        </w:rPr>
        <w:t xml:space="preserve"> </w:t>
      </w:r>
      <w:r>
        <w:rPr>
          <w:rFonts w:ascii="Arial" w:cs="Arial" w:eastAsia="Arial" w:hAnsi="Arial"/>
          <w:sz w:val="13"/>
          <w:szCs w:val="13"/>
          <w:i w:val="1"/>
          <w:iCs w:val="1"/>
          <w:color w:val="auto"/>
        </w:rPr>
        <w:t>Compensation</w:t>
      </w:r>
      <w:r>
        <w:rPr>
          <w:rFonts w:ascii="Arial" w:cs="Arial" w:eastAsia="Arial" w:hAnsi="Arial"/>
          <w:sz w:val="13"/>
          <w:szCs w:val="13"/>
          <w:color w:val="auto"/>
        </w:rPr>
        <w:t>, which also requires that the fair value of share-based payments be expensed to the Consolidated Statement of Profit and Loss over the period the related services are received, with a</w:t>
      </w:r>
      <w:r>
        <w:rPr>
          <w:rFonts w:ascii="Arial" w:cs="Arial" w:eastAsia="Arial" w:hAnsi="Arial"/>
          <w:sz w:val="13"/>
          <w:szCs w:val="13"/>
          <w:i w:val="1"/>
          <w:iCs w:val="1"/>
          <w:color w:val="auto"/>
        </w:rPr>
        <w:t xml:space="preserve"> </w:t>
      </w:r>
      <w:r>
        <w:rPr>
          <w:rFonts w:ascii="Arial" w:cs="Arial" w:eastAsia="Arial" w:hAnsi="Arial"/>
          <w:sz w:val="13"/>
          <w:szCs w:val="13"/>
          <w:color w:val="auto"/>
        </w:rPr>
        <w:t>corresponding increase in equity.</w:t>
      </w:r>
    </w:p>
    <w:p>
      <w:pPr>
        <w:spacing w:after="0" w:line="170"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There is a difference in recorded expense because firstly, different periods are in scope for both treatments due to the different effective dates under both standards and secondly, due to different models used to calculate the fair value of options. Under U.S. GAAP the Black-Scholes model was used for the calculation of the expense, whereas under IFRS the binomial model has been used.</w:t>
      </w:r>
    </w:p>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U.S. GAAP requires that the accelerated graded vesting attribution approach is applied in respect of awards with straight line graded vesting. IFRS requires that each instalment of an award where there is graded vesting is treated as a separate grant with a different fair value. Each instalment is therefore separately measured and charged to the Consolidated Statement of Profit and Loss over the related vesting period. This results in accelerated expense recognition under IFRS.</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 Stock-based Compensation Arrangements in a Business Combination</w:t>
      </w:r>
    </w:p>
    <w:p>
      <w:pPr>
        <w:spacing w:after="0" w:line="20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An exchange of share-based payment awards in a business combination is treated as a modification under IFRS 2. The replacement awards and the original acquiree awards should both be measured at fair value at the acquisition date and calculated using the fair-value-based measurement principles in IFRS 2.</w:t>
      </w:r>
    </w:p>
    <w:p>
      <w:pPr>
        <w:spacing w:after="0" w:line="157"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U.S. GAAP requires the attribution of compensation cost for the acquirer’s replacement awards in the post-combination financial statements to be based on the acquirer’s attribution policy (i.e., straight-line approach or graded-vesting approach). Under IFRS, however, the graded vesting approach is required for all awards with graded vesting features based on the requirements in IFRS 2.</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151</w:t>
      </w:r>
    </w:p>
    <w:p>
      <w:pPr>
        <w:sectPr>
          <w:pgSz w:w="11900" w:h="16838" w:orient="portrait"/>
          <w:cols w:equalWidth="0" w:num="1">
            <w:col w:w="11280"/>
          </w:cols>
          <w:pgMar w:left="300" w:top="1080" w:right="31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color w:val="auto"/>
        </w:rPr>
        <w:t xml:space="preserve">Reconciliation from IFRS to US Accounting Policies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 IAS 19R Defined Benefit Pensions</w:t>
      </w:r>
    </w:p>
    <w:p>
      <w:pPr>
        <w:spacing w:after="0" w:line="201"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The Group has recognised the net interest expense of the defined benefit pension scheme within payroll costs (operating expenses) in the Consolidated Statement of Profit and Loss under IAS19R which is consistent with the U.S. GAAP treatment of this cost. Additional net credits related to the defined benefit pension schemes refer to the adjustment required to reverse the application of the corridor approach permitted under U.S. GAAP and the different net interest expense recorded under IFRS and U.S. GAAP.</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 Current tax and deferred tax assets</w:t>
      </w:r>
    </w:p>
    <w:p>
      <w:pPr>
        <w:spacing w:after="0" w:line="20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U.S. GAAP, ASC 740, Income Taxes requires recognition of a deferred tax asset in respect of the cumulative amount of compensation cost recognised in the financial statements in respect of unexercised options that will give rise to a future tax deduction. The tax deduction is based on the intrinsic value of the options, with the full tax deduction recorded in profit or loss in the year of exercise.</w:t>
      </w:r>
    </w:p>
    <w:p>
      <w:pPr>
        <w:spacing w:after="0" w:line="170"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IFRS also requires that a deferred tax asset is recognised in respect of options not yet exercised where a tax deduction will arise. IAS 12 Income taxes requires that the tax deduction is estimated. The fair value estimate is based on the share price at the exercise date.</w:t>
      </w:r>
    </w:p>
    <w:p>
      <w:pPr>
        <w:spacing w:after="0" w:line="157"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U.S. GAAP, ASC 740, Income Taxes requires recognition of a current tax benefit of certain tax deductions arising from Share-based payment windfall gains in the Consolidated Statement of Operations. IFRS requires that the current tax benefit of these Share-based payment windfall gains is recognised through Equity, in the Share-based payment reserve.</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 IFRS 16 Leases</w:t>
      </w:r>
    </w:p>
    <w:p>
      <w:pPr>
        <w:spacing w:after="0" w:line="201" w:lineRule="exact"/>
        <w:rPr>
          <w:sz w:val="20"/>
          <w:szCs w:val="20"/>
          <w:color w:val="auto"/>
        </w:rPr>
      </w:pPr>
    </w:p>
    <w:p>
      <w:pPr>
        <w:jc w:val="both"/>
        <w:spacing w:after="0" w:line="309" w:lineRule="auto"/>
        <w:rPr>
          <w:sz w:val="20"/>
          <w:szCs w:val="20"/>
          <w:color w:val="auto"/>
        </w:rPr>
      </w:pPr>
      <w:r>
        <w:rPr>
          <w:rFonts w:ascii="Arial" w:cs="Arial" w:eastAsia="Arial" w:hAnsi="Arial"/>
          <w:sz w:val="12"/>
          <w:szCs w:val="12"/>
          <w:color w:val="auto"/>
        </w:rPr>
        <w:t>Under US GAAP, ASC 842 '</w:t>
      </w:r>
      <w:r>
        <w:rPr>
          <w:rFonts w:ascii="Arial" w:cs="Arial" w:eastAsia="Arial" w:hAnsi="Arial"/>
          <w:sz w:val="12"/>
          <w:szCs w:val="12"/>
          <w:i w:val="1"/>
          <w:iCs w:val="1"/>
          <w:color w:val="auto"/>
        </w:rPr>
        <w:t>Leases</w:t>
      </w:r>
      <w:r>
        <w:rPr>
          <w:rFonts w:ascii="Arial" w:cs="Arial" w:eastAsia="Arial" w:hAnsi="Arial"/>
          <w:sz w:val="12"/>
          <w:szCs w:val="12"/>
          <w:color w:val="auto"/>
        </w:rPr>
        <w:t>', lessees account for leases as operating or finance. Costs in respect of operating leases are charged to the Consolidated Statement of Operations on a straight-line basis over the lease term. Lease costs for all leases under IFRS 16 are comprised of the depreciation of right-of-use assets and the interest charge in respect of the associated lease liability.</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(h) Contract Assets and Contract Liabilities in a Business Combination</w:t>
      </w:r>
    </w:p>
    <w:p>
      <w:pPr>
        <w:spacing w:after="0" w:line="201"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In October 2021, the FASB issued ASU 2021-08 'Business Combinations (Topic 805) - Accounting for Contract Assets and Contract Liabilities from Contracts with Customers'. The amendments in this ASU require that an entity (acquirer) recognise and measure contract assets and contract liabilities acquired in a business combination in accordance with Topic 606. At the acquisition date, an acquirer should account for the related revenue contracts in accordance with Topic 606 as if it had originated the contracts. The Company has adopted the amendments in this ASU for year ended 31 December 2021 and applied the amendments to interim periods from the beginning of the fiscal year. The Company has applied the amendments of this ASU to the Merger with PRA, completed on 1 July 2021.</w:t>
      </w:r>
    </w:p>
    <w:p>
      <w:pPr>
        <w:spacing w:after="0" w:line="17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IFRS 3 'Business Combinations' does not have a similar fair value measurement exception for contract assets and contract liabilities. As a result, contract liabilities will be have a lower valuation under IFRS compared to U.S. GAAP with the valuation adjustment being charged to revenue over the life of the contract with the customer.</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 Noncontrolling interest</w:t>
      </w:r>
    </w:p>
    <w:p>
      <w:pPr>
        <w:spacing w:after="0" w:line="201"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ICON acquired a majority ownership interest in MeDiNova during 2019. Included in the purchase agreement were put and call option arrangements with the noncontrolling interest holders that required (put option) or enabled (call option) ICON to purchase the remaining minority ownership at a future date. Under US GAAP, the option is accounted for as temporary equity, which is presented separately as redeemable noncontrolling interest on the Consolidated Balance Sheet. This classification reflects the assessment that the instruments are contingently redeemable in accordance with ASC 480-10-S99 'Distinguishing Liabilities from Equity'. Redeemable noncontrolling interests are accreted to their redemption value over the period from the date of issuance to the first date on which the option is exercisable. The change in the option's redemption value is recorded against retained earnings.</w:t>
      </w:r>
    </w:p>
    <w:p>
      <w:pPr>
        <w:spacing w:after="0" w:line="121"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Under IFRS, the put and call options are required to be bifurcated from the noncontrolling interest. ICON does not have present access to the returns of the noncontrolling interest and this is retained by the noncontrolling interest holders. The noncontrolling interest is recorded at its fair value at the acquisition date in equity. The financial liability for the noncontrolling interest put option is recognised at the present value of the amount payable upon exercise of the option. On initial recognition, the corresponding debit relating to the financial liability is made to equity attributable to the Company within the category 'put option in noncontrolling interest shares'. The financial asset relating to the call option meets the definition of a derivative under IFRS 9 and has been measured at fair value through the profit and loss in accordance with IFRS 9.</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152</w:t>
      </w:r>
    </w:p>
    <w:p>
      <w:pPr>
        <w:sectPr>
          <w:pgSz w:w="11900" w:h="16838" w:orient="portrait"/>
          <w:cols w:equalWidth="0" w:num="1">
            <w:col w:w="11280"/>
          </w:cols>
          <w:pgMar w:left="300" w:top="1271" w:right="31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color w:val="auto"/>
        </w:rPr>
        <w:t xml:space="preserve">Reconciliation from IFRS to US Accounting Policies </w:t>
      </w:r>
      <w:r>
        <w:rPr>
          <w:rFonts w:ascii="Arial" w:cs="Arial" w:eastAsia="Arial" w:hAnsi="Arial"/>
          <w:sz w:val="18"/>
          <w:szCs w:val="18"/>
          <w:i w:val="1"/>
          <w:iCs w:val="1"/>
          <w:color w:val="auto"/>
        </w:rPr>
        <w:t>(continued)</w:t>
      </w:r>
    </w:p>
    <w:p>
      <w:pPr>
        <w:spacing w:after="0" w:line="35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All subsequent changes in the carrying amount of the financial liability that result from the remeasurement of the present value of the amount payable upon exercise of the noncontrolling interest put option are recognised in the profit or loss attributable to the Company under IFRS.</w:t>
      </w:r>
    </w:p>
    <w:p>
      <w:pPr>
        <w:spacing w:after="0" w:line="11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(j) Put and call options in unconsolidated entities</w:t>
      </w:r>
    </w:p>
    <w:p>
      <w:pPr>
        <w:spacing w:after="0" w:line="201"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On 24 July 2020, the Group entered into an agreement to jointly establish a new company, Oncacare, with a third-party. The Group will own 49% of the voting share capital with the majority third party owning the remaining 51% voting share capital. The majority investor has the right to sell the 51% majority voting share capital exclusively to the Group in a two and half year period, commencing 1 January 2023 and the Group also has the right to acquire the 51% majority voting share capital from 1 August 2025. Under IFRS, these option arrangements are derivative financial instruments which have been bifurcated and separately recorded from the equity host contract as Oncacare is not part of the Group. These option arrangements will be measured at their fair value at each reporting period with changes in the fair value of the financial instruments recorded through the Consolidated Statement of Profit and Loss. The fair value of these derivative financial instruments is nil at 31 December 2021 and 31 December 2020. As such, there exists no recognition or measurement difference between the consolidated financial statements prepared under U.S. GAAP from those prepared under EU IFRS.</w:t>
      </w:r>
    </w:p>
    <w:p>
      <w:pPr>
        <w:spacing w:after="0" w:line="171"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following is a summary of the material adjustments to profit for the financial year and shareholders’ equity, which would be required, had the Consolidated Financial Statements been prepared in accordance with U.S. GAAP:</w:t>
      </w:r>
    </w:p>
    <w:p>
      <w:pPr>
        <w:spacing w:after="0" w:line="159" w:lineRule="exact"/>
        <w:rPr>
          <w:sz w:val="20"/>
          <w:szCs w:val="20"/>
          <w:color w:val="auto"/>
        </w:rPr>
      </w:pPr>
    </w:p>
    <w:p>
      <w:pPr>
        <w:ind w:left="140"/>
        <w:spacing w:after="0"/>
        <w:rPr>
          <w:sz w:val="20"/>
          <w:szCs w:val="20"/>
          <w:color w:val="auto"/>
        </w:rPr>
      </w:pPr>
      <w:r>
        <w:rPr>
          <w:rFonts w:ascii="Arial" w:cs="Arial" w:eastAsia="Arial" w:hAnsi="Arial"/>
          <w:sz w:val="13"/>
          <w:szCs w:val="13"/>
          <w:i w:val="1"/>
          <w:iCs w:val="1"/>
          <w:color w:val="auto"/>
        </w:rPr>
        <w:t>(i) Effect on profit for the financial year</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400" w:type="dxa"/>
            <w:vAlign w:val="bottom"/>
            <w:shd w:val="clear" w:color="auto" w:fill="CCEEFF"/>
          </w:tcPr>
          <w:p>
            <w:pPr>
              <w:spacing w:after="0"/>
              <w:rPr>
                <w:sz w:val="13"/>
                <w:szCs w:val="13"/>
                <w:color w:val="auto"/>
              </w:rPr>
            </w:pPr>
          </w:p>
        </w:tc>
        <w:tc>
          <w:tcPr>
            <w:tcW w:w="388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 xml:space="preserve">Year ended 31 </w:t>
            </w:r>
            <w:r>
              <w:rPr>
                <w:rFonts w:ascii="Arial" w:cs="Arial" w:eastAsia="Arial" w:hAnsi="Arial"/>
                <w:sz w:val="13"/>
                <w:szCs w:val="13"/>
                <w:color w:val="auto"/>
              </w:rPr>
              <w:t>Year ended 31 December</w:t>
            </w:r>
          </w:p>
        </w:tc>
      </w:tr>
      <w:tr>
        <w:trPr>
          <w:trHeight w:val="127"/>
        </w:trPr>
        <w:tc>
          <w:tcPr>
            <w:tcW w:w="7400" w:type="dxa"/>
            <w:vAlign w:val="bottom"/>
            <w:shd w:val="clear" w:color="auto" w:fill="CCEEFF"/>
          </w:tcPr>
          <w:p>
            <w:pPr>
              <w:spacing w:after="0"/>
              <w:rPr>
                <w:sz w:val="11"/>
                <w:szCs w:val="11"/>
                <w:color w:val="auto"/>
              </w:rPr>
            </w:pPr>
          </w:p>
        </w:tc>
        <w:tc>
          <w:tcPr>
            <w:tcW w:w="2860" w:type="dxa"/>
            <w:vAlign w:val="bottom"/>
            <w:shd w:val="clear" w:color="auto" w:fill="CCEEFF"/>
          </w:tcPr>
          <w:p>
            <w:pPr>
              <w:jc w:val="right"/>
              <w:ind w:right="416"/>
              <w:spacing w:after="0" w:line="128" w:lineRule="exact"/>
              <w:rPr>
                <w:sz w:val="20"/>
                <w:szCs w:val="20"/>
                <w:color w:val="auto"/>
              </w:rPr>
            </w:pPr>
            <w:r>
              <w:rPr>
                <w:rFonts w:ascii="Arial" w:cs="Arial" w:eastAsia="Arial" w:hAnsi="Arial"/>
                <w:sz w:val="13"/>
                <w:szCs w:val="13"/>
                <w:b w:val="1"/>
                <w:bCs w:val="1"/>
                <w:color w:val="auto"/>
              </w:rPr>
              <w:t>December</w:t>
            </w:r>
          </w:p>
        </w:tc>
        <w:tc>
          <w:tcPr>
            <w:tcW w:w="102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2020</w:t>
            </w:r>
          </w:p>
        </w:tc>
      </w:tr>
      <w:tr>
        <w:trPr>
          <w:trHeight w:val="170"/>
        </w:trPr>
        <w:tc>
          <w:tcPr>
            <w:tcW w:w="7400" w:type="dxa"/>
            <w:vAlign w:val="bottom"/>
            <w:tcBorders>
              <w:bottom w:val="single" w:sz="8" w:color="auto"/>
            </w:tcBorders>
            <w:shd w:val="clear" w:color="auto" w:fill="CCEEFF"/>
          </w:tcPr>
          <w:p>
            <w:pPr>
              <w:spacing w:after="0"/>
              <w:rPr>
                <w:sz w:val="14"/>
                <w:szCs w:val="14"/>
                <w:color w:val="auto"/>
              </w:rPr>
            </w:pPr>
          </w:p>
        </w:tc>
        <w:tc>
          <w:tcPr>
            <w:tcW w:w="286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2021</w:t>
            </w:r>
          </w:p>
        </w:tc>
        <w:tc>
          <w:tcPr>
            <w:tcW w:w="1020" w:type="dxa"/>
            <w:vAlign w:val="bottom"/>
            <w:tcBorders>
              <w:bottom w:val="single" w:sz="8" w:color="auto"/>
            </w:tcBorders>
            <w:shd w:val="clear" w:color="auto" w:fill="CCEEFF"/>
          </w:tcPr>
          <w:p>
            <w:pPr>
              <w:spacing w:after="0"/>
              <w:rPr>
                <w:sz w:val="14"/>
                <w:szCs w:val="14"/>
                <w:color w:val="auto"/>
              </w:rPr>
            </w:pPr>
          </w:p>
        </w:tc>
      </w:tr>
      <w:tr>
        <w:trPr>
          <w:trHeight w:val="160"/>
        </w:trPr>
        <w:tc>
          <w:tcPr>
            <w:tcW w:w="7400" w:type="dxa"/>
            <w:vAlign w:val="bottom"/>
          </w:tcPr>
          <w:p>
            <w:pPr>
              <w:spacing w:after="0"/>
              <w:rPr>
                <w:sz w:val="13"/>
                <w:szCs w:val="13"/>
                <w:color w:val="auto"/>
              </w:rPr>
            </w:pPr>
          </w:p>
        </w:tc>
        <w:tc>
          <w:tcPr>
            <w:tcW w:w="2860" w:type="dxa"/>
            <w:vAlign w:val="bottom"/>
          </w:tcPr>
          <w:p>
            <w:pPr>
              <w:jc w:val="right"/>
              <w:ind w:right="416"/>
              <w:spacing w:after="0"/>
              <w:rPr>
                <w:sz w:val="20"/>
                <w:szCs w:val="20"/>
                <w:color w:val="auto"/>
              </w:rPr>
            </w:pPr>
            <w:r>
              <w:rPr>
                <w:rFonts w:ascii="Arial" w:cs="Arial" w:eastAsia="Arial" w:hAnsi="Arial"/>
                <w:sz w:val="13"/>
                <w:szCs w:val="13"/>
                <w:b w:val="1"/>
                <w:bCs w:val="1"/>
                <w:color w:val="auto"/>
              </w:rPr>
              <w:t>$’000</w:t>
            </w:r>
          </w:p>
        </w:tc>
        <w:tc>
          <w:tcPr>
            <w:tcW w:w="102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212"/>
        </w:trPr>
        <w:tc>
          <w:tcPr>
            <w:tcW w:w="740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70"/>
        </w:trPr>
        <w:tc>
          <w:tcPr>
            <w:tcW w:w="7400" w:type="dxa"/>
            <w:vAlign w:val="bottom"/>
          </w:tcPr>
          <w:p>
            <w:pPr>
              <w:ind w:left="20"/>
              <w:spacing w:after="0"/>
              <w:rPr>
                <w:sz w:val="20"/>
                <w:szCs w:val="20"/>
                <w:color w:val="auto"/>
              </w:rPr>
            </w:pPr>
            <w:r>
              <w:rPr>
                <w:rFonts w:ascii="Arial" w:cs="Arial" w:eastAsia="Arial" w:hAnsi="Arial"/>
                <w:sz w:val="13"/>
                <w:szCs w:val="13"/>
                <w:color w:val="auto"/>
              </w:rPr>
              <w:t>Profit for the financial year attributable to equity holders and noncontrolling interest as stated under IFRS</w:t>
            </w:r>
          </w:p>
        </w:tc>
        <w:tc>
          <w:tcPr>
            <w:tcW w:w="2860" w:type="dxa"/>
            <w:vAlign w:val="bottom"/>
          </w:tcPr>
          <w:p>
            <w:pPr>
              <w:jc w:val="right"/>
              <w:ind w:right="456"/>
              <w:spacing w:after="0"/>
              <w:rPr>
                <w:sz w:val="20"/>
                <w:szCs w:val="20"/>
                <w:color w:val="auto"/>
              </w:rPr>
            </w:pPr>
            <w:r>
              <w:rPr>
                <w:rFonts w:ascii="Arial" w:cs="Arial" w:eastAsia="Arial" w:hAnsi="Arial"/>
                <w:sz w:val="13"/>
                <w:szCs w:val="13"/>
                <w:b w:val="1"/>
                <w:bCs w:val="1"/>
                <w:color w:val="auto"/>
              </w:rPr>
              <w:t>174,452</w:t>
            </w:r>
          </w:p>
        </w:tc>
        <w:tc>
          <w:tcPr>
            <w:tcW w:w="1020" w:type="dxa"/>
            <w:vAlign w:val="bottom"/>
          </w:tcPr>
          <w:p>
            <w:pPr>
              <w:jc w:val="right"/>
              <w:spacing w:after="0"/>
              <w:rPr>
                <w:sz w:val="20"/>
                <w:szCs w:val="20"/>
                <w:color w:val="auto"/>
              </w:rPr>
            </w:pPr>
            <w:r>
              <w:rPr>
                <w:rFonts w:ascii="Arial" w:cs="Arial" w:eastAsia="Arial" w:hAnsi="Arial"/>
                <w:sz w:val="13"/>
                <w:szCs w:val="13"/>
                <w:color w:val="auto"/>
              </w:rPr>
              <w:t>331,425</w:t>
            </w:r>
          </w:p>
        </w:tc>
      </w:tr>
      <w:tr>
        <w:trPr>
          <w:trHeight w:val="212"/>
        </w:trPr>
        <w:tc>
          <w:tcPr>
            <w:tcW w:w="740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70"/>
        </w:trPr>
        <w:tc>
          <w:tcPr>
            <w:tcW w:w="7400" w:type="dxa"/>
            <w:vAlign w:val="bottom"/>
          </w:tcPr>
          <w:p>
            <w:pPr>
              <w:ind w:left="20"/>
              <w:spacing w:after="0"/>
              <w:rPr>
                <w:sz w:val="20"/>
                <w:szCs w:val="20"/>
                <w:color w:val="auto"/>
              </w:rPr>
            </w:pPr>
            <w:r>
              <w:rPr>
                <w:rFonts w:ascii="Arial" w:cs="Arial" w:eastAsia="Arial" w:hAnsi="Arial"/>
                <w:sz w:val="13"/>
                <w:szCs w:val="13"/>
                <w:b w:val="1"/>
                <w:bCs w:val="1"/>
                <w:color w:val="auto"/>
              </w:rPr>
              <w:t>U.S. GAAP adjustments</w:t>
            </w:r>
          </w:p>
        </w:tc>
        <w:tc>
          <w:tcPr>
            <w:tcW w:w="28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7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payment expense under IFRS</w:t>
            </w:r>
          </w:p>
        </w:tc>
        <w:tc>
          <w:tcPr>
            <w:tcW w:w="2860" w:type="dxa"/>
            <w:vAlign w:val="bottom"/>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105,859</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26,597</w:t>
            </w:r>
          </w:p>
        </w:tc>
      </w:tr>
      <w:tr>
        <w:trPr>
          <w:trHeight w:val="170"/>
        </w:trPr>
        <w:tc>
          <w:tcPr>
            <w:tcW w:w="7400" w:type="dxa"/>
            <w:vAlign w:val="bottom"/>
          </w:tcPr>
          <w:p>
            <w:pPr>
              <w:ind w:left="20"/>
              <w:spacing w:after="0"/>
              <w:rPr>
                <w:sz w:val="20"/>
                <w:szCs w:val="20"/>
                <w:color w:val="auto"/>
              </w:rPr>
            </w:pPr>
            <w:r>
              <w:rPr>
                <w:rFonts w:ascii="Arial" w:cs="Arial" w:eastAsia="Arial" w:hAnsi="Arial"/>
                <w:sz w:val="13"/>
                <w:szCs w:val="13"/>
                <w:color w:val="auto"/>
              </w:rPr>
              <w:t>Share-based payment expense under U.S. GAAP</w:t>
            </w:r>
          </w:p>
        </w:tc>
        <w:tc>
          <w:tcPr>
            <w:tcW w:w="2860" w:type="dxa"/>
            <w:vAlign w:val="bottom"/>
          </w:tcPr>
          <w:p>
            <w:pPr>
              <w:jc w:val="right"/>
              <w:ind w:right="436"/>
              <w:spacing w:after="0"/>
              <w:rPr>
                <w:sz w:val="20"/>
                <w:szCs w:val="20"/>
                <w:color w:val="auto"/>
              </w:rPr>
            </w:pPr>
            <w:r>
              <w:rPr>
                <w:rFonts w:ascii="Arial" w:cs="Arial" w:eastAsia="Arial" w:hAnsi="Arial"/>
                <w:sz w:val="13"/>
                <w:szCs w:val="13"/>
                <w:b w:val="1"/>
                <w:bCs w:val="1"/>
                <w:color w:val="auto"/>
              </w:rPr>
              <w:t>(133,844)</w:t>
            </w:r>
          </w:p>
        </w:tc>
        <w:tc>
          <w:tcPr>
            <w:tcW w:w="1020" w:type="dxa"/>
            <w:vAlign w:val="bottom"/>
          </w:tcPr>
          <w:p>
            <w:pPr>
              <w:jc w:val="right"/>
              <w:spacing w:after="0"/>
              <w:rPr>
                <w:sz w:val="20"/>
                <w:szCs w:val="20"/>
                <w:color w:val="auto"/>
              </w:rPr>
            </w:pPr>
            <w:r>
              <w:rPr>
                <w:rFonts w:ascii="Arial" w:cs="Arial" w:eastAsia="Arial" w:hAnsi="Arial"/>
                <w:sz w:val="13"/>
                <w:szCs w:val="13"/>
                <w:color w:val="auto"/>
              </w:rPr>
              <w:t>(26,271)</w:t>
            </w:r>
          </w:p>
        </w:tc>
      </w:tr>
      <w:tr>
        <w:trPr>
          <w:trHeight w:val="170"/>
        </w:trPr>
        <w:tc>
          <w:tcPr>
            <w:tcW w:w="7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Fair value adjustment to unearned revenue under IFRS</w:t>
            </w:r>
          </w:p>
        </w:tc>
        <w:tc>
          <w:tcPr>
            <w:tcW w:w="2860" w:type="dxa"/>
            <w:vAlign w:val="bottom"/>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8,000</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7400" w:type="dxa"/>
            <w:vAlign w:val="bottom"/>
          </w:tcPr>
          <w:p>
            <w:pPr>
              <w:ind w:left="20"/>
              <w:spacing w:after="0"/>
              <w:rPr>
                <w:sz w:val="20"/>
                <w:szCs w:val="20"/>
                <w:color w:val="auto"/>
              </w:rPr>
            </w:pPr>
            <w:r>
              <w:rPr>
                <w:rFonts w:ascii="Arial" w:cs="Arial" w:eastAsia="Arial" w:hAnsi="Arial"/>
                <w:sz w:val="13"/>
                <w:szCs w:val="13"/>
                <w:color w:val="auto"/>
              </w:rPr>
              <w:t>Fair value movement on put option under IFRS</w:t>
            </w:r>
          </w:p>
        </w:tc>
        <w:tc>
          <w:tcPr>
            <w:tcW w:w="2860" w:type="dxa"/>
            <w:vAlign w:val="bottom"/>
          </w:tcPr>
          <w:p>
            <w:pPr>
              <w:jc w:val="right"/>
              <w:ind w:right="456"/>
              <w:spacing w:after="0"/>
              <w:rPr>
                <w:sz w:val="20"/>
                <w:szCs w:val="20"/>
                <w:color w:val="auto"/>
              </w:rPr>
            </w:pPr>
            <w:r>
              <w:rPr>
                <w:rFonts w:ascii="Arial" w:cs="Arial" w:eastAsia="Arial" w:hAnsi="Arial"/>
                <w:sz w:val="13"/>
                <w:szCs w:val="13"/>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(2,540)</w:t>
            </w:r>
          </w:p>
        </w:tc>
      </w:tr>
      <w:tr>
        <w:trPr>
          <w:trHeight w:val="170"/>
        </w:trPr>
        <w:tc>
          <w:tcPr>
            <w:tcW w:w="7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Right-of-use asset amortisation adjustment under IFRS</w:t>
            </w:r>
          </w:p>
        </w:tc>
        <w:tc>
          <w:tcPr>
            <w:tcW w:w="2860" w:type="dxa"/>
            <w:vAlign w:val="bottom"/>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(91)</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467</w:t>
            </w:r>
          </w:p>
        </w:tc>
      </w:tr>
      <w:tr>
        <w:trPr>
          <w:trHeight w:val="170"/>
        </w:trPr>
        <w:tc>
          <w:tcPr>
            <w:tcW w:w="7400" w:type="dxa"/>
            <w:vAlign w:val="bottom"/>
          </w:tcPr>
          <w:p>
            <w:pPr>
              <w:ind w:left="20"/>
              <w:spacing w:after="0"/>
              <w:rPr>
                <w:sz w:val="20"/>
                <w:szCs w:val="20"/>
                <w:color w:val="auto"/>
              </w:rPr>
            </w:pPr>
            <w:r>
              <w:rPr>
                <w:rFonts w:ascii="Arial" w:cs="Arial" w:eastAsia="Arial" w:hAnsi="Arial"/>
                <w:sz w:val="13"/>
                <w:szCs w:val="13"/>
                <w:color w:val="auto"/>
              </w:rPr>
              <w:t>Deferred tax adjustments on share-based payments</w:t>
            </w:r>
          </w:p>
        </w:tc>
        <w:tc>
          <w:tcPr>
            <w:tcW w:w="2860" w:type="dxa"/>
            <w:vAlign w:val="bottom"/>
          </w:tcPr>
          <w:p>
            <w:pPr>
              <w:jc w:val="right"/>
              <w:ind w:right="436"/>
              <w:spacing w:after="0"/>
              <w:rPr>
                <w:sz w:val="20"/>
                <w:szCs w:val="20"/>
                <w:color w:val="auto"/>
              </w:rPr>
            </w:pPr>
            <w:r>
              <w:rPr>
                <w:rFonts w:ascii="Arial" w:cs="Arial" w:eastAsia="Arial" w:hAnsi="Arial"/>
                <w:sz w:val="13"/>
                <w:szCs w:val="13"/>
                <w:b w:val="1"/>
                <w:bCs w:val="1"/>
                <w:color w:val="auto"/>
              </w:rPr>
              <w:t>(8,486)</w:t>
            </w:r>
          </w:p>
        </w:tc>
        <w:tc>
          <w:tcPr>
            <w:tcW w:w="1020" w:type="dxa"/>
            <w:vAlign w:val="bottom"/>
          </w:tcPr>
          <w:p>
            <w:pPr>
              <w:jc w:val="right"/>
              <w:spacing w:after="0"/>
              <w:rPr>
                <w:sz w:val="20"/>
                <w:szCs w:val="20"/>
                <w:color w:val="auto"/>
              </w:rPr>
            </w:pPr>
            <w:r>
              <w:rPr>
                <w:rFonts w:ascii="Arial" w:cs="Arial" w:eastAsia="Arial" w:hAnsi="Arial"/>
                <w:sz w:val="13"/>
                <w:szCs w:val="13"/>
                <w:color w:val="auto"/>
              </w:rPr>
              <w:t>(878)</w:t>
            </w:r>
          </w:p>
        </w:tc>
      </w:tr>
      <w:tr>
        <w:trPr>
          <w:trHeight w:val="170"/>
        </w:trPr>
        <w:tc>
          <w:tcPr>
            <w:tcW w:w="7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Current tax adjustments on share-based payments</w:t>
            </w:r>
          </w:p>
        </w:tc>
        <w:tc>
          <w:tcPr>
            <w:tcW w:w="2860" w:type="dxa"/>
            <w:vAlign w:val="bottom"/>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7,809</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3,816</w:t>
            </w:r>
          </w:p>
        </w:tc>
      </w:tr>
      <w:tr>
        <w:trPr>
          <w:trHeight w:val="170"/>
        </w:trPr>
        <w:tc>
          <w:tcPr>
            <w:tcW w:w="7400" w:type="dxa"/>
            <w:vAlign w:val="bottom"/>
          </w:tcPr>
          <w:p>
            <w:pPr>
              <w:ind w:left="20"/>
              <w:spacing w:after="0"/>
              <w:rPr>
                <w:sz w:val="20"/>
                <w:szCs w:val="20"/>
                <w:color w:val="auto"/>
              </w:rPr>
            </w:pPr>
            <w:r>
              <w:rPr>
                <w:rFonts w:ascii="Arial" w:cs="Arial" w:eastAsia="Arial" w:hAnsi="Arial"/>
                <w:sz w:val="13"/>
                <w:szCs w:val="13"/>
                <w:color w:val="auto"/>
              </w:rPr>
              <w:t>Deferred tax adjustments on leases</w:t>
            </w:r>
          </w:p>
        </w:tc>
        <w:tc>
          <w:tcPr>
            <w:tcW w:w="2860" w:type="dxa"/>
            <w:vAlign w:val="bottom"/>
          </w:tcPr>
          <w:p>
            <w:pPr>
              <w:jc w:val="right"/>
              <w:ind w:right="436"/>
              <w:spacing w:after="0"/>
              <w:rPr>
                <w:sz w:val="20"/>
                <w:szCs w:val="20"/>
                <w:color w:val="auto"/>
              </w:rPr>
            </w:pPr>
            <w:r>
              <w:rPr>
                <w:rFonts w:ascii="Arial" w:cs="Arial" w:eastAsia="Arial" w:hAnsi="Arial"/>
                <w:sz w:val="13"/>
                <w:szCs w:val="13"/>
                <w:b w:val="1"/>
                <w:bCs w:val="1"/>
                <w:color w:val="auto"/>
              </w:rPr>
              <w:t>(438)</w:t>
            </w:r>
          </w:p>
        </w:tc>
        <w:tc>
          <w:tcPr>
            <w:tcW w:w="1020" w:type="dxa"/>
            <w:vAlign w:val="bottom"/>
          </w:tcPr>
          <w:p>
            <w:pPr>
              <w:jc w:val="right"/>
              <w:spacing w:after="0"/>
              <w:rPr>
                <w:sz w:val="20"/>
                <w:szCs w:val="20"/>
                <w:color w:val="auto"/>
              </w:rPr>
            </w:pPr>
            <w:r>
              <w:rPr>
                <w:rFonts w:ascii="Arial" w:cs="Arial" w:eastAsia="Arial" w:hAnsi="Arial"/>
                <w:sz w:val="13"/>
                <w:szCs w:val="13"/>
                <w:color w:val="auto"/>
              </w:rPr>
              <w:t>(60)</w:t>
            </w:r>
          </w:p>
        </w:tc>
      </w:tr>
      <w:tr>
        <w:trPr>
          <w:trHeight w:val="170"/>
        </w:trPr>
        <w:tc>
          <w:tcPr>
            <w:tcW w:w="7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Additional costs defined benefit pension scheme</w:t>
            </w:r>
          </w:p>
        </w:tc>
        <w:tc>
          <w:tcPr>
            <w:tcW w:w="286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(76)</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408</w:t>
            </w:r>
          </w:p>
        </w:tc>
      </w:tr>
      <w:tr>
        <w:trPr>
          <w:trHeight w:val="192"/>
        </w:trPr>
        <w:tc>
          <w:tcPr>
            <w:tcW w:w="740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71"/>
        </w:trPr>
        <w:tc>
          <w:tcPr>
            <w:tcW w:w="7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Net income as stated under U.S. GAAP</w:t>
            </w:r>
          </w:p>
        </w:tc>
        <w:tc>
          <w:tcPr>
            <w:tcW w:w="286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153,185</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332,964</w:t>
            </w:r>
          </w:p>
        </w:tc>
      </w:tr>
      <w:tr>
        <w:trPr>
          <w:trHeight w:val="202"/>
        </w:trPr>
        <w:tc>
          <w:tcPr>
            <w:tcW w:w="740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71"/>
        </w:trPr>
        <w:tc>
          <w:tcPr>
            <w:tcW w:w="7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Basic earnings per Ordinary Share under U.S. GAAP</w:t>
            </w:r>
          </w:p>
        </w:tc>
        <w:tc>
          <w:tcPr>
            <w:tcW w:w="286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$2.28</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$6.20</w:t>
            </w:r>
          </w:p>
        </w:tc>
      </w:tr>
      <w:tr>
        <w:trPr>
          <w:trHeight w:val="202"/>
        </w:trPr>
        <w:tc>
          <w:tcPr>
            <w:tcW w:w="740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71"/>
        </w:trPr>
        <w:tc>
          <w:tcPr>
            <w:tcW w:w="7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Diluted earnings per Ordinary Share under U.S. GAAP</w:t>
            </w:r>
          </w:p>
        </w:tc>
        <w:tc>
          <w:tcPr>
            <w:tcW w:w="286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$2.25</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153</w:t>
      </w:r>
    </w:p>
    <w:p>
      <w:pPr>
        <w:sectPr>
          <w:pgSz w:w="11900" w:h="16838" w:orient="portrait"/>
          <w:cols w:equalWidth="0" w:num="1">
            <w:col w:w="11280"/>
          </w:cols>
          <w:pgMar w:left="300" w:top="1271" w:right="319" w:bottom="1440" w:gutter="0" w:footer="0" w:header="0"/>
        </w:sectPr>
      </w:pPr>
    </w:p>
    <w:bookmarkStart w:id="170" w:name="page171"/>
    <w:bookmarkEnd w:id="170"/>
    <w:p>
      <w:pPr>
        <w:spacing w:after="0"/>
        <w:rPr>
          <w:sz w:val="20"/>
          <w:szCs w:val="20"/>
          <w:color w:val="auto"/>
        </w:rPr>
      </w:pPr>
      <w:r>
        <w:rPr>
          <w:rFonts w:ascii="Arial" w:cs="Arial" w:eastAsia="Arial" w:hAnsi="Arial"/>
          <w:sz w:val="18"/>
          <w:szCs w:val="18"/>
          <w:color w:val="auto"/>
        </w:rPr>
        <w:t xml:space="preserve">Reconciliation from IFRS to US Accounting Policies </w:t>
      </w:r>
      <w:r>
        <w:rPr>
          <w:rFonts w:ascii="Arial" w:cs="Arial" w:eastAsia="Arial" w:hAnsi="Arial"/>
          <w:sz w:val="18"/>
          <w:szCs w:val="18"/>
          <w:i w:val="1"/>
          <w:iCs w:val="1"/>
          <w:color w:val="auto"/>
        </w:rPr>
        <w:t>(continued)</w:t>
      </w:r>
    </w:p>
    <w:p>
      <w:pPr>
        <w:spacing w:after="0" w:line="36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(ii) Effect on shareholders’ equity</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100" w:type="dxa"/>
            <w:vAlign w:val="bottom"/>
            <w:shd w:val="clear" w:color="auto" w:fill="CCEEFF"/>
          </w:tcPr>
          <w:p>
            <w:pPr>
              <w:spacing w:after="0"/>
              <w:rPr>
                <w:sz w:val="13"/>
                <w:szCs w:val="13"/>
                <w:color w:val="auto"/>
              </w:rPr>
            </w:pPr>
          </w:p>
        </w:tc>
        <w:tc>
          <w:tcPr>
            <w:tcW w:w="3020" w:type="dxa"/>
            <w:vAlign w:val="bottom"/>
            <w:shd w:val="clear" w:color="auto" w:fill="CCEEFF"/>
          </w:tcPr>
          <w:p>
            <w:pPr>
              <w:ind w:left="1880"/>
              <w:spacing w:after="0"/>
              <w:rPr>
                <w:sz w:val="20"/>
                <w:szCs w:val="20"/>
                <w:color w:val="auto"/>
              </w:rPr>
            </w:pPr>
            <w:r>
              <w:rPr>
                <w:rFonts w:ascii="Arial" w:cs="Arial" w:eastAsia="Arial" w:hAnsi="Arial"/>
                <w:sz w:val="13"/>
                <w:szCs w:val="13"/>
                <w:b w:val="1"/>
                <w:bCs w:val="1"/>
                <w:color w:val="auto"/>
              </w:rPr>
              <w:t>31 December</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31 December</w:t>
            </w:r>
          </w:p>
        </w:tc>
      </w:tr>
      <w:tr>
        <w:trPr>
          <w:trHeight w:val="170"/>
        </w:trPr>
        <w:tc>
          <w:tcPr>
            <w:tcW w:w="7100" w:type="dxa"/>
            <w:vAlign w:val="bottom"/>
            <w:tcBorders>
              <w:bottom w:val="single" w:sz="8" w:color="auto"/>
            </w:tcBorders>
            <w:shd w:val="clear" w:color="auto" w:fill="CCEEFF"/>
          </w:tcPr>
          <w:p>
            <w:pPr>
              <w:spacing w:after="0"/>
              <w:rPr>
                <w:sz w:val="14"/>
                <w:szCs w:val="14"/>
                <w:color w:val="auto"/>
              </w:rPr>
            </w:pPr>
          </w:p>
        </w:tc>
        <w:tc>
          <w:tcPr>
            <w:tcW w:w="302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2021</w:t>
            </w:r>
          </w:p>
        </w:tc>
        <w:tc>
          <w:tcPr>
            <w:tcW w:w="11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2020</w:t>
            </w:r>
          </w:p>
        </w:tc>
      </w:tr>
      <w:tr>
        <w:trPr>
          <w:trHeight w:val="160"/>
        </w:trPr>
        <w:tc>
          <w:tcPr>
            <w:tcW w:w="7100" w:type="dxa"/>
            <w:vAlign w:val="bottom"/>
          </w:tcPr>
          <w:p>
            <w:pPr>
              <w:spacing w:after="0"/>
              <w:rPr>
                <w:sz w:val="13"/>
                <w:szCs w:val="13"/>
                <w:color w:val="auto"/>
              </w:rPr>
            </w:pPr>
          </w:p>
        </w:tc>
        <w:tc>
          <w:tcPr>
            <w:tcW w:w="3020" w:type="dxa"/>
            <w:vAlign w:val="bottom"/>
          </w:tcPr>
          <w:p>
            <w:pPr>
              <w:jc w:val="right"/>
              <w:ind w:right="276"/>
              <w:spacing w:after="0"/>
              <w:rPr>
                <w:sz w:val="20"/>
                <w:szCs w:val="20"/>
                <w:color w:val="auto"/>
              </w:rPr>
            </w:pPr>
            <w:r>
              <w:rPr>
                <w:rFonts w:ascii="Arial" w:cs="Arial" w:eastAsia="Arial" w:hAnsi="Arial"/>
                <w:sz w:val="13"/>
                <w:szCs w:val="13"/>
                <w:b w:val="1"/>
                <w:bCs w:val="1"/>
                <w:color w:val="auto"/>
              </w:rPr>
              <w:t>$’000</w:t>
            </w:r>
          </w:p>
        </w:tc>
        <w:tc>
          <w:tcPr>
            <w:tcW w:w="1160" w:type="dxa"/>
            <w:vAlign w:val="bottom"/>
            <w:gridSpan w:val="2"/>
          </w:tcPr>
          <w:p>
            <w:pPr>
              <w:jc w:val="right"/>
              <w:ind w:right="20"/>
              <w:spacing w:after="0"/>
              <w:rPr>
                <w:sz w:val="20"/>
                <w:szCs w:val="20"/>
                <w:color w:val="auto"/>
              </w:rPr>
            </w:pPr>
            <w:r>
              <w:rPr>
                <w:rFonts w:ascii="Arial" w:cs="Arial" w:eastAsia="Arial" w:hAnsi="Arial"/>
                <w:sz w:val="13"/>
                <w:szCs w:val="13"/>
                <w:color w:val="auto"/>
              </w:rPr>
              <w:t>$’000</w:t>
            </w:r>
          </w:p>
        </w:tc>
      </w:tr>
      <w:tr>
        <w:trPr>
          <w:trHeight w:val="170"/>
        </w:trPr>
        <w:tc>
          <w:tcPr>
            <w:tcW w:w="7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equity attributable to the owners and noncontrolling interest as stated under IFRS</w:t>
            </w:r>
          </w:p>
        </w:tc>
        <w:tc>
          <w:tcPr>
            <w:tcW w:w="302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8,177,865</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1,880,669</w:t>
            </w:r>
          </w:p>
        </w:tc>
        <w:tc>
          <w:tcPr>
            <w:tcW w:w="20" w:type="dxa"/>
            <w:vAlign w:val="bottom"/>
            <w:shd w:val="clear" w:color="auto" w:fill="CCEEFF"/>
          </w:tcPr>
          <w:p>
            <w:pPr>
              <w:spacing w:after="0"/>
              <w:rPr>
                <w:sz w:val="14"/>
                <w:szCs w:val="14"/>
                <w:color w:val="auto"/>
              </w:rPr>
            </w:pPr>
          </w:p>
        </w:tc>
      </w:tr>
      <w:tr>
        <w:trPr>
          <w:trHeight w:val="212"/>
        </w:trPr>
        <w:tc>
          <w:tcPr>
            <w:tcW w:w="71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0"/>
        </w:trPr>
        <w:tc>
          <w:tcPr>
            <w:tcW w:w="71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U.S. GAAP adjustments</w:t>
            </w:r>
          </w:p>
        </w:tc>
        <w:tc>
          <w:tcPr>
            <w:tcW w:w="30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0"/>
        </w:trPr>
        <w:tc>
          <w:tcPr>
            <w:tcW w:w="7100" w:type="dxa"/>
            <w:vAlign w:val="bottom"/>
          </w:tcPr>
          <w:p>
            <w:pPr>
              <w:ind w:left="20"/>
              <w:spacing w:after="0"/>
              <w:rPr>
                <w:sz w:val="20"/>
                <w:szCs w:val="20"/>
                <w:color w:val="auto"/>
              </w:rPr>
            </w:pPr>
            <w:r>
              <w:rPr>
                <w:rFonts w:ascii="Arial" w:cs="Arial" w:eastAsia="Arial" w:hAnsi="Arial"/>
                <w:sz w:val="13"/>
                <w:szCs w:val="13"/>
                <w:color w:val="auto"/>
              </w:rPr>
              <w:t>Goodwill (net) arising on PRA merger related stock compensation</w:t>
            </w:r>
          </w:p>
        </w:tc>
        <w:tc>
          <w:tcPr>
            <w:tcW w:w="3020" w:type="dxa"/>
            <w:vAlign w:val="bottom"/>
          </w:tcPr>
          <w:p>
            <w:pPr>
              <w:jc w:val="right"/>
              <w:ind w:right="296"/>
              <w:spacing w:after="0"/>
              <w:rPr>
                <w:sz w:val="20"/>
                <w:szCs w:val="20"/>
                <w:color w:val="auto"/>
              </w:rPr>
            </w:pPr>
            <w:r>
              <w:rPr>
                <w:rFonts w:ascii="Arial" w:cs="Arial" w:eastAsia="Arial" w:hAnsi="Arial"/>
                <w:sz w:val="13"/>
                <w:szCs w:val="13"/>
                <w:b w:val="1"/>
                <w:bCs w:val="1"/>
                <w:color w:val="auto"/>
              </w:rPr>
              <w:t>(58,199)</w:t>
            </w:r>
          </w:p>
        </w:tc>
        <w:tc>
          <w:tcPr>
            <w:tcW w:w="11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170"/>
        </w:trPr>
        <w:tc>
          <w:tcPr>
            <w:tcW w:w="7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Fair value adjustment to unearned revenue under IFRS</w:t>
            </w:r>
          </w:p>
        </w:tc>
        <w:tc>
          <w:tcPr>
            <w:tcW w:w="302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8,000</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r>
      <w:tr>
        <w:trPr>
          <w:trHeight w:val="170"/>
        </w:trPr>
        <w:tc>
          <w:tcPr>
            <w:tcW w:w="7100" w:type="dxa"/>
            <w:vAlign w:val="bottom"/>
          </w:tcPr>
          <w:p>
            <w:pPr>
              <w:ind w:left="20"/>
              <w:spacing w:after="0"/>
              <w:rPr>
                <w:sz w:val="20"/>
                <w:szCs w:val="20"/>
                <w:color w:val="auto"/>
              </w:rPr>
            </w:pPr>
            <w:r>
              <w:rPr>
                <w:rFonts w:ascii="Arial" w:cs="Arial" w:eastAsia="Arial" w:hAnsi="Arial"/>
                <w:sz w:val="13"/>
                <w:szCs w:val="13"/>
                <w:color w:val="auto"/>
              </w:rPr>
              <w:t>Right-of-use asset amortisation adjustment under IFRS</w:t>
            </w:r>
          </w:p>
        </w:tc>
        <w:tc>
          <w:tcPr>
            <w:tcW w:w="3020" w:type="dxa"/>
            <w:vAlign w:val="bottom"/>
          </w:tcPr>
          <w:p>
            <w:pPr>
              <w:jc w:val="right"/>
              <w:ind w:right="316"/>
              <w:spacing w:after="0"/>
              <w:rPr>
                <w:sz w:val="20"/>
                <w:szCs w:val="20"/>
                <w:color w:val="auto"/>
              </w:rPr>
            </w:pPr>
            <w:r>
              <w:rPr>
                <w:rFonts w:ascii="Arial" w:cs="Arial" w:eastAsia="Arial" w:hAnsi="Arial"/>
                <w:sz w:val="13"/>
                <w:szCs w:val="13"/>
                <w:b w:val="1"/>
                <w:bCs w:val="1"/>
                <w:color w:val="auto"/>
              </w:rPr>
              <w:t>2,515</w:t>
            </w:r>
          </w:p>
        </w:tc>
        <w:tc>
          <w:tcPr>
            <w:tcW w:w="1140" w:type="dxa"/>
            <w:vAlign w:val="bottom"/>
          </w:tcPr>
          <w:p>
            <w:pPr>
              <w:jc w:val="right"/>
              <w:spacing w:after="0"/>
              <w:rPr>
                <w:sz w:val="20"/>
                <w:szCs w:val="20"/>
                <w:color w:val="auto"/>
              </w:rPr>
            </w:pPr>
            <w:r>
              <w:rPr>
                <w:rFonts w:ascii="Arial" w:cs="Arial" w:eastAsia="Arial" w:hAnsi="Arial"/>
                <w:sz w:val="13"/>
                <w:szCs w:val="13"/>
                <w:color w:val="auto"/>
              </w:rPr>
              <w:t>1,482</w:t>
            </w:r>
          </w:p>
        </w:tc>
        <w:tc>
          <w:tcPr>
            <w:tcW w:w="20" w:type="dxa"/>
            <w:vAlign w:val="bottom"/>
          </w:tcPr>
          <w:p>
            <w:pPr>
              <w:spacing w:after="0"/>
              <w:rPr>
                <w:sz w:val="14"/>
                <w:szCs w:val="14"/>
                <w:color w:val="auto"/>
              </w:rPr>
            </w:pPr>
          </w:p>
        </w:tc>
      </w:tr>
      <w:tr>
        <w:trPr>
          <w:trHeight w:val="170"/>
        </w:trPr>
        <w:tc>
          <w:tcPr>
            <w:tcW w:w="7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tax adjustments on leases</w:t>
            </w:r>
          </w:p>
        </w:tc>
        <w:tc>
          <w:tcPr>
            <w:tcW w:w="302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(677)</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w:t>
            </w:r>
          </w:p>
        </w:tc>
        <w:tc>
          <w:tcPr>
            <w:tcW w:w="20" w:type="dxa"/>
            <w:vAlign w:val="bottom"/>
            <w:shd w:val="clear" w:color="auto" w:fill="CCEEFF"/>
          </w:tcPr>
          <w:p>
            <w:pPr>
              <w:spacing w:after="0"/>
              <w:rPr>
                <w:sz w:val="14"/>
                <w:szCs w:val="14"/>
                <w:color w:val="auto"/>
              </w:rPr>
            </w:pPr>
          </w:p>
        </w:tc>
      </w:tr>
      <w:tr>
        <w:trPr>
          <w:trHeight w:val="170"/>
        </w:trPr>
        <w:tc>
          <w:tcPr>
            <w:tcW w:w="7100" w:type="dxa"/>
            <w:vAlign w:val="bottom"/>
          </w:tcPr>
          <w:p>
            <w:pPr>
              <w:ind w:left="20"/>
              <w:spacing w:after="0"/>
              <w:rPr>
                <w:sz w:val="20"/>
                <w:szCs w:val="20"/>
                <w:color w:val="auto"/>
              </w:rPr>
            </w:pPr>
            <w:r>
              <w:rPr>
                <w:rFonts w:ascii="Arial" w:cs="Arial" w:eastAsia="Arial" w:hAnsi="Arial"/>
                <w:sz w:val="13"/>
                <w:szCs w:val="13"/>
                <w:color w:val="auto"/>
              </w:rPr>
              <w:t>Goodwill (net) arising on merger with PRAI</w:t>
            </w:r>
          </w:p>
        </w:tc>
        <w:tc>
          <w:tcPr>
            <w:tcW w:w="3020" w:type="dxa"/>
            <w:vAlign w:val="bottom"/>
          </w:tcPr>
          <w:p>
            <w:pPr>
              <w:jc w:val="right"/>
              <w:ind w:right="296"/>
              <w:spacing w:after="0"/>
              <w:rPr>
                <w:sz w:val="20"/>
                <w:szCs w:val="20"/>
                <w:color w:val="auto"/>
              </w:rPr>
            </w:pPr>
            <w:r>
              <w:rPr>
                <w:rFonts w:ascii="Arial" w:cs="Arial" w:eastAsia="Arial" w:hAnsi="Arial"/>
                <w:sz w:val="13"/>
                <w:szCs w:val="13"/>
                <w:b w:val="1"/>
                <w:bCs w:val="1"/>
                <w:color w:val="auto"/>
              </w:rPr>
              <w:t>(14,009)</w:t>
            </w:r>
          </w:p>
        </w:tc>
        <w:tc>
          <w:tcPr>
            <w:tcW w:w="1140" w:type="dxa"/>
            <w:vAlign w:val="bottom"/>
          </w:tcPr>
          <w:p>
            <w:pPr>
              <w:jc w:val="right"/>
              <w:spacing w:after="0"/>
              <w:rPr>
                <w:sz w:val="20"/>
                <w:szCs w:val="20"/>
                <w:color w:val="auto"/>
              </w:rPr>
            </w:pPr>
            <w:r>
              <w:rPr>
                <w:rFonts w:ascii="Arial" w:cs="Arial" w:eastAsia="Arial" w:hAnsi="Arial"/>
                <w:sz w:val="13"/>
                <w:szCs w:val="13"/>
                <w:color w:val="auto"/>
              </w:rPr>
              <w:t>(14,009)</w:t>
            </w:r>
          </w:p>
        </w:tc>
        <w:tc>
          <w:tcPr>
            <w:tcW w:w="20" w:type="dxa"/>
            <w:vAlign w:val="bottom"/>
          </w:tcPr>
          <w:p>
            <w:pPr>
              <w:spacing w:after="0"/>
              <w:rPr>
                <w:sz w:val="14"/>
                <w:szCs w:val="14"/>
                <w:color w:val="auto"/>
              </w:rPr>
            </w:pPr>
          </w:p>
        </w:tc>
      </w:tr>
      <w:tr>
        <w:trPr>
          <w:trHeight w:val="170"/>
        </w:trPr>
        <w:tc>
          <w:tcPr>
            <w:tcW w:w="7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Deferred tax adjustments on share-based payments</w:t>
            </w:r>
          </w:p>
        </w:tc>
        <w:tc>
          <w:tcPr>
            <w:tcW w:w="302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(48,668)</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(17,666)</w:t>
            </w:r>
          </w:p>
        </w:tc>
        <w:tc>
          <w:tcPr>
            <w:tcW w:w="20" w:type="dxa"/>
            <w:vAlign w:val="bottom"/>
            <w:tcBorders>
              <w:bottom w:val="single" w:sz="8" w:color="auto"/>
            </w:tcBorders>
            <w:shd w:val="clear" w:color="auto" w:fill="CCEEFF"/>
          </w:tcPr>
          <w:p>
            <w:pPr>
              <w:spacing w:after="0"/>
              <w:rPr>
                <w:sz w:val="14"/>
                <w:szCs w:val="14"/>
                <w:color w:val="auto"/>
              </w:rPr>
            </w:pPr>
          </w:p>
        </w:tc>
      </w:tr>
      <w:tr>
        <w:trPr>
          <w:trHeight w:val="192"/>
        </w:trPr>
        <w:tc>
          <w:tcPr>
            <w:tcW w:w="710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71"/>
        </w:trPr>
        <w:tc>
          <w:tcPr>
            <w:tcW w:w="7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 equity attributable to the owners and noncontrolling interest as stated under U.S. GAAP</w:t>
            </w:r>
          </w:p>
        </w:tc>
        <w:tc>
          <w:tcPr>
            <w:tcW w:w="302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8,066,827</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1,850,236</w:t>
            </w:r>
          </w:p>
        </w:tc>
        <w:tc>
          <w:tcPr>
            <w:tcW w:w="20" w:type="dxa"/>
            <w:vAlign w:val="bottom"/>
            <w:tcBorders>
              <w:bottom w:val="single" w:sz="8" w:color="auto"/>
            </w:tcBorders>
            <w:shd w:val="clear" w:color="auto" w:fill="CCEEFF"/>
          </w:tcPr>
          <w:p>
            <w:pPr>
              <w:spacing w:after="0"/>
              <w:rPr>
                <w:sz w:val="14"/>
                <w:szCs w:val="14"/>
                <w:color w:val="auto"/>
              </w:rPr>
            </w:pPr>
          </w:p>
        </w:tc>
      </w:tr>
      <w:tr>
        <w:trPr>
          <w:trHeight w:val="411"/>
        </w:trPr>
        <w:tc>
          <w:tcPr>
            <w:tcW w:w="7100" w:type="dxa"/>
            <w:vAlign w:val="bottom"/>
          </w:tcPr>
          <w:p>
            <w:pPr>
              <w:ind w:left="160"/>
              <w:spacing w:after="0"/>
              <w:rPr>
                <w:sz w:val="20"/>
                <w:szCs w:val="20"/>
                <w:color w:val="auto"/>
              </w:rPr>
            </w:pPr>
            <w:r>
              <w:rPr>
                <w:rFonts w:ascii="Arial" w:cs="Arial" w:eastAsia="Arial" w:hAnsi="Arial"/>
                <w:sz w:val="13"/>
                <w:szCs w:val="13"/>
                <w:i w:val="1"/>
                <w:iCs w:val="1"/>
                <w:color w:val="auto"/>
              </w:rPr>
              <w:t>(iii) Effect on total assets</w:t>
            </w:r>
          </w:p>
        </w:tc>
        <w:tc>
          <w:tcPr>
            <w:tcW w:w="3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
        </w:trPr>
        <w:tc>
          <w:tcPr>
            <w:tcW w:w="71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27"/>
        </w:trPr>
        <w:tc>
          <w:tcPr>
            <w:tcW w:w="7100" w:type="dxa"/>
            <w:vAlign w:val="bottom"/>
            <w:shd w:val="clear" w:color="auto" w:fill="CCEEFF"/>
          </w:tcPr>
          <w:p>
            <w:pPr>
              <w:spacing w:after="0"/>
              <w:rPr>
                <w:sz w:val="11"/>
                <w:szCs w:val="11"/>
                <w:color w:val="auto"/>
              </w:rPr>
            </w:pPr>
          </w:p>
        </w:tc>
        <w:tc>
          <w:tcPr>
            <w:tcW w:w="3020" w:type="dxa"/>
            <w:vAlign w:val="bottom"/>
            <w:shd w:val="clear" w:color="auto" w:fill="CCEEFF"/>
          </w:tcPr>
          <w:p>
            <w:pPr>
              <w:ind w:left="1880"/>
              <w:spacing w:after="0" w:line="128" w:lineRule="exact"/>
              <w:rPr>
                <w:sz w:val="20"/>
                <w:szCs w:val="20"/>
                <w:color w:val="auto"/>
              </w:rPr>
            </w:pPr>
            <w:r>
              <w:rPr>
                <w:rFonts w:ascii="Arial" w:cs="Arial" w:eastAsia="Arial" w:hAnsi="Arial"/>
                <w:sz w:val="13"/>
                <w:szCs w:val="13"/>
                <w:b w:val="1"/>
                <w:bCs w:val="1"/>
                <w:color w:val="auto"/>
              </w:rPr>
              <w:t>31 December</w:t>
            </w:r>
          </w:p>
        </w:tc>
        <w:tc>
          <w:tcPr>
            <w:tcW w:w="1160" w:type="dxa"/>
            <w:vAlign w:val="bottom"/>
            <w:gridSpan w:val="2"/>
            <w:shd w:val="clear" w:color="auto" w:fill="CCEEFF"/>
          </w:tcPr>
          <w:p>
            <w:pPr>
              <w:jc w:val="right"/>
              <w:ind w:right="20"/>
              <w:spacing w:after="0" w:line="128" w:lineRule="exact"/>
              <w:rPr>
                <w:sz w:val="20"/>
                <w:szCs w:val="20"/>
                <w:color w:val="auto"/>
              </w:rPr>
            </w:pPr>
            <w:r>
              <w:rPr>
                <w:rFonts w:ascii="Arial" w:cs="Arial" w:eastAsia="Arial" w:hAnsi="Arial"/>
                <w:sz w:val="13"/>
                <w:szCs w:val="13"/>
                <w:color w:val="auto"/>
              </w:rPr>
              <w:t>31 December</w:t>
            </w:r>
          </w:p>
        </w:tc>
      </w:tr>
      <w:tr>
        <w:trPr>
          <w:trHeight w:val="170"/>
        </w:trPr>
        <w:tc>
          <w:tcPr>
            <w:tcW w:w="7100" w:type="dxa"/>
            <w:vAlign w:val="bottom"/>
            <w:tcBorders>
              <w:bottom w:val="single" w:sz="8" w:color="auto"/>
            </w:tcBorders>
            <w:shd w:val="clear" w:color="auto" w:fill="CCEEFF"/>
          </w:tcPr>
          <w:p>
            <w:pPr>
              <w:spacing w:after="0"/>
              <w:rPr>
                <w:sz w:val="14"/>
                <w:szCs w:val="14"/>
                <w:color w:val="auto"/>
              </w:rPr>
            </w:pPr>
          </w:p>
        </w:tc>
        <w:tc>
          <w:tcPr>
            <w:tcW w:w="302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2021</w:t>
            </w:r>
          </w:p>
        </w:tc>
        <w:tc>
          <w:tcPr>
            <w:tcW w:w="11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2020</w:t>
            </w:r>
          </w:p>
        </w:tc>
      </w:tr>
      <w:tr>
        <w:trPr>
          <w:trHeight w:val="160"/>
        </w:trPr>
        <w:tc>
          <w:tcPr>
            <w:tcW w:w="7100" w:type="dxa"/>
            <w:vAlign w:val="bottom"/>
          </w:tcPr>
          <w:p>
            <w:pPr>
              <w:spacing w:after="0"/>
              <w:rPr>
                <w:sz w:val="13"/>
                <w:szCs w:val="13"/>
                <w:color w:val="auto"/>
              </w:rPr>
            </w:pPr>
          </w:p>
        </w:tc>
        <w:tc>
          <w:tcPr>
            <w:tcW w:w="3020" w:type="dxa"/>
            <w:vAlign w:val="bottom"/>
          </w:tcPr>
          <w:p>
            <w:pPr>
              <w:jc w:val="right"/>
              <w:ind w:right="276"/>
              <w:spacing w:after="0"/>
              <w:rPr>
                <w:sz w:val="20"/>
                <w:szCs w:val="20"/>
                <w:color w:val="auto"/>
              </w:rPr>
            </w:pPr>
            <w:r>
              <w:rPr>
                <w:rFonts w:ascii="Arial" w:cs="Arial" w:eastAsia="Arial" w:hAnsi="Arial"/>
                <w:sz w:val="13"/>
                <w:szCs w:val="13"/>
                <w:b w:val="1"/>
                <w:bCs w:val="1"/>
                <w:color w:val="auto"/>
              </w:rPr>
              <w:t>$’000</w:t>
            </w:r>
          </w:p>
        </w:tc>
        <w:tc>
          <w:tcPr>
            <w:tcW w:w="1160" w:type="dxa"/>
            <w:vAlign w:val="bottom"/>
            <w:gridSpan w:val="2"/>
          </w:tcPr>
          <w:p>
            <w:pPr>
              <w:jc w:val="right"/>
              <w:ind w:right="20"/>
              <w:spacing w:after="0"/>
              <w:rPr>
                <w:sz w:val="20"/>
                <w:szCs w:val="20"/>
                <w:color w:val="auto"/>
              </w:rPr>
            </w:pPr>
            <w:r>
              <w:rPr>
                <w:rFonts w:ascii="Arial" w:cs="Arial" w:eastAsia="Arial" w:hAnsi="Arial"/>
                <w:sz w:val="13"/>
                <w:szCs w:val="13"/>
                <w:color w:val="auto"/>
              </w:rPr>
              <w:t>$’000</w:t>
            </w:r>
          </w:p>
        </w:tc>
      </w:tr>
      <w:tr>
        <w:trPr>
          <w:trHeight w:val="182"/>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assets as stated under IFRS</w:t>
            </w:r>
          </w:p>
        </w:tc>
        <w:tc>
          <w:tcPr>
            <w:tcW w:w="3020" w:type="dxa"/>
            <w:vAlign w:val="bottom"/>
            <w:tcBorders>
              <w:bottom w:val="single" w:sz="8" w:color="CCEEFF"/>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17,491,317</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3,465,799</w:t>
            </w:r>
          </w:p>
        </w:tc>
        <w:tc>
          <w:tcPr>
            <w:tcW w:w="20" w:type="dxa"/>
            <w:vAlign w:val="bottom"/>
            <w:tcBorders>
              <w:bottom w:val="single" w:sz="8" w:color="CCEEFF"/>
            </w:tcBorders>
            <w:shd w:val="clear" w:color="auto" w:fill="CCEEFF"/>
          </w:tcPr>
          <w:p>
            <w:pPr>
              <w:spacing w:after="0"/>
              <w:rPr>
                <w:sz w:val="15"/>
                <w:szCs w:val="15"/>
                <w:color w:val="auto"/>
              </w:rPr>
            </w:pPr>
          </w:p>
        </w:tc>
      </w:tr>
      <w:tr>
        <w:trPr>
          <w:trHeight w:val="202"/>
        </w:trPr>
        <w:tc>
          <w:tcPr>
            <w:tcW w:w="71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70"/>
        </w:trPr>
        <w:tc>
          <w:tcPr>
            <w:tcW w:w="71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U.S. GAAP adjustments</w:t>
            </w:r>
          </w:p>
        </w:tc>
        <w:tc>
          <w:tcPr>
            <w:tcW w:w="30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0"/>
        </w:trPr>
        <w:tc>
          <w:tcPr>
            <w:tcW w:w="7100" w:type="dxa"/>
            <w:vAlign w:val="bottom"/>
          </w:tcPr>
          <w:p>
            <w:pPr>
              <w:ind w:left="20"/>
              <w:spacing w:after="0"/>
              <w:rPr>
                <w:sz w:val="20"/>
                <w:szCs w:val="20"/>
                <w:color w:val="auto"/>
              </w:rPr>
            </w:pPr>
            <w:r>
              <w:rPr>
                <w:rFonts w:ascii="Arial" w:cs="Arial" w:eastAsia="Arial" w:hAnsi="Arial"/>
                <w:sz w:val="13"/>
                <w:szCs w:val="13"/>
                <w:color w:val="auto"/>
              </w:rPr>
              <w:t>Right-of-use asset amortisation adjustment under IFRS</w:t>
            </w:r>
          </w:p>
        </w:tc>
        <w:tc>
          <w:tcPr>
            <w:tcW w:w="3020" w:type="dxa"/>
            <w:vAlign w:val="bottom"/>
          </w:tcPr>
          <w:p>
            <w:pPr>
              <w:jc w:val="right"/>
              <w:ind w:right="316"/>
              <w:spacing w:after="0"/>
              <w:rPr>
                <w:sz w:val="20"/>
                <w:szCs w:val="20"/>
                <w:color w:val="auto"/>
              </w:rPr>
            </w:pPr>
            <w:r>
              <w:rPr>
                <w:rFonts w:ascii="Arial" w:cs="Arial" w:eastAsia="Arial" w:hAnsi="Arial"/>
                <w:sz w:val="13"/>
                <w:szCs w:val="13"/>
                <w:b w:val="1"/>
                <w:bCs w:val="1"/>
                <w:color w:val="auto"/>
              </w:rPr>
              <w:t>1,092</w:t>
            </w:r>
          </w:p>
        </w:tc>
        <w:tc>
          <w:tcPr>
            <w:tcW w:w="1140" w:type="dxa"/>
            <w:vAlign w:val="bottom"/>
          </w:tcPr>
          <w:p>
            <w:pPr>
              <w:jc w:val="right"/>
              <w:spacing w:after="0"/>
              <w:rPr>
                <w:sz w:val="20"/>
                <w:szCs w:val="20"/>
                <w:color w:val="auto"/>
              </w:rPr>
            </w:pPr>
            <w:r>
              <w:rPr>
                <w:rFonts w:ascii="Arial" w:cs="Arial" w:eastAsia="Arial" w:hAnsi="Arial"/>
                <w:sz w:val="13"/>
                <w:szCs w:val="13"/>
                <w:color w:val="auto"/>
              </w:rPr>
              <w:t>1,482</w:t>
            </w:r>
          </w:p>
        </w:tc>
        <w:tc>
          <w:tcPr>
            <w:tcW w:w="20" w:type="dxa"/>
            <w:vAlign w:val="bottom"/>
          </w:tcPr>
          <w:p>
            <w:pPr>
              <w:spacing w:after="0"/>
              <w:rPr>
                <w:sz w:val="14"/>
                <w:szCs w:val="14"/>
                <w:color w:val="auto"/>
              </w:rPr>
            </w:pPr>
          </w:p>
        </w:tc>
      </w:tr>
      <w:tr>
        <w:trPr>
          <w:trHeight w:val="170"/>
        </w:trPr>
        <w:tc>
          <w:tcPr>
            <w:tcW w:w="7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Goodwill (net) arising on PRA merger related stock compensation</w:t>
            </w:r>
          </w:p>
        </w:tc>
        <w:tc>
          <w:tcPr>
            <w:tcW w:w="302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(58,199)</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r>
      <w:tr>
        <w:trPr>
          <w:trHeight w:val="170"/>
        </w:trPr>
        <w:tc>
          <w:tcPr>
            <w:tcW w:w="7100" w:type="dxa"/>
            <w:vAlign w:val="bottom"/>
          </w:tcPr>
          <w:p>
            <w:pPr>
              <w:ind w:left="20"/>
              <w:spacing w:after="0"/>
              <w:rPr>
                <w:sz w:val="20"/>
                <w:szCs w:val="20"/>
                <w:color w:val="auto"/>
              </w:rPr>
            </w:pPr>
            <w:r>
              <w:rPr>
                <w:rFonts w:ascii="Arial" w:cs="Arial" w:eastAsia="Arial" w:hAnsi="Arial"/>
                <w:sz w:val="13"/>
                <w:szCs w:val="13"/>
                <w:color w:val="auto"/>
              </w:rPr>
              <w:t>Goodwill (net) arising on merger with PRAI</w:t>
            </w:r>
          </w:p>
        </w:tc>
        <w:tc>
          <w:tcPr>
            <w:tcW w:w="3020" w:type="dxa"/>
            <w:vAlign w:val="bottom"/>
          </w:tcPr>
          <w:p>
            <w:pPr>
              <w:jc w:val="right"/>
              <w:ind w:right="296"/>
              <w:spacing w:after="0"/>
              <w:rPr>
                <w:sz w:val="20"/>
                <w:szCs w:val="20"/>
                <w:color w:val="auto"/>
              </w:rPr>
            </w:pPr>
            <w:r>
              <w:rPr>
                <w:rFonts w:ascii="Arial" w:cs="Arial" w:eastAsia="Arial" w:hAnsi="Arial"/>
                <w:sz w:val="13"/>
                <w:szCs w:val="13"/>
                <w:b w:val="1"/>
                <w:bCs w:val="1"/>
                <w:color w:val="auto"/>
              </w:rPr>
              <w:t>(14,009)</w:t>
            </w:r>
          </w:p>
        </w:tc>
        <w:tc>
          <w:tcPr>
            <w:tcW w:w="1140" w:type="dxa"/>
            <w:vAlign w:val="bottom"/>
          </w:tcPr>
          <w:p>
            <w:pPr>
              <w:jc w:val="right"/>
              <w:spacing w:after="0"/>
              <w:rPr>
                <w:sz w:val="20"/>
                <w:szCs w:val="20"/>
                <w:color w:val="auto"/>
              </w:rPr>
            </w:pPr>
            <w:r>
              <w:rPr>
                <w:rFonts w:ascii="Arial" w:cs="Arial" w:eastAsia="Arial" w:hAnsi="Arial"/>
                <w:sz w:val="13"/>
                <w:szCs w:val="13"/>
                <w:color w:val="auto"/>
              </w:rPr>
              <w:t>(14,009)</w:t>
            </w:r>
          </w:p>
        </w:tc>
        <w:tc>
          <w:tcPr>
            <w:tcW w:w="20" w:type="dxa"/>
            <w:vAlign w:val="bottom"/>
          </w:tcPr>
          <w:p>
            <w:pPr>
              <w:spacing w:after="0"/>
              <w:rPr>
                <w:sz w:val="14"/>
                <w:szCs w:val="14"/>
                <w:color w:val="auto"/>
              </w:rPr>
            </w:pPr>
          </w:p>
        </w:tc>
      </w:tr>
      <w:tr>
        <w:trPr>
          <w:trHeight w:val="170"/>
        </w:trPr>
        <w:tc>
          <w:tcPr>
            <w:tcW w:w="7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Goodwill on fair value adjustment to unearned revenue under IFRS</w:t>
            </w:r>
          </w:p>
        </w:tc>
        <w:tc>
          <w:tcPr>
            <w:tcW w:w="302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16,000</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r>
      <w:tr>
        <w:trPr>
          <w:trHeight w:val="170"/>
        </w:trPr>
        <w:tc>
          <w:tcPr>
            <w:tcW w:w="7100" w:type="dxa"/>
            <w:vAlign w:val="bottom"/>
          </w:tcPr>
          <w:p>
            <w:pPr>
              <w:ind w:left="20"/>
              <w:spacing w:after="0"/>
              <w:rPr>
                <w:sz w:val="20"/>
                <w:szCs w:val="20"/>
                <w:color w:val="auto"/>
              </w:rPr>
            </w:pPr>
            <w:r>
              <w:rPr>
                <w:rFonts w:ascii="Arial" w:cs="Arial" w:eastAsia="Arial" w:hAnsi="Arial"/>
                <w:sz w:val="13"/>
                <w:szCs w:val="13"/>
                <w:color w:val="auto"/>
              </w:rPr>
              <w:t>Deferred tax adjustments on share-based payments</w:t>
            </w:r>
          </w:p>
        </w:tc>
        <w:tc>
          <w:tcPr>
            <w:tcW w:w="3020" w:type="dxa"/>
            <w:vAlign w:val="bottom"/>
          </w:tcPr>
          <w:p>
            <w:pPr>
              <w:jc w:val="right"/>
              <w:ind w:right="296"/>
              <w:spacing w:after="0"/>
              <w:rPr>
                <w:sz w:val="20"/>
                <w:szCs w:val="20"/>
                <w:color w:val="auto"/>
              </w:rPr>
            </w:pPr>
            <w:r>
              <w:rPr>
                <w:rFonts w:ascii="Arial" w:cs="Arial" w:eastAsia="Arial" w:hAnsi="Arial"/>
                <w:sz w:val="13"/>
                <w:szCs w:val="13"/>
                <w:b w:val="1"/>
                <w:bCs w:val="1"/>
                <w:color w:val="auto"/>
              </w:rPr>
              <w:t>(48,668)</w:t>
            </w:r>
          </w:p>
        </w:tc>
        <w:tc>
          <w:tcPr>
            <w:tcW w:w="1140" w:type="dxa"/>
            <w:vAlign w:val="bottom"/>
          </w:tcPr>
          <w:p>
            <w:pPr>
              <w:jc w:val="right"/>
              <w:spacing w:after="0"/>
              <w:rPr>
                <w:sz w:val="20"/>
                <w:szCs w:val="20"/>
                <w:color w:val="auto"/>
              </w:rPr>
            </w:pPr>
            <w:r>
              <w:rPr>
                <w:rFonts w:ascii="Arial" w:cs="Arial" w:eastAsia="Arial" w:hAnsi="Arial"/>
                <w:sz w:val="13"/>
                <w:szCs w:val="13"/>
                <w:color w:val="auto"/>
              </w:rPr>
              <w:t>(17,666)</w:t>
            </w:r>
          </w:p>
        </w:tc>
        <w:tc>
          <w:tcPr>
            <w:tcW w:w="20" w:type="dxa"/>
            <w:vAlign w:val="bottom"/>
          </w:tcPr>
          <w:p>
            <w:pPr>
              <w:spacing w:after="0"/>
              <w:rPr>
                <w:sz w:val="14"/>
                <w:szCs w:val="14"/>
                <w:color w:val="auto"/>
              </w:rPr>
            </w:pPr>
          </w:p>
        </w:tc>
      </w:tr>
      <w:tr>
        <w:trPr>
          <w:trHeight w:val="170"/>
        </w:trPr>
        <w:tc>
          <w:tcPr>
            <w:tcW w:w="7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tax adjustments on right-of-use assets</w:t>
            </w:r>
          </w:p>
        </w:tc>
        <w:tc>
          <w:tcPr>
            <w:tcW w:w="302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(174)</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r>
      <w:tr>
        <w:trPr>
          <w:trHeight w:val="170"/>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Deferred tax asset and liability offset</w:t>
            </w:r>
          </w:p>
        </w:tc>
        <w:tc>
          <w:tcPr>
            <w:tcW w:w="302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(269)</w:t>
            </w:r>
          </w:p>
        </w:tc>
        <w:tc>
          <w:tcPr>
            <w:tcW w:w="1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192"/>
        </w:trPr>
        <w:tc>
          <w:tcPr>
            <w:tcW w:w="7100" w:type="dxa"/>
            <w:vAlign w:val="bottom"/>
            <w:shd w:val="clear" w:color="auto" w:fill="CCEEFF"/>
          </w:tcPr>
          <w:p>
            <w:pPr>
              <w:spacing w:after="0"/>
              <w:rPr>
                <w:sz w:val="16"/>
                <w:szCs w:val="16"/>
                <w:color w:val="auto"/>
              </w:rPr>
            </w:pPr>
          </w:p>
        </w:tc>
        <w:tc>
          <w:tcPr>
            <w:tcW w:w="30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71"/>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 assets as stated under U.S. GAAP</w:t>
            </w:r>
          </w:p>
        </w:tc>
        <w:tc>
          <w:tcPr>
            <w:tcW w:w="302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17,387,090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3,435,606</w:t>
            </w:r>
          </w:p>
        </w:tc>
        <w:tc>
          <w:tcPr>
            <w:tcW w:w="20" w:type="dxa"/>
            <w:vAlign w:val="bottom"/>
            <w:tcBorders>
              <w:bottom w:val="single" w:sz="8" w:color="auto"/>
            </w:tcBorders>
          </w:tcPr>
          <w:p>
            <w:pPr>
              <w:spacing w:after="0"/>
              <w:rPr>
                <w:sz w:val="14"/>
                <w:szCs w:val="14"/>
                <w:color w:val="auto"/>
              </w:rPr>
            </w:pPr>
          </w:p>
        </w:tc>
      </w:tr>
      <w:tr>
        <w:trPr>
          <w:trHeight w:val="422"/>
        </w:trPr>
        <w:tc>
          <w:tcPr>
            <w:tcW w:w="7100" w:type="dxa"/>
            <w:vAlign w:val="bottom"/>
          </w:tcPr>
          <w:p>
            <w:pPr>
              <w:spacing w:after="0"/>
              <w:rPr>
                <w:sz w:val="20"/>
                <w:szCs w:val="20"/>
                <w:color w:val="auto"/>
              </w:rPr>
            </w:pPr>
            <w:r>
              <w:rPr>
                <w:rFonts w:ascii="Arial" w:cs="Arial" w:eastAsia="Arial" w:hAnsi="Arial"/>
                <w:sz w:val="13"/>
                <w:szCs w:val="13"/>
                <w:i w:val="1"/>
                <w:iCs w:val="1"/>
                <w:color w:val="auto"/>
              </w:rPr>
              <w:t>(iv) Effect on total liabilities</w:t>
            </w:r>
          </w:p>
        </w:tc>
        <w:tc>
          <w:tcPr>
            <w:tcW w:w="3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7100" w:type="dxa"/>
            <w:vAlign w:val="bottom"/>
          </w:tcPr>
          <w:p>
            <w:pPr>
              <w:spacing w:after="0"/>
              <w:rPr>
                <w:sz w:val="7"/>
                <w:szCs w:val="7"/>
                <w:color w:val="auto"/>
              </w:rPr>
            </w:pPr>
          </w:p>
        </w:tc>
        <w:tc>
          <w:tcPr>
            <w:tcW w:w="3020" w:type="dxa"/>
            <w:vAlign w:val="bottom"/>
          </w:tcPr>
          <w:p>
            <w:pPr>
              <w:spacing w:after="0"/>
              <w:rPr>
                <w:sz w:val="7"/>
                <w:szCs w:val="7"/>
                <w:color w:val="auto"/>
              </w:rPr>
            </w:pPr>
          </w:p>
        </w:tc>
        <w:tc>
          <w:tcPr>
            <w:tcW w:w="1160" w:type="dxa"/>
            <w:vAlign w:val="bottom"/>
            <w:gridSpan w:val="2"/>
          </w:tcPr>
          <w:p>
            <w:pPr>
              <w:spacing w:after="0"/>
              <w:rPr>
                <w:sz w:val="7"/>
                <w:szCs w:val="7"/>
                <w:color w:val="auto"/>
              </w:rPr>
            </w:pPr>
          </w:p>
        </w:tc>
      </w:tr>
      <w:tr>
        <w:trPr>
          <w:trHeight w:val="127"/>
        </w:trPr>
        <w:tc>
          <w:tcPr>
            <w:tcW w:w="7100" w:type="dxa"/>
            <w:vAlign w:val="bottom"/>
            <w:shd w:val="clear" w:color="auto" w:fill="CCEEFF"/>
          </w:tcPr>
          <w:p>
            <w:pPr>
              <w:spacing w:after="0"/>
              <w:rPr>
                <w:sz w:val="11"/>
                <w:szCs w:val="11"/>
                <w:color w:val="auto"/>
              </w:rPr>
            </w:pPr>
          </w:p>
        </w:tc>
        <w:tc>
          <w:tcPr>
            <w:tcW w:w="3020" w:type="dxa"/>
            <w:vAlign w:val="bottom"/>
            <w:shd w:val="clear" w:color="auto" w:fill="CCEEFF"/>
          </w:tcPr>
          <w:p>
            <w:pPr>
              <w:ind w:left="1860"/>
              <w:spacing w:after="0" w:line="128" w:lineRule="exact"/>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31 December</w:t>
            </w:r>
          </w:p>
        </w:tc>
        <w:tc>
          <w:tcPr>
            <w:tcW w:w="20" w:type="dxa"/>
            <w:vAlign w:val="bottom"/>
          </w:tcPr>
          <w:p>
            <w:pPr>
              <w:spacing w:after="0"/>
              <w:rPr>
                <w:sz w:val="11"/>
                <w:szCs w:val="11"/>
                <w:color w:val="auto"/>
              </w:rPr>
            </w:pPr>
          </w:p>
        </w:tc>
      </w:tr>
      <w:tr>
        <w:trPr>
          <w:trHeight w:val="170"/>
        </w:trPr>
        <w:tc>
          <w:tcPr>
            <w:tcW w:w="7100" w:type="dxa"/>
            <w:vAlign w:val="bottom"/>
            <w:tcBorders>
              <w:bottom w:val="single" w:sz="8" w:color="auto"/>
            </w:tcBorders>
            <w:shd w:val="clear" w:color="auto" w:fill="CCEEFF"/>
          </w:tcPr>
          <w:p>
            <w:pPr>
              <w:spacing w:after="0"/>
              <w:rPr>
                <w:sz w:val="14"/>
                <w:szCs w:val="14"/>
                <w:color w:val="auto"/>
              </w:rPr>
            </w:pPr>
          </w:p>
        </w:tc>
        <w:tc>
          <w:tcPr>
            <w:tcW w:w="302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2021</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2020</w:t>
            </w:r>
          </w:p>
        </w:tc>
        <w:tc>
          <w:tcPr>
            <w:tcW w:w="20" w:type="dxa"/>
            <w:vAlign w:val="bottom"/>
          </w:tcPr>
          <w:p>
            <w:pPr>
              <w:spacing w:after="0"/>
              <w:rPr>
                <w:sz w:val="14"/>
                <w:szCs w:val="14"/>
                <w:color w:val="auto"/>
              </w:rPr>
            </w:pPr>
          </w:p>
        </w:tc>
      </w:tr>
      <w:tr>
        <w:trPr>
          <w:trHeight w:val="160"/>
        </w:trPr>
        <w:tc>
          <w:tcPr>
            <w:tcW w:w="7100" w:type="dxa"/>
            <w:vAlign w:val="bottom"/>
          </w:tcPr>
          <w:p>
            <w:pPr>
              <w:spacing w:after="0"/>
              <w:rPr>
                <w:sz w:val="13"/>
                <w:szCs w:val="13"/>
                <w:color w:val="auto"/>
              </w:rPr>
            </w:pPr>
          </w:p>
        </w:tc>
        <w:tc>
          <w:tcPr>
            <w:tcW w:w="302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60" w:type="dxa"/>
            <w:vAlign w:val="bottom"/>
            <w:gridSpan w:val="2"/>
          </w:tcPr>
          <w:p>
            <w:pPr>
              <w:jc w:val="right"/>
              <w:ind w:right="40"/>
              <w:spacing w:after="0"/>
              <w:rPr>
                <w:sz w:val="20"/>
                <w:szCs w:val="20"/>
                <w:color w:val="auto"/>
              </w:rPr>
            </w:pPr>
            <w:r>
              <w:rPr>
                <w:rFonts w:ascii="Arial" w:cs="Arial" w:eastAsia="Arial" w:hAnsi="Arial"/>
                <w:sz w:val="13"/>
                <w:szCs w:val="13"/>
                <w:color w:val="auto"/>
              </w:rPr>
              <w:t>$’000</w:t>
            </w:r>
          </w:p>
        </w:tc>
      </w:tr>
      <w:tr>
        <w:trPr>
          <w:trHeight w:val="170"/>
        </w:trPr>
        <w:tc>
          <w:tcPr>
            <w:tcW w:w="7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liabilities as stated under IFRS</w:t>
            </w:r>
          </w:p>
        </w:tc>
        <w:tc>
          <w:tcPr>
            <w:tcW w:w="302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9,313,452</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1,585,130</w:t>
            </w:r>
          </w:p>
        </w:tc>
        <w:tc>
          <w:tcPr>
            <w:tcW w:w="20" w:type="dxa"/>
            <w:vAlign w:val="bottom"/>
          </w:tcPr>
          <w:p>
            <w:pPr>
              <w:spacing w:after="0"/>
              <w:rPr>
                <w:sz w:val="14"/>
                <w:szCs w:val="14"/>
                <w:color w:val="auto"/>
              </w:rPr>
            </w:pPr>
          </w:p>
        </w:tc>
      </w:tr>
      <w:tr>
        <w:trPr>
          <w:trHeight w:val="202"/>
        </w:trPr>
        <w:tc>
          <w:tcPr>
            <w:tcW w:w="71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70"/>
        </w:trPr>
        <w:tc>
          <w:tcPr>
            <w:tcW w:w="71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U.S. GAAP adjustments</w:t>
            </w:r>
          </w:p>
        </w:tc>
        <w:tc>
          <w:tcPr>
            <w:tcW w:w="30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70"/>
        </w:trPr>
        <w:tc>
          <w:tcPr>
            <w:tcW w:w="7100" w:type="dxa"/>
            <w:vAlign w:val="bottom"/>
          </w:tcPr>
          <w:p>
            <w:pPr>
              <w:ind w:left="20"/>
              <w:spacing w:after="0"/>
              <w:rPr>
                <w:sz w:val="20"/>
                <w:szCs w:val="20"/>
                <w:color w:val="auto"/>
              </w:rPr>
            </w:pPr>
            <w:r>
              <w:rPr>
                <w:rFonts w:ascii="Arial" w:cs="Arial" w:eastAsia="Arial" w:hAnsi="Arial"/>
                <w:sz w:val="13"/>
                <w:szCs w:val="13"/>
                <w:color w:val="auto"/>
              </w:rPr>
              <w:t>Fair value adjustment to unearned revenue under IFRS</w:t>
            </w:r>
          </w:p>
        </w:tc>
        <w:tc>
          <w:tcPr>
            <w:tcW w:w="3020" w:type="dxa"/>
            <w:vAlign w:val="bottom"/>
          </w:tcPr>
          <w:p>
            <w:pPr>
              <w:jc w:val="right"/>
              <w:ind w:right="336"/>
              <w:spacing w:after="0"/>
              <w:rPr>
                <w:sz w:val="20"/>
                <w:szCs w:val="20"/>
                <w:color w:val="auto"/>
              </w:rPr>
            </w:pPr>
            <w:r>
              <w:rPr>
                <w:rFonts w:ascii="Arial" w:cs="Arial" w:eastAsia="Arial" w:hAnsi="Arial"/>
                <w:sz w:val="13"/>
                <w:szCs w:val="13"/>
                <w:b w:val="1"/>
                <w:bCs w:val="1"/>
                <w:color w:val="auto"/>
              </w:rPr>
              <w:t>8,000</w:t>
            </w:r>
          </w:p>
        </w:tc>
        <w:tc>
          <w:tcPr>
            <w:tcW w:w="11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r>
        <w:trPr>
          <w:trHeight w:val="170"/>
        </w:trPr>
        <w:tc>
          <w:tcPr>
            <w:tcW w:w="7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Lease liability valuation adjustment under IFRS</w:t>
            </w:r>
          </w:p>
        </w:tc>
        <w:tc>
          <w:tcPr>
            <w:tcW w:w="302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(1,423)</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r>
      <w:tr>
        <w:trPr>
          <w:trHeight w:val="170"/>
        </w:trPr>
        <w:tc>
          <w:tcPr>
            <w:tcW w:w="7100" w:type="dxa"/>
            <w:vAlign w:val="bottom"/>
          </w:tcPr>
          <w:p>
            <w:pPr>
              <w:ind w:left="20"/>
              <w:spacing w:after="0"/>
              <w:rPr>
                <w:sz w:val="20"/>
                <w:szCs w:val="20"/>
                <w:color w:val="auto"/>
              </w:rPr>
            </w:pPr>
            <w:r>
              <w:rPr>
                <w:rFonts w:ascii="Arial" w:cs="Arial" w:eastAsia="Arial" w:hAnsi="Arial"/>
                <w:sz w:val="13"/>
                <w:szCs w:val="13"/>
                <w:color w:val="auto"/>
              </w:rPr>
              <w:t>Deferred tax adjustments on leases</w:t>
            </w:r>
          </w:p>
        </w:tc>
        <w:tc>
          <w:tcPr>
            <w:tcW w:w="3020" w:type="dxa"/>
            <w:vAlign w:val="bottom"/>
          </w:tcPr>
          <w:p>
            <w:pPr>
              <w:jc w:val="right"/>
              <w:ind w:right="336"/>
              <w:spacing w:after="0"/>
              <w:rPr>
                <w:sz w:val="20"/>
                <w:szCs w:val="20"/>
                <w:color w:val="auto"/>
              </w:rPr>
            </w:pPr>
            <w:r>
              <w:rPr>
                <w:rFonts w:ascii="Arial" w:cs="Arial" w:eastAsia="Arial" w:hAnsi="Arial"/>
                <w:sz w:val="13"/>
                <w:szCs w:val="13"/>
                <w:b w:val="1"/>
                <w:bCs w:val="1"/>
                <w:color w:val="auto"/>
              </w:rPr>
              <w:t>503</w:t>
            </w:r>
          </w:p>
        </w:tc>
        <w:tc>
          <w:tcPr>
            <w:tcW w:w="1140" w:type="dxa"/>
            <w:vAlign w:val="bottom"/>
          </w:tcPr>
          <w:p>
            <w:pPr>
              <w:jc w:val="right"/>
              <w:spacing w:after="0"/>
              <w:rPr>
                <w:sz w:val="20"/>
                <w:szCs w:val="20"/>
                <w:color w:val="auto"/>
              </w:rPr>
            </w:pPr>
            <w:r>
              <w:rPr>
                <w:rFonts w:ascii="Arial" w:cs="Arial" w:eastAsia="Arial" w:hAnsi="Arial"/>
                <w:sz w:val="13"/>
                <w:szCs w:val="13"/>
                <w:color w:val="auto"/>
              </w:rPr>
              <w:t>240</w:t>
            </w:r>
          </w:p>
        </w:tc>
        <w:tc>
          <w:tcPr>
            <w:tcW w:w="20" w:type="dxa"/>
            <w:vAlign w:val="bottom"/>
          </w:tcPr>
          <w:p>
            <w:pPr>
              <w:spacing w:after="0"/>
              <w:rPr>
                <w:sz w:val="14"/>
                <w:szCs w:val="14"/>
                <w:color w:val="auto"/>
              </w:rPr>
            </w:pPr>
          </w:p>
        </w:tc>
      </w:tr>
      <w:tr>
        <w:trPr>
          <w:trHeight w:val="170"/>
        </w:trPr>
        <w:tc>
          <w:tcPr>
            <w:tcW w:w="7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tax asset and liability offset</w:t>
            </w:r>
          </w:p>
        </w:tc>
        <w:tc>
          <w:tcPr>
            <w:tcW w:w="302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(269)</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r>
      <w:tr>
        <w:trPr>
          <w:trHeight w:val="212"/>
        </w:trPr>
        <w:tc>
          <w:tcPr>
            <w:tcW w:w="710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62"/>
        </w:trPr>
        <w:tc>
          <w:tcPr>
            <w:tcW w:w="7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 liabilities as stated under U.S. GAAP</w:t>
            </w:r>
          </w:p>
        </w:tc>
        <w:tc>
          <w:tcPr>
            <w:tcW w:w="30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9,320,263</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1,585,370</w:t>
            </w:r>
          </w:p>
        </w:tc>
        <w:tc>
          <w:tcPr>
            <w:tcW w:w="20" w:type="dxa"/>
            <w:vAlign w:val="bottom"/>
          </w:tcPr>
          <w:p>
            <w:pPr>
              <w:spacing w:after="0"/>
              <w:rPr>
                <w:sz w:val="14"/>
                <w:szCs w:val="14"/>
                <w:color w:val="auto"/>
              </w:rPr>
            </w:pPr>
          </w:p>
        </w:tc>
      </w:tr>
    </w:tbl>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154</w:t>
      </w:r>
    </w:p>
    <w:p>
      <w:pPr>
        <w:sectPr>
          <w:pgSz w:w="11900" w:h="16838" w:orient="portrait"/>
          <w:cols w:equalWidth="0" w:num="1">
            <w:col w:w="11280"/>
          </w:cols>
          <w:pgMar w:left="300" w:top="1271" w:right="31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color w:val="auto"/>
        </w:rPr>
        <w:t>Appendix A: Risk Factors</w:t>
      </w:r>
    </w:p>
    <w:p>
      <w:pPr>
        <w:spacing w:after="0" w:line="359"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Risk Related to Our Business and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depend on a limited number of customers and a loss of or significant decrease in business from one or more of them could affect our business.</w:t>
      </w:r>
    </w:p>
    <w:p>
      <w:pPr>
        <w:spacing w:after="0" w:line="84" w:lineRule="exact"/>
        <w:rPr>
          <w:sz w:val="20"/>
          <w:szCs w:val="20"/>
          <w:color w:val="auto"/>
        </w:rPr>
      </w:pPr>
    </w:p>
    <w:p>
      <w:pPr>
        <w:jc w:val="both"/>
        <w:spacing w:after="0" w:line="260" w:lineRule="auto"/>
        <w:rPr>
          <w:sz w:val="20"/>
          <w:szCs w:val="20"/>
          <w:color w:val="auto"/>
        </w:rPr>
      </w:pPr>
      <w:r>
        <w:rPr>
          <w:rFonts w:ascii="Arial" w:cs="Arial" w:eastAsia="Arial" w:hAnsi="Arial"/>
          <w:sz w:val="13"/>
          <w:szCs w:val="13"/>
          <w:color w:val="auto"/>
        </w:rPr>
        <w:t>During the year ended 31 December 2021, 31.6% of our revenues were derived from our top five customers, with no one customer individually contributing more than 10% of our revenues during the period. Our largest customer represented a strategic partnership with a large global pharmaceutical company and contributed 8.0% of revenue for the year. During the year ended 31 December 2020, 39.1% of our revenues were derived from our top five customers, with one customer contributing more than 10% of our revenues during the period (12.1%). No other customer contributed more than 10% of our revenues during this period. During the year ended 31 December 2019, 37.6% of our revenues were derived from our top five customers, with two customers contributing more than 10% of our revenues during the period (the largest contributing 12.5% and the second largest contributing 10.2%). No other customer contributed more than 10% of our revenues during this period. If we lose clients, we may not be able to attract new ones and if we lose individual projects, we may not be able to replace them. The loss of, or a significant decrease in business from one or more of these key customers could have a material adverse impact on our results of operations and financial results.</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Our financial results may be adversely impacted if we under price our contracts, overrun our cost estimates or fail to receive approval for or experience delays in documenting change orders.</w:t>
      </w:r>
    </w:p>
    <w:p>
      <w:pPr>
        <w:spacing w:after="0" w:line="208"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Many of our contracts are long-term fixed price or fixed unit price contracts for services. As a result, variations in the timing and progress of large contracts may materially adversely affect our results of operations. Revenue recognised on these service contracts are based on an assessment of progress towards completion being the cost of time and other third-party costs as a percentage of total estimated time and other third-party costs to deliver our services. As a result, variations in the timing and progress of large contracts may materially adversely affect our results of operations. Estimating time and costs to complete requires judgment and includes consideration of the complexity of the study, the number of geographical sites where trials are to be conducted and the number of patients to be recruited at each site. We regularly review the estimated hours on each contract to determine if the budget accurately reflects the agreed tasks to be performed taking into account the state of progress at the time of review.</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bear the risk of cost overruns unless the scope of activity is revised from the contract specifications and we are able to negotiate a contract modification. We endeavour to ensure that any changes in scope are appropriately monitored and change orders or contract modifications are promptly negotiated and documented for changes in scope. If we were to fail to successfully negotiate change orders for changes in the resources required or the scope of the work to be performed and the costs of performance of these contracts exceeded their fixed fees, it could materially adversely affect our operations and financial results.</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potential loss or delay of our large contracts or of multiple contracts could adversely affect our results.</w:t>
      </w:r>
    </w:p>
    <w:p>
      <w:pPr>
        <w:spacing w:after="0" w:line="19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Our clients may discontinue using our services completely or cancel some projects either without notice or upon short notice. The termination or delay of a large contract or of multiple contracts could have a material adverse effect on our revenue and profitability. Historically, clients have cancelled or discontinued projects and may in the future cancel their contracts with us for reasons including, amongst others:</w:t>
      </w:r>
    </w:p>
    <w:p>
      <w:pPr>
        <w:spacing w:after="0" w:line="128" w:lineRule="exact"/>
        <w:rPr>
          <w:sz w:val="20"/>
          <w:szCs w:val="20"/>
          <w:color w:val="auto"/>
        </w:rPr>
      </w:pPr>
    </w:p>
    <w:p>
      <w:pPr>
        <w:ind w:left="260" w:hanging="255"/>
        <w:spacing w:after="0"/>
        <w:tabs>
          <w:tab w:leader="none" w:pos="260" w:val="left"/>
        </w:tabs>
        <w:numPr>
          <w:ilvl w:val="0"/>
          <w:numId w:val="147"/>
        </w:numPr>
        <w:rPr>
          <w:rFonts w:ascii="Arial" w:cs="Arial" w:eastAsia="Arial" w:hAnsi="Arial"/>
          <w:sz w:val="13"/>
          <w:szCs w:val="13"/>
          <w:color w:val="auto"/>
        </w:rPr>
      </w:pPr>
      <w:r>
        <w:rPr>
          <w:rFonts w:ascii="Arial" w:cs="Arial" w:eastAsia="Arial" w:hAnsi="Arial"/>
          <w:sz w:val="13"/>
          <w:szCs w:val="13"/>
          <w:color w:val="auto"/>
        </w:rPr>
        <w:t>the failure of products being tested to satisfy safety or efficacy requirements;</w:t>
      </w:r>
    </w:p>
    <w:p>
      <w:pPr>
        <w:spacing w:after="0" w:line="11" w:lineRule="exact"/>
        <w:rPr>
          <w:rFonts w:ascii="Arial" w:cs="Arial" w:eastAsia="Arial" w:hAnsi="Arial"/>
          <w:sz w:val="13"/>
          <w:szCs w:val="13"/>
          <w:color w:val="auto"/>
        </w:rPr>
      </w:pPr>
    </w:p>
    <w:p>
      <w:pPr>
        <w:ind w:left="260" w:hanging="255"/>
        <w:spacing w:after="0"/>
        <w:tabs>
          <w:tab w:leader="none" w:pos="260" w:val="left"/>
        </w:tabs>
        <w:numPr>
          <w:ilvl w:val="0"/>
          <w:numId w:val="147"/>
        </w:numPr>
        <w:rPr>
          <w:rFonts w:ascii="Arial" w:cs="Arial" w:eastAsia="Arial" w:hAnsi="Arial"/>
          <w:sz w:val="13"/>
          <w:szCs w:val="13"/>
          <w:color w:val="auto"/>
        </w:rPr>
      </w:pPr>
      <w:r>
        <w:rPr>
          <w:rFonts w:ascii="Arial" w:cs="Arial" w:eastAsia="Arial" w:hAnsi="Arial"/>
          <w:sz w:val="13"/>
          <w:szCs w:val="13"/>
          <w:color w:val="auto"/>
        </w:rPr>
        <w:t>unexpected or undesired clinical results of the product;</w:t>
      </w:r>
    </w:p>
    <w:p>
      <w:pPr>
        <w:ind w:left="260" w:hanging="255"/>
        <w:spacing w:after="0"/>
        <w:tabs>
          <w:tab w:leader="none" w:pos="260" w:val="left"/>
        </w:tabs>
        <w:numPr>
          <w:ilvl w:val="0"/>
          <w:numId w:val="147"/>
        </w:numPr>
        <w:rPr>
          <w:rFonts w:ascii="Arial" w:cs="Arial" w:eastAsia="Arial" w:hAnsi="Arial"/>
          <w:sz w:val="13"/>
          <w:szCs w:val="13"/>
          <w:color w:val="auto"/>
        </w:rPr>
      </w:pPr>
      <w:r>
        <w:rPr>
          <w:rFonts w:ascii="Arial" w:cs="Arial" w:eastAsia="Arial" w:hAnsi="Arial"/>
          <w:sz w:val="13"/>
          <w:szCs w:val="13"/>
          <w:color w:val="auto"/>
        </w:rPr>
        <w:t>a decision that a particular study is no longer necessary or viable;</w:t>
      </w:r>
    </w:p>
    <w:p>
      <w:pPr>
        <w:spacing w:after="0" w:line="5" w:lineRule="exact"/>
        <w:rPr>
          <w:rFonts w:ascii="Arial" w:cs="Arial" w:eastAsia="Arial" w:hAnsi="Arial"/>
          <w:sz w:val="13"/>
          <w:szCs w:val="13"/>
          <w:color w:val="auto"/>
        </w:rPr>
      </w:pPr>
    </w:p>
    <w:p>
      <w:pPr>
        <w:ind w:left="260" w:hanging="255"/>
        <w:spacing w:after="0"/>
        <w:tabs>
          <w:tab w:leader="none" w:pos="260" w:val="left"/>
        </w:tabs>
        <w:numPr>
          <w:ilvl w:val="0"/>
          <w:numId w:val="147"/>
        </w:numPr>
        <w:rPr>
          <w:rFonts w:ascii="Arial" w:cs="Arial" w:eastAsia="Arial" w:hAnsi="Arial"/>
          <w:sz w:val="13"/>
          <w:szCs w:val="13"/>
          <w:color w:val="auto"/>
        </w:rPr>
      </w:pPr>
      <w:r>
        <w:rPr>
          <w:rFonts w:ascii="Arial" w:cs="Arial" w:eastAsia="Arial" w:hAnsi="Arial"/>
          <w:sz w:val="13"/>
          <w:szCs w:val="13"/>
          <w:color w:val="auto"/>
        </w:rPr>
        <w:t>poor project performance, quality concerns, insufficient patient enrolment or investigator recruitment; and</w:t>
      </w:r>
    </w:p>
    <w:p>
      <w:pPr>
        <w:spacing w:after="0" w:line="2" w:lineRule="exact"/>
        <w:rPr>
          <w:rFonts w:ascii="Arial" w:cs="Arial" w:eastAsia="Arial" w:hAnsi="Arial"/>
          <w:sz w:val="13"/>
          <w:szCs w:val="13"/>
          <w:color w:val="auto"/>
        </w:rPr>
      </w:pPr>
    </w:p>
    <w:p>
      <w:pPr>
        <w:ind w:left="260" w:hanging="255"/>
        <w:spacing w:after="0"/>
        <w:tabs>
          <w:tab w:leader="none" w:pos="260" w:val="left"/>
        </w:tabs>
        <w:numPr>
          <w:ilvl w:val="0"/>
          <w:numId w:val="147"/>
        </w:numPr>
        <w:rPr>
          <w:rFonts w:ascii="Arial" w:cs="Arial" w:eastAsia="Arial" w:hAnsi="Arial"/>
          <w:sz w:val="13"/>
          <w:szCs w:val="13"/>
          <w:color w:val="auto"/>
        </w:rPr>
      </w:pPr>
      <w:r>
        <w:rPr>
          <w:rFonts w:ascii="Arial" w:cs="Arial" w:eastAsia="Arial" w:hAnsi="Arial"/>
          <w:sz w:val="13"/>
          <w:szCs w:val="13"/>
          <w:color w:val="auto"/>
        </w:rPr>
        <w:t>production problems resulting in shortages of the drug.</w:t>
      </w:r>
    </w:p>
    <w:p>
      <w:pPr>
        <w:spacing w:after="0" w:line="14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As a result, contract terminations, delays or other changes are part of our clinical services business. In the event of termination, our contracts often provide for fees for winding down the trial but these fees may not be sufficient for us to maintain our margins, and termination may result in lower resource utilisation rates. In addition, we may not realise the full benefits of our unsatisfied performance obligation of contractually committed services if our clients cancel, delay or reduce their commitments under our contracts with them. Therefore, the loss, early termination or delay of a large contract or contracts could adversely affect our revenues and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155</w:t>
      </w:r>
    </w:p>
    <w:p>
      <w:pPr>
        <w:sectPr>
          <w:pgSz w:w="11900" w:h="16838" w:orient="portrait"/>
          <w:cols w:equalWidth="0" w:num="1">
            <w:col w:w="11280"/>
          </w:cols>
          <w:pgMar w:left="300" w:top="1270" w:right="319" w:bottom="1440" w:gutter="0" w:footer="0" w:header="0"/>
        </w:sectPr>
      </w:pPr>
    </w:p>
    <w:bookmarkStart w:id="172" w:name="page173"/>
    <w:bookmarkEnd w:id="172"/>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367"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If we do not generate new business awards, or if new business awards are delayed, terminated, reduced in scope or fail to go to contract, our business, financial conditions, results of operations or cash flows may be materially adversely affected.</w:t>
      </w:r>
    </w:p>
    <w:p>
      <w:pPr>
        <w:spacing w:after="0" w:line="144"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Our business is dependent on our ability to generate new business awards from new and existing customers and maintain existing customer contracts. If we were unable to generate new business awards on a timely basis and contract for those awards, that could have a material impact on our business, financial condition, results of operations or cash flows.</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we are unable to successfully develop and market new services or enter new markets, our growth, results of operations or financial condition could be adversely affected.</w:t>
      </w:r>
    </w:p>
    <w:p>
      <w:pPr>
        <w:spacing w:after="0" w:line="201"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A key element of our growth strategy is the successful development and marketing of new services or entering new markets that complement or expand our existing business. As we develop new services or enter new markets, we may not have or adequately build the competencies necessary to perform such services satisfactorily, may not receive market acceptance for such services or may face increased competition. If we are unable to succeed in developing new services, entering new markets or attracting a client base for our new services or in new markets, we will be unable to implement this element of our growth strategy, and our future business, reputation, results of operations could be adversely impacted.</w:t>
      </w:r>
    </w:p>
    <w:p>
      <w:pPr>
        <w:spacing w:after="0" w:line="25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we fail to attract or retain key personnel, our performance may suffer.</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Our business, future success and ability to continue to expand operations depends upon our ability to attract, hire, train and retain qualified professional, scientific and technical operating people. We compete for qualified professionals with other Clinical Research Organisations “CROs”, temporary staffing agencies and the in-house departments of pharmaceutical, biotechnology and medical device companies. An inability to attract and retain a sufficient number of high calibre clinical research professionals (in particular, key personnel and executives) at an acceptable cost would impact our ability to provide our services, our future performance and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ability to perform clinical trials is dependent upon the ability to recruit suitable willing patients.</w:t>
      </w:r>
    </w:p>
    <w:p>
      <w:pPr>
        <w:spacing w:after="0" w:line="201"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successful completion of clinical trials is dependent upon the ability to recruit suitable and willing patients on which to test the drug under study. The availability of suitable patients for enrolment on studies is dependent upon many factors including, amongst others, the size of the patient population, the design of the study protocol, eligibility criteria, the referral practices of physicians, the perceived risks and benefits of the drug under study and the availability of alternative medication, including medication undergoing separate clinical trials. Insufficient or inappropriate patient enrolment may result in the termination or delay of a study which could have a material adverse impact on our results of operations.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The Company is focused on continuing to develop its expertise in patient recruitment and on 3 September 2020, announced that it was launching Accellacare, a global clinical research network offering patients easier and faster access to innovative treatments and offering customers the option to deploy decentralised trails. The site network includes PMG Research in the US and MeDiNova in EMEA. The focus is on making it easier for the site and the patient to actively participate in a trial to ensure increased predictability, enrolment and retention. Our site and patient solutions group includes upfront planning of site and patient management including identification, enrolment and engagement.</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color w:val="auto"/>
        </w:rPr>
        <w:t>Improved site selection is achieved through:</w:t>
      </w:r>
    </w:p>
    <w:p>
      <w:pPr>
        <w:spacing w:after="0" w:line="190" w:lineRule="exact"/>
        <w:rPr>
          <w:sz w:val="20"/>
          <w:szCs w:val="20"/>
          <w:color w:val="auto"/>
        </w:rPr>
      </w:pPr>
    </w:p>
    <w:p>
      <w:pPr>
        <w:ind w:left="260" w:hanging="255"/>
        <w:spacing w:after="0"/>
        <w:tabs>
          <w:tab w:leader="none" w:pos="260" w:val="left"/>
        </w:tabs>
        <w:numPr>
          <w:ilvl w:val="0"/>
          <w:numId w:val="148"/>
        </w:numPr>
        <w:rPr>
          <w:rFonts w:ascii="Arial" w:cs="Arial" w:eastAsia="Arial" w:hAnsi="Arial"/>
          <w:sz w:val="13"/>
          <w:szCs w:val="13"/>
          <w:color w:val="auto"/>
        </w:rPr>
      </w:pPr>
      <w:r>
        <w:rPr>
          <w:rFonts w:ascii="Arial" w:cs="Arial" w:eastAsia="Arial" w:hAnsi="Arial"/>
          <w:sz w:val="13"/>
          <w:szCs w:val="13"/>
          <w:color w:val="auto"/>
        </w:rPr>
        <w:t>leading technology to identify where the patients are that match the protocol;</w:t>
      </w:r>
    </w:p>
    <w:p>
      <w:pPr>
        <w:spacing w:after="0" w:line="17" w:lineRule="exact"/>
        <w:rPr>
          <w:rFonts w:ascii="Arial" w:cs="Arial" w:eastAsia="Arial" w:hAnsi="Arial"/>
          <w:sz w:val="13"/>
          <w:szCs w:val="13"/>
          <w:color w:val="auto"/>
        </w:rPr>
      </w:pPr>
    </w:p>
    <w:p>
      <w:pPr>
        <w:ind w:left="260" w:hanging="255"/>
        <w:spacing w:after="0"/>
        <w:tabs>
          <w:tab w:leader="none" w:pos="260" w:val="left"/>
        </w:tabs>
        <w:numPr>
          <w:ilvl w:val="0"/>
          <w:numId w:val="148"/>
        </w:numPr>
        <w:rPr>
          <w:rFonts w:ascii="Arial" w:cs="Arial" w:eastAsia="Arial" w:hAnsi="Arial"/>
          <w:sz w:val="13"/>
          <w:szCs w:val="13"/>
          <w:color w:val="auto"/>
        </w:rPr>
      </w:pPr>
      <w:r>
        <w:rPr>
          <w:rFonts w:ascii="Arial" w:cs="Arial" w:eastAsia="Arial" w:hAnsi="Arial"/>
          <w:sz w:val="13"/>
          <w:szCs w:val="13"/>
          <w:color w:val="auto"/>
        </w:rPr>
        <w:t>assessment of the qualification of sites based on real data;</w:t>
      </w:r>
    </w:p>
    <w:p>
      <w:pPr>
        <w:spacing w:after="0" w:line="2" w:lineRule="exact"/>
        <w:rPr>
          <w:rFonts w:ascii="Arial" w:cs="Arial" w:eastAsia="Arial" w:hAnsi="Arial"/>
          <w:sz w:val="13"/>
          <w:szCs w:val="13"/>
          <w:color w:val="auto"/>
        </w:rPr>
      </w:pPr>
    </w:p>
    <w:p>
      <w:pPr>
        <w:ind w:left="260" w:hanging="255"/>
        <w:spacing w:after="0" w:line="264" w:lineRule="auto"/>
        <w:tabs>
          <w:tab w:leader="none" w:pos="251" w:val="left"/>
        </w:tabs>
        <w:numPr>
          <w:ilvl w:val="0"/>
          <w:numId w:val="148"/>
        </w:numPr>
        <w:rPr>
          <w:rFonts w:ascii="Arial" w:cs="Arial" w:eastAsia="Arial" w:hAnsi="Arial"/>
          <w:sz w:val="13"/>
          <w:szCs w:val="13"/>
          <w:color w:val="auto"/>
        </w:rPr>
      </w:pPr>
      <w:r>
        <w:rPr>
          <w:rFonts w:ascii="Arial" w:cs="Arial" w:eastAsia="Arial" w:hAnsi="Arial"/>
          <w:sz w:val="13"/>
          <w:szCs w:val="13"/>
          <w:color w:val="auto"/>
        </w:rPr>
        <w:t>partnerships with leading technology vendors such as Intel, EHR4CR and TriNeTX and developing the capability to enable EMR interrogation into clinical insights such as sub-populations and larger pre-screened pool where the technology and regulations are enabled.</w:t>
      </w:r>
    </w:p>
    <w:p>
      <w:pPr>
        <w:spacing w:after="0" w:line="158"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The burden on the site, in ensuring patient enrolment and engagement, is achieved through integrated site networks. ICON has a number of site alliance partners. During 2018, we enhanced our site and patient recruitment capabilities with an expansion of the PMG Research network through a partnership with the DuPage Medical Group. During 2019, we further enhanced our site and patient recruitment abilities through the strategic acquisitions of MeDiNova and CRN. In 2020, we entered into an agreement to jointly establish a new company, Oncacare Limited ("Oncacare"), with a third party. Oncacare operates as a specialised oncology site network in the US and EMEA regions. The new site network is focused on implementing a range of commercial models with specialist oncology healthcare providers in the US and EMEA, to accelerate the recruitment and retention of patients into oncology trials. The oncology site network operates as a joint venture between the Company and a third party company which has extensive experience in developing and running a site network. We also use digital solutions to drive site performance, including pre-screening, eConsent, learning management, document tracking and management with key applications.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156</w:t>
      </w:r>
    </w:p>
    <w:p>
      <w:pPr>
        <w:sectPr>
          <w:pgSz w:w="11900" w:h="16838" w:orient="portrait"/>
          <w:cols w:equalWidth="0" w:num="1">
            <w:col w:w="11280"/>
          </w:cols>
          <w:pgMar w:left="300" w:top="1275" w:right="319" w:bottom="1440" w:gutter="0" w:footer="0" w:header="0"/>
        </w:sectPr>
      </w:pPr>
    </w:p>
    <w:bookmarkStart w:id="173" w:name="page174"/>
    <w:bookmarkEnd w:id="173"/>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ability to perform clinical trials is dependent upon our ability to recruit suitable willing investigators.</w:t>
      </w:r>
    </w:p>
    <w:p>
      <w:pPr>
        <w:spacing w:after="0" w:line="19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contract with physicians located in hospitals, clinics or other similar sites, who serve as investigators in conducting clinical trials to test new drugs on their patients. Investigators supervise administration of the study drug to patients during the course of the clinical trial. The successful conduct of a clinical trial is dependent upon the integrity, experience and capabilities of the investigators conducting the trial. Insufficient investigator recruitment, which in turn may lead to insufficient or inappropriate patient enrolment, may result in the termination or delay of a study which could have a material adverse impact on our results of operations.</w:t>
      </w:r>
    </w:p>
    <w:p>
      <w:pPr>
        <w:spacing w:after="0" w:line="176"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The combined Company may face challenges retaining employees through the integration period which could delay the integration plan, cause disruption to day-to-day activities and result in additional costs to the business.</w:t>
      </w:r>
    </w:p>
    <w:p>
      <w:pPr>
        <w:spacing w:after="0" w:line="134" w:lineRule="exact"/>
        <w:rPr>
          <w:sz w:val="20"/>
          <w:szCs w:val="20"/>
          <w:color w:val="auto"/>
        </w:rPr>
      </w:pPr>
    </w:p>
    <w:p>
      <w:pPr>
        <w:jc w:val="both"/>
        <w:spacing w:after="0" w:line="242" w:lineRule="auto"/>
        <w:rPr>
          <w:sz w:val="20"/>
          <w:szCs w:val="20"/>
          <w:color w:val="auto"/>
        </w:rPr>
      </w:pPr>
      <w:r>
        <w:rPr>
          <w:rFonts w:ascii="Arial" w:cs="Arial" w:eastAsia="Arial" w:hAnsi="Arial"/>
          <w:sz w:val="13"/>
          <w:szCs w:val="13"/>
          <w:color w:val="auto"/>
        </w:rPr>
        <w:t>The attraction, development and retention of our talent is critical to the success of the combined Company, and we are working to strengthen processes around these areas to minimise retention risk and support a successful integration. The Company, led by the Chief Human Resource Officer, is taking meaningful action to retain employees. Through our annual Talent Review process we have identified opportunities for improvement as it relates to employee retention. Our 2022 People Plans have set specific goals for each functional area in terms of three critical areas: talent attraction, development and retention. However, we can provide no assurances that our efforts in this respect will be successful.</w:t>
      </w:r>
    </w:p>
    <w:p>
      <w:pPr>
        <w:spacing w:after="0" w:line="172"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Our leadership and talent programs contribute to the enhanced retention of our employees, better project deliverables for our customers and the enhanced financial performance of the business. We aim to be an industry leader: a company where talented people come to do important work, a place where our employees can shape the future of healthcare, grow their careers, and reach their full potential. We have long held a deep commitment to cultivating strong people practices. This includes competitive total rewards packages along with a focus on continuous learning. Our success depends on the knowledge, capabilities, and quality of our people.</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Climate change, extreme weather events, earthquakes and other natural disasters could adversely affect our business.</w:t>
      </w:r>
    </w:p>
    <w:p>
      <w:pPr>
        <w:spacing w:after="0" w:line="190"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In recent years, extreme weather events and changing weather patterns such as storms, flooding, droughts and temperature changes have become more common. As a result, we are potentially exposed to varying natural disaster or extreme weather risks such as hurricanes, tornadoes, droughts or floods, or other events that may result from the impact of climate change on the environment, such as sea level rise. As a result, we could experience increased costs, business interruptions, destruction of facilities, and loss of life, all of which could have a material adverse effect on our business, financial condition, or results of operations. The potential impacts of climate change may also include increased operating costs associated with additional regulatory requirements and investments in reducing energy, water use and greenhouse gas emissions.</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 disease outbreak, epidemic or pandemic such as COVID-19, could adversely affect our business performance.</w:t>
      </w:r>
    </w:p>
    <w:p>
      <w:pPr>
        <w:spacing w:after="0" w:line="19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A disease outbreak, such as influenza, coronavirus, or other biological attack could negatively impact our operations. We could experience restrictions on our ability to travel, or the ability of patients or other service providers to travel, to monitor our clinical trials and to ensure laboratory samples are collected and analysed on time as a result of an outbreak. The potential impact of an epidemic or pandemic may also result in increased operating costs and result in a requirement to increase investment in impact prevention.</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COVID-19 has, and may continue to, adversely affect our business performance, and could adversely affect the economies and financial markets worldwide, resulting in an economic downturn that could impact our business, financial condition and results of operations. We have experienced a negative impact on our operations as a result of the global spread of COVID-19, including restrictions on our ability to ensure laboratory samples are collected and analysed on time, our ability to monitor our clinical trials, the ability of patients or other service providers to travel, and our ability to travel. We have also experienced costs associated with impact prevention.</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157</w:t>
      </w:r>
    </w:p>
    <w:p>
      <w:pPr>
        <w:sectPr>
          <w:pgSz w:w="11900" w:h="16838" w:orient="portrait"/>
          <w:cols w:equalWidth="0" w:num="1">
            <w:col w:w="11280"/>
          </w:cols>
          <w:pgMar w:left="300" w:top="1275" w:right="319" w:bottom="1440" w:gutter="0" w:footer="0" w:header="0"/>
        </w:sectPr>
      </w:pPr>
    </w:p>
    <w:bookmarkStart w:id="174" w:name="page175"/>
    <w:bookmarkEnd w:id="174"/>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367" w:lineRule="exact"/>
        <w:rPr>
          <w:sz w:val="20"/>
          <w:szCs w:val="20"/>
          <w:color w:val="auto"/>
        </w:rPr>
      </w:pPr>
    </w:p>
    <w:p>
      <w:pPr>
        <w:jc w:val="both"/>
        <w:spacing w:after="0" w:line="275" w:lineRule="auto"/>
        <w:rPr>
          <w:sz w:val="20"/>
          <w:szCs w:val="20"/>
          <w:color w:val="auto"/>
        </w:rPr>
      </w:pPr>
      <w:r>
        <w:rPr>
          <w:rFonts w:ascii="Arial" w:cs="Arial" w:eastAsia="Arial" w:hAnsi="Arial"/>
          <w:sz w:val="12"/>
          <w:szCs w:val="12"/>
          <w:color w:val="auto"/>
        </w:rPr>
        <w:t>The COVID-19 outbreak continues to evolve. While our site network and office facilities have begun to re-open on a phased basis, the extent to which the outbreak may continue to impact our business will depend on future developments, which are highly uncertain and cannot be predicted with confidence, such as the ultimate geographic spread of COVID-19, additional phases of the outbreak, travel restrictions and actions to contain the outbreak or treat its impact, such as social distancing and quarantines or lock-downs, business closures or business disruptions and the effectiveness of actions taken throughout the world to contain and treat the disease. We may also be required or choose to take temporary measures to again take temporary precautionary measures intended to help minimise the risk of infection from the virus for our employees, including temporarily requiring all employees to work remotely, suspending all non-essential travel worldwide and discouraging attendance at industry events, industry and other conferences, and in-person work-related meetings, which could negatively affect our business and cannot presently be predicted with confidence.</w:t>
      </w:r>
    </w:p>
    <w:p>
      <w:pPr>
        <w:spacing w:after="0" w:line="155" w:lineRule="exact"/>
        <w:rPr>
          <w:sz w:val="20"/>
          <w:szCs w:val="20"/>
          <w:color w:val="auto"/>
        </w:rPr>
      </w:pPr>
    </w:p>
    <w:p>
      <w:pPr>
        <w:jc w:val="both"/>
        <w:ind w:firstLine="35"/>
        <w:spacing w:after="0" w:line="276" w:lineRule="auto"/>
        <w:rPr>
          <w:sz w:val="20"/>
          <w:szCs w:val="20"/>
          <w:color w:val="auto"/>
        </w:rPr>
      </w:pPr>
      <w:r>
        <w:rPr>
          <w:rFonts w:ascii="Arial" w:cs="Arial" w:eastAsia="Arial" w:hAnsi="Arial"/>
          <w:sz w:val="13"/>
          <w:szCs w:val="13"/>
          <w:b w:val="1"/>
          <w:bCs w:val="1"/>
          <w:i w:val="1"/>
          <w:iCs w:val="1"/>
          <w:color w:val="auto"/>
        </w:rPr>
        <w:t>Our business depends on the continued effectiveness and availability of our information systems, including the information systems we use to provide our services to our clients, and any system failures of, security breaches of or cyber-attacks to these systems may materially limit our operations or have a material adverse effect on our results of operations.</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Due to the global nature of our business and our reliance on information systems to provide our services, we use web-enabled and other integrated information systems in delivering our services. We will continue to increase the use of these systems and such systems will either be developed internally or provided in conjunction with third parties. We also provide access to similar information systems to certain clients in connection with the services we provide them. As the use, scope and complexity of our information systems continue to grow, we are exposed to and will increasingly be exposed to the risks inherent in the development, integration and ongoing operation of evolving information systems, including:</w:t>
      </w:r>
    </w:p>
    <w:p>
      <w:pPr>
        <w:spacing w:after="0" w:line="165" w:lineRule="exact"/>
        <w:rPr>
          <w:sz w:val="20"/>
          <w:szCs w:val="20"/>
          <w:color w:val="auto"/>
        </w:rPr>
      </w:pPr>
    </w:p>
    <w:p>
      <w:pPr>
        <w:ind w:left="760" w:hanging="246"/>
        <w:spacing w:after="0"/>
        <w:tabs>
          <w:tab w:leader="none" w:pos="760" w:val="left"/>
        </w:tabs>
        <w:numPr>
          <w:ilvl w:val="0"/>
          <w:numId w:val="149"/>
        </w:numPr>
        <w:rPr>
          <w:rFonts w:ascii="Arial" w:cs="Arial" w:eastAsia="Arial" w:hAnsi="Arial"/>
          <w:sz w:val="13"/>
          <w:szCs w:val="13"/>
          <w:color w:val="auto"/>
        </w:rPr>
      </w:pPr>
      <w:r>
        <w:rPr>
          <w:rFonts w:ascii="Arial" w:cs="Arial" w:eastAsia="Arial" w:hAnsi="Arial"/>
          <w:sz w:val="13"/>
          <w:szCs w:val="13"/>
          <w:color w:val="auto"/>
        </w:rPr>
        <w:t>disruption or failure of data centres, telecommunications facilities or other key infrastructure platforms;</w:t>
      </w:r>
    </w:p>
    <w:p>
      <w:pPr>
        <w:spacing w:after="0" w:line="17" w:lineRule="exact"/>
        <w:rPr>
          <w:rFonts w:ascii="Arial" w:cs="Arial" w:eastAsia="Arial" w:hAnsi="Arial"/>
          <w:sz w:val="13"/>
          <w:szCs w:val="13"/>
          <w:color w:val="auto"/>
        </w:rPr>
      </w:pPr>
    </w:p>
    <w:p>
      <w:pPr>
        <w:ind w:left="760" w:hanging="246"/>
        <w:spacing w:after="0" w:line="241" w:lineRule="auto"/>
        <w:tabs>
          <w:tab w:leader="none" w:pos="751" w:val="left"/>
        </w:tabs>
        <w:numPr>
          <w:ilvl w:val="0"/>
          <w:numId w:val="149"/>
        </w:numPr>
        <w:rPr>
          <w:rFonts w:ascii="Arial" w:cs="Arial" w:eastAsia="Arial" w:hAnsi="Arial"/>
          <w:sz w:val="13"/>
          <w:szCs w:val="13"/>
          <w:color w:val="auto"/>
        </w:rPr>
      </w:pPr>
      <w:r>
        <w:rPr>
          <w:rFonts w:ascii="Arial" w:cs="Arial" w:eastAsia="Arial" w:hAnsi="Arial"/>
          <w:sz w:val="13"/>
          <w:szCs w:val="13"/>
          <w:color w:val="auto"/>
        </w:rPr>
        <w:t>security breaches, cyber-attacks or other failures or malfunctions in our application or information systems or their associated hardware or other systems that we have access to or that we rely upon or that have access to our systems;</w:t>
      </w:r>
    </w:p>
    <w:p>
      <w:pPr>
        <w:ind w:left="760" w:hanging="246"/>
        <w:spacing w:after="0"/>
        <w:tabs>
          <w:tab w:leader="none" w:pos="760" w:val="left"/>
        </w:tabs>
        <w:numPr>
          <w:ilvl w:val="0"/>
          <w:numId w:val="149"/>
        </w:numPr>
        <w:rPr>
          <w:rFonts w:ascii="Arial" w:cs="Arial" w:eastAsia="Arial" w:hAnsi="Arial"/>
          <w:sz w:val="13"/>
          <w:szCs w:val="13"/>
          <w:color w:val="auto"/>
        </w:rPr>
      </w:pPr>
      <w:r>
        <w:rPr>
          <w:rFonts w:ascii="Arial" w:cs="Arial" w:eastAsia="Arial" w:hAnsi="Arial"/>
          <w:sz w:val="13"/>
          <w:szCs w:val="13"/>
          <w:color w:val="auto"/>
        </w:rPr>
        <w:t>security breaches, cyber-attacks or malfunctions with key suppliers or partners who we rely on to provide services to customers; and</w:t>
      </w:r>
    </w:p>
    <w:p>
      <w:pPr>
        <w:spacing w:after="0" w:line="5" w:lineRule="exact"/>
        <w:rPr>
          <w:rFonts w:ascii="Arial" w:cs="Arial" w:eastAsia="Arial" w:hAnsi="Arial"/>
          <w:sz w:val="13"/>
          <w:szCs w:val="13"/>
          <w:color w:val="auto"/>
        </w:rPr>
      </w:pPr>
    </w:p>
    <w:p>
      <w:pPr>
        <w:ind w:left="760" w:hanging="246"/>
        <w:spacing w:after="0"/>
        <w:tabs>
          <w:tab w:leader="none" w:pos="760" w:val="left"/>
        </w:tabs>
        <w:numPr>
          <w:ilvl w:val="0"/>
          <w:numId w:val="149"/>
        </w:numPr>
        <w:rPr>
          <w:rFonts w:ascii="Arial" w:cs="Arial" w:eastAsia="Arial" w:hAnsi="Arial"/>
          <w:sz w:val="13"/>
          <w:szCs w:val="13"/>
          <w:color w:val="auto"/>
        </w:rPr>
      </w:pPr>
      <w:r>
        <w:rPr>
          <w:rFonts w:ascii="Arial" w:cs="Arial" w:eastAsia="Arial" w:hAnsi="Arial"/>
          <w:sz w:val="13"/>
          <w:szCs w:val="13"/>
          <w:color w:val="auto"/>
        </w:rPr>
        <w:t>excessive costs, excessive delays or other deficiencies in or problems with systems development and deployment.</w:t>
      </w:r>
    </w:p>
    <w:p>
      <w:pPr>
        <w:spacing w:after="0" w:line="182"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materialisation of any of these risks may impede our ability to provide services, the processing of data, the delivery of databases and services and the day-to-day management of our business and could result in the corruption, loss or unauthorised disclosure of proprietary, confidential or other data, as well as reputational harm.</w:t>
      </w:r>
    </w:p>
    <w:p>
      <w:pPr>
        <w:spacing w:after="0" w:line="146"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While we have cybersecurity controls and disaster recovery plans in place, they might not adequately protect us in the event of a system failure, security breach or cyber-attack. Despite any precautions we take, damage from fire, floods, hurricanes, power loss, telecommunications failures, computer viruses, information system security breaches, cyber-attacks and similar events that impact on our various computer facilities could result in interruptions in the flow of data to our servers and from our servers to our clients. Corruption or loss of data may result in the need to repeat a trial at no cost to the client, but at significant cost to us, or result in the termination of one or more contracts, legal proceedings or claims against us or damage to our reputation. Additionally, significant delays in system enhancements or inadequate performance of new or upgraded systems once completed could damage our reputation and harm our business. Long-term disruptions in the infrastructure caused by events such as security breaches, cyber-attacks, natural disasters, the outbreak of war, the escalation of hostilities and acts of terrorism, particularly involving cities in which we have offices, could adversely affect our business.</w:t>
      </w:r>
    </w:p>
    <w:p>
      <w:pPr>
        <w:spacing w:after="0" w:line="139"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Unauthorised disclosure of sensitive or confidential data, whether through system failure or employee negligence, fraud or misappropriation, could damage our reputation and cause us to lose clients. Similarly, despite investing in information and cyber-security controls there is a risk that unauthorised access to or through our information systems or those we develop for our clients, whether by our employees or third parties, including a cyber-attack by computer programmers and hackers who may attack ICON systems, develop and deploy viruses, worms, ransomware or other malicious software programmes could result in negative publicity, significant remediation costs, legal liability, loss of customers and damage to our reputation and could have a material adverse effect on our results of operations and financial results. In addition, our liability insurance might not be sufficient in type, the cover provided or amount to adequately cover us against claims related to security breaches, cyber-attacks and other related breaches.</w:t>
      </w:r>
    </w:p>
    <w:p>
      <w:pPr>
        <w:spacing w:after="0" w:line="180"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Our information systems and those of third parties which we utilise may face increased cybersecurity risks due to the COVID-19 pandemic, including from the significant number of employees that are working remotely or otherwise impacted by stay-at-home orders. Additional remote access points provide new potential vulnerabilities to cybercriminals. Employees of ICON and third parties may be more susceptible to social engineering efforts, and to phishing attempts which can disguise malware as a legitimate effort to circulate important information relating to COVID-19.</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158</w:t>
      </w:r>
    </w:p>
    <w:p>
      <w:pPr>
        <w:sectPr>
          <w:pgSz w:w="11900" w:h="16838" w:orient="portrait"/>
          <w:cols w:equalWidth="0" w:num="1">
            <w:col w:w="11280"/>
          </w:cols>
          <w:pgMar w:left="300" w:top="1275" w:right="319" w:bottom="1440" w:gutter="0" w:footer="0" w:header="0"/>
        </w:sectPr>
      </w:pPr>
    </w:p>
    <w:bookmarkStart w:id="175" w:name="page176"/>
    <w:bookmarkEnd w:id="175"/>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367"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Additionally, ICON completed the Merger with PRA on 1 July 2021 and, as a result, the IT landscape and physical footprint of the Company has increased significantly. As the organisation invests in the consolidation of offices, data centers, IT systems and business services a significant amount of due diligence has been completed to understand the IT landscape and increased attack surface. While the organisation continues with substantial integration efforts, a failure to effectively manage these activities in a timely and cost-effective manner may result in disruption to our business and negatively affect our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Upgrading the information systems that support our operating processes and evolving the technology platform for our services pose risks to our business.</w:t>
      </w:r>
    </w:p>
    <w:p>
      <w:pPr>
        <w:spacing w:after="0" w:line="201"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Continued efficient operation of our business requires that we implement standardised global business processes and evolve our information systems to enable this implementation. We have continued to undertake significant programmes to optimise business processes with respect to our services. A failure to effectively manage the implementation and adapt to new processes designed into these new or upgraded systems in a timely and cost-effective manner may result in disruption to our business and negatively affect our operations.</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have entered into agreements with certain vendors to provide systems development and integration services that develop or license to us the IT platform for programmes to optimise our business processes. If such vendors fail to perform as required or if there are substantial delays in developing, implementing and updating the IT platform, our customer delivery may be impaired and we may have to make substantial further investments, internally or with third parties, to achieve our objectives. Additionally, our progress may be limited by parties with existing or claimed patents who seek to prevent us from using preferred technology or seek license payments from us.</w:t>
      </w:r>
    </w:p>
    <w:p>
      <w:pPr>
        <w:spacing w:after="0" w:line="155" w:lineRule="exact"/>
        <w:rPr>
          <w:sz w:val="20"/>
          <w:szCs w:val="20"/>
          <w:color w:val="auto"/>
        </w:rPr>
      </w:pPr>
    </w:p>
    <w:p>
      <w:pPr>
        <w:jc w:val="both"/>
        <w:spacing w:after="0" w:line="245" w:lineRule="auto"/>
        <w:rPr>
          <w:sz w:val="20"/>
          <w:szCs w:val="20"/>
          <w:color w:val="auto"/>
        </w:rPr>
      </w:pPr>
      <w:r>
        <w:rPr>
          <w:rFonts w:ascii="Arial" w:cs="Arial" w:eastAsia="Arial" w:hAnsi="Arial"/>
          <w:sz w:val="13"/>
          <w:szCs w:val="13"/>
          <w:color w:val="auto"/>
        </w:rPr>
        <w:t>Meeting our objectives is dependent on a number of factors which may not take place as we anticipate, including obtaining adequate technology-enabled services, creating IT-enabled services that our customers will find desirable and implementing our business model with respect to these services. We are continuing to develop opportunities for automation across ICON using state of the art automation tools including Robotic Process Automation (RPA), the development of new applications and capabilities, and enabling deeper integration across our digital ecosystem. If we do not keep pace with rapid technological changes in the CRO industry, our products and services may become less competitive or even obsolete. This applies in particular to our ICONIK, Firecrest, Integrated Dataverse (IDV®) and One Search services. Also, increased requirements for investment in information technology may negatively impact our financial condition, including profitability.</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Failure to meet productivity objectives under our business improvement objectives could adversely impact our competitiveness and therefore our operating results.</w:t>
      </w:r>
    </w:p>
    <w:p>
      <w:pPr>
        <w:spacing w:after="0" w:line="201"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continue to pursue business transformation initiatives to embed technology and innovation and deliver operational efficiencies. As part of these initiatives, we seek to improve our productivity, flexibility, quality, functionality and cost savings by our on-going investment in global technologies, continuous improvement of our business processes and functions to deliver economies of scale. These initiatives may not deliver their intended gains or be completed in a timely manner which may adversely impact our competitiveness and our ability to meet our growth objectives and therefore, could adversely affect our business and operating results, including profitability.</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rely on our interactive response technologies to provide accurate information regarding the randomisation of patients and the dosage required for patients enrolled in the trials.</w:t>
      </w:r>
    </w:p>
    <w:p>
      <w:pPr>
        <w:spacing w:after="0" w:line="201"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develop and maintain computer run and web based interactive response technologies to automatically manage the randomisation of patients in trials, assign the study drug and adjust the dosage when required for patients enrolled in trials we support. An error in the design, programming or validation of these systems could lead to inappropriate assignment or dosing of patients, which could give rise to patient safety issues and invalidation of the trial and/or liability claims against the Company, amongst other things, any of which could have a material effect on our financial condition and operations.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159</w:t>
      </w:r>
    </w:p>
    <w:p>
      <w:pPr>
        <w:sectPr>
          <w:pgSz w:w="11900" w:h="16838" w:orient="portrait"/>
          <w:cols w:equalWidth="0" w:num="1">
            <w:col w:w="11280"/>
          </w:cols>
          <w:pgMar w:left="300" w:top="1275" w:right="319" w:bottom="1440" w:gutter="0" w:footer="0" w:header="0"/>
        </w:sectPr>
      </w:pPr>
    </w:p>
    <w:bookmarkStart w:id="176" w:name="page177"/>
    <w:bookmarkEnd w:id="176"/>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36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 failure to identify and successfully close and integrate strategic acquisition targets could adversely impact our ongoing business and financial results.</w:t>
      </w:r>
    </w:p>
    <w:p>
      <w:pPr>
        <w:spacing w:after="0" w:line="190"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We have made a number of acquisitions and continue to review new acquisition opportunities. If we are unable to identify suitable acquisition targets, complete an acquisition or successfully integrate an acquired company or business, our business may be disrupted. The success of an acquisition will depend upon, among other things, our ability to:</w:t>
      </w:r>
    </w:p>
    <w:p>
      <w:pPr>
        <w:spacing w:after="0" w:line="125" w:lineRule="exact"/>
        <w:rPr>
          <w:sz w:val="20"/>
          <w:szCs w:val="20"/>
          <w:color w:val="auto"/>
        </w:rPr>
      </w:pPr>
    </w:p>
    <w:p>
      <w:pPr>
        <w:ind w:left="1020" w:hanging="506"/>
        <w:spacing w:after="0"/>
        <w:tabs>
          <w:tab w:leader="none" w:pos="1020" w:val="left"/>
        </w:tabs>
        <w:numPr>
          <w:ilvl w:val="0"/>
          <w:numId w:val="150"/>
        </w:numPr>
        <w:rPr>
          <w:rFonts w:ascii="Arial" w:cs="Arial" w:eastAsia="Arial" w:hAnsi="Arial"/>
          <w:sz w:val="13"/>
          <w:szCs w:val="13"/>
          <w:color w:val="auto"/>
        </w:rPr>
      </w:pPr>
      <w:r>
        <w:rPr>
          <w:rFonts w:ascii="Arial" w:cs="Arial" w:eastAsia="Arial" w:hAnsi="Arial"/>
          <w:sz w:val="13"/>
          <w:szCs w:val="13"/>
          <w:color w:val="auto"/>
        </w:rPr>
        <w:t>effectively and quickly assimilate the operations and services or products of the acquired company or business;</w:t>
      </w:r>
    </w:p>
    <w:p>
      <w:pPr>
        <w:spacing w:after="0" w:line="17" w:lineRule="exact"/>
        <w:rPr>
          <w:rFonts w:ascii="Arial" w:cs="Arial" w:eastAsia="Arial" w:hAnsi="Arial"/>
          <w:sz w:val="13"/>
          <w:szCs w:val="13"/>
          <w:color w:val="auto"/>
        </w:rPr>
      </w:pPr>
    </w:p>
    <w:p>
      <w:pPr>
        <w:ind w:left="1020" w:hanging="506"/>
        <w:spacing w:after="0"/>
        <w:tabs>
          <w:tab w:leader="none" w:pos="1020" w:val="left"/>
        </w:tabs>
        <w:numPr>
          <w:ilvl w:val="0"/>
          <w:numId w:val="150"/>
        </w:numPr>
        <w:rPr>
          <w:rFonts w:ascii="Arial" w:cs="Arial" w:eastAsia="Arial" w:hAnsi="Arial"/>
          <w:sz w:val="13"/>
          <w:szCs w:val="13"/>
          <w:color w:val="auto"/>
        </w:rPr>
      </w:pPr>
      <w:r>
        <w:rPr>
          <w:rFonts w:ascii="Arial" w:cs="Arial" w:eastAsia="Arial" w:hAnsi="Arial"/>
          <w:sz w:val="13"/>
          <w:szCs w:val="13"/>
          <w:color w:val="auto"/>
        </w:rPr>
        <w:t>integrate acquired personnel;</w:t>
      </w:r>
    </w:p>
    <w:p>
      <w:pPr>
        <w:spacing w:after="0" w:line="2" w:lineRule="exact"/>
        <w:rPr>
          <w:rFonts w:ascii="Arial" w:cs="Arial" w:eastAsia="Arial" w:hAnsi="Arial"/>
          <w:sz w:val="13"/>
          <w:szCs w:val="13"/>
          <w:color w:val="auto"/>
        </w:rPr>
      </w:pPr>
    </w:p>
    <w:p>
      <w:pPr>
        <w:ind w:left="1020" w:hanging="506"/>
        <w:spacing w:after="0"/>
        <w:tabs>
          <w:tab w:leader="none" w:pos="1020" w:val="left"/>
        </w:tabs>
        <w:numPr>
          <w:ilvl w:val="0"/>
          <w:numId w:val="150"/>
        </w:numPr>
        <w:rPr>
          <w:rFonts w:ascii="Arial" w:cs="Arial" w:eastAsia="Arial" w:hAnsi="Arial"/>
          <w:sz w:val="13"/>
          <w:szCs w:val="13"/>
          <w:color w:val="auto"/>
        </w:rPr>
      </w:pPr>
      <w:r>
        <w:rPr>
          <w:rFonts w:ascii="Arial" w:cs="Arial" w:eastAsia="Arial" w:hAnsi="Arial"/>
          <w:sz w:val="13"/>
          <w:szCs w:val="13"/>
          <w:color w:val="auto"/>
        </w:rPr>
        <w:t>retain and motivate key employees;</w:t>
      </w:r>
    </w:p>
    <w:p>
      <w:pPr>
        <w:ind w:left="1020" w:hanging="506"/>
        <w:spacing w:after="0"/>
        <w:tabs>
          <w:tab w:leader="none" w:pos="1020" w:val="left"/>
        </w:tabs>
        <w:numPr>
          <w:ilvl w:val="0"/>
          <w:numId w:val="150"/>
        </w:numPr>
        <w:rPr>
          <w:rFonts w:ascii="Arial" w:cs="Arial" w:eastAsia="Arial" w:hAnsi="Arial"/>
          <w:sz w:val="13"/>
          <w:szCs w:val="13"/>
          <w:color w:val="auto"/>
        </w:rPr>
      </w:pPr>
      <w:r>
        <w:rPr>
          <w:rFonts w:ascii="Arial" w:cs="Arial" w:eastAsia="Arial" w:hAnsi="Arial"/>
          <w:sz w:val="13"/>
          <w:szCs w:val="13"/>
          <w:color w:val="auto"/>
        </w:rPr>
        <w:t>retain customers; and</w:t>
      </w:r>
    </w:p>
    <w:p>
      <w:pPr>
        <w:spacing w:after="0" w:line="5" w:lineRule="exact"/>
        <w:rPr>
          <w:rFonts w:ascii="Arial" w:cs="Arial" w:eastAsia="Arial" w:hAnsi="Arial"/>
          <w:sz w:val="13"/>
          <w:szCs w:val="13"/>
          <w:color w:val="auto"/>
        </w:rPr>
      </w:pPr>
    </w:p>
    <w:p>
      <w:pPr>
        <w:ind w:left="1020" w:hanging="506"/>
        <w:spacing w:after="0"/>
        <w:tabs>
          <w:tab w:leader="none" w:pos="1020" w:val="left"/>
        </w:tabs>
        <w:numPr>
          <w:ilvl w:val="0"/>
          <w:numId w:val="150"/>
        </w:numPr>
        <w:rPr>
          <w:rFonts w:ascii="Arial" w:cs="Arial" w:eastAsia="Arial" w:hAnsi="Arial"/>
          <w:sz w:val="13"/>
          <w:szCs w:val="13"/>
          <w:color w:val="auto"/>
        </w:rPr>
      </w:pPr>
      <w:r>
        <w:rPr>
          <w:rFonts w:ascii="Arial" w:cs="Arial" w:eastAsia="Arial" w:hAnsi="Arial"/>
          <w:sz w:val="13"/>
          <w:szCs w:val="13"/>
          <w:color w:val="auto"/>
        </w:rPr>
        <w:t>minimise the diversion of management's attention from other business concerns.</w:t>
      </w:r>
    </w:p>
    <w:p>
      <w:pPr>
        <w:spacing w:after="0" w:line="182"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In the event that the operations of an acquired company or business do not meet our performance expectations, we may have to restructure the acquired company or business or write-off the value of some or all of the assets of the acquired company or business.</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ICON may be unable to realise anticipated cost and tax synergies and expects to incur substantial expenses related to the Merger.</w:t>
      </w:r>
    </w:p>
    <w:p>
      <w:pPr>
        <w:spacing w:after="0" w:line="190" w:lineRule="exact"/>
        <w:rPr>
          <w:sz w:val="20"/>
          <w:szCs w:val="20"/>
          <w:color w:val="auto"/>
        </w:rPr>
      </w:pPr>
    </w:p>
    <w:p>
      <w:pPr>
        <w:jc w:val="both"/>
        <w:spacing w:after="0" w:line="271" w:lineRule="auto"/>
        <w:rPr>
          <w:sz w:val="20"/>
          <w:szCs w:val="20"/>
          <w:color w:val="auto"/>
        </w:rPr>
      </w:pPr>
      <w:r>
        <w:rPr>
          <w:rFonts w:ascii="Arial" w:cs="Arial" w:eastAsia="Arial" w:hAnsi="Arial"/>
          <w:sz w:val="12"/>
          <w:szCs w:val="12"/>
          <w:color w:val="auto"/>
        </w:rPr>
        <w:t>ICON expects to generate run rate cost synergies of approximately $150 million and tax savings from the combined target effective tax rate; both to be realised within approximately four years after completion of the Merger. ICON’s ability to achieve such estimated cost and tax synergies in the timeframe described, or at all, is subject to various assumptions by ICON’s management, which may or may not prove to be accurate, as well as the incurrence of costs in ICON’s operations that offset all or a portion of such cost synergies. As a consequence, ICON may not be able to realise all of these cost and tax synergies within the timeframe expected or at all. In addition, ICON may incur additional or unexpected costs in order to realise these cost and tax synergies. ICON’s ability to realise tax synergies is subject to uncertainties. Failure to achieve the expected cost and tax synergies could significantly reduce the expected benefits associated with the Merger. In addition, ICON has incurred and will incur substantial expenses in connection with completion of the Merger. ICON expects to continue to incur non-recurring costs associated with consummating the Merger, combining the operations of the two companies and achieving the desired cost synergies. These fees and costs have been, and will continue to be, substantial. The substantial majority of non-recurring expenses will consist of transaction costs related to the Merger and include, among others, fees paid to financial, legal and accounting advisors, employee benefit costs and filing fees. Such costs, as well as other unanticipated costs and expenses, could have a material adverse effect on the financial condition and operating results of ICON following the completion of the Merger.</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Improper performance of our services could adversely impact our reputation and our financial results.</w:t>
      </w:r>
    </w:p>
    <w:p>
      <w:pPr>
        <w:spacing w:after="0" w:line="19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performance of clinical development services is complex and time-consuming. We may make mistakes in conducting a clinical trial that could negatively impact or damage the usefulness of the clinical trial or cause the results to be reported improperly. If the clinical trial results are compromised, we could be subject to significant costs or liability, which could have an adverse impact on our ability to perform our services. Large clinical trials are costly, and while we endeavour to contractually limit our exposure to such risks, improper performance of our services could have an adverse effect on our financial condition, damage our reputation and result in the cancellation of current contracts or failure to obtain new contracts from affected or other clients.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160</w:t>
      </w:r>
    </w:p>
    <w:p>
      <w:pPr>
        <w:sectPr>
          <w:pgSz w:w="11900" w:h="16838" w:orient="portrait"/>
          <w:cols w:equalWidth="0" w:num="1">
            <w:col w:w="11280"/>
          </w:cols>
          <w:pgMar w:left="300" w:top="1275" w:right="319" w:bottom="1440" w:gutter="0" w:footer="0" w:header="0"/>
        </w:sectPr>
      </w:pPr>
    </w:p>
    <w:bookmarkStart w:id="177" w:name="page178"/>
    <w:bookmarkEnd w:id="177"/>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367"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Our relationships with existing or potential customers who are in competition with each other may adversely impact the degree to which other customers or potential customers use our services, which may adversely affect our results of operations.</w:t>
      </w:r>
    </w:p>
    <w:p>
      <w:pPr>
        <w:spacing w:after="0" w:line="144"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The biopharmaceutical industry is highly competitive, with biopharmaceutical companies each seeking to persuade payers, providers and patients that their drug therapies are better and more cost-effective than competing therapies marketed or being developed by competing companies. In addition to the adverse competitive interests that biopharmaceutical companies have with each other, biopharmaceutical companies also have adverse interests with respect to drug selection and reimbursement with other participants in the health care industry, including payers and providers. Biopharmaceutical companies also compete to be first to market with new drug therapies. We regularly provide services to biopharmaceutical companies who compete with each other and we sometimes provide services to such customers regarding competing drugs in development. Our existing or future relationships with our biopharmaceutical customers may therefore deter other biopharmaceutical customers from using our services or may result in our customers seeking to place limits on our ability to serve other biopharmaceutical industry participants. In addition, our further expansion into the broader health care market may adversely impact our relationships with biopharmaceutical customers and such customers may elect not to use our services, reduce the scope of services that we provide to them or seek to place restrictions on our ability to serve customers in the broader health care market with interests that are adverse to theirs. Any loss of customers or reductions in the level of revenues from a customer could have a material adverse effect on our results of operations, business and prospects.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have only a limited ability to protect our intellectual property rights and these rights are important to our success.</w:t>
      </w:r>
    </w:p>
    <w:p>
      <w:pPr>
        <w:spacing w:after="0" w:line="19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Our success depends, in part, upon our ability to develop, use and protect our proprietary methodologies, analytics, systems, technologies and other intellectual property. Existing laws of the various countries in which we provide services or solutions offer only limited protection of our intellectual property rights, and the protection in some countries may be very limited. We rely upon a combination of trade secrets, confidentiality policies, non-disclosure, invention assignment and other contractual arrangements and patent, copyright and trademark laws, to protect our intellectual property rights. These laws are subject to change at any time and certain agreements may not be fully enforceable, which could further restrict our ability to protect our innovations. Intellectual property rights may not prevent competitors from independently developing services similar to or duplicative of ours. Further, the steps we take in this regard might not be adequate to prevent or deter infringement or other misappropriation of our intellectual property by competitors, former employees or other third parties and we might not be able to detect unauthorised use of, or take appropriate and timely steps to enforce our intellectual property rights. Enforcing our rights might also require considerable time, money and oversight and we may not be successful in enforcing our rights.</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biopharmaceutical industry has a history of patent and other intellectual property litigation and we might be involved in costly intellectual property lawsuits.</w:t>
      </w:r>
    </w:p>
    <w:p>
      <w:pPr>
        <w:spacing w:after="0" w:line="190"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The biopharmaceutical industry has a history of intellectual property litigation, and these lawsuits will likely continue in the future. Accordingly, we may face patent infringement legal proceedings by companies that have patents for similar business processes or other legal proceedings alleging infringement of their intellectual property rights. Legal proceedings relating to intellectual property could be expensive, take significant time and divert management’s attention from other business concerns, regardless of the outcome of the litigation. If we do not prevail in an infringement lawsuit brought against us, we might have to pay substantial damages and we could be required to stop the infringing activity or obtain a license to use technology on unfavourable terms. Any infringement or other legal processing related to intellectual property could have a material adverse effect on our operations and financial condition.</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act as authorised representative and legal representative for some clients pursuant to certain EU legislation.</w:t>
      </w:r>
    </w:p>
    <w:p>
      <w:pPr>
        <w:spacing w:after="0" w:line="20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act as authorised representative pursuant to Medical Devices Directive 93/42/EEC (“MDD”) and Active Implantable Medical Devices Directive 90/385/EEC (“AIMD”) for certain clients who are located outside of the European Union. Medical Devices Regulation 2017/745 (“MDR”) replaced MDD on 26 May 2020 and provides for increased responsibility, and accordingly increased risk, for authorised representatives. As authorised representative, we act on behalf of medical device manufacturers in relation to specified tasks with regard to their obligations under MDR.</w:t>
      </w:r>
    </w:p>
    <w:p>
      <w:pPr>
        <w:spacing w:after="0" w:line="159"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also act as legal representative pursuant to MDD and AIMD, and will continue to do so pursuant to MDR, for certain clients who are located outside of the European Union with respect to clinical trials being carried out by those clients in the European Union. As legal representative, we are responsible for ensuring compliance with the client’s obligations pursuant to MDR and we are the addressee for all communications with the client provided for under MDR.</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161</w:t>
      </w:r>
    </w:p>
    <w:p>
      <w:pPr>
        <w:sectPr>
          <w:pgSz w:w="11900" w:h="16838" w:orient="portrait"/>
          <w:cols w:equalWidth="0" w:num="1">
            <w:col w:w="11280"/>
          </w:cols>
          <w:pgMar w:left="300" w:top="1275" w:right="319" w:bottom="1440" w:gutter="0" w:footer="0" w:header="0"/>
        </w:sectPr>
      </w:pPr>
    </w:p>
    <w:bookmarkStart w:id="178" w:name="page179"/>
    <w:bookmarkEnd w:id="178"/>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200" w:lineRule="exact"/>
        <w:rPr>
          <w:sz w:val="20"/>
          <w:szCs w:val="20"/>
          <w:color w:val="auto"/>
        </w:rPr>
      </w:pPr>
    </w:p>
    <w:p>
      <w:pPr>
        <w:spacing w:after="0" w:line="315"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provide these services subject to certain terms and conditions which are contained in our agreements with clients pertaining to these services. We aim to reduce any potential liability associated with these activities by seeking contractual indemnification from our clients and by maintaining an appropriate level of insurance cover. However, there is no guarantee that the specific insurance will be available or that a client will fulfil its obligations in relation to their indemnity.</w:t>
      </w:r>
    </w:p>
    <w:p>
      <w:pPr>
        <w:spacing w:after="0" w:line="159" w:lineRule="exact"/>
        <w:rPr>
          <w:sz w:val="20"/>
          <w:szCs w:val="20"/>
          <w:color w:val="auto"/>
        </w:rPr>
      </w:pPr>
    </w:p>
    <w:p>
      <w:pPr>
        <w:jc w:val="both"/>
        <w:spacing w:after="0" w:line="293" w:lineRule="auto"/>
        <w:rPr>
          <w:sz w:val="20"/>
          <w:szCs w:val="20"/>
          <w:color w:val="auto"/>
        </w:rPr>
      </w:pPr>
      <w:r>
        <w:rPr>
          <w:rFonts w:ascii="Arial" w:cs="Arial" w:eastAsia="Arial" w:hAnsi="Arial"/>
          <w:sz w:val="13"/>
          <w:szCs w:val="13"/>
          <w:b w:val="1"/>
          <w:bCs w:val="1"/>
          <w:i w:val="1"/>
          <w:iCs w:val="1"/>
          <w:color w:val="auto"/>
        </w:rPr>
        <w:t>We rely on third parties to provide certain data and other information to us. Our suppliers or providers might increase our cost to obtain, restrict our use of or refuse to license data, which could lead to our inability to access certain data or provide certain services and, as a result, materially and adversely affect our operating results and financial condition.</w:t>
      </w:r>
    </w:p>
    <w:p>
      <w:pPr>
        <w:spacing w:after="0" w:line="13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Our services are derived from, or include, the use of data we collect from third parties. We have several data suppliers that provide us with a broad and diverse scope of information that we collect, use in our business and sell.</w:t>
      </w:r>
    </w:p>
    <w:p>
      <w:pPr>
        <w:spacing w:after="0" w:line="167"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We generally enter into long-term contractual arrangements with many of our data suppliers. At the time we enter into a new data supply contract or renew an existing contract, suppliers may increase our cost to obtain and use the data provided by such supplier, increase restrictions on our ability to use or sell such data, or altogether refuse to license the data to us. Also, our data suppliers may fail to meet or adhere to our quality control standards or fail to deliver the data to us. Although no single supplier is material to our business, if suppliers that collectively provide a significant amount of the data we receive or use were to increase our costs to obtain or use such data, further restrict our access to or use of such data, fail to meet or adhere to our quality control standards, refuse to provide or fail to deliver data to us, our ability to provide data-dependent services to our clients may be adversely impacted, which could have a material adverse effect on our business, results of operations, financial condition or cash flow.</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3"/>
          <w:szCs w:val="13"/>
          <w:b w:val="1"/>
          <w:bCs w:val="1"/>
          <w:i w:val="1"/>
          <w:iCs w:val="1"/>
          <w:color w:val="auto"/>
        </w:rPr>
        <w:t>We rely on third parties for important products, services and licenses to certain technology and intellectual property rights, if there was failure in delivery by these parties, we might not be able to continue to obtain such products, services and licenses.</w:t>
      </w:r>
    </w:p>
    <w:p>
      <w:pPr>
        <w:spacing w:after="0" w:line="1"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We depend on certain third parties to provide us with products and services critical to our business. Such services include, among others, suppliers of drugs for patients participating in trials, suppliers of kits for use in our laboratories, suppliers of reagents for use in our testing equipment and providers of maintenance services for our equipment. The failure of any of these third parties to adequately provide the required products or services, or to do so in compliance with applicable regulatory requirements, could have a material adverse effect on our business.</w:t>
      </w:r>
    </w:p>
    <w:p>
      <w:pPr>
        <w:spacing w:after="0" w:line="16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Some of our services rely on intellectual property, technology and other similar property owned and/or controlled by third parties. Our licenses to this property and technology could terminate or expire and we might not be able to replace these licenses in a timely manner. Also, we might not be able to renew these licenses on similar terms and conditions. Failure to renew these licenses, or renewals of these licenses on less advantageous terms, could have a material adverse effect on our business, results of operations, financial condition or cash flow.</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Risk Related to Our Industry</w:t>
      </w:r>
    </w:p>
    <w:p>
      <w:pPr>
        <w:spacing w:after="0" w:line="169"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Outsourcing trends in the pharmaceutical, biotechnology and medical device industries and changes in spending and research and development budgets could adversely affect our operating results and growth rates.</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are dependent upon the ability and willingness of the pharmaceutical, biotechnology and medical device companies to continue to spend on research and development and to outsource the services that we provide. We are therefore subject to risks, uncertainties and trends that affect companies in these industries that we do not control. We have benefited to date from the tendency of pharmaceutical, biotechnology and medical device companies to outsource clinical research projects. Any downturn in these industries or reduction in spending or outsourcing could materially adversely affect our business. The following could each result in such a downturn:</w:t>
      </w:r>
    </w:p>
    <w:p>
      <w:pPr>
        <w:spacing w:after="0" w:line="165" w:lineRule="exact"/>
        <w:rPr>
          <w:sz w:val="20"/>
          <w:szCs w:val="20"/>
          <w:color w:val="auto"/>
        </w:rPr>
      </w:pPr>
    </w:p>
    <w:p>
      <w:pPr>
        <w:ind w:left="700" w:hanging="313"/>
        <w:spacing w:after="0"/>
        <w:tabs>
          <w:tab w:leader="none" w:pos="700" w:val="left"/>
        </w:tabs>
        <w:numPr>
          <w:ilvl w:val="0"/>
          <w:numId w:val="151"/>
        </w:numPr>
        <w:rPr>
          <w:rFonts w:ascii="Arial" w:cs="Arial" w:eastAsia="Arial" w:hAnsi="Arial"/>
          <w:sz w:val="13"/>
          <w:szCs w:val="13"/>
          <w:color w:val="auto"/>
        </w:rPr>
      </w:pPr>
      <w:r>
        <w:rPr>
          <w:rFonts w:ascii="Arial" w:cs="Arial" w:eastAsia="Arial" w:hAnsi="Arial"/>
          <w:sz w:val="13"/>
          <w:szCs w:val="13"/>
          <w:color w:val="auto"/>
        </w:rPr>
        <w:t>if pharmaceutical, biotechnology or medical device companies expanded upon their in-house clinical or development capabilities, they would be less likely to utilise our services;</w:t>
      </w:r>
    </w:p>
    <w:p>
      <w:pPr>
        <w:spacing w:after="0" w:line="17" w:lineRule="exact"/>
        <w:rPr>
          <w:rFonts w:ascii="Arial" w:cs="Arial" w:eastAsia="Arial" w:hAnsi="Arial"/>
          <w:sz w:val="13"/>
          <w:szCs w:val="13"/>
          <w:color w:val="auto"/>
        </w:rPr>
      </w:pPr>
    </w:p>
    <w:p>
      <w:pPr>
        <w:ind w:left="700" w:hanging="313"/>
        <w:spacing w:after="0" w:line="241" w:lineRule="auto"/>
        <w:tabs>
          <w:tab w:leader="none" w:pos="691" w:val="left"/>
        </w:tabs>
        <w:numPr>
          <w:ilvl w:val="0"/>
          <w:numId w:val="151"/>
        </w:numPr>
        <w:rPr>
          <w:rFonts w:ascii="Arial" w:cs="Arial" w:eastAsia="Arial" w:hAnsi="Arial"/>
          <w:sz w:val="13"/>
          <w:szCs w:val="13"/>
          <w:color w:val="auto"/>
        </w:rPr>
      </w:pPr>
      <w:r>
        <w:rPr>
          <w:rFonts w:ascii="Arial" w:cs="Arial" w:eastAsia="Arial" w:hAnsi="Arial"/>
          <w:sz w:val="13"/>
          <w:szCs w:val="13"/>
          <w:color w:val="auto"/>
        </w:rPr>
        <w:t>if governmental regulations were changed, it could affect the ability of our clients to operate profitably, which may lead to a decrease in research spending and therefore this could have a material adverse effect on our business; and</w:t>
      </w:r>
    </w:p>
    <w:p>
      <w:pPr>
        <w:ind w:left="700" w:hanging="313"/>
        <w:spacing w:after="0"/>
        <w:tabs>
          <w:tab w:leader="none" w:pos="700" w:val="left"/>
        </w:tabs>
        <w:numPr>
          <w:ilvl w:val="0"/>
          <w:numId w:val="151"/>
        </w:numPr>
        <w:rPr>
          <w:rFonts w:ascii="Arial" w:cs="Arial" w:eastAsia="Arial" w:hAnsi="Arial"/>
          <w:sz w:val="13"/>
          <w:szCs w:val="13"/>
          <w:color w:val="auto"/>
        </w:rPr>
      </w:pPr>
      <w:r>
        <w:rPr>
          <w:rFonts w:ascii="Arial" w:cs="Arial" w:eastAsia="Arial" w:hAnsi="Arial"/>
          <w:sz w:val="13"/>
          <w:szCs w:val="13"/>
          <w:color w:val="auto"/>
        </w:rPr>
        <w:t>if unfavourable economic conditions or disruptions in the credit and capital markets negatively impacted our clients.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162</w:t>
      </w:r>
    </w:p>
    <w:p>
      <w:pPr>
        <w:sectPr>
          <w:pgSz w:w="11900" w:h="16838" w:orient="portrait"/>
          <w:cols w:equalWidth="0" w:num="1">
            <w:col w:w="11280"/>
          </w:cols>
          <w:pgMar w:left="300" w:top="1275" w:right="319" w:bottom="1440" w:gutter="0" w:footer="0" w:header="0"/>
        </w:sectPr>
      </w:pPr>
    </w:p>
    <w:bookmarkStart w:id="179" w:name="page180"/>
    <w:bookmarkEnd w:id="179"/>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36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Large pharmaceutical companies are increasingly consolidating their vendor base and entering strategic partnership arrangements with a limited number of outsource providers.</w:t>
      </w:r>
    </w:p>
    <w:p>
      <w:pPr>
        <w:spacing w:after="0" w:line="19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Large pharmaceutical companies are continually seeking to drive efficiencies in their development processes to both reduce costs associated with the development of new drug candidates and accelerate time to market. As a result, large pharmaceutical companies, in particular, are increasingly looking to consolidate the number of outsource providers with which they engage, with many entering strategic partnership arrangements with a limited number of outsource providers. The failure to enter strategic partnership arrangements with customers or the loss of existing customers as a result of them entering strategic partnership arrangements with our competitors could have a material adverse impact on our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Increased collaboration amongst pharmaceutical companies in research and development activities may lead to fewer research opportunities.</w:t>
      </w:r>
    </w:p>
    <w:p>
      <w:pPr>
        <w:spacing w:after="0" w:line="19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Certain pharmaceutical companies have begun to collaborate in seeking to develop new drug candidates. Increased collaboration amongst pharmaceutical companies may lead to fewer research opportunities, which in turn may lead to fewer outsource opportunities for companies within the CRO industry. A reduction in outsource opportunities as a result of this increased collaboration could have a material adverse impact on our results of operations.</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operate in a highly competitive and dynamic market.</w:t>
      </w:r>
    </w:p>
    <w:p>
      <w:pPr>
        <w:spacing w:after="0" w:line="201"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The CRO industry is highly competitive. In particular, we compete with other large global CROs for strategic relationships with large pharmaceutical companies. If we are unable to retain and renew existing strategic relationships and win new strategic relationships, there could be a material adverse impact on our results. Similarly, we compete with other CROs for work which comes outside of these strategic relationships and being unable to win work outside of these strategic relationships would have a material adverse impact on our results.</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type and depth of services provided by CROs has changed in recent years. Failure to develop and market new services or expand existing service offerings could adversely affect our business and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New entrants may also enter the market which would further increase competition and could adversely affect our business and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be adversely affected by industry, customer or therapeutic concentration.</w:t>
      </w:r>
    </w:p>
    <w:p>
      <w:pPr>
        <w:spacing w:after="0" w:line="19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provide services to biopharmaceutical, biotechnology, medical device and government organisations and our revenue is dependent on expenditures by these customers. Our business could therefore be adversely impacted by mergers, consolidation, business failures, distress in financial markets or other factors resulting in a decrease in the number of potential customers or therapeutic products being developed through the drug development progress. There has been consolidation in the biopharmaceutical market in recent years. If the number of our potential customers were to decline in the future, they may be able to negotiate price discounts or other terms for services that are less favourable to us than they have been historically.</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Risk Related to Our Financial Results and Financial Position</w:t>
      </w:r>
    </w:p>
    <w:p>
      <w:pPr>
        <w:spacing w:after="0" w:line="201"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Our quarterly results are dependent upon a number of factors and can fluctuate from quarter to quarter. They may fall short of prior periods, our projections or the expectations of securities analysts or investors, which may adversely affect the market price of our stock.</w:t>
      </w:r>
    </w:p>
    <w:p>
      <w:pPr>
        <w:spacing w:after="0" w:line="144"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auto"/>
        </w:rPr>
        <w:t>Our results of operations in any quarter can fluctuate or differ from expected or forecast results depending upon or due to, among other things, the number and scope of ongoing client projects, the commencement, postponement, variation, cancellation or termination of projects in a quarter, the mix of activity, cost overruns, employee hiring and other factors. Our revenue in any period is directly related to the number of employees who were working on billable projects together with investigator activity during that period. We may be unable to compensate for periods of under-utilisation during one part of a fiscal period by earning revenue during another part of that period. We believe that operating results for any particular quarter are not necessarily a meaningful indicator of future results.</w:t>
      </w:r>
    </w:p>
    <w:p>
      <w:pPr>
        <w:spacing w:after="0" w:line="14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Also, if in future quarters, we are unable to continue to deliver operational efficiencies and our expenses grow faster than our revenues, our operating margins, profitability and overall financial condition may be materially adversely impacted.</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163</w:t>
      </w:r>
    </w:p>
    <w:p>
      <w:pPr>
        <w:sectPr>
          <w:pgSz w:w="11900" w:h="16838" w:orient="portrait"/>
          <w:cols w:equalWidth="0" w:num="1">
            <w:col w:w="11280"/>
          </w:cols>
          <w:pgMar w:left="300" w:top="1275" w:right="319" w:bottom="1440" w:gutter="0" w:footer="0" w:header="0"/>
        </w:sectPr>
      </w:pPr>
    </w:p>
    <w:bookmarkStart w:id="180" w:name="page181"/>
    <w:bookmarkEnd w:id="180"/>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36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exposure to exchange rate fluctuations could adversely affect our results of operations.</w:t>
      </w:r>
    </w:p>
    <w:p>
      <w:pPr>
        <w:spacing w:after="0" w:line="19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Our contracts with clients are sometimes denominated in currencies other than the currency in which we incur expenses related to such contracts. Where expenses are incurred in currencies other than those in which contracts are priced, fluctuations in the relative value of those currencies could have a material adverse effect on our results of operations.</w:t>
      </w:r>
    </w:p>
    <w:p>
      <w:pPr>
        <w:spacing w:after="0" w:line="167"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In addition, we are also subject to translation exposures as our consolidated financial results are presented in U.S. dollars, while the local results of certain of our subsidiaries are prepared in currencies other than U.S. dollars, including, amongst others, the pound sterling and the euro. Accordingly, changes in exchange rates between the U.S. dollar and those other currencies will affect the translation of subsidiary companies' financial results into U.S. dollars in reporting our consolidated financial results.</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effective tax rate may fluctuate from quarter-to-quarter, which may adversely affect our results of operations.</w:t>
      </w:r>
    </w:p>
    <w:p>
      <w:pPr>
        <w:spacing w:after="0" w:line="190"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Our quarterly effective tax rate has depended and will continue to depend on the geographic distribution of our taxable earnings amongst the multiple tax jurisdictions in which we operate and the tax law in those jurisdictions. Changes in the geographic mix of our results of operations amongst these jurisdictions may have a significant impact on our effective tax rate from quarter to quarter. Changes in tax law in one or more jurisdictions could also have a significant impact on our tax rate and results. In addition, as we operate in multiple tax jurisdictions, we may be subject to audits in certain jurisdictions. These audits may involve complex issues which could require an extended period of time for resolution. The resolution of audit issues may lead to differences, additional taxes, fines or penalties which could have a material adverse impact on our effective tax rate and our financial condition and results.</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unsatisfied performance obligations may not convert to revenue and the rate of conversion may slow.</w:t>
      </w:r>
    </w:p>
    <w:p>
      <w:pPr>
        <w:spacing w:after="0" w:line="201"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Our unsatisfied performance obligation is that element of awards that has not yet converted to revenue. This value is not necessarily a meaningful predictor of future results, due to the potential for the cancellation or delay of projects included in the unsatisfied performance obligation. No assurances can be given that we will be able to realise this unsatisfied performance obligation in full as revenue. A failure to realise these awards could have a material adverse impact on our results of operations. In addition, as the length and complexity of projects increases, the rate at which awards convert to revenue may be slower than in the past. A significant reduction in the rate of conversion could have a material impact on our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Company is exposed to various risks in relation to our cash and cash equivalents and short-term investments.</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Company’s treasury function manages our available cash resources and invests significant cash balances in various financial institutions to try to ensure optimum returns for our surplus cash balances. These balances are classified as cash and cash equivalents or short-term investments depending on the maturity of the related investment. Cash and cash equivalents comprise cash and highly liquid investments with maturities of three months or less. Short-term investments comprise highly liquid investments with maturities of greater than three months and minimum “A-” rated fixed and floating rate securities.</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Given the global nature of our business, we are exposed to various risks in relation to these balances including liquidity risk, credit risk associated with the counterparties with whom we invest, interest rate risk on floating rate securities, sovereign risk (our principle sovereign risk relates to investments in U.S. Treasury funds) and other factors.</w:t>
      </w:r>
    </w:p>
    <w:p>
      <w:pPr>
        <w:spacing w:after="0" w:line="157"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Although we have not recognised any significant losses to date on our cash and cash equivalents or short-term investments, any significant declines in their market values could have a material adverse effect on our financial position and operating results.</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Changes in accounting standards may adversely affect our financial statements.</w:t>
      </w:r>
    </w:p>
    <w:p>
      <w:pPr>
        <w:spacing w:after="0" w:line="201"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We are required to prepare our financial statements in accordance with International Financial Reporting Standards (“IFRS”), as adopted by the European Union (“EU IFRS”) which are revised on an on-going basis by the authoritative bodies. It is possible that future accounting standard changes, may require additional changes to the accounting treatment that we apply in preparation of our financial statements. These updates may result in unexpected variability in the timing of recognition of revenue and therefore in our operating results.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164</w:t>
      </w:r>
    </w:p>
    <w:p>
      <w:pPr>
        <w:sectPr>
          <w:pgSz w:w="11900" w:h="16838" w:orient="portrait"/>
          <w:cols w:equalWidth="0" w:num="1">
            <w:col w:w="11280"/>
          </w:cols>
          <w:pgMar w:left="300" w:top="1275" w:right="319" w:bottom="1440" w:gutter="0" w:footer="0" w:header="0"/>
        </w:sectPr>
      </w:pPr>
    </w:p>
    <w:bookmarkStart w:id="181" w:name="page182"/>
    <w:bookmarkEnd w:id="181"/>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367"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Risk Related to Political, Legal or Regulatory Environment</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lose business opportunities as a result of health care reform and the expansion of managed care organisations.</w:t>
      </w:r>
    </w:p>
    <w:p>
      <w:pPr>
        <w:spacing w:after="0" w:line="148"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Numerous governments, including the U.S. government, have undertaken efforts to control growing health care costs through legislation, regulation and voluntary agreements with medical care providers and drug companies. If these efforts are successful, pharmaceutical, biotechnology and medical device companies may react by spending less on research and development and therefore this could have a material adverse effect on our business.</w:t>
      </w:r>
    </w:p>
    <w:p>
      <w:pPr>
        <w:spacing w:after="0" w:line="159"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In addition to health care reform proposals, the expansion of managed care organisations in the health care market may result in reduced spending on research and development. Managed care organisations' efforts to cut costs by limiting expenditures on pharmaceuticals and medical devices could result in pharmaceutical, biotechnology and medical device companies spending less on research and development. If this were to occur, we would have fewer business opportunities and our revenues could decrease, possibly materially.</w:t>
      </w:r>
    </w:p>
    <w:p>
      <w:pPr>
        <w:spacing w:after="0" w:line="17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Healthcare reform legislation, other changes in the healthcare industry and in healthcare spending could adversely affect our business model, financial condition or results of operations.</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Our results of operations and financial conditions could be affected by changes in healthcare spending and policy. The healthcare industry is subject to changing political, regulatory and other influences. It is possible that legislation will be introduced and passed in the United States repealing, modifying or invalidating the current healthcare reform legislation, in whole or in part, and signed into law. Because of the continued uncertainty about the implementation of the current healthcare reform legislation, including the potential for further legal challenges or repeal of that legislation, we cannot quantify or predict with any certainty the likely impact of the current healthcare reform legislation or its repeal on the health care sector, on our customers and ultimately on our financial condition or results of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unrest in Eastern Europe could adversely affect our results of operations.</w:t>
      </w:r>
    </w:p>
    <w:p>
      <w:pPr>
        <w:spacing w:after="0" w:line="179" w:lineRule="exact"/>
        <w:rPr>
          <w:sz w:val="20"/>
          <w:szCs w:val="20"/>
          <w:color w:val="auto"/>
        </w:rPr>
      </w:pPr>
    </w:p>
    <w:p>
      <w:pPr>
        <w:jc w:val="both"/>
        <w:spacing w:after="0" w:line="283" w:lineRule="auto"/>
        <w:rPr>
          <w:sz w:val="20"/>
          <w:szCs w:val="20"/>
          <w:color w:val="auto"/>
        </w:rPr>
      </w:pPr>
      <w:r>
        <w:rPr>
          <w:rFonts w:ascii="Arial" w:cs="Arial" w:eastAsia="Arial" w:hAnsi="Arial"/>
          <w:sz w:val="12"/>
          <w:szCs w:val="12"/>
          <w:color w:val="auto"/>
        </w:rPr>
        <w:t>The current unrest in Eastern Europe has led to, among other things, hardship and the imposition of international economic sanctions aimed at the region. While the situation is subject to change, there remains the possibility of additional and harsher sanctions if the conflict intensifies. If that were to happen, our operations in the region may be severely curtailed or eliminated, which could adversely affect our results of operations. In addition, if the current unrest broadens or further escalates, our operations may be severely curtailed, which could adversely affect our results of operations.</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lose business as a result of changes in the regulatory environment</w:t>
      </w:r>
      <w:r>
        <w:rPr>
          <w:rFonts w:ascii="Arial" w:cs="Arial" w:eastAsia="Arial" w:hAnsi="Arial"/>
          <w:sz w:val="13"/>
          <w:szCs w:val="13"/>
          <w:color w:val="auto"/>
        </w:rPr>
        <w:t>.</w:t>
      </w:r>
    </w:p>
    <w:p>
      <w:pPr>
        <w:spacing w:after="0" w:line="20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Various regulatory bodies throughout the world may enact legislation, rules and guidance which could introduce changes to the regulatory environment for drug development and research. The adoption and implementation of such legislation, rules and guidance is difficult to predict and therefore could have a material adverse effect on our business.</w:t>
      </w:r>
    </w:p>
    <w:p>
      <w:pPr>
        <w:spacing w:after="0" w:line="157" w:lineRule="exact"/>
        <w:rPr>
          <w:sz w:val="20"/>
          <w:szCs w:val="20"/>
          <w:color w:val="auto"/>
        </w:rPr>
      </w:pPr>
    </w:p>
    <w:p>
      <w:pPr>
        <w:jc w:val="both"/>
        <w:spacing w:after="0" w:line="293" w:lineRule="auto"/>
        <w:rPr>
          <w:sz w:val="20"/>
          <w:szCs w:val="20"/>
          <w:color w:val="auto"/>
        </w:rPr>
      </w:pPr>
      <w:r>
        <w:rPr>
          <w:rFonts w:ascii="Arial" w:cs="Arial" w:eastAsia="Arial" w:hAnsi="Arial"/>
          <w:sz w:val="13"/>
          <w:szCs w:val="13"/>
          <w:b w:val="1"/>
          <w:bCs w:val="1"/>
          <w:i w:val="1"/>
          <w:iCs w:val="1"/>
          <w:color w:val="auto"/>
        </w:rPr>
        <w:t>Failure to comply with the regulations and requirements of the U.S. Food and Drug Administration and other regulatory authorities could result in substantial penalties and/or loss of business</w:t>
      </w:r>
      <w:r>
        <w:rPr>
          <w:rFonts w:ascii="Arial" w:cs="Arial" w:eastAsia="Arial" w:hAnsi="Arial"/>
          <w:sz w:val="13"/>
          <w:szCs w:val="13"/>
          <w:b w:val="1"/>
          <w:bCs w:val="1"/>
          <w:color w:val="auto"/>
        </w:rPr>
        <w:t>.</w:t>
      </w:r>
    </w:p>
    <w:p>
      <w:pPr>
        <w:spacing w:after="0" w:line="144"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The U.S. Food and Drug Administration, or "FDA", and other regulatory and government authorities and agencies inspect and audit us from time to time to ensure that we comply with their regulations and guidelines, including environmental and health and safety matters, and other requirements imposed in connection with the performance of government contracts. We must comply with the applicable regulatory requirements governing the conduct of clinical trials and contracting with the government in all countries in which we operate. If we fail to comply with any of these requirements we could suffer some or all of:</w:t>
      </w:r>
    </w:p>
    <w:p>
      <w:pPr>
        <w:spacing w:after="0" w:line="64" w:lineRule="exact"/>
        <w:rPr>
          <w:sz w:val="20"/>
          <w:szCs w:val="20"/>
          <w:color w:val="auto"/>
        </w:rPr>
      </w:pPr>
    </w:p>
    <w:p>
      <w:pPr>
        <w:ind w:left="1020" w:hanging="506"/>
        <w:spacing w:after="0"/>
        <w:tabs>
          <w:tab w:leader="none" w:pos="1020" w:val="left"/>
        </w:tabs>
        <w:numPr>
          <w:ilvl w:val="0"/>
          <w:numId w:val="152"/>
        </w:numPr>
        <w:rPr>
          <w:rFonts w:ascii="Arial" w:cs="Arial" w:eastAsia="Arial" w:hAnsi="Arial"/>
          <w:sz w:val="13"/>
          <w:szCs w:val="13"/>
          <w:color w:val="auto"/>
        </w:rPr>
      </w:pPr>
      <w:r>
        <w:rPr>
          <w:rFonts w:ascii="Arial" w:cs="Arial" w:eastAsia="Arial" w:hAnsi="Arial"/>
          <w:sz w:val="13"/>
          <w:szCs w:val="13"/>
          <w:color w:val="auto"/>
        </w:rPr>
        <w:t>termination of or delay in any research;</w:t>
      </w:r>
    </w:p>
    <w:p>
      <w:pPr>
        <w:spacing w:after="0" w:line="11" w:lineRule="exact"/>
        <w:rPr>
          <w:rFonts w:ascii="Arial" w:cs="Arial" w:eastAsia="Arial" w:hAnsi="Arial"/>
          <w:sz w:val="13"/>
          <w:szCs w:val="13"/>
          <w:color w:val="auto"/>
        </w:rPr>
      </w:pPr>
    </w:p>
    <w:p>
      <w:pPr>
        <w:ind w:left="1020" w:hanging="506"/>
        <w:spacing w:after="0"/>
        <w:tabs>
          <w:tab w:leader="none" w:pos="1020" w:val="left"/>
        </w:tabs>
        <w:numPr>
          <w:ilvl w:val="0"/>
          <w:numId w:val="152"/>
        </w:numPr>
        <w:rPr>
          <w:rFonts w:ascii="Arial" w:cs="Arial" w:eastAsia="Arial" w:hAnsi="Arial"/>
          <w:sz w:val="13"/>
          <w:szCs w:val="13"/>
          <w:color w:val="auto"/>
        </w:rPr>
      </w:pPr>
      <w:r>
        <w:rPr>
          <w:rFonts w:ascii="Arial" w:cs="Arial" w:eastAsia="Arial" w:hAnsi="Arial"/>
          <w:sz w:val="13"/>
          <w:szCs w:val="13"/>
          <w:color w:val="auto"/>
        </w:rPr>
        <w:t>disqualification of data;</w:t>
      </w:r>
    </w:p>
    <w:p>
      <w:pPr>
        <w:ind w:left="1020" w:hanging="506"/>
        <w:spacing w:after="0"/>
        <w:tabs>
          <w:tab w:leader="none" w:pos="1020" w:val="left"/>
        </w:tabs>
        <w:numPr>
          <w:ilvl w:val="0"/>
          <w:numId w:val="152"/>
        </w:numPr>
        <w:rPr>
          <w:rFonts w:ascii="Arial" w:cs="Arial" w:eastAsia="Arial" w:hAnsi="Arial"/>
          <w:sz w:val="13"/>
          <w:szCs w:val="13"/>
          <w:color w:val="auto"/>
        </w:rPr>
      </w:pPr>
      <w:r>
        <w:rPr>
          <w:rFonts w:ascii="Arial" w:cs="Arial" w:eastAsia="Arial" w:hAnsi="Arial"/>
          <w:sz w:val="13"/>
          <w:szCs w:val="13"/>
          <w:color w:val="auto"/>
        </w:rPr>
        <w:t>denial of the right to conduct business;</w:t>
      </w:r>
    </w:p>
    <w:p>
      <w:pPr>
        <w:spacing w:after="0" w:line="5" w:lineRule="exact"/>
        <w:rPr>
          <w:rFonts w:ascii="Arial" w:cs="Arial" w:eastAsia="Arial" w:hAnsi="Arial"/>
          <w:sz w:val="13"/>
          <w:szCs w:val="13"/>
          <w:color w:val="auto"/>
        </w:rPr>
      </w:pPr>
    </w:p>
    <w:p>
      <w:pPr>
        <w:ind w:left="1020" w:hanging="506"/>
        <w:spacing w:after="0"/>
        <w:tabs>
          <w:tab w:leader="none" w:pos="1020" w:val="left"/>
        </w:tabs>
        <w:numPr>
          <w:ilvl w:val="0"/>
          <w:numId w:val="152"/>
        </w:numPr>
        <w:rPr>
          <w:rFonts w:ascii="Arial" w:cs="Arial" w:eastAsia="Arial" w:hAnsi="Arial"/>
          <w:sz w:val="13"/>
          <w:szCs w:val="13"/>
          <w:color w:val="auto"/>
        </w:rPr>
      </w:pPr>
      <w:r>
        <w:rPr>
          <w:rFonts w:ascii="Arial" w:cs="Arial" w:eastAsia="Arial" w:hAnsi="Arial"/>
          <w:sz w:val="13"/>
          <w:szCs w:val="13"/>
          <w:color w:val="auto"/>
        </w:rPr>
        <w:t>criminal penalties;</w:t>
      </w:r>
    </w:p>
    <w:p>
      <w:pPr>
        <w:spacing w:after="0" w:line="2" w:lineRule="exact"/>
        <w:rPr>
          <w:rFonts w:ascii="Arial" w:cs="Arial" w:eastAsia="Arial" w:hAnsi="Arial"/>
          <w:sz w:val="13"/>
          <w:szCs w:val="13"/>
          <w:color w:val="auto"/>
        </w:rPr>
      </w:pPr>
    </w:p>
    <w:p>
      <w:pPr>
        <w:ind w:left="1020" w:hanging="506"/>
        <w:spacing w:after="0"/>
        <w:tabs>
          <w:tab w:leader="none" w:pos="1020" w:val="left"/>
        </w:tabs>
        <w:numPr>
          <w:ilvl w:val="0"/>
          <w:numId w:val="152"/>
        </w:numPr>
        <w:rPr>
          <w:rFonts w:ascii="Arial" w:cs="Arial" w:eastAsia="Arial" w:hAnsi="Arial"/>
          <w:sz w:val="13"/>
          <w:szCs w:val="13"/>
          <w:color w:val="auto"/>
        </w:rPr>
      </w:pPr>
      <w:r>
        <w:rPr>
          <w:rFonts w:ascii="Arial" w:cs="Arial" w:eastAsia="Arial" w:hAnsi="Arial"/>
          <w:sz w:val="13"/>
          <w:szCs w:val="13"/>
          <w:color w:val="auto"/>
        </w:rPr>
        <w:t>other enforcement actions including debarment from government contracts;</w:t>
      </w:r>
    </w:p>
    <w:p>
      <w:pPr>
        <w:spacing w:after="0" w:line="5" w:lineRule="exact"/>
        <w:rPr>
          <w:rFonts w:ascii="Arial" w:cs="Arial" w:eastAsia="Arial" w:hAnsi="Arial"/>
          <w:sz w:val="13"/>
          <w:szCs w:val="13"/>
          <w:color w:val="auto"/>
        </w:rPr>
      </w:pPr>
    </w:p>
    <w:p>
      <w:pPr>
        <w:ind w:left="1020" w:hanging="506"/>
        <w:spacing w:after="0"/>
        <w:tabs>
          <w:tab w:leader="none" w:pos="1020" w:val="left"/>
        </w:tabs>
        <w:numPr>
          <w:ilvl w:val="0"/>
          <w:numId w:val="152"/>
        </w:numPr>
        <w:rPr>
          <w:rFonts w:ascii="Arial" w:cs="Arial" w:eastAsia="Arial" w:hAnsi="Arial"/>
          <w:sz w:val="13"/>
          <w:szCs w:val="13"/>
          <w:color w:val="auto"/>
        </w:rPr>
      </w:pPr>
      <w:r>
        <w:rPr>
          <w:rFonts w:ascii="Arial" w:cs="Arial" w:eastAsia="Arial" w:hAnsi="Arial"/>
          <w:sz w:val="13"/>
          <w:szCs w:val="13"/>
          <w:color w:val="auto"/>
        </w:rPr>
        <w:t>loss of clients and/or business; and</w:t>
      </w:r>
    </w:p>
    <w:p>
      <w:pPr>
        <w:spacing w:after="0" w:line="2" w:lineRule="exact"/>
        <w:rPr>
          <w:rFonts w:ascii="Arial" w:cs="Arial" w:eastAsia="Arial" w:hAnsi="Arial"/>
          <w:sz w:val="13"/>
          <w:szCs w:val="13"/>
          <w:color w:val="auto"/>
        </w:rPr>
      </w:pPr>
    </w:p>
    <w:p>
      <w:pPr>
        <w:ind w:left="1020" w:hanging="506"/>
        <w:spacing w:after="0"/>
        <w:tabs>
          <w:tab w:leader="none" w:pos="1020" w:val="left"/>
        </w:tabs>
        <w:numPr>
          <w:ilvl w:val="0"/>
          <w:numId w:val="152"/>
        </w:numPr>
        <w:rPr>
          <w:rFonts w:ascii="Arial" w:cs="Arial" w:eastAsia="Arial" w:hAnsi="Arial"/>
          <w:sz w:val="13"/>
          <w:szCs w:val="13"/>
          <w:color w:val="auto"/>
        </w:rPr>
      </w:pPr>
      <w:r>
        <w:rPr>
          <w:rFonts w:ascii="Arial" w:cs="Arial" w:eastAsia="Arial" w:hAnsi="Arial"/>
          <w:sz w:val="13"/>
          <w:szCs w:val="13"/>
          <w:color w:val="auto"/>
        </w:rPr>
        <w:t>litigation from clients and/or patients and/or regulatory authorities and/or other affected third parties, and resulting material penalties, damages and costs.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165</w:t>
      </w:r>
    </w:p>
    <w:p>
      <w:pPr>
        <w:sectPr>
          <w:pgSz w:w="11900" w:h="16838" w:orient="portrait"/>
          <w:cols w:equalWidth="0" w:num="1">
            <w:col w:w="11280"/>
          </w:cols>
          <w:pgMar w:left="300" w:top="1275" w:right="319" w:bottom="1440" w:gutter="0" w:footer="0" w:header="0"/>
        </w:sectPr>
      </w:pPr>
    </w:p>
    <w:bookmarkStart w:id="182" w:name="page183"/>
    <w:bookmarkEnd w:id="182"/>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36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are subject to political, regulatory, operational and legal risks associated with our international operations.</w:t>
      </w:r>
    </w:p>
    <w:p>
      <w:pPr>
        <w:spacing w:after="0" w:line="190"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We are one of a small group of organisations with the capability and expertise to conduct clinical trials on a global basis. We believe that this capability to provide our services globally in most major and developing pharmaceutical markets enhances our ability to compete for new business from large multinational pharmaceutical, biotechnology and medical device companies. We have expanded geographically in the past and intend to continue expanding in regions that have the potential to increase our client base or increase our investigator and patient populations. We expect that revenues earned in emerging markets will continue to account for an increasing portion of our total revenues. However, emerging market operations may present several risks, including civil disturbances, health concerns, cultural differences such as employment, regulatory and business practices, compliance with economic sanctions, laws and regulations, volatility in gross domestic product, economic and governmental instability, the potential for nationalisation of private assets and the imposition of exchange controls. In addition, operating globally means the Company faces the challenges associated with coordinating its services across different countries, time zones and cultures.</w:t>
      </w:r>
    </w:p>
    <w:p>
      <w:pPr>
        <w:spacing w:after="0" w:line="181"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Changes in the political and regulatory environment in the international markets in which we operate such as price or exchange controls could impact our revenue and profitability and could lead to penalties, sanctions and reputational damages if we are not compliant with those regulations. Political uncertainty and a lack of institutional continuity in some of the emerging, developing or other countries in which we operate could affect the orderly operation of markets in these economies. In addition, in countries with a large and complicated structure of government and administration, national, regional, local and other governmental bodies may issue inconsistent decisions and opinions that could increase our cost of regulatory compliance and/or have a material adverse effect on our business.</w:t>
      </w:r>
    </w:p>
    <w:p>
      <w:pPr>
        <w:spacing w:after="0" w:line="179"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Uncertainty of the legal environment in some emerging countries could also limit our ability to enforce our rights. In certain emerging and developing countries we enjoy less comprehensive protection for some of our rights, including intellectual property rights, which could undermine our competitive position. Proceedings to enforce our future patent rights, if any, in foreign jurisdictions could result in substantial cost and divert our efforts and attention from other aspects of our business.</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color w:val="auto"/>
        </w:rPr>
        <w:t>If any of the above risks or similar risks associated with our international operations were to materialise, our results of operations and financial condition could be materially adversely affected.</w:t>
      </w:r>
    </w:p>
    <w:p>
      <w:pPr>
        <w:spacing w:after="0" w:line="190" w:lineRule="exact"/>
        <w:rPr>
          <w:sz w:val="20"/>
          <w:szCs w:val="20"/>
          <w:color w:val="auto"/>
        </w:rPr>
      </w:pPr>
    </w:p>
    <w:p>
      <w:pPr>
        <w:jc w:val="both"/>
        <w:spacing w:after="0" w:line="274" w:lineRule="auto"/>
        <w:rPr>
          <w:sz w:val="20"/>
          <w:szCs w:val="20"/>
          <w:color w:val="auto"/>
        </w:rPr>
      </w:pPr>
      <w:r>
        <w:rPr>
          <w:rFonts w:ascii="Arial" w:cs="Arial" w:eastAsia="Arial" w:hAnsi="Arial"/>
          <w:sz w:val="13"/>
          <w:szCs w:val="13"/>
          <w:b w:val="1"/>
          <w:bCs w:val="1"/>
          <w:i w:val="1"/>
          <w:iCs w:val="1"/>
          <w:color w:val="auto"/>
        </w:rPr>
        <w:t>We operate in many different jurisdictions and we could be adversely affected by violations of anti-corruption laws, including the United States Foreign Corrupt Practices Act of 1977 ("FCPA"), UK Bribery Act of 2010 ("Bribery Act") and similar anti-corruption laws in other jurisdictions as well as laws and regulations relating to trade compliance and economic sanctions.</w:t>
      </w:r>
    </w:p>
    <w:p>
      <w:pPr>
        <w:spacing w:after="0" w:line="15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FCPA, UK Bribery Act of 2010 and similar anti-corruption laws in other jurisdictions prohibit us and our offices, directors, employees and third parties acting on our behalf, including agents, from corruptly offering, promising, authorising, or providing anything of value to a "foreign official" for the purposes of influencing official decisions or obtaining or retaining business or otherwise obtaining favourable treatment. In addition, the FCPA imposes certain books, records and accounting control obligations on public companies and other issuers. The UK Bribery Act also prohibits "commercial" bribery and accepting bribes.</w:t>
      </w:r>
    </w:p>
    <w:p>
      <w:pPr>
        <w:spacing w:after="0" w:line="165"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Our global business operations also must be conducted in compliance with applicable export controls and economic sanctions laws and regulations, including those administered by the U.S. Department of the Treasury’s (the “U.S. Treasury”) Office of Foreign Assets Control, the U.S. Department of State, the U.S. Department of Commerce, the United Nations Security Council, the European Union, Her Majesty’s Treasury and other relevant sanctions authorities.</w:t>
      </w:r>
    </w:p>
    <w:p>
      <w:pPr>
        <w:spacing w:after="0" w:line="170"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Our internal policies mandate compliance with these anti-corruption and economic sanctions laws. We also operate in many jurisdictions in which bribery or corruption can be common and compliance with anti-bribery laws may conflict with local customs and practices. Despite our training and compliance programme safeguards, we cannot assure that our internal control policies, procedures and safeguards will protect us from acts in violation of anti-corruption and economic sanctions laws committed by employees or other third parties associated with us and our continued expansion, including in developing countries, could increase such risk in the future. Violations of anti-corruption and economic sanctions laws, or even allegations of such violations, could disrupt our business and result in a material adverse effect on our financial condition, results of operations, cash flows and reputation. For example, violations of anti-corruption and economic sanctions laws can result in restatements of, or irregularities in, our financial statements, disgorgement of profits, related stockholder lawsuits as well as severe criminal or civil sanctions. In some cases, companies that violate anti-corruption and economic sanctions laws might be debarred by the U.S. government and/or lose their U.S. export privileges. In addition, the U.S. government or other governments may seek to hold us liable for successor liability of anti-corruption and economic sanctions laws committed by companies that we acquire or in which we invest. Changes in anti-corruption and economic sanctions laws or enforcement priorities could also result in increased compliance requirements and related costs which could materially adversely affect our business, financial condition, results of operations and cash flows.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166</w:t>
      </w:r>
    </w:p>
    <w:p>
      <w:pPr>
        <w:sectPr>
          <w:pgSz w:w="11900" w:h="16838" w:orient="portrait"/>
          <w:cols w:equalWidth="0" w:num="1">
            <w:col w:w="11280"/>
          </w:cols>
          <w:pgMar w:left="300" w:top="1275" w:right="319" w:bottom="1440" w:gutter="0" w:footer="0" w:header="0"/>
        </w:sectPr>
      </w:pPr>
    </w:p>
    <w:bookmarkStart w:id="183" w:name="page184"/>
    <w:bookmarkEnd w:id="183"/>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367" w:lineRule="exact"/>
        <w:rPr>
          <w:sz w:val="20"/>
          <w:szCs w:val="20"/>
          <w:color w:val="auto"/>
        </w:rPr>
      </w:pPr>
    </w:p>
    <w:p>
      <w:pPr>
        <w:jc w:val="both"/>
        <w:spacing w:after="0" w:line="293" w:lineRule="auto"/>
        <w:rPr>
          <w:sz w:val="20"/>
          <w:szCs w:val="20"/>
          <w:color w:val="auto"/>
        </w:rPr>
      </w:pPr>
      <w:r>
        <w:rPr>
          <w:rFonts w:ascii="Arial" w:cs="Arial" w:eastAsia="Arial" w:hAnsi="Arial"/>
          <w:sz w:val="13"/>
          <w:szCs w:val="13"/>
          <w:b w:val="1"/>
          <w:bCs w:val="1"/>
          <w:i w:val="1"/>
          <w:iCs w:val="1"/>
          <w:color w:val="auto"/>
        </w:rPr>
        <w:t>Current and proposed laws and regulations regarding the protection of personal data could result in increased risks of liability or increased costs to us or could limit our service offerings.</w:t>
      </w:r>
    </w:p>
    <w:p>
      <w:pPr>
        <w:spacing w:after="0" w:line="134"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The confidentiality, collection, use and disclosure of personal data, including clinical trial patient-specific information, is subject to governmental regulation generally in the country that the personal data was collected or used. For example, United States federal regulations under the Health Insurance Portability and Accountability Act of 1996, or HIPAA, and as amended in 2014 by the Health Information Technology for Economic and Clinical Health (“HITECH”) Act, require individuals’ written authorisation, in addition to any required informed consent, before Protected Health Information may be used for research. Such regulations specify standards for de-identifications and for limited data sets. We are both directly and indirectly affected by the privacy provisions surrounding individual authorisations because many investigators with whom we are involved in clinical trials are directly subject to them as a HIPAA “covered entity” and because we obtain identifiable health information from third parties that are subject to such regulations. As there are some instances where we are a HIPAA “business associate” of a “covered entity”, we can also be directly liable for mishandling protected health information. Under HIPAA’s enforcement scheme, we can be subject to up to $1.5 million in annual civil penalties for each HIPAA violation.</w:t>
      </w:r>
    </w:p>
    <w:p>
      <w:pPr>
        <w:spacing w:after="0" w:line="168" w:lineRule="exact"/>
        <w:rPr>
          <w:sz w:val="20"/>
          <w:szCs w:val="20"/>
          <w:color w:val="auto"/>
        </w:rPr>
      </w:pPr>
    </w:p>
    <w:p>
      <w:pPr>
        <w:jc w:val="both"/>
        <w:spacing w:after="0" w:line="292" w:lineRule="auto"/>
        <w:rPr>
          <w:sz w:val="20"/>
          <w:szCs w:val="20"/>
          <w:color w:val="auto"/>
        </w:rPr>
      </w:pPr>
      <w:r>
        <w:rPr>
          <w:rFonts w:ascii="Arial" w:cs="Arial" w:eastAsia="Arial" w:hAnsi="Arial"/>
          <w:sz w:val="12"/>
          <w:szCs w:val="12"/>
          <w:color w:val="auto"/>
        </w:rPr>
        <w:t>The European data protection framework was significantly revised in 2018 with the coming into force of the General Data Protection Regulation ('GDPR') containing new provisions specifically directed at the processing of health information, sanctions of up to 4% of worldwide gross revenue and extra-territoriality measures intended to bring non-EU companies under the proposed regulation. Post GDPR implementation we are receiving increased volumes and breadth of data protection/privacy queries from both sponsors and strategic alliance partners and anticipate that this will continue.</w:t>
      </w:r>
    </w:p>
    <w:p>
      <w:pPr>
        <w:spacing w:after="0" w:line="144"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For the regulators in the European Union, or EU, personal data includes any information that relates to an identified or identifiable natural person with health information carrying special obligations, including obtaining the explicit consent from the individual for collection, use or disclosure of the information. EU regulations also apply to the personal data of EU data subjects travelling or living outside the EU. In addition, we are subject to EU rules with respect to cross-border transfers of such data out of the EU. The United States, the EU and its member states and other countries where we have operations, such as Japan, South Korea, Malaysia, the Philippines, Russia and Singapore, continue to issue new privacy and data protection rules and regulations that relate to personal data and health information. Failure to comply with certain certification/registration and annual re-certification/registration provisions associated with these data protection and privacy regulations and rules in various jurisdictions, or to resolve any serious privacy complaints, could subject us to regulatory sanctions, criminal prosecution or civil liability. Federal, state and foreign governments are contemplating or have proposed or adopted additional legislation governing the collection, possession, use or dissemination of personal data, such as personal health information and personal financial data as well as security breach notification rules for loss or theft of such data. Additional legislation or regulation of this type might, among other things, require us to implement new security measures and processes or bring within the legislation or regulation de-identified health or other personal data, each of which may require substantial expenditures or limit our ability to offer some of our services. Additionally, if we violate applicable laws, regulations or duties relating to the use, privacy or security of personal data, we could be subject to civil liability or criminal prosecution, be forced to alter our business practices or suffer reputational harm.</w:t>
      </w:r>
    </w:p>
    <w:p>
      <w:pPr>
        <w:spacing w:after="0" w:line="179"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Our employees may engage in misconduct or other improper activities, including noncompliance with regulatory standards and requirements, which could have a material adverse effect on our business.</w:t>
      </w:r>
    </w:p>
    <w:p>
      <w:pPr>
        <w:spacing w:after="0" w:line="144"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We are exposed to the risk of employee fraud or other misconduct. Misconduct by employees could include intentional failures to comply with governmental regulations, comply with federal and state health-care fraud and abuse laws and regulations, report financial information or data accurately or disclose unauthorised activities to us.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programmes and other business arrangements. Employee misconduct could also involve the improper use of information obtained in the course of clinical studies or data or documentation fraud or manipulation, which could result in regulatory sanctions and serious harm to our reputation. It is not always possible to identify and deter employee misconduct, and the precautions we take to detect and prevent misconduct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167</w:t>
      </w:r>
    </w:p>
    <w:p>
      <w:pPr>
        <w:sectPr>
          <w:pgSz w:w="11900" w:h="16838" w:orient="portrait"/>
          <w:cols w:equalWidth="0" w:num="1">
            <w:col w:w="11280"/>
          </w:cols>
          <w:pgMar w:left="300" w:top="1275" w:right="319" w:bottom="1440" w:gutter="0" w:footer="0" w:header="0"/>
        </w:sectPr>
      </w:pPr>
    </w:p>
    <w:bookmarkStart w:id="184" w:name="page185"/>
    <w:bookmarkEnd w:id="184"/>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367"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The failure to comply with our government contracts or applicable laws and regulations could result in, among other things, fines or other liabilities, and changes in procurement regulations could adversely impact our business, results of operations or cash flows.</w:t>
      </w:r>
    </w:p>
    <w:p>
      <w:pPr>
        <w:spacing w:after="0" w:line="123"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Revenues from our government customers are derived from sales to federal, state and local governmental departments and agencies through various contracts. Sales to public segment customers are highly regulated. Noncompliance with contract provisions, government procurement regulations or other applicable laws or regulations (including but not limited to the False Claims Act) could result in civil, criminal and administrative liability, including substantial monetary fines or damages, termination of government contracts or other public segment customer contracts, and suspension, debarment or ineligibility from doing business with the government and other customers in the public segment. In addition, generally contracts in the public segment are terminable at any time for convenience of the contracting agency or upon default. The effect of any of these possible actions by any governmental department or agency could adversely affect our business, results of operations or cash flows. In addition, the adoption of new or modified procurement regulations and other requirements may increase our compliance costs and reduce our gross margins, which could have a negative effect on our business, results of operations or cash flows.</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Liability claims brought against us could result in payment of substantial damages, costs and liabilities and decrease our profitability.</w:t>
      </w:r>
    </w:p>
    <w:p>
      <w:pPr>
        <w:spacing w:after="0" w:line="20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 xml:space="preserve">We may face legal claims involving stockholders, consumers, clinical trial subjects, competitors, regulators and other parties. As described in </w:t>
      </w:r>
      <w:r>
        <w:rPr>
          <w:rFonts w:ascii="Arial" w:cs="Arial" w:eastAsia="Arial" w:hAnsi="Arial"/>
          <w:sz w:val="13"/>
          <w:szCs w:val="13"/>
          <w:i w:val="1"/>
          <w:iCs w:val="1"/>
          <w:color w:val="auto"/>
        </w:rPr>
        <w:t>note 29 - Litigation</w:t>
      </w:r>
      <w:r>
        <w:rPr>
          <w:rFonts w:ascii="Arial" w:cs="Arial" w:eastAsia="Arial" w:hAnsi="Arial"/>
          <w:sz w:val="13"/>
          <w:szCs w:val="13"/>
          <w:color w:val="auto"/>
        </w:rPr>
        <w:t>, we are engaged in legal proceedings. Litigation and other legal proceedings are inherently uncertain, and adverse rulings could occur, including monetary damages, or an injunction stopping us from engaging in business practices, or requiring other remedies, including, but not limited to, compulsory licensing of patents.</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Customer Claims</w:t>
      </w:r>
    </w:p>
    <w:p>
      <w:pPr>
        <w:spacing w:after="0" w:line="16"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If we breach the terms of an agreement with a customer (for example if we fail to comply with the agreement, all applicable regulations or Good Clinical Practice) this could result in claims against us for substantial damages which could have a material adverse effect on our business. As we are a “people business” in that we provide staff to deliver our services in hospitals and other sites, there is a risk that our management, quality and control structures fail to quickly detect a failure by one or more employees or contractors to comply with all applicable regulations and Good Clinical Practice and our internal requirements and standard operating procedures thereby exposing us to the risk of claims by customers.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Claims relating to Investigators</w:t>
      </w:r>
    </w:p>
    <w:p>
      <w:pPr>
        <w:spacing w:after="0" w:line="16"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We contract with physicians who serve as investigators in conducting clinical trials to test new drugs on their patients. This testing creates the risk of liability for personal injury to or death of the patients. Although investigators are generally required by law to maintain their own liability insurance, we could be named in lawsuits and incur expenses arising from any professional malpractice or other actions brought against the investigators with whom we contract.</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Indemnification from Customers</w:t>
      </w:r>
    </w:p>
    <w:p>
      <w:pPr>
        <w:spacing w:after="0" w:line="9"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Indemnifications provided by our customers against the risk of liability for personal injury to or death of the patients arising from a study drug vary from customer to customer and from trial to trial and may not be sufficient in scope or amount, or our customer may not have the financial ability to fulfil their indemnification obligations. Furthermore, we would be liable for our own negligence and negligence of our employees which could lead to litigation from customers or action or enforcement by regulatory authorities.</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Insurance</w:t>
      </w:r>
    </w:p>
    <w:p>
      <w:pPr>
        <w:spacing w:after="0" w:line="16"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We maintain what we believe is an appropriate level of worldwide Professional Liability/Error and Omissions Insurance. In the future we may be unable to maintain or continue our current insurance coverage on the same or similar terms. If we are liable for a claim or settlement that is beyond the level of insurance coverage, we may be responsible for paying all or part of any award or settlement amount. Also, the insurance policies contain exclusions which mean that the policy will not respond or provide cover in certain circumstances.</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Claims to Date</w:t>
      </w:r>
    </w:p>
    <w:p>
      <w:pPr>
        <w:spacing w:after="0" w:line="9"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To date, we have not been subject to any liability claims that are expected to have a material effect on our business; however, there can be no assurance that we will not become subject to such claims in the future or that such claims will not have a material effect on our business.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168</w:t>
      </w:r>
    </w:p>
    <w:p>
      <w:pPr>
        <w:sectPr>
          <w:pgSz w:w="11900" w:h="16838" w:orient="portrait"/>
          <w:cols w:equalWidth="0" w:num="1">
            <w:col w:w="11280"/>
          </w:cols>
          <w:pgMar w:left="300" w:top="1275" w:right="319" w:bottom="1440" w:gutter="0" w:footer="0" w:header="0"/>
        </w:sectPr>
      </w:pPr>
    </w:p>
    <w:bookmarkStart w:id="185" w:name="page186"/>
    <w:bookmarkEnd w:id="185"/>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36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Environmental, social and governance matters may impact our business and reputation.</w:t>
      </w:r>
    </w:p>
    <w:p>
      <w:pPr>
        <w:spacing w:after="0" w:line="190" w:lineRule="exact"/>
        <w:rPr>
          <w:sz w:val="20"/>
          <w:szCs w:val="20"/>
          <w:color w:val="auto"/>
        </w:rPr>
      </w:pPr>
    </w:p>
    <w:p>
      <w:pPr>
        <w:jc w:val="both"/>
        <w:spacing w:after="0" w:line="271" w:lineRule="auto"/>
        <w:rPr>
          <w:sz w:val="20"/>
          <w:szCs w:val="20"/>
          <w:color w:val="auto"/>
        </w:rPr>
      </w:pPr>
      <w:r>
        <w:rPr>
          <w:rFonts w:ascii="Arial" w:cs="Arial" w:eastAsia="Arial" w:hAnsi="Arial"/>
          <w:sz w:val="12"/>
          <w:szCs w:val="12"/>
          <w:color w:val="auto"/>
        </w:rPr>
        <w:t>Increasingly, in addition to the importance of their financial performance, companies are being judged by their performance on a variety of environmental, social and governance ('ESG') matters, which are considered to contribute to the long-term sustainability of companies’ performance. A variety of organisations measure the performance of companies on such ESG topics, and the results of these assessments are widely publicised. Customer's may have specific ESG related requirements or targets and if we fail to meet these targets we may lose business. In addition, investment in funds that specialise in companies that perform well in such assessments are increasingly popular, and major institutional investors have publicly emphasised the importance of such ESG measures to their investment decisions. Topics taken into account in such assessments include, among others, the Company’s efforts and impacts on climate change and human rights, ethics and compliance with law, and the role of the Company’s board of directors in supervising various sustainability issues. We actively manage a broad range of such ESG matters, taking into consideration their expected impact on the sustainability of our business over time, and the potential impact of our business on society and the environment. However, in light of investors’ increased focus on ESG matters, there can be no certainty that we will manage such issues successfully, or that we will successfully meet society’s perceived expectations as to our proper role. Any failure or perceived failure by us in this regard could have a material adverse effect on our reputation and on our business, share price, financial condition, or results of operations, including the sustainability of our business over time.</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Risk Related to Our Indebtedness</w:t>
      </w:r>
    </w:p>
    <w:p>
      <w:pPr>
        <w:spacing w:after="0" w:line="190"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We have incurred substantial additional indebtedness in connection with the Merger, which could impair our flexibility and access to capital and could adversely affect the combined Company’s business, financial condition or results of operations.</w:t>
      </w:r>
    </w:p>
    <w:p>
      <w:pPr>
        <w:spacing w:after="0" w:line="155"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Following completion of the Merger and the other transactions contemplated by the Merger Agreement, the Company has a substantial amount of debt. ICON borrowed approximately $6,015 million in order to pay PRA stockholders the cash consideration due to them as merger consideration under the Merger Agreement, pay related fees and transaction costs in connection with the transactions, and refinance existing indebtedness. This increased level of borrowings could adversely affect the Company in a number of ways, including, but not limited to, by placing us at a competitive disadvantage compared to our competitors that have less debt, causing us to incur substantial fees from time to time in connection with debt amendments or refinancing, making it more difficult for the Company to satisfy its obligations with respect to its debt or to its trade or other creditors, requiring a substantial portion of the Company’s cash flows from operations for the payment of interest on the Company’s debt, reducing the Company’s flexibility to respond to changing business and economic conditions, and reducing funds available for the Company’s investments in research and development, capital expenditures and other activities. If ICON cannot service its debt, it may have to take actions such as selling assets, seeking additional debt or equity, or reducing or delaying capital expenditures, strategic acquisitions, investments and alliances.</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In addition, ICON’s increased level of indebtedness could adversely affect ICON’s credit rating, which could result in increased borrowing costs for the Company in the future. No assurances can be made that ICON will be able to refinance any indebtedness incurred in connection with the Merger on terms acceptable to it or at all.</w:t>
      </w:r>
    </w:p>
    <w:p>
      <w:pPr>
        <w:spacing w:after="0" w:line="167"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Covenants in our credit agreement and the indenture governing the Senior Secured Notes may restrict our business and operations. Our financial condition and results of operations could be adversely affected if we do not comply with those covenants.</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color w:val="auto"/>
        </w:rPr>
        <w:t>The Senior Secured Credit Facilities and the indenture include certain customary covenants that limit our ability to, amongst other things, subject to certain exceptions:</w:t>
      </w:r>
    </w:p>
    <w:p>
      <w:pPr>
        <w:spacing w:after="0" w:line="14" w:lineRule="exact"/>
        <w:rPr>
          <w:sz w:val="20"/>
          <w:szCs w:val="20"/>
          <w:color w:val="auto"/>
        </w:rPr>
      </w:pPr>
    </w:p>
    <w:p>
      <w:pPr>
        <w:ind w:left="500" w:hanging="240"/>
        <w:spacing w:after="0"/>
        <w:tabs>
          <w:tab w:leader="none" w:pos="500" w:val="left"/>
        </w:tabs>
        <w:numPr>
          <w:ilvl w:val="0"/>
          <w:numId w:val="153"/>
        </w:numPr>
        <w:rPr>
          <w:rFonts w:ascii="Arial" w:cs="Arial" w:eastAsia="Arial" w:hAnsi="Arial"/>
          <w:sz w:val="16"/>
          <w:szCs w:val="16"/>
          <w:color w:val="auto"/>
        </w:rPr>
      </w:pPr>
      <w:r>
        <w:rPr>
          <w:rFonts w:ascii="Arial" w:cs="Arial" w:eastAsia="Arial" w:hAnsi="Arial"/>
          <w:sz w:val="13"/>
          <w:szCs w:val="13"/>
          <w:color w:val="auto"/>
        </w:rPr>
        <w:t>make dividends, investments and other restricted payments;</w:t>
      </w:r>
    </w:p>
    <w:p>
      <w:pPr>
        <w:spacing w:after="0" w:line="10" w:lineRule="exact"/>
        <w:rPr>
          <w:rFonts w:ascii="Arial" w:cs="Arial" w:eastAsia="Arial" w:hAnsi="Arial"/>
          <w:sz w:val="16"/>
          <w:szCs w:val="16"/>
          <w:color w:val="auto"/>
        </w:rPr>
      </w:pPr>
    </w:p>
    <w:p>
      <w:pPr>
        <w:ind w:left="500" w:hanging="240"/>
        <w:spacing w:after="0" w:line="222" w:lineRule="auto"/>
        <w:tabs>
          <w:tab w:leader="none" w:pos="500" w:val="left"/>
        </w:tabs>
        <w:numPr>
          <w:ilvl w:val="0"/>
          <w:numId w:val="153"/>
        </w:numPr>
        <w:rPr>
          <w:rFonts w:ascii="Arial" w:cs="Arial" w:eastAsia="Arial" w:hAnsi="Arial"/>
          <w:sz w:val="16"/>
          <w:szCs w:val="16"/>
          <w:color w:val="auto"/>
        </w:rPr>
      </w:pPr>
      <w:r>
        <w:rPr>
          <w:rFonts w:ascii="Arial" w:cs="Arial" w:eastAsia="Arial" w:hAnsi="Arial"/>
          <w:sz w:val="13"/>
          <w:szCs w:val="13"/>
          <w:color w:val="auto"/>
        </w:rPr>
        <w:t>enter into sale and leaseback transactions;</w:t>
      </w:r>
    </w:p>
    <w:p>
      <w:pPr>
        <w:spacing w:after="0" w:line="10" w:lineRule="exact"/>
        <w:rPr>
          <w:rFonts w:ascii="Arial" w:cs="Arial" w:eastAsia="Arial" w:hAnsi="Arial"/>
          <w:sz w:val="16"/>
          <w:szCs w:val="16"/>
          <w:color w:val="auto"/>
        </w:rPr>
      </w:pPr>
    </w:p>
    <w:p>
      <w:pPr>
        <w:ind w:left="500" w:hanging="240"/>
        <w:spacing w:after="0" w:line="236" w:lineRule="auto"/>
        <w:tabs>
          <w:tab w:leader="none" w:pos="500" w:val="left"/>
        </w:tabs>
        <w:numPr>
          <w:ilvl w:val="0"/>
          <w:numId w:val="153"/>
        </w:numPr>
        <w:rPr>
          <w:rFonts w:ascii="Arial" w:cs="Arial" w:eastAsia="Arial" w:hAnsi="Arial"/>
          <w:sz w:val="16"/>
          <w:szCs w:val="16"/>
          <w:color w:val="auto"/>
        </w:rPr>
      </w:pPr>
      <w:r>
        <w:rPr>
          <w:rFonts w:ascii="Arial" w:cs="Arial" w:eastAsia="Arial" w:hAnsi="Arial"/>
          <w:sz w:val="13"/>
          <w:szCs w:val="13"/>
          <w:color w:val="auto"/>
        </w:rPr>
        <w:t>incur or assume liens or additional debt;</w:t>
      </w:r>
    </w:p>
    <w:p>
      <w:pPr>
        <w:spacing w:after="0" w:line="10" w:lineRule="exact"/>
        <w:rPr>
          <w:rFonts w:ascii="Arial" w:cs="Arial" w:eastAsia="Arial" w:hAnsi="Arial"/>
          <w:sz w:val="16"/>
          <w:szCs w:val="16"/>
          <w:color w:val="auto"/>
        </w:rPr>
      </w:pPr>
    </w:p>
    <w:p>
      <w:pPr>
        <w:ind w:left="500" w:hanging="240"/>
        <w:spacing w:after="0" w:line="236" w:lineRule="auto"/>
        <w:tabs>
          <w:tab w:leader="none" w:pos="500" w:val="left"/>
        </w:tabs>
        <w:numPr>
          <w:ilvl w:val="0"/>
          <w:numId w:val="153"/>
        </w:numPr>
        <w:rPr>
          <w:rFonts w:ascii="Arial" w:cs="Arial" w:eastAsia="Arial" w:hAnsi="Arial"/>
          <w:sz w:val="16"/>
          <w:szCs w:val="16"/>
          <w:color w:val="auto"/>
        </w:rPr>
      </w:pPr>
      <w:r>
        <w:rPr>
          <w:rFonts w:ascii="Arial" w:cs="Arial" w:eastAsia="Arial" w:hAnsi="Arial"/>
          <w:sz w:val="13"/>
          <w:szCs w:val="13"/>
          <w:color w:val="auto"/>
        </w:rPr>
        <w:t>dispose of assets;</w:t>
      </w:r>
    </w:p>
    <w:p>
      <w:pPr>
        <w:spacing w:after="0" w:line="10" w:lineRule="exact"/>
        <w:rPr>
          <w:rFonts w:ascii="Arial" w:cs="Arial" w:eastAsia="Arial" w:hAnsi="Arial"/>
          <w:sz w:val="16"/>
          <w:szCs w:val="16"/>
          <w:color w:val="auto"/>
        </w:rPr>
      </w:pPr>
    </w:p>
    <w:p>
      <w:pPr>
        <w:ind w:left="500" w:hanging="240"/>
        <w:spacing w:after="0" w:line="222" w:lineRule="auto"/>
        <w:tabs>
          <w:tab w:leader="none" w:pos="500" w:val="left"/>
        </w:tabs>
        <w:numPr>
          <w:ilvl w:val="0"/>
          <w:numId w:val="153"/>
        </w:numPr>
        <w:rPr>
          <w:rFonts w:ascii="Arial" w:cs="Arial" w:eastAsia="Arial" w:hAnsi="Arial"/>
          <w:sz w:val="16"/>
          <w:szCs w:val="16"/>
          <w:color w:val="auto"/>
        </w:rPr>
      </w:pPr>
      <w:r>
        <w:rPr>
          <w:rFonts w:ascii="Arial" w:cs="Arial" w:eastAsia="Arial" w:hAnsi="Arial"/>
          <w:sz w:val="13"/>
          <w:szCs w:val="13"/>
          <w:color w:val="auto"/>
        </w:rPr>
        <w:t>engage in mergers or reorganisations; or</w:t>
      </w:r>
    </w:p>
    <w:p>
      <w:pPr>
        <w:spacing w:after="0" w:line="10" w:lineRule="exact"/>
        <w:rPr>
          <w:rFonts w:ascii="Arial" w:cs="Arial" w:eastAsia="Arial" w:hAnsi="Arial"/>
          <w:sz w:val="16"/>
          <w:szCs w:val="16"/>
          <w:color w:val="auto"/>
        </w:rPr>
      </w:pPr>
    </w:p>
    <w:p>
      <w:pPr>
        <w:ind w:left="500" w:hanging="240"/>
        <w:spacing w:after="0" w:line="236" w:lineRule="auto"/>
        <w:tabs>
          <w:tab w:leader="none" w:pos="500" w:val="left"/>
        </w:tabs>
        <w:numPr>
          <w:ilvl w:val="0"/>
          <w:numId w:val="153"/>
        </w:numPr>
        <w:rPr>
          <w:rFonts w:ascii="Arial" w:cs="Arial" w:eastAsia="Arial" w:hAnsi="Arial"/>
          <w:sz w:val="16"/>
          <w:szCs w:val="16"/>
          <w:color w:val="auto"/>
        </w:rPr>
      </w:pPr>
      <w:r>
        <w:rPr>
          <w:rFonts w:ascii="Arial" w:cs="Arial" w:eastAsia="Arial" w:hAnsi="Arial"/>
          <w:sz w:val="13"/>
          <w:szCs w:val="13"/>
          <w:color w:val="auto"/>
        </w:rPr>
        <w:t>enter into certain types of transactions with affiliates.</w:t>
      </w:r>
    </w:p>
    <w:p>
      <w:pPr>
        <w:spacing w:after="0" w:line="183"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The revolving credit facility also includes a financial covenant that requires us to comply with a maximum consolidated leverage ratio. Our ability to comply with this financial covenant may be affected by events beyond our control.</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169</w:t>
      </w:r>
    </w:p>
    <w:p>
      <w:pPr>
        <w:sectPr>
          <w:pgSz w:w="11900" w:h="16838" w:orient="portrait"/>
          <w:cols w:equalWidth="0" w:num="1">
            <w:col w:w="11280"/>
          </w:cols>
          <w:pgMar w:left="300" w:top="1275" w:right="319" w:bottom="1440" w:gutter="0" w:footer="0" w:header="0"/>
        </w:sectPr>
      </w:pPr>
    </w:p>
    <w:bookmarkStart w:id="186" w:name="page187"/>
    <w:bookmarkEnd w:id="186"/>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367" w:lineRule="exact"/>
        <w:rPr>
          <w:sz w:val="20"/>
          <w:szCs w:val="20"/>
          <w:color w:val="auto"/>
        </w:rPr>
      </w:pPr>
    </w:p>
    <w:p>
      <w:pPr>
        <w:jc w:val="both"/>
        <w:spacing w:after="0" w:line="293" w:lineRule="auto"/>
        <w:rPr>
          <w:sz w:val="20"/>
          <w:szCs w:val="20"/>
          <w:color w:val="auto"/>
        </w:rPr>
      </w:pPr>
      <w:r>
        <w:rPr>
          <w:rFonts w:ascii="Arial" w:cs="Arial" w:eastAsia="Arial" w:hAnsi="Arial"/>
          <w:sz w:val="13"/>
          <w:szCs w:val="13"/>
          <w:b w:val="1"/>
          <w:bCs w:val="1"/>
          <w:i w:val="1"/>
          <w:iCs w:val="1"/>
          <w:color w:val="auto"/>
        </w:rPr>
        <w:t>Interest rate fluctuations may materially adversely affect our results of operations and financial conditions due to the variable interest rate on our senior secured term loan facility, in the event that the Company draws down on the revolving credit facility or in respect of any future issuances of debt.</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Borrowings under the senior secured term loan facility amortise in equal quarterly instalments in an amount equal to 1.00% per annum of the principal amount, with the remaining balance due at final maturity. The interest rate margin applicable to borrowings under the senior secured term loan facility is LIBOR plus an applicable margin of 2.50%, in each case, with a step down of 0.25% if the first lien net leverage ratio is equal to or less than 4.00 to 1.00. The senior secured term loan facility is subject to a LIBOR floor of 0.50%. The Company achieved a first net leverage ratio of less than 4 times and the margin applicable to the senior secured term loan was reduced by 0.25% with the overall rate reducing from 3.0% to 2.75% with effect from 10 November 2021.</w:t>
      </w:r>
    </w:p>
    <w:p>
      <w:pPr>
        <w:spacing w:after="0" w:line="161"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The interest rate margin applicable to borrowings under the revolving loan facility will be, at the option of the borrower, either (i) the applicable base rate plus an applicable margin of 1.00%, 0.60% or 0.25% based on ICON’s current corporate family rating assigned by S&amp;P of BB- (or lower), BB or BB+ (or higher), respectively, or (ii) LIBOR (or an alternative reference rate) plus an applicable margin of 2.00%, 1.60% or 1.25% based on ICON’s current corporate family rating assigned by S&amp;P of BB- (or lower), BB or BB+ (or higher), respectively. In addition, lenders under the revolving loan facility are entitled to commitment fees as a percentage of the applicable margin at the time of drawing and utilisation fees dependent on the proportion of the facility drawn. At 31 December 2021, no amounts have been drawn under the revolving loan facility with the exception of $4.1 million letters of credit given to landlords to guarantee lease arrangements.</w:t>
      </w:r>
    </w:p>
    <w:p>
      <w:pPr>
        <w:spacing w:after="0" w:line="16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continue to monitor the phasing out of LIBOR. We have engaged with our lenders on the implications of the change and will continue to discuss with them as replacement rates for LIBOR become more prevalent in the syndicated lending market. The Company is therefore subject to interest rate volatility in respect of the senior secured term loan facility, any future draw down on the Revolving Credit Facility or in respect of any future issuances of debt.</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phasing out of LIBOR may affect our interest expense with respect to borrowings under the Senior Secured Facilities.</w:t>
      </w:r>
    </w:p>
    <w:p>
      <w:pPr>
        <w:spacing w:after="0" w:line="190"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On 27 July 2017, the U.K. Financial Conduct Authority (the “FCA”) announced that it intends to end the use of LIBOR effective after 31 December 2021 as the benchmark rate that many banks and issuers use to set interest rates for loans, securities, derivative contracts and other financial instruments. Recognising the need to replace LIBOR, authorities in the United States convened the Alternative Reference Rates Committee (“ARRC”) in 2014 to identify a replacement for LIBOR with respect to indebtedness denominated in U.S. Dollars. In 2017, the ARRC identified the Secured Overnight Financing Rate (“SOFR”), and in April 2018, the Federal Reserve Bank of New York began publishing SOFR. SOFR is a measure of the cost of borrowing cash overnight, collateralised by U.S. Treasury securities, and is based on directly observable U.S. Treasury-backed repurchase transactions. Although the U.S. Treasury-backed overnight repo market is highly liquid, there is currently no robust market for determining forward-looking, SOFR term rates. Because SOFR is an overnight risk-free rate, whereas LIBOR has various terms and an embedded credit charge, the transition from LIBOR to SOFR will require adjustments, which may continue to vary for certain forms of indebtedness and financial instruments as the relevant markets adapt to SOFR’s implementation. Similar alternative benchmark replacements will be required to be implemented in respect of indebtedness and other financial instruments that are currently based on LIBOR quotes for currencies other than the U.S. Dollar.</w:t>
      </w:r>
    </w:p>
    <w:p>
      <w:pPr>
        <w:spacing w:after="0" w:line="169"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The credit agreement governing the Senior Secured Credit Facilities provides that borrowings denominated in U.S. Dollars will bear interest based on LIBOR or the base rate (as elected by the borrower), plus an applicable margin. The credit agreement also provides that LIBOR may be replaced by a SOFR-based rate for borrowings in U.S. Dollars upon (i) the FCA ceasing to provide LIBOR for U.S. Dollars or announcing that LIBOR is no longer representative or (ii) an early election by the Company and the administrative agent under our credit agreement to transition from LIBOR. We will continue to work with the administrative agent and other lenders to determine whether, and when, we expect to transition to a SOFR-based rate prior to LIBOR being formally phased out for the applicable tenors. This transition may impact our interest expense with respect to borrowings under the Senior Secured Credit Facilities. In addition, the phase-out of LIBOR may impact the financial markets as a whole. As such, the consequences of the phase-out of LIBOR cannot be entirely predicted at this time.</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170</w:t>
      </w:r>
    </w:p>
    <w:p>
      <w:pPr>
        <w:sectPr>
          <w:pgSz w:w="11900" w:h="16838" w:orient="portrait"/>
          <w:cols w:equalWidth="0" w:num="1">
            <w:col w:w="11280"/>
          </w:cols>
          <w:pgMar w:left="300" w:top="1275" w:right="319" w:bottom="1440" w:gutter="0" w:footer="0" w:header="0"/>
        </w:sectPr>
      </w:pPr>
    </w:p>
    <w:bookmarkStart w:id="187" w:name="page188"/>
    <w:bookmarkEnd w:id="187"/>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367"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Risk Related to Our Common Stock</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Volatility in the market price of our common stock could lead to losses by investors.</w:t>
      </w:r>
    </w:p>
    <w:p>
      <w:pPr>
        <w:spacing w:after="0" w:line="190"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The market price of our common stock has experienced volatility in the past and may experience volatility in the future which could lead to losses for investors. Factors impacting volatility in the market price of our common stock include, amongst others:</w:t>
      </w:r>
    </w:p>
    <w:p>
      <w:pPr>
        <w:spacing w:after="0" w:line="146" w:lineRule="exact"/>
        <w:rPr>
          <w:sz w:val="20"/>
          <w:szCs w:val="20"/>
          <w:color w:val="auto"/>
        </w:rPr>
      </w:pPr>
    </w:p>
    <w:p>
      <w:pPr>
        <w:ind w:left="1020" w:hanging="251"/>
        <w:spacing w:after="0"/>
        <w:tabs>
          <w:tab w:leader="none" w:pos="1020" w:val="left"/>
        </w:tabs>
        <w:numPr>
          <w:ilvl w:val="0"/>
          <w:numId w:val="154"/>
        </w:numPr>
        <w:rPr>
          <w:rFonts w:ascii="Arial" w:cs="Arial" w:eastAsia="Arial" w:hAnsi="Arial"/>
          <w:sz w:val="13"/>
          <w:szCs w:val="13"/>
          <w:color w:val="auto"/>
        </w:rPr>
      </w:pPr>
      <w:r>
        <w:rPr>
          <w:rFonts w:ascii="Arial" w:cs="Arial" w:eastAsia="Arial" w:hAnsi="Arial"/>
          <w:sz w:val="13"/>
          <w:szCs w:val="13"/>
          <w:color w:val="auto"/>
        </w:rPr>
        <w:t>general market and economic conditions;</w:t>
      </w:r>
    </w:p>
    <w:p>
      <w:pPr>
        <w:spacing w:after="0" w:line="17" w:lineRule="exact"/>
        <w:rPr>
          <w:rFonts w:ascii="Arial" w:cs="Arial" w:eastAsia="Arial" w:hAnsi="Arial"/>
          <w:sz w:val="13"/>
          <w:szCs w:val="13"/>
          <w:color w:val="auto"/>
        </w:rPr>
      </w:pPr>
    </w:p>
    <w:p>
      <w:pPr>
        <w:ind w:left="1020" w:hanging="251"/>
        <w:spacing w:after="0"/>
        <w:tabs>
          <w:tab w:leader="none" w:pos="1020" w:val="left"/>
        </w:tabs>
        <w:numPr>
          <w:ilvl w:val="0"/>
          <w:numId w:val="154"/>
        </w:numPr>
        <w:rPr>
          <w:rFonts w:ascii="Arial" w:cs="Arial" w:eastAsia="Arial" w:hAnsi="Arial"/>
          <w:sz w:val="13"/>
          <w:szCs w:val="13"/>
          <w:color w:val="auto"/>
        </w:rPr>
      </w:pPr>
      <w:r>
        <w:rPr>
          <w:rFonts w:ascii="Arial" w:cs="Arial" w:eastAsia="Arial" w:hAnsi="Arial"/>
          <w:sz w:val="13"/>
          <w:szCs w:val="13"/>
          <w:color w:val="auto"/>
        </w:rPr>
        <w:t>our results of operations;</w:t>
      </w:r>
    </w:p>
    <w:p>
      <w:pPr>
        <w:spacing w:after="0" w:line="2" w:lineRule="exact"/>
        <w:rPr>
          <w:rFonts w:ascii="Arial" w:cs="Arial" w:eastAsia="Arial" w:hAnsi="Arial"/>
          <w:sz w:val="13"/>
          <w:szCs w:val="13"/>
          <w:color w:val="auto"/>
        </w:rPr>
      </w:pPr>
    </w:p>
    <w:p>
      <w:pPr>
        <w:ind w:left="1020" w:hanging="251"/>
        <w:spacing w:after="0"/>
        <w:tabs>
          <w:tab w:leader="none" w:pos="1020" w:val="left"/>
        </w:tabs>
        <w:numPr>
          <w:ilvl w:val="0"/>
          <w:numId w:val="154"/>
        </w:numPr>
        <w:rPr>
          <w:rFonts w:ascii="Arial" w:cs="Arial" w:eastAsia="Arial" w:hAnsi="Arial"/>
          <w:sz w:val="13"/>
          <w:szCs w:val="13"/>
          <w:color w:val="auto"/>
        </w:rPr>
      </w:pPr>
      <w:r>
        <w:rPr>
          <w:rFonts w:ascii="Arial" w:cs="Arial" w:eastAsia="Arial" w:hAnsi="Arial"/>
          <w:sz w:val="13"/>
          <w:szCs w:val="13"/>
          <w:color w:val="auto"/>
        </w:rPr>
        <w:t>issuance of new or changed securities analysts’ reports or recommendations;</w:t>
      </w:r>
    </w:p>
    <w:p>
      <w:pPr>
        <w:ind w:left="1020" w:hanging="251"/>
        <w:spacing w:after="0"/>
        <w:tabs>
          <w:tab w:leader="none" w:pos="1020" w:val="left"/>
        </w:tabs>
        <w:numPr>
          <w:ilvl w:val="0"/>
          <w:numId w:val="154"/>
        </w:numPr>
        <w:rPr>
          <w:rFonts w:ascii="Arial" w:cs="Arial" w:eastAsia="Arial" w:hAnsi="Arial"/>
          <w:sz w:val="13"/>
          <w:szCs w:val="13"/>
          <w:color w:val="auto"/>
        </w:rPr>
      </w:pPr>
      <w:r>
        <w:rPr>
          <w:rFonts w:ascii="Arial" w:cs="Arial" w:eastAsia="Arial" w:hAnsi="Arial"/>
          <w:sz w:val="13"/>
          <w:szCs w:val="13"/>
          <w:color w:val="auto"/>
        </w:rPr>
        <w:t>developments impacting the industry or our competitors;</w:t>
      </w:r>
    </w:p>
    <w:p>
      <w:pPr>
        <w:spacing w:after="0" w:line="5" w:lineRule="exact"/>
        <w:rPr>
          <w:rFonts w:ascii="Arial" w:cs="Arial" w:eastAsia="Arial" w:hAnsi="Arial"/>
          <w:sz w:val="13"/>
          <w:szCs w:val="13"/>
          <w:color w:val="auto"/>
        </w:rPr>
      </w:pPr>
    </w:p>
    <w:p>
      <w:pPr>
        <w:ind w:left="1020" w:hanging="251"/>
        <w:spacing w:after="0"/>
        <w:tabs>
          <w:tab w:leader="none" w:pos="1020" w:val="left"/>
        </w:tabs>
        <w:numPr>
          <w:ilvl w:val="0"/>
          <w:numId w:val="154"/>
        </w:numPr>
        <w:rPr>
          <w:rFonts w:ascii="Arial" w:cs="Arial" w:eastAsia="Arial" w:hAnsi="Arial"/>
          <w:sz w:val="13"/>
          <w:szCs w:val="13"/>
          <w:color w:val="auto"/>
        </w:rPr>
      </w:pPr>
      <w:r>
        <w:rPr>
          <w:rFonts w:ascii="Arial" w:cs="Arial" w:eastAsia="Arial" w:hAnsi="Arial"/>
          <w:sz w:val="13"/>
          <w:szCs w:val="13"/>
          <w:color w:val="auto"/>
        </w:rPr>
        <w:t>declines in the market prices of stocks generally;</w:t>
      </w:r>
    </w:p>
    <w:p>
      <w:pPr>
        <w:spacing w:after="0" w:line="2" w:lineRule="exact"/>
        <w:rPr>
          <w:rFonts w:ascii="Arial" w:cs="Arial" w:eastAsia="Arial" w:hAnsi="Arial"/>
          <w:sz w:val="13"/>
          <w:szCs w:val="13"/>
          <w:color w:val="auto"/>
        </w:rPr>
      </w:pPr>
    </w:p>
    <w:p>
      <w:pPr>
        <w:ind w:left="1020" w:hanging="251"/>
        <w:spacing w:after="0"/>
        <w:tabs>
          <w:tab w:leader="none" w:pos="1020" w:val="left"/>
        </w:tabs>
        <w:numPr>
          <w:ilvl w:val="0"/>
          <w:numId w:val="154"/>
        </w:numPr>
        <w:rPr>
          <w:rFonts w:ascii="Arial" w:cs="Arial" w:eastAsia="Arial" w:hAnsi="Arial"/>
          <w:sz w:val="13"/>
          <w:szCs w:val="13"/>
          <w:color w:val="auto"/>
        </w:rPr>
      </w:pPr>
      <w:r>
        <w:rPr>
          <w:rFonts w:ascii="Arial" w:cs="Arial" w:eastAsia="Arial" w:hAnsi="Arial"/>
          <w:sz w:val="13"/>
          <w:szCs w:val="13"/>
          <w:color w:val="auto"/>
        </w:rPr>
        <w:t>strategic actions by us or our competitors;</w:t>
      </w:r>
    </w:p>
    <w:p>
      <w:pPr>
        <w:spacing w:after="0" w:line="6" w:lineRule="exact"/>
        <w:rPr>
          <w:sz w:val="20"/>
          <w:szCs w:val="20"/>
          <w:color w:val="auto"/>
        </w:rPr>
      </w:pPr>
    </w:p>
    <w:p>
      <w:pPr>
        <w:ind w:left="1020" w:hanging="251"/>
        <w:spacing w:after="0"/>
        <w:tabs>
          <w:tab w:leader="none" w:pos="1020" w:val="left"/>
        </w:tabs>
        <w:numPr>
          <w:ilvl w:val="0"/>
          <w:numId w:val="155"/>
        </w:numPr>
        <w:rPr>
          <w:rFonts w:ascii="Arial" w:cs="Arial" w:eastAsia="Arial" w:hAnsi="Arial"/>
          <w:sz w:val="13"/>
          <w:szCs w:val="13"/>
          <w:color w:val="auto"/>
        </w:rPr>
      </w:pPr>
      <w:r>
        <w:rPr>
          <w:rFonts w:ascii="Arial" w:cs="Arial" w:eastAsia="Arial" w:hAnsi="Arial"/>
          <w:sz w:val="13"/>
          <w:szCs w:val="13"/>
          <w:color w:val="auto"/>
        </w:rPr>
        <w:t>announcements by us or our competitors of significant contracts, new products, acquisitions, joint marketing relationships, joint ventures, other strategic relationships or capital</w:t>
      </w:r>
    </w:p>
    <w:p>
      <w:pPr>
        <w:ind w:left="1020"/>
        <w:spacing w:after="0" w:line="226" w:lineRule="auto"/>
        <w:rPr>
          <w:sz w:val="20"/>
          <w:szCs w:val="20"/>
          <w:color w:val="auto"/>
        </w:rPr>
      </w:pPr>
      <w:r>
        <w:rPr>
          <w:rFonts w:ascii="Arial" w:cs="Arial" w:eastAsia="Arial" w:hAnsi="Arial"/>
          <w:sz w:val="13"/>
          <w:szCs w:val="13"/>
          <w:color w:val="auto"/>
        </w:rPr>
        <w:t>commitments;</w:t>
      </w:r>
    </w:p>
    <w:p>
      <w:pPr>
        <w:ind w:left="1020" w:hanging="251"/>
        <w:spacing w:after="0"/>
        <w:tabs>
          <w:tab w:leader="none" w:pos="1020" w:val="left"/>
        </w:tabs>
        <w:numPr>
          <w:ilvl w:val="0"/>
          <w:numId w:val="156"/>
        </w:numPr>
        <w:rPr>
          <w:rFonts w:ascii="Arial" w:cs="Arial" w:eastAsia="Arial" w:hAnsi="Arial"/>
          <w:sz w:val="13"/>
          <w:szCs w:val="13"/>
          <w:color w:val="auto"/>
        </w:rPr>
      </w:pPr>
      <w:r>
        <w:rPr>
          <w:rFonts w:ascii="Arial" w:cs="Arial" w:eastAsia="Arial" w:hAnsi="Arial"/>
          <w:sz w:val="13"/>
          <w:szCs w:val="13"/>
          <w:color w:val="auto"/>
        </w:rPr>
        <w:t>the public's reaction to press releases and other public announcements by us or third parties, including our filings with the SEC;</w:t>
      </w:r>
    </w:p>
    <w:p>
      <w:pPr>
        <w:spacing w:after="0" w:line="6" w:lineRule="exact"/>
        <w:rPr>
          <w:sz w:val="20"/>
          <w:szCs w:val="20"/>
          <w:color w:val="auto"/>
        </w:rPr>
      </w:pPr>
    </w:p>
    <w:p>
      <w:pPr>
        <w:ind w:left="760"/>
        <w:spacing w:after="0"/>
        <w:tabs>
          <w:tab w:leader="none" w:pos="1000" w:val="left"/>
          <w:tab w:leader="none" w:pos="6680" w:val="left"/>
        </w:tabs>
        <w:rPr>
          <w:sz w:val="20"/>
          <w:szCs w:val="20"/>
          <w:color w:val="auto"/>
        </w:rPr>
      </w:pPr>
      <w:r>
        <w:rPr>
          <w:rFonts w:ascii="Arial" w:cs="Arial" w:eastAsia="Arial" w:hAnsi="Arial"/>
          <w:sz w:val="13"/>
          <w:szCs w:val="13"/>
          <w:color w:val="auto"/>
        </w:rPr>
        <w:t>•</w:t>
        <w:tab/>
        <w:t>guidance, if any, that we provide to the public, any changes in this guidance or failure to meet this</w:t>
      </w:r>
      <w:r>
        <w:rPr>
          <w:sz w:val="20"/>
          <w:szCs w:val="20"/>
          <w:color w:val="auto"/>
        </w:rPr>
        <w:tab/>
      </w:r>
      <w:r>
        <w:rPr>
          <w:rFonts w:ascii="Arial" w:cs="Arial" w:eastAsia="Arial" w:hAnsi="Arial"/>
          <w:sz w:val="12"/>
          <w:szCs w:val="12"/>
          <w:color w:val="auto"/>
        </w:rPr>
        <w:t>guidance;</w:t>
      </w:r>
    </w:p>
    <w:p>
      <w:pPr>
        <w:spacing w:after="0" w:line="3" w:lineRule="exact"/>
        <w:rPr>
          <w:sz w:val="20"/>
          <w:szCs w:val="20"/>
          <w:color w:val="auto"/>
        </w:rPr>
      </w:pPr>
    </w:p>
    <w:p>
      <w:pPr>
        <w:ind w:left="1020" w:hanging="251"/>
        <w:spacing w:after="0"/>
        <w:tabs>
          <w:tab w:leader="none" w:pos="1020" w:val="left"/>
        </w:tabs>
        <w:numPr>
          <w:ilvl w:val="0"/>
          <w:numId w:val="157"/>
        </w:numPr>
        <w:rPr>
          <w:rFonts w:ascii="Arial" w:cs="Arial" w:eastAsia="Arial" w:hAnsi="Arial"/>
          <w:sz w:val="13"/>
          <w:szCs w:val="13"/>
          <w:color w:val="auto"/>
        </w:rPr>
      </w:pPr>
      <w:r>
        <w:rPr>
          <w:rFonts w:ascii="Arial" w:cs="Arial" w:eastAsia="Arial" w:hAnsi="Arial"/>
          <w:sz w:val="13"/>
          <w:szCs w:val="13"/>
          <w:color w:val="auto"/>
        </w:rPr>
        <w:t>changes in the credit rating of our debt;</w:t>
      </w:r>
    </w:p>
    <w:p>
      <w:pPr>
        <w:spacing w:after="0" w:line="5" w:lineRule="exact"/>
        <w:rPr>
          <w:rFonts w:ascii="Arial" w:cs="Arial" w:eastAsia="Arial" w:hAnsi="Arial"/>
          <w:sz w:val="13"/>
          <w:szCs w:val="13"/>
          <w:color w:val="auto"/>
        </w:rPr>
      </w:pPr>
    </w:p>
    <w:p>
      <w:pPr>
        <w:ind w:left="1020" w:hanging="251"/>
        <w:spacing w:after="0"/>
        <w:tabs>
          <w:tab w:leader="none" w:pos="1020" w:val="left"/>
        </w:tabs>
        <w:numPr>
          <w:ilvl w:val="0"/>
          <w:numId w:val="157"/>
        </w:numPr>
        <w:rPr>
          <w:rFonts w:ascii="Arial" w:cs="Arial" w:eastAsia="Arial" w:hAnsi="Arial"/>
          <w:sz w:val="13"/>
          <w:szCs w:val="13"/>
          <w:color w:val="auto"/>
        </w:rPr>
      </w:pPr>
      <w:r>
        <w:rPr>
          <w:rFonts w:ascii="Arial" w:cs="Arial" w:eastAsia="Arial" w:hAnsi="Arial"/>
          <w:sz w:val="13"/>
          <w:szCs w:val="13"/>
          <w:color w:val="auto"/>
        </w:rPr>
        <w:t>sale, or anticipated sale, of large blocks of our stock;</w:t>
      </w:r>
    </w:p>
    <w:p>
      <w:pPr>
        <w:spacing w:after="0" w:line="2" w:lineRule="exact"/>
        <w:rPr>
          <w:rFonts w:ascii="Arial" w:cs="Arial" w:eastAsia="Arial" w:hAnsi="Arial"/>
          <w:sz w:val="13"/>
          <w:szCs w:val="13"/>
          <w:color w:val="auto"/>
        </w:rPr>
      </w:pPr>
    </w:p>
    <w:p>
      <w:pPr>
        <w:ind w:left="1020" w:hanging="251"/>
        <w:spacing w:after="0"/>
        <w:tabs>
          <w:tab w:leader="none" w:pos="1020" w:val="left"/>
        </w:tabs>
        <w:numPr>
          <w:ilvl w:val="0"/>
          <w:numId w:val="157"/>
        </w:numPr>
        <w:rPr>
          <w:rFonts w:ascii="Arial" w:cs="Arial" w:eastAsia="Arial" w:hAnsi="Arial"/>
          <w:sz w:val="13"/>
          <w:szCs w:val="13"/>
          <w:color w:val="auto"/>
        </w:rPr>
      </w:pPr>
      <w:r>
        <w:rPr>
          <w:rFonts w:ascii="Arial" w:cs="Arial" w:eastAsia="Arial" w:hAnsi="Arial"/>
          <w:sz w:val="13"/>
          <w:szCs w:val="13"/>
          <w:color w:val="auto"/>
        </w:rPr>
        <w:t>additions or departures of key personnel;</w:t>
      </w:r>
    </w:p>
    <w:p>
      <w:pPr>
        <w:spacing w:after="0" w:line="5" w:lineRule="exact"/>
        <w:rPr>
          <w:rFonts w:ascii="Arial" w:cs="Arial" w:eastAsia="Arial" w:hAnsi="Arial"/>
          <w:sz w:val="13"/>
          <w:szCs w:val="13"/>
          <w:color w:val="auto"/>
        </w:rPr>
      </w:pPr>
    </w:p>
    <w:p>
      <w:pPr>
        <w:ind w:left="1020" w:hanging="251"/>
        <w:spacing w:after="0"/>
        <w:tabs>
          <w:tab w:leader="none" w:pos="1020" w:val="left"/>
        </w:tabs>
        <w:numPr>
          <w:ilvl w:val="0"/>
          <w:numId w:val="157"/>
        </w:numPr>
        <w:rPr>
          <w:rFonts w:ascii="Arial" w:cs="Arial" w:eastAsia="Arial" w:hAnsi="Arial"/>
          <w:sz w:val="13"/>
          <w:szCs w:val="13"/>
          <w:color w:val="auto"/>
        </w:rPr>
      </w:pPr>
      <w:r>
        <w:rPr>
          <w:rFonts w:ascii="Arial" w:cs="Arial" w:eastAsia="Arial" w:hAnsi="Arial"/>
          <w:sz w:val="13"/>
          <w:szCs w:val="13"/>
          <w:color w:val="auto"/>
        </w:rPr>
        <w:t>regulatory or political developments;</w:t>
      </w:r>
    </w:p>
    <w:p>
      <w:pPr>
        <w:spacing w:after="0" w:line="2" w:lineRule="exact"/>
        <w:rPr>
          <w:rFonts w:ascii="Arial" w:cs="Arial" w:eastAsia="Arial" w:hAnsi="Arial"/>
          <w:sz w:val="13"/>
          <w:szCs w:val="13"/>
          <w:color w:val="auto"/>
        </w:rPr>
      </w:pPr>
    </w:p>
    <w:p>
      <w:pPr>
        <w:ind w:left="1020" w:hanging="251"/>
        <w:spacing w:after="0"/>
        <w:tabs>
          <w:tab w:leader="none" w:pos="1020" w:val="left"/>
        </w:tabs>
        <w:numPr>
          <w:ilvl w:val="0"/>
          <w:numId w:val="157"/>
        </w:numPr>
        <w:rPr>
          <w:rFonts w:ascii="Arial" w:cs="Arial" w:eastAsia="Arial" w:hAnsi="Arial"/>
          <w:sz w:val="13"/>
          <w:szCs w:val="13"/>
          <w:color w:val="auto"/>
        </w:rPr>
      </w:pPr>
      <w:r>
        <w:rPr>
          <w:rFonts w:ascii="Arial" w:cs="Arial" w:eastAsia="Arial" w:hAnsi="Arial"/>
          <w:sz w:val="13"/>
          <w:szCs w:val="13"/>
          <w:color w:val="auto"/>
        </w:rPr>
        <w:t>litigation and governmental investigations;</w:t>
      </w:r>
    </w:p>
    <w:p>
      <w:pPr>
        <w:ind w:left="1020" w:hanging="251"/>
        <w:spacing w:after="0"/>
        <w:tabs>
          <w:tab w:leader="none" w:pos="1020" w:val="left"/>
        </w:tabs>
        <w:numPr>
          <w:ilvl w:val="0"/>
          <w:numId w:val="157"/>
        </w:numPr>
        <w:rPr>
          <w:rFonts w:ascii="Arial" w:cs="Arial" w:eastAsia="Arial" w:hAnsi="Arial"/>
          <w:sz w:val="13"/>
          <w:szCs w:val="13"/>
          <w:color w:val="auto"/>
        </w:rPr>
      </w:pPr>
      <w:r>
        <w:rPr>
          <w:rFonts w:ascii="Arial" w:cs="Arial" w:eastAsia="Arial" w:hAnsi="Arial"/>
          <w:sz w:val="13"/>
          <w:szCs w:val="13"/>
          <w:color w:val="auto"/>
        </w:rPr>
        <w:t>changing economic conditions;</w:t>
      </w:r>
    </w:p>
    <w:p>
      <w:pPr>
        <w:spacing w:after="0" w:line="5" w:lineRule="exact"/>
        <w:rPr>
          <w:rFonts w:ascii="Arial" w:cs="Arial" w:eastAsia="Arial" w:hAnsi="Arial"/>
          <w:sz w:val="13"/>
          <w:szCs w:val="13"/>
          <w:color w:val="auto"/>
        </w:rPr>
      </w:pPr>
    </w:p>
    <w:p>
      <w:pPr>
        <w:ind w:left="1020" w:hanging="251"/>
        <w:spacing w:after="0" w:line="227" w:lineRule="auto"/>
        <w:tabs>
          <w:tab w:leader="none" w:pos="1020" w:val="left"/>
        </w:tabs>
        <w:numPr>
          <w:ilvl w:val="0"/>
          <w:numId w:val="157"/>
        </w:numPr>
        <w:rPr>
          <w:rFonts w:ascii="Arial" w:cs="Arial" w:eastAsia="Arial" w:hAnsi="Arial"/>
          <w:sz w:val="13"/>
          <w:szCs w:val="13"/>
          <w:color w:val="auto"/>
        </w:rPr>
      </w:pPr>
      <w:r>
        <w:rPr>
          <w:rFonts w:ascii="Arial" w:cs="Arial" w:eastAsia="Arial" w:hAnsi="Arial"/>
          <w:sz w:val="13"/>
          <w:szCs w:val="13"/>
          <w:color w:val="auto"/>
        </w:rPr>
        <w:t>exchange rate fluctuations;</w:t>
      </w:r>
    </w:p>
    <w:p>
      <w:pPr>
        <w:ind w:left="1020" w:hanging="251"/>
        <w:spacing w:after="0"/>
        <w:tabs>
          <w:tab w:leader="none" w:pos="1020" w:val="left"/>
        </w:tabs>
        <w:numPr>
          <w:ilvl w:val="0"/>
          <w:numId w:val="157"/>
        </w:numPr>
        <w:rPr>
          <w:rFonts w:ascii="Arial" w:cs="Arial" w:eastAsia="Arial" w:hAnsi="Arial"/>
          <w:sz w:val="13"/>
          <w:szCs w:val="13"/>
          <w:color w:val="auto"/>
        </w:rPr>
      </w:pPr>
      <w:r>
        <w:rPr>
          <w:rFonts w:ascii="Arial" w:cs="Arial" w:eastAsia="Arial" w:hAnsi="Arial"/>
          <w:sz w:val="13"/>
          <w:szCs w:val="13"/>
          <w:color w:val="auto"/>
        </w:rPr>
        <w:t>changes in accounting principles; and</w:t>
      </w:r>
    </w:p>
    <w:p>
      <w:pPr>
        <w:spacing w:after="0" w:line="5" w:lineRule="exact"/>
        <w:rPr>
          <w:rFonts w:ascii="Arial" w:cs="Arial" w:eastAsia="Arial" w:hAnsi="Arial"/>
          <w:sz w:val="13"/>
          <w:szCs w:val="13"/>
          <w:color w:val="auto"/>
        </w:rPr>
      </w:pPr>
    </w:p>
    <w:p>
      <w:pPr>
        <w:ind w:left="1020" w:hanging="251"/>
        <w:spacing w:after="0"/>
        <w:tabs>
          <w:tab w:leader="none" w:pos="1020" w:val="left"/>
        </w:tabs>
        <w:numPr>
          <w:ilvl w:val="0"/>
          <w:numId w:val="157"/>
        </w:numPr>
        <w:rPr>
          <w:rFonts w:ascii="Arial" w:cs="Arial" w:eastAsia="Arial" w:hAnsi="Arial"/>
          <w:sz w:val="13"/>
          <w:szCs w:val="13"/>
          <w:color w:val="auto"/>
        </w:rPr>
      </w:pPr>
      <w:r>
        <w:rPr>
          <w:rFonts w:ascii="Arial" w:cs="Arial" w:eastAsia="Arial" w:hAnsi="Arial"/>
          <w:sz w:val="13"/>
          <w:szCs w:val="13"/>
          <w:color w:val="auto"/>
        </w:rPr>
        <w:t>other events or factors, including those resulting from natural disasters, war, acts of terrorism or responses to those events.</w:t>
      </w:r>
    </w:p>
    <w:p>
      <w:pPr>
        <w:spacing w:after="0" w:line="182"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In addition, stock markets have from time to time experienced significant price and volume fluctuations unrelated to the operating performance of particular companies. Future fluctuations in stock markets may lead to volatility in the market price of our common stock which could lead to losses by investors.</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securities analysts or industry analysts do not publish reports about our business or if they downgrade our stock or our sector, our stock price and trading volumes could decline.</w:t>
      </w:r>
    </w:p>
    <w:p>
      <w:pPr>
        <w:spacing w:after="0" w:line="201"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trading market for common stock depends in part on the research and reports that industry or financial analysts publish about us, our business or industry. We do not control these analysts. If one or more of the analysts who do cover us downgrade our stock or our industry or the stock of any of our competitors, or publish inaccurate or unfavourable research about our business or industry, the price of our stock could decline. If one or more of these analysts ceases coverage of us or fails to publish reports on us regularly, we could lose visibility in the market, which in turn could cause our stock price or trading volume to decline.</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171</w:t>
      </w:r>
    </w:p>
    <w:p>
      <w:pPr>
        <w:sectPr>
          <w:pgSz w:w="11900" w:h="16838" w:orient="portrait"/>
          <w:cols w:equalWidth="0" w:num="1">
            <w:col w:w="11280"/>
          </w:cols>
          <w:pgMar w:left="300" w:top="1275" w:right="319" w:bottom="1440" w:gutter="0" w:footer="0" w:header="0"/>
        </w:sectPr>
      </w:pPr>
    </w:p>
    <w:bookmarkStart w:id="188" w:name="page189"/>
    <w:bookmarkEnd w:id="188"/>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36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do not expect to pay any cash dividends for the foreseeable future.</w:t>
      </w:r>
    </w:p>
    <w:p>
      <w:pPr>
        <w:spacing w:after="0" w:line="190"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We currently do not expect to declare dividends on our common stock and have not done so in the past. We continue to anticipate that our earnings will be used to provide working capital, to support operations and to finance the growth and development of our business. They may also be used to continue our share repurchase programme. Any determination to declare or pay dividends in the future will be at the discretion of our board of directors, subject to relevant laws and dependent on a number of factors, including our earnings, capital requirements and overall financial condition. Therefore, the only opportunity for stockholders to achieve a return on their investment may be if the market price of our common stock appreciates and shares are sold at a profit. The market price for our common stock may not appreciate and may fall below the price stockholders paid for such common stock.</w:t>
      </w:r>
    </w:p>
    <w:p>
      <w:pPr>
        <w:spacing w:after="0" w:line="164"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A future transfer of ICON ordinary shares, other than one effected by means of the transfer of book entry interests in the Depositary Trust Company ("DTC"), may be subject to Irish stamp duty.</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Transfers of ICON ordinary shares effected by means of the transfer of book entry interests in the Depositary Trust Company ("DTC") should not be subject to Irish stamp duty where ICON ordinary shares are traded through DTC, either directly or through brokers that hold such shares on behalf of customers through DTC. However, if ICON ordinary shares are held as of record rather than beneficially through DTC, any transfer of ICON ordinary shares could be subject to Irish stamp duty (currently at the rate of 1% of the higher of the price paid or the market value of the shares acquired). Payment of Irish stamp duty is generally a legal obligation of the transferee. The potential for Irish stamp duty to arise could adversely affect the price of ICON ordinary shares.</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Forward-looking statements</w:t>
      </w:r>
    </w:p>
    <w:p>
      <w:pPr>
        <w:spacing w:after="0" w:line="20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To the extent any statements made in this annual report deal with information that is not historical, these statements are necessarily forward-looking. Because forward-looking statements relate to the future, they are subject to inherent uncertainties, risks and changes in circumstances that are difficult to predict and many of which are outside of the Group’s control. Any forward-looking statement made by the Group is based only on information currently available as at the time of publication of this report. Forward-looking statements are subject to the occurrence of many events outside of the Group’s control and are subject to various risk factors that would cause our results to differ materially from those expressed in any forward-looking statement. These risk factors described in Appendix A include, without limitation, the inherent risk of dependence on pharmaceutical and biotechnology industries and certain clients, termination or delay of large contracts, risk of cost overruns, the risk of clinical outcomes, regulatory risks and market competition.</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172</w:t>
      </w:r>
    </w:p>
    <w:sectPr>
      <w:pgSz w:w="11900" w:h="16838" w:orient="portrait"/>
      <w:cols w:equalWidth="0" w:num="1">
        <w:col w:w="11280"/>
      </w:cols>
      <w:pgMar w:left="300" w:top="127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A32234B"/>
    <w:multiLevelType w:val="hybridMultilevel"/>
    <w:lvl w:ilvl="0">
      <w:lvlJc w:val="left"/>
      <w:lvlText w:val="\endash "/>
      <w:numFmt w:val="bullet"/>
      <w:start w:val="1"/>
    </w:lvl>
  </w:abstractNum>
  <w:abstractNum w:abstractNumId="1">
    <w:nsid w:val="3B0FD379"/>
    <w:multiLevelType w:val="hybridMultilevel"/>
    <w:lvl w:ilvl="0">
      <w:lvlJc w:val="left"/>
      <w:lvlText w:val="%1."/>
      <w:numFmt w:val="decimal"/>
      <w:start w:val="1"/>
    </w:lvl>
  </w:abstractNum>
  <w:abstractNum w:abstractNumId="2">
    <w:nsid w:val="68EB2F63"/>
    <w:multiLevelType w:val="hybridMultilevel"/>
    <w:lvl w:ilvl="0">
      <w:lvlJc w:val="left"/>
      <w:lvlText w:val="%1."/>
      <w:numFmt w:val="decimal"/>
      <w:start w:val="4"/>
    </w:lvl>
  </w:abstractNum>
  <w:abstractNum w:abstractNumId="3">
    <w:nsid w:val="4962813B"/>
    <w:multiLevelType w:val="hybridMultilevel"/>
    <w:lvl w:ilvl="0">
      <w:lvlJc w:val="left"/>
      <w:lvlText w:val="%1."/>
      <w:numFmt w:val="decimal"/>
      <w:start w:val="5"/>
    </w:lvl>
  </w:abstractNum>
  <w:abstractNum w:abstractNumId="4">
    <w:nsid w:val="60B6DF70"/>
    <w:multiLevelType w:val="hybridMultilevel"/>
    <w:lvl w:ilvl="0">
      <w:lvlJc w:val="left"/>
      <w:lvlText w:val="%1."/>
      <w:numFmt w:val="decimal"/>
      <w:start w:val="6"/>
    </w:lvl>
    <w:lvl w:ilvl="1">
      <w:lvlJc w:val="left"/>
      <w:lvlText w:val="(%2)"/>
      <w:numFmt w:val="lowerRoman"/>
      <w:start w:val="1"/>
    </w:lvl>
  </w:abstractNum>
  <w:abstractNum w:abstractNumId="5">
    <w:nsid w:val="6A5EE64"/>
    <w:multiLevelType w:val="hybridMultilevel"/>
    <w:lvl w:ilvl="0">
      <w:lvlJc w:val="left"/>
      <w:lvlText w:val="%1."/>
      <w:numFmt w:val="decimal"/>
      <w:start w:val="7"/>
    </w:lvl>
    <w:lvl w:ilvl="1">
      <w:lvlJc w:val="left"/>
      <w:lvlText w:val="(%2)"/>
      <w:numFmt w:val="lowerRoman"/>
      <w:start w:val="1"/>
    </w:lvl>
  </w:abstractNum>
  <w:abstractNum w:abstractNumId="6">
    <w:nsid w:val="14330624"/>
    <w:multiLevelType w:val="hybridMultilevel"/>
    <w:lvl w:ilvl="0">
      <w:lvlJc w:val="left"/>
      <w:lvlText w:val="%1."/>
      <w:numFmt w:val="decimal"/>
      <w:start w:val="8"/>
    </w:lvl>
    <w:lvl w:ilvl="1">
      <w:lvlJc w:val="left"/>
      <w:lvlText w:val="(%2)"/>
      <w:numFmt w:val="lowerRoman"/>
      <w:start w:val="1"/>
    </w:lvl>
    <w:lvl w:ilvl="2">
      <w:lvlJc w:val="left"/>
      <w:lvlText w:val="(%3)"/>
      <w:numFmt w:val="decimal"/>
      <w:start w:val="30"/>
    </w:lvl>
  </w:abstractNum>
  <w:abstractNum w:abstractNumId="7">
    <w:nsid w:val="7FFFCA11"/>
    <w:multiLevelType w:val="hybridMultilevel"/>
    <w:lvl w:ilvl="0">
      <w:lvlJc w:val="left"/>
      <w:lvlText w:val="%1."/>
      <w:numFmt w:val="decimal"/>
      <w:start w:val="1"/>
    </w:lvl>
  </w:abstractNum>
  <w:abstractNum w:abstractNumId="8">
    <w:nsid w:val="1A27709E"/>
    <w:multiLevelType w:val="hybridMultilevel"/>
    <w:lvl w:ilvl="0">
      <w:lvlJc w:val="left"/>
      <w:lvlText w:val="%1."/>
      <w:numFmt w:val="decimal"/>
      <w:start w:val="2"/>
    </w:lvl>
  </w:abstractNum>
  <w:abstractNum w:abstractNumId="9">
    <w:nsid w:val="71EA1109"/>
    <w:multiLevelType w:val="hybridMultilevel"/>
    <w:lvl w:ilvl="0">
      <w:lvlJc w:val="left"/>
      <w:lvlText w:val="%1."/>
      <w:numFmt w:val="decimal"/>
      <w:start w:val="3"/>
    </w:lvl>
  </w:abstractNum>
  <w:abstractNum w:abstractNumId="10">
    <w:nsid w:val="100F59DC"/>
    <w:multiLevelType w:val="hybridMultilevel"/>
    <w:lvl w:ilvl="0">
      <w:lvlJc w:val="left"/>
      <w:lvlText w:val="%1."/>
      <w:numFmt w:val="decimal"/>
      <w:start w:val="4"/>
    </w:lvl>
  </w:abstractNum>
  <w:abstractNum w:abstractNumId="11">
    <w:nsid w:val="7FB7E0AA"/>
    <w:multiLevelType w:val="hybridMultilevel"/>
    <w:lvl w:ilvl="0">
      <w:lvlJc w:val="left"/>
      <w:lvlText w:val="%1."/>
      <w:numFmt w:val="decimal"/>
      <w:start w:val="6"/>
    </w:lvl>
    <w:lvl w:ilvl="1">
      <w:lvlJc w:val="left"/>
      <w:lvlText w:val="•"/>
      <w:numFmt w:val="bullet"/>
      <w:start w:val="1"/>
    </w:lvl>
  </w:abstractNum>
  <w:abstractNum w:abstractNumId="12">
    <w:nsid w:val="6EB5BD4"/>
    <w:multiLevelType w:val="hybridMultilevel"/>
    <w:lvl w:ilvl="0">
      <w:lvlJc w:val="left"/>
      <w:lvlText w:val="•"/>
      <w:numFmt w:val="bullet"/>
      <w:start w:val="1"/>
    </w:lvl>
  </w:abstractNum>
  <w:abstractNum w:abstractNumId="13">
    <w:nsid w:val="6F6DD9AC"/>
    <w:multiLevelType w:val="hybridMultilevel"/>
    <w:lvl w:ilvl="0">
      <w:lvlJc w:val="left"/>
      <w:lvlText w:val="(%1)"/>
      <w:numFmt w:val="decimal"/>
      <w:start w:val="1"/>
    </w:lvl>
  </w:abstractNum>
  <w:abstractNum w:abstractNumId="14">
    <w:nsid w:val="94211F2"/>
    <w:multiLevelType w:val="hybridMultilevel"/>
    <w:lvl w:ilvl="0">
      <w:lvlJc w:val="left"/>
      <w:lvlText w:val="•"/>
      <w:numFmt w:val="bullet"/>
      <w:start w:val="1"/>
    </w:lvl>
  </w:abstractNum>
  <w:abstractNum w:abstractNumId="15">
    <w:nsid w:val="885E1B"/>
    <w:multiLevelType w:val="hybridMultilevel"/>
    <w:lvl w:ilvl="0">
      <w:lvlJc w:val="left"/>
      <w:lvlText w:val="•"/>
      <w:numFmt w:val="bullet"/>
      <w:start w:val="1"/>
    </w:lvl>
  </w:abstractNum>
  <w:abstractNum w:abstractNumId="16">
    <w:nsid w:val="76272110"/>
    <w:multiLevelType w:val="hybridMultilevel"/>
    <w:lvl w:ilvl="0">
      <w:lvlJc w:val="left"/>
      <w:lvlText w:val="(%1)"/>
      <w:numFmt w:val="decimal"/>
      <w:start w:val="1"/>
    </w:lvl>
  </w:abstractNum>
  <w:abstractNum w:abstractNumId="17">
    <w:nsid w:val="4C04A8AF"/>
    <w:multiLevelType w:val="hybridMultilevel"/>
    <w:lvl w:ilvl="0">
      <w:lvlJc w:val="left"/>
      <w:lvlText w:val="•"/>
      <w:numFmt w:val="bullet"/>
      <w:start w:val="1"/>
    </w:lvl>
  </w:abstractNum>
  <w:abstractNum w:abstractNumId="18">
    <w:nsid w:val="1716703B"/>
    <w:multiLevelType w:val="hybridMultilevel"/>
    <w:lvl w:ilvl="0">
      <w:lvlJc w:val="left"/>
      <w:lvlText w:val="•"/>
      <w:numFmt w:val="bullet"/>
      <w:start w:val="1"/>
    </w:lvl>
  </w:abstractNum>
  <w:abstractNum w:abstractNumId="19">
    <w:nsid w:val="14E17E33"/>
    <w:multiLevelType w:val="hybridMultilevel"/>
    <w:lvl w:ilvl="0">
      <w:lvlJc w:val="left"/>
      <w:lvlText w:val="•"/>
      <w:numFmt w:val="bullet"/>
      <w:start w:val="1"/>
    </w:lvl>
  </w:abstractNum>
  <w:abstractNum w:abstractNumId="20">
    <w:nsid w:val="3222E7CD"/>
    <w:multiLevelType w:val="hybridMultilevel"/>
    <w:lvl w:ilvl="0">
      <w:lvlJc w:val="left"/>
      <w:lvlText w:val="•"/>
      <w:numFmt w:val="bullet"/>
      <w:start w:val="1"/>
    </w:lvl>
  </w:abstractNum>
  <w:abstractNum w:abstractNumId="21">
    <w:nsid w:val="74DE0EE3"/>
    <w:multiLevelType w:val="hybridMultilevel"/>
    <w:lvl w:ilvl="0">
      <w:lvlJc w:val="left"/>
      <w:lvlText w:val="•"/>
      <w:numFmt w:val="bullet"/>
      <w:start w:val="1"/>
    </w:lvl>
  </w:abstractNum>
  <w:abstractNum w:abstractNumId="22">
    <w:nsid w:val="68EBC550"/>
    <w:multiLevelType w:val="hybridMultilevel"/>
    <w:lvl w:ilvl="0">
      <w:lvlJc w:val="left"/>
      <w:lvlText w:val="•"/>
      <w:numFmt w:val="bullet"/>
      <w:start w:val="1"/>
    </w:lvl>
  </w:abstractNum>
  <w:abstractNum w:abstractNumId="23">
    <w:nsid w:val="2DF6D648"/>
    <w:multiLevelType w:val="hybridMultilevel"/>
    <w:lvl w:ilvl="0">
      <w:lvlJc w:val="left"/>
      <w:lvlText w:val="•"/>
      <w:numFmt w:val="bullet"/>
      <w:start w:val="1"/>
    </w:lvl>
    <w:lvl w:ilvl="1">
      <w:lvlJc w:val="left"/>
      <w:lvlText w:val="◦"/>
      <w:numFmt w:val="bullet"/>
      <w:start w:val="1"/>
    </w:lvl>
  </w:abstractNum>
  <w:abstractNum w:abstractNumId="24">
    <w:nsid w:val="46B7D447"/>
    <w:multiLevelType w:val="hybridMultilevel"/>
    <w:lvl w:ilvl="0">
      <w:lvlJc w:val="left"/>
      <w:lvlText w:val="•"/>
      <w:numFmt w:val="bullet"/>
      <w:start w:val="1"/>
    </w:lvl>
  </w:abstractNum>
  <w:abstractNum w:abstractNumId="25">
    <w:nsid w:val="4A2AC315"/>
    <w:multiLevelType w:val="hybridMultilevel"/>
    <w:lvl w:ilvl="0">
      <w:lvlJc w:val="left"/>
      <w:lvlText w:val="•"/>
      <w:numFmt w:val="bullet"/>
      <w:start w:val="1"/>
    </w:lvl>
  </w:abstractNum>
  <w:abstractNum w:abstractNumId="26">
    <w:nsid w:val="39EE015C"/>
    <w:multiLevelType w:val="hybridMultilevel"/>
    <w:lvl w:ilvl="0">
      <w:lvlJc w:val="left"/>
      <w:lvlText w:val="•"/>
      <w:numFmt w:val="bullet"/>
      <w:start w:val="1"/>
    </w:lvl>
  </w:abstractNum>
  <w:abstractNum w:abstractNumId="27">
    <w:nsid w:val="57FC4FBB"/>
    <w:multiLevelType w:val="hybridMultilevel"/>
    <w:lvl w:ilvl="0">
      <w:lvlJc w:val="left"/>
      <w:lvlText w:val="•"/>
      <w:numFmt w:val="bullet"/>
      <w:start w:val="1"/>
    </w:lvl>
  </w:abstractNum>
  <w:abstractNum w:abstractNumId="28">
    <w:nsid w:val="CC1016F"/>
    <w:multiLevelType w:val="hybridMultilevel"/>
    <w:lvl w:ilvl="0">
      <w:lvlJc w:val="left"/>
      <w:lvlText w:val="•"/>
      <w:numFmt w:val="bullet"/>
      <w:start w:val="1"/>
    </w:lvl>
  </w:abstractNum>
  <w:abstractNum w:abstractNumId="29">
    <w:nsid w:val="43F18422"/>
    <w:multiLevelType w:val="hybridMultilevel"/>
    <w:lvl w:ilvl="0">
      <w:lvlJc w:val="left"/>
      <w:lvlText w:val="•"/>
      <w:numFmt w:val="bullet"/>
      <w:start w:val="1"/>
    </w:lvl>
  </w:abstractNum>
  <w:abstractNum w:abstractNumId="30">
    <w:nsid w:val="60EF0119"/>
    <w:multiLevelType w:val="hybridMultilevel"/>
    <w:lvl w:ilvl="0">
      <w:lvlJc w:val="left"/>
      <w:lvlText w:val="\endash "/>
      <w:numFmt w:val="bullet"/>
      <w:start w:val="1"/>
    </w:lvl>
  </w:abstractNum>
  <w:abstractNum w:abstractNumId="31">
    <w:nsid w:val="26F324BA"/>
    <w:multiLevelType w:val="hybridMultilevel"/>
    <w:lvl w:ilvl="0">
      <w:lvlJc w:val="left"/>
      <w:lvlText w:val="\endash "/>
      <w:numFmt w:val="bullet"/>
      <w:start w:val="1"/>
    </w:lvl>
  </w:abstractNum>
  <w:abstractNum w:abstractNumId="32">
    <w:nsid w:val="7F01579B"/>
    <w:multiLevelType w:val="hybridMultilevel"/>
    <w:lvl w:ilvl="0">
      <w:lvlJc w:val="left"/>
      <w:lvlText w:val="•"/>
      <w:numFmt w:val="bullet"/>
      <w:start w:val="1"/>
    </w:lvl>
  </w:abstractNum>
  <w:abstractNum w:abstractNumId="33">
    <w:nsid w:val="49DA307D"/>
    <w:multiLevelType w:val="hybridMultilevel"/>
    <w:lvl w:ilvl="0">
      <w:lvlJc w:val="left"/>
      <w:lvlText w:val="%1."/>
      <w:numFmt w:val="decimal"/>
      <w:start w:val="1"/>
    </w:lvl>
  </w:abstractNum>
  <w:abstractNum w:abstractNumId="34">
    <w:nsid w:val="7055A5F5"/>
    <w:multiLevelType w:val="hybridMultilevel"/>
    <w:lvl w:ilvl="0">
      <w:lvlJc w:val="left"/>
      <w:lvlText w:val="%1."/>
      <w:numFmt w:val="lowerLetter"/>
      <w:start w:val="1"/>
    </w:lvl>
  </w:abstractNum>
  <w:abstractNum w:abstractNumId="35">
    <w:nsid w:val="5FB8370B"/>
    <w:multiLevelType w:val="hybridMultilevel"/>
    <w:lvl w:ilvl="0">
      <w:lvlJc w:val="left"/>
      <w:lvlText w:val="%1."/>
      <w:numFmt w:val="lowerLetter"/>
      <w:start w:val="1"/>
    </w:lvl>
  </w:abstractNum>
  <w:abstractNum w:abstractNumId="36">
    <w:nsid w:val="50801EE1"/>
    <w:multiLevelType w:val="hybridMultilevel"/>
    <w:lvl w:ilvl="0">
      <w:lvlJc w:val="left"/>
      <w:lvlText w:val="%1."/>
      <w:numFmt w:val="decimal"/>
      <w:start w:val="1"/>
    </w:lvl>
  </w:abstractNum>
  <w:abstractNum w:abstractNumId="37">
    <w:nsid w:val="488AC1A"/>
    <w:multiLevelType w:val="hybridMultilevel"/>
    <w:lvl w:ilvl="0">
      <w:lvlJc w:val="left"/>
      <w:lvlText w:val="%1."/>
      <w:numFmt w:val="decimal"/>
      <w:start w:val="1"/>
    </w:lvl>
  </w:abstractNum>
  <w:abstractNum w:abstractNumId="38">
    <w:nsid w:val="5FB8011C"/>
    <w:multiLevelType w:val="hybridMultilevel"/>
    <w:lvl w:ilvl="0">
      <w:lvlJc w:val="left"/>
      <w:lvlText w:val="%1."/>
      <w:numFmt w:val="decimal"/>
      <w:start w:val="1"/>
    </w:lvl>
  </w:abstractNum>
  <w:abstractNum w:abstractNumId="39">
    <w:nsid w:val="6AA78F7F"/>
    <w:multiLevelType w:val="hybridMultilevel"/>
    <w:lvl w:ilvl="0">
      <w:lvlJc w:val="left"/>
      <w:lvlText w:val="%1."/>
      <w:numFmt w:val="decimal"/>
      <w:start w:val="1"/>
    </w:lvl>
  </w:abstractNum>
  <w:abstractNum w:abstractNumId="40">
    <w:nsid w:val="7672BD23"/>
    <w:multiLevelType w:val="hybridMultilevel"/>
    <w:lvl w:ilvl="0">
      <w:lvlJc w:val="left"/>
      <w:lvlText w:val="%1."/>
      <w:numFmt w:val="decimal"/>
      <w:start w:val="1"/>
    </w:lvl>
  </w:abstractNum>
  <w:abstractNum w:abstractNumId="41">
    <w:nsid w:val="6FC75AF8"/>
    <w:multiLevelType w:val="hybridMultilevel"/>
    <w:lvl w:ilvl="0">
      <w:lvlJc w:val="left"/>
      <w:lvlText w:val="%1."/>
      <w:numFmt w:val="decimal"/>
      <w:start w:val="1"/>
    </w:lvl>
  </w:abstractNum>
  <w:abstractNum w:abstractNumId="42">
    <w:nsid w:val="6A5F7029"/>
    <w:multiLevelType w:val="hybridMultilevel"/>
    <w:lvl w:ilvl="0">
      <w:lvlJc w:val="left"/>
      <w:lvlText w:val="(%1)"/>
      <w:numFmt w:val="lowerLetter"/>
      <w:start w:val="1"/>
    </w:lvl>
  </w:abstractNum>
  <w:abstractNum w:abstractNumId="43">
    <w:nsid w:val="7D5E18F8"/>
    <w:multiLevelType w:val="hybridMultilevel"/>
    <w:lvl w:ilvl="0">
      <w:lvlJc w:val="left"/>
      <w:lvlText w:val="(%1)"/>
      <w:numFmt w:val="lowerLetter"/>
      <w:start w:val="2"/>
    </w:lvl>
  </w:abstractNum>
  <w:abstractNum w:abstractNumId="44">
    <w:nsid w:val="5F3534A4"/>
    <w:multiLevelType w:val="hybridMultilevel"/>
    <w:lvl w:ilvl="0">
      <w:lvlJc w:val="left"/>
      <w:lvlText w:val="%1."/>
      <w:numFmt w:val="decimal"/>
      <w:start w:val="1"/>
    </w:lvl>
  </w:abstractNum>
  <w:abstractNum w:abstractNumId="45">
    <w:nsid w:val="73A1821B"/>
    <w:multiLevelType w:val="hybridMultilevel"/>
    <w:lvl w:ilvl="0">
      <w:lvlJc w:val="left"/>
      <w:lvlText w:val="(%1)"/>
      <w:numFmt w:val="lowerLetter"/>
      <w:start w:val="3"/>
    </w:lvl>
  </w:abstractNum>
  <w:abstractNum w:abstractNumId="46">
    <w:nsid w:val="7DE67713"/>
    <w:multiLevelType w:val="hybridMultilevel"/>
    <w:lvl w:ilvl="0">
      <w:lvlJc w:val="left"/>
      <w:lvlText w:val="•"/>
      <w:numFmt w:val="bullet"/>
      <w:start w:val="1"/>
    </w:lvl>
  </w:abstractNum>
  <w:abstractNum w:abstractNumId="47">
    <w:nsid w:val="555C55B5"/>
    <w:multiLevelType w:val="hybridMultilevel"/>
    <w:lvl w:ilvl="0">
      <w:lvlJc w:val="left"/>
      <w:lvlText w:val="•"/>
      <w:numFmt w:val="bullet"/>
      <w:start w:val="1"/>
    </w:lvl>
  </w:abstractNum>
  <w:abstractNum w:abstractNumId="48">
    <w:nsid w:val="3FA62ACA"/>
    <w:multiLevelType w:val="hybridMultilevel"/>
    <w:lvl w:ilvl="0">
      <w:lvlJc w:val="left"/>
      <w:lvlText w:val="(%1)"/>
      <w:numFmt w:val="lowerLetter"/>
      <w:start w:val="4"/>
    </w:lvl>
  </w:abstractNum>
  <w:abstractNum w:abstractNumId="49">
    <w:nsid w:val="14FCE74E"/>
    <w:multiLevelType w:val="hybridMultilevel"/>
    <w:lvl w:ilvl="0">
      <w:lvlJc w:val="left"/>
      <w:lvlText w:val="%1."/>
      <w:numFmt w:val="decimal"/>
      <w:start w:val="1"/>
    </w:lvl>
  </w:abstractNum>
  <w:abstractNum w:abstractNumId="50">
    <w:nsid w:val="6A3DD3E8"/>
    <w:multiLevelType w:val="hybridMultilevel"/>
    <w:lvl w:ilvl="0">
      <w:lvlJc w:val="left"/>
      <w:lvlText w:val="(%1)"/>
      <w:numFmt w:val="lowerLetter"/>
      <w:start w:val="5"/>
    </w:lvl>
  </w:abstractNum>
  <w:abstractNum w:abstractNumId="51">
    <w:nsid w:val="71C91298"/>
    <w:multiLevelType w:val="hybridMultilevel"/>
    <w:lvl w:ilvl="0">
      <w:lvlJc w:val="left"/>
      <w:lvlText w:val="•"/>
      <w:numFmt w:val="bullet"/>
      <w:start w:val="1"/>
    </w:lvl>
  </w:abstractNum>
  <w:abstractNum w:abstractNumId="52">
    <w:nsid w:val="9DAF632"/>
    <w:multiLevelType w:val="hybridMultilevel"/>
    <w:lvl w:ilvl="0">
      <w:lvlJc w:val="left"/>
      <w:lvlText w:val="%1."/>
      <w:numFmt w:val="decimal"/>
      <w:start w:val="1"/>
    </w:lvl>
  </w:abstractNum>
  <w:abstractNum w:abstractNumId="53">
    <w:nsid w:val="53299938"/>
    <w:multiLevelType w:val="hybridMultilevel"/>
    <w:lvl w:ilvl="0">
      <w:lvlJc w:val="left"/>
      <w:lvlText w:val="(%1)"/>
      <w:numFmt w:val="lowerLetter"/>
      <w:start w:val="6"/>
    </w:lvl>
  </w:abstractNum>
  <w:abstractNum w:abstractNumId="54">
    <w:nsid w:val="1FBFE8E0"/>
    <w:multiLevelType w:val="hybridMultilevel"/>
    <w:lvl w:ilvl="0">
      <w:lvlJc w:val="left"/>
      <w:lvlText w:val="%1."/>
      <w:numFmt w:val="decimal"/>
      <w:start w:val="1"/>
    </w:lvl>
  </w:abstractNum>
  <w:abstractNum w:abstractNumId="55">
    <w:nsid w:val="5092CA79"/>
    <w:multiLevelType w:val="hybridMultilevel"/>
    <w:lvl w:ilvl="0">
      <w:lvlJc w:val="left"/>
      <w:lvlText w:val="%1."/>
      <w:numFmt w:val="decimal"/>
      <w:start w:val="1"/>
    </w:lvl>
  </w:abstractNum>
  <w:abstractNum w:abstractNumId="56">
    <w:nsid w:val="1D545C4D"/>
    <w:multiLevelType w:val="hybridMultilevel"/>
    <w:lvl w:ilvl="0">
      <w:lvlJc w:val="left"/>
      <w:lvlText w:val="%1."/>
      <w:numFmt w:val="decimal"/>
      <w:start w:val="1"/>
    </w:lvl>
  </w:abstractNum>
  <w:abstractNum w:abstractNumId="57">
    <w:nsid w:val="59ADEA3D"/>
    <w:multiLevelType w:val="hybridMultilevel"/>
    <w:lvl w:ilvl="0">
      <w:lvlJc w:val="left"/>
      <w:lvlText w:val="%1."/>
      <w:numFmt w:val="decimal"/>
      <w:start w:val="1"/>
    </w:lvl>
  </w:abstractNum>
  <w:abstractNum w:abstractNumId="58">
    <w:nsid w:val="288F1A34"/>
    <w:multiLevelType w:val="hybridMultilevel"/>
    <w:lvl w:ilvl="0">
      <w:lvlJc w:val="left"/>
      <w:lvlText w:val="%1."/>
      <w:numFmt w:val="decimal"/>
      <w:start w:val="1"/>
    </w:lvl>
  </w:abstractNum>
  <w:abstractNum w:abstractNumId="59">
    <w:nsid w:val="2A155DBC"/>
    <w:multiLevelType w:val="hybridMultilevel"/>
    <w:lvl w:ilvl="0">
      <w:lvlJc w:val="left"/>
      <w:lvlText w:val="%1."/>
      <w:numFmt w:val="decimal"/>
      <w:start w:val="2"/>
    </w:lvl>
  </w:abstractNum>
  <w:abstractNum w:abstractNumId="60">
    <w:nsid w:val="1D9F6E5F"/>
    <w:multiLevelType w:val="hybridMultilevel"/>
    <w:lvl w:ilvl="0">
      <w:lvlJc w:val="left"/>
      <w:lvlText w:val="%1."/>
      <w:numFmt w:val="decimal"/>
      <w:start w:val="2"/>
    </w:lvl>
  </w:abstractNum>
  <w:abstractNum w:abstractNumId="61">
    <w:nsid w:val="97E1B4E"/>
    <w:multiLevelType w:val="hybridMultilevel"/>
    <w:lvl w:ilvl="0">
      <w:lvlJc w:val="left"/>
      <w:lvlText w:val="(%1)"/>
      <w:numFmt w:val="decimal"/>
      <w:start w:val="1"/>
    </w:lvl>
  </w:abstractNum>
  <w:abstractNum w:abstractNumId="62">
    <w:nsid w:val="51088277"/>
    <w:multiLevelType w:val="hybridMultilevel"/>
    <w:lvl w:ilvl="0">
      <w:lvlJc w:val="left"/>
      <w:lvlText w:val="%1."/>
      <w:numFmt w:val="decimal"/>
      <w:start w:val="4"/>
    </w:lvl>
  </w:abstractNum>
  <w:abstractNum w:abstractNumId="63">
    <w:nsid w:val="1CA0C5FA"/>
    <w:multiLevelType w:val="hybridMultilevel"/>
    <w:lvl w:ilvl="0">
      <w:lvlJc w:val="left"/>
      <w:lvlText w:val="%1."/>
      <w:numFmt w:val="decimal"/>
      <w:start w:val="6"/>
    </w:lvl>
  </w:abstractNum>
  <w:abstractNum w:abstractNumId="64">
    <w:nsid w:val="53584BCB"/>
    <w:multiLevelType w:val="hybridMultilevel"/>
    <w:lvl w:ilvl="0">
      <w:lvlJc w:val="left"/>
      <w:lvlText w:val="%1."/>
      <w:numFmt w:val="decimal"/>
      <w:start w:val="6"/>
    </w:lvl>
  </w:abstractNum>
  <w:abstractNum w:abstractNumId="65">
    <w:nsid w:val="415E286C"/>
    <w:multiLevelType w:val="hybridMultilevel"/>
    <w:lvl w:ilvl="0">
      <w:lvlJc w:val="left"/>
      <w:lvlText w:val="%1."/>
      <w:numFmt w:val="decimal"/>
      <w:start w:val="6"/>
    </w:lvl>
  </w:abstractNum>
  <w:abstractNum w:abstractNumId="66">
    <w:nsid w:val="7C58FD05"/>
    <w:multiLevelType w:val="hybridMultilevel"/>
    <w:lvl w:ilvl="0">
      <w:lvlJc w:val="left"/>
      <w:lvlText w:val="%1."/>
      <w:numFmt w:val="decimal"/>
      <w:start w:val="6"/>
    </w:lvl>
  </w:abstractNum>
  <w:abstractNum w:abstractNumId="67">
    <w:nsid w:val="23D86AAC"/>
    <w:multiLevelType w:val="hybridMultilevel"/>
    <w:lvl w:ilvl="0">
      <w:lvlJc w:val="left"/>
      <w:lvlText w:val="%1."/>
      <w:numFmt w:val="decimal"/>
      <w:start w:val="7"/>
    </w:lvl>
  </w:abstractNum>
  <w:abstractNum w:abstractNumId="68">
    <w:nsid w:val="45E6D486"/>
    <w:multiLevelType w:val="hybridMultilevel"/>
    <w:lvl w:ilvl="0">
      <w:lvlJc w:val="left"/>
      <w:lvlText w:val="*"/>
      <w:numFmt w:val="bullet"/>
      <w:start w:val="1"/>
    </w:lvl>
  </w:abstractNum>
  <w:abstractNum w:abstractNumId="69">
    <w:nsid w:val="5C10FE21"/>
    <w:multiLevelType w:val="hybridMultilevel"/>
    <w:lvl w:ilvl="0">
      <w:lvlJc w:val="left"/>
      <w:lvlText w:val="%1."/>
      <w:numFmt w:val="decimal"/>
      <w:start w:val="9"/>
    </w:lvl>
  </w:abstractNum>
  <w:abstractNum w:abstractNumId="70">
    <w:nsid w:val="E7FFA2B"/>
    <w:multiLevelType w:val="hybridMultilevel"/>
    <w:lvl w:ilvl="0">
      <w:lvlJc w:val="left"/>
      <w:lvlText w:val="%1."/>
      <w:numFmt w:val="decimal"/>
      <w:start w:val="9"/>
    </w:lvl>
  </w:abstractNum>
  <w:abstractNum w:abstractNumId="71">
    <w:nsid w:val="3C5991AA"/>
    <w:multiLevelType w:val="hybridMultilevel"/>
    <w:lvl w:ilvl="0">
      <w:lvlJc w:val="left"/>
      <w:lvlText w:val="%1."/>
      <w:numFmt w:val="decimal"/>
      <w:start w:val="9"/>
    </w:lvl>
  </w:abstractNum>
  <w:abstractNum w:abstractNumId="72">
    <w:nsid w:val="4BD8591A"/>
    <w:multiLevelType w:val="hybridMultilevel"/>
    <w:lvl w:ilvl="0">
      <w:lvlJc w:val="left"/>
      <w:lvlText w:val="(%1)"/>
      <w:numFmt w:val="decimal"/>
      <w:start w:val="1"/>
    </w:lvl>
  </w:abstractNum>
  <w:abstractNum w:abstractNumId="73">
    <w:nsid w:val="78DF6A55"/>
    <w:multiLevelType w:val="hybridMultilevel"/>
    <w:lvl w:ilvl="0">
      <w:lvlJc w:val="left"/>
      <w:lvlText w:val="%1."/>
      <w:numFmt w:val="decimal"/>
      <w:start w:val="9"/>
    </w:lvl>
  </w:abstractNum>
  <w:abstractNum w:abstractNumId="74">
    <w:nsid w:val="39B7AAA2"/>
    <w:multiLevelType w:val="hybridMultilevel"/>
    <w:lvl w:ilvl="0">
      <w:lvlJc w:val="left"/>
      <w:lvlText w:val="%1."/>
      <w:numFmt w:val="decimal"/>
      <w:start w:val="9"/>
    </w:lvl>
  </w:abstractNum>
  <w:abstractNum w:abstractNumId="75">
    <w:nsid w:val="2B0D8DBE"/>
    <w:multiLevelType w:val="hybridMultilevel"/>
    <w:lvl w:ilvl="0">
      <w:lvlJc w:val="left"/>
      <w:lvlText w:val="%1."/>
      <w:numFmt w:val="decimal"/>
      <w:start w:val="9"/>
    </w:lvl>
  </w:abstractNum>
  <w:abstractNum w:abstractNumId="76">
    <w:nsid w:val="6C80EC70"/>
    <w:multiLevelType w:val="hybridMultilevel"/>
    <w:lvl w:ilvl="0">
      <w:lvlJc w:val="left"/>
      <w:lvlText w:val="%1."/>
      <w:numFmt w:val="decimal"/>
      <w:start w:val="10"/>
    </w:lvl>
  </w:abstractNum>
  <w:abstractNum w:abstractNumId="77">
    <w:nsid w:val="379E21B5"/>
    <w:multiLevelType w:val="hybridMultilevel"/>
    <w:lvl w:ilvl="0">
      <w:lvlJc w:val="left"/>
      <w:lvlText w:val="(%1)"/>
      <w:numFmt w:val="lowerRoman"/>
      <w:start w:val="1"/>
    </w:lvl>
  </w:abstractNum>
  <w:abstractNum w:abstractNumId="78">
    <w:nsid w:val="69E373"/>
    <w:multiLevelType w:val="hybridMultilevel"/>
    <w:lvl w:ilvl="0">
      <w:lvlJc w:val="left"/>
      <w:lvlText w:val="%1."/>
      <w:numFmt w:val="decimal"/>
      <w:start w:val="10"/>
    </w:lvl>
    <w:lvl w:ilvl="1">
      <w:lvlJc w:val="left"/>
      <w:lvlText w:val="(%2)"/>
      <w:numFmt w:val="lowerRoman"/>
      <w:start w:val="2"/>
    </w:lvl>
  </w:abstractNum>
  <w:abstractNum w:abstractNumId="79">
    <w:nsid w:val="2C27173B"/>
    <w:multiLevelType w:val="hybridMultilevel"/>
    <w:lvl w:ilvl="0">
      <w:lvlJc w:val="left"/>
      <w:lvlText w:val="%1."/>
      <w:numFmt w:val="decimal"/>
      <w:start w:val="10"/>
    </w:lvl>
  </w:abstractNum>
  <w:abstractNum w:abstractNumId="80">
    <w:nsid w:val="4C9B0904"/>
    <w:multiLevelType w:val="hybridMultilevel"/>
    <w:lvl w:ilvl="0">
      <w:lvlJc w:val="left"/>
      <w:lvlText w:val="%1."/>
      <w:numFmt w:val="decimal"/>
      <w:start w:val="11"/>
    </w:lvl>
  </w:abstractNum>
  <w:abstractNum w:abstractNumId="81">
    <w:nsid w:val="6AA7B75C"/>
    <w:multiLevelType w:val="hybridMultilevel"/>
    <w:lvl w:ilvl="0">
      <w:lvlJc w:val="left"/>
      <w:lvlText w:val="*"/>
      <w:numFmt w:val="bullet"/>
      <w:start w:val="1"/>
    </w:lvl>
  </w:abstractNum>
  <w:abstractNum w:abstractNumId="82">
    <w:nsid w:val="1DF029D3"/>
    <w:multiLevelType w:val="hybridMultilevel"/>
    <w:lvl w:ilvl="0">
      <w:lvlJc w:val="left"/>
      <w:lvlText w:val="%1."/>
      <w:numFmt w:val="decimal"/>
      <w:start w:val="11"/>
    </w:lvl>
  </w:abstractNum>
  <w:abstractNum w:abstractNumId="83">
    <w:nsid w:val="5675FF36"/>
    <w:multiLevelType w:val="hybridMultilevel"/>
    <w:lvl w:ilvl="0">
      <w:lvlJc w:val="left"/>
      <w:lvlText w:val="(%1)"/>
      <w:numFmt w:val="decimal"/>
      <w:start w:val="1"/>
    </w:lvl>
  </w:abstractNum>
  <w:abstractNum w:abstractNumId="84">
    <w:nsid w:val="3DD15094"/>
    <w:multiLevelType w:val="hybridMultilevel"/>
    <w:lvl w:ilvl="0">
      <w:lvlJc w:val="left"/>
      <w:lvlText w:val="%1."/>
      <w:numFmt w:val="decimal"/>
      <w:start w:val="11"/>
    </w:lvl>
  </w:abstractNum>
  <w:abstractNum w:abstractNumId="85">
    <w:nsid w:val="3DB012B3"/>
    <w:multiLevelType w:val="hybridMultilevel"/>
    <w:lvl w:ilvl="0">
      <w:lvlJc w:val="left"/>
      <w:lvlText w:val="*"/>
      <w:numFmt w:val="bullet"/>
      <w:start w:val="1"/>
    </w:lvl>
  </w:abstractNum>
  <w:abstractNum w:abstractNumId="86">
    <w:nsid w:val="2708C9AF"/>
    <w:multiLevelType w:val="hybridMultilevel"/>
    <w:lvl w:ilvl="0">
      <w:lvlJc w:val="left"/>
      <w:lvlText w:val="*"/>
      <w:numFmt w:val="bullet"/>
      <w:start w:val="1"/>
    </w:lvl>
  </w:abstractNum>
  <w:abstractNum w:abstractNumId="87">
    <w:nsid w:val="5B25ACE2"/>
    <w:multiLevelType w:val="hybridMultilevel"/>
    <w:lvl w:ilvl="0">
      <w:lvlJc w:val="left"/>
      <w:lvlText w:val="%1."/>
      <w:numFmt w:val="decimal"/>
      <w:start w:val="12"/>
    </w:lvl>
  </w:abstractNum>
  <w:abstractNum w:abstractNumId="88">
    <w:nsid w:val="175DFCF0"/>
    <w:multiLevelType w:val="hybridMultilevel"/>
    <w:lvl w:ilvl="0">
      <w:lvlJc w:val="left"/>
      <w:lvlText w:val="%1."/>
      <w:numFmt w:val="decimal"/>
      <w:start w:val="13"/>
    </w:lvl>
  </w:abstractNum>
  <w:abstractNum w:abstractNumId="89">
    <w:nsid w:val="4F97E3E4"/>
    <w:multiLevelType w:val="hybridMultilevel"/>
    <w:lvl w:ilvl="0">
      <w:lvlJc w:val="left"/>
      <w:lvlText w:val="%1."/>
      <w:numFmt w:val="decimal"/>
      <w:start w:val="13"/>
    </w:lvl>
  </w:abstractNum>
  <w:abstractNum w:abstractNumId="90">
    <w:nsid w:val="53B0A9E"/>
    <w:multiLevelType w:val="hybridMultilevel"/>
    <w:lvl w:ilvl="0">
      <w:lvlJc w:val="left"/>
      <w:lvlText w:val="%1."/>
      <w:numFmt w:val="decimal"/>
      <w:start w:val="13"/>
    </w:lvl>
  </w:abstractNum>
  <w:abstractNum w:abstractNumId="91">
    <w:nsid w:val="34FD6B4F"/>
    <w:multiLevelType w:val="hybridMultilevel"/>
    <w:lvl w:ilvl="0">
      <w:lvlJc w:val="left"/>
      <w:lvlText w:val="%1."/>
      <w:numFmt w:val="decimal"/>
      <w:start w:val="13"/>
    </w:lvl>
  </w:abstractNum>
  <w:abstractNum w:abstractNumId="92">
    <w:nsid w:val="5915FF32"/>
    <w:multiLevelType w:val="hybridMultilevel"/>
    <w:lvl w:ilvl="0">
      <w:lvlJc w:val="left"/>
      <w:lvlText w:val="%1."/>
      <w:numFmt w:val="decimal"/>
      <w:start w:val="14"/>
    </w:lvl>
  </w:abstractNum>
  <w:abstractNum w:abstractNumId="93">
    <w:nsid w:val="56438D15"/>
    <w:multiLevelType w:val="hybridMultilevel"/>
    <w:lvl w:ilvl="0">
      <w:lvlJc w:val="left"/>
      <w:lvlText w:val="(%1)"/>
      <w:numFmt w:val="lowerLetter"/>
      <w:start w:val="1"/>
    </w:lvl>
  </w:abstractNum>
  <w:abstractNum w:abstractNumId="94">
    <w:nsid w:val="519E3149"/>
    <w:multiLevelType w:val="hybridMultilevel"/>
    <w:lvl w:ilvl="0">
      <w:lvlJc w:val="left"/>
      <w:lvlText w:val="%1."/>
      <w:numFmt w:val="decimal"/>
      <w:start w:val="14"/>
    </w:lvl>
  </w:abstractNum>
  <w:abstractNum w:abstractNumId="95">
    <w:nsid w:val="2C6E4AFD"/>
    <w:multiLevelType w:val="hybridMultilevel"/>
    <w:lvl w:ilvl="0">
      <w:lvlJc w:val="left"/>
      <w:lvlText w:val="*"/>
      <w:numFmt w:val="bullet"/>
      <w:start w:val="1"/>
    </w:lvl>
  </w:abstractNum>
  <w:abstractNum w:abstractNumId="96">
    <w:nsid w:val="17A1B582"/>
    <w:multiLevelType w:val="hybridMultilevel"/>
    <w:lvl w:ilvl="0">
      <w:lvlJc w:val="left"/>
      <w:lvlText w:val="%1."/>
      <w:numFmt w:val="decimal"/>
      <w:start w:val="14"/>
    </w:lvl>
  </w:abstractNum>
  <w:abstractNum w:abstractNumId="97">
    <w:nsid w:val="4DF72E4E"/>
    <w:multiLevelType w:val="hybridMultilevel"/>
    <w:lvl w:ilvl="0">
      <w:lvlJc w:val="left"/>
      <w:lvlText w:val="(%1)"/>
      <w:numFmt w:val="lowerLetter"/>
      <w:start w:val="2"/>
    </w:lvl>
  </w:abstractNum>
  <w:abstractNum w:abstractNumId="98">
    <w:nsid w:val="5046B5A9"/>
    <w:multiLevelType w:val="hybridMultilevel"/>
    <w:lvl w:ilvl="0">
      <w:lvlJc w:val="left"/>
      <w:lvlText w:val="%1."/>
      <w:numFmt w:val="decimal"/>
      <w:start w:val="14"/>
    </w:lvl>
  </w:abstractNum>
  <w:abstractNum w:abstractNumId="99">
    <w:nsid w:val="5D888A08"/>
    <w:multiLevelType w:val="hybridMultilevel"/>
    <w:lvl w:ilvl="0">
      <w:lvlJc w:val="left"/>
      <w:lvlText w:val="*"/>
      <w:numFmt w:val="bullet"/>
      <w:start w:val="1"/>
    </w:lvl>
  </w:abstractNum>
  <w:abstractNum w:abstractNumId="100">
    <w:nsid w:val="2A082C70"/>
    <w:multiLevelType w:val="hybridMultilevel"/>
    <w:lvl w:ilvl="0">
      <w:lvlJc w:val="left"/>
      <w:lvlText w:val="**"/>
      <w:numFmt w:val="bullet"/>
      <w:start w:val="1"/>
    </w:lvl>
  </w:abstractNum>
  <w:abstractNum w:abstractNumId="101">
    <w:nsid w:val="5EC6AFD4"/>
    <w:multiLevelType w:val="hybridMultilevel"/>
    <w:lvl w:ilvl="0">
      <w:lvlJc w:val="left"/>
      <w:lvlText w:val="%1."/>
      <w:numFmt w:val="decimal"/>
      <w:start w:val="16"/>
    </w:lvl>
  </w:abstractNum>
  <w:abstractNum w:abstractNumId="102">
    <w:nsid w:val="19E21BB2"/>
    <w:multiLevelType w:val="hybridMultilevel"/>
    <w:lvl w:ilvl="0">
      <w:lvlJc w:val="left"/>
      <w:lvlText w:val="%1."/>
      <w:numFmt w:val="decimal"/>
      <w:start w:val="16"/>
    </w:lvl>
  </w:abstractNum>
  <w:abstractNum w:abstractNumId="103">
    <w:nsid w:val="75E0858A"/>
    <w:multiLevelType w:val="hybridMultilevel"/>
    <w:lvl w:ilvl="0">
      <w:lvlJc w:val="left"/>
      <w:lvlText w:val="•"/>
      <w:numFmt w:val="bullet"/>
      <w:start w:val="1"/>
    </w:lvl>
  </w:abstractNum>
  <w:abstractNum w:abstractNumId="104">
    <w:nsid w:val="57A61A29"/>
    <w:multiLevelType w:val="hybridMultilevel"/>
    <w:lvl w:ilvl="0">
      <w:lvlJc w:val="left"/>
      <w:lvlText w:val="%1."/>
      <w:numFmt w:val="decimal"/>
      <w:start w:val="22"/>
    </w:lvl>
  </w:abstractNum>
  <w:abstractNum w:abstractNumId="105">
    <w:nsid w:val="5399C654"/>
    <w:multiLevelType w:val="hybridMultilevel"/>
    <w:lvl w:ilvl="0">
      <w:lvlJc w:val="left"/>
      <w:lvlText w:val="%1."/>
      <w:numFmt w:val="decimal"/>
      <w:start w:val="23"/>
    </w:lvl>
  </w:abstractNum>
  <w:abstractNum w:abstractNumId="106">
    <w:nsid w:val="20EE1348"/>
    <w:multiLevelType w:val="hybridMultilevel"/>
    <w:lvl w:ilvl="0">
      <w:lvlJc w:val="left"/>
      <w:lvlText w:val="%1."/>
      <w:numFmt w:val="decimal"/>
      <w:start w:val="23"/>
    </w:lvl>
  </w:abstractNum>
  <w:abstractNum w:abstractNumId="107">
    <w:nsid w:val="4427069A"/>
    <w:multiLevelType w:val="hybridMultilevel"/>
    <w:lvl w:ilvl="0">
      <w:lvlJc w:val="left"/>
      <w:lvlText w:val="*"/>
      <w:numFmt w:val="bullet"/>
      <w:start w:val="1"/>
    </w:lvl>
  </w:abstractNum>
  <w:abstractNum w:abstractNumId="108">
    <w:nsid w:val="B37E80A"/>
    <w:multiLevelType w:val="hybridMultilevel"/>
    <w:lvl w:ilvl="0">
      <w:lvlJc w:val="left"/>
      <w:lvlText w:val="%1."/>
      <w:numFmt w:val="decimal"/>
      <w:start w:val="23"/>
    </w:lvl>
  </w:abstractNum>
  <w:abstractNum w:abstractNumId="109">
    <w:nsid w:val="2157F6BC"/>
    <w:multiLevelType w:val="hybridMultilevel"/>
    <w:lvl w:ilvl="0">
      <w:lvlJc w:val="left"/>
      <w:lvlText w:val="%1."/>
      <w:numFmt w:val="decimal"/>
      <w:start w:val="23"/>
    </w:lvl>
  </w:abstractNum>
  <w:abstractNum w:abstractNumId="110">
    <w:nsid w:val="704E1DD5"/>
    <w:multiLevelType w:val="hybridMultilevel"/>
    <w:lvl w:ilvl="0">
      <w:lvlJc w:val="left"/>
      <w:lvlText w:val="%1."/>
      <w:numFmt w:val="decimal"/>
      <w:start w:val="24"/>
    </w:lvl>
  </w:abstractNum>
  <w:abstractNum w:abstractNumId="111">
    <w:nsid w:val="57D2F10E"/>
    <w:multiLevelType w:val="hybridMultilevel"/>
    <w:lvl w:ilvl="0">
      <w:lvlJc w:val="left"/>
      <w:lvlText w:val="%1."/>
      <w:numFmt w:val="decimal"/>
      <w:start w:val="25"/>
    </w:lvl>
  </w:abstractNum>
  <w:abstractNum w:abstractNumId="112">
    <w:nsid w:val="BFFAE18"/>
    <w:multiLevelType w:val="hybridMultilevel"/>
    <w:lvl w:ilvl="0">
      <w:lvlJc w:val="left"/>
      <w:lvlText w:val="%1."/>
      <w:numFmt w:val="decimal"/>
      <w:start w:val="26"/>
    </w:lvl>
  </w:abstractNum>
  <w:abstractNum w:abstractNumId="113">
    <w:nsid w:val="E3E47A8"/>
    <w:multiLevelType w:val="hybridMultilevel"/>
    <w:lvl w:ilvl="0">
      <w:lvlJc w:val="left"/>
      <w:lvlText w:val="%1."/>
      <w:numFmt w:val="decimal"/>
      <w:start w:val="26"/>
    </w:lvl>
  </w:abstractNum>
  <w:abstractNum w:abstractNumId="114">
    <w:nsid w:val="2E48F044"/>
    <w:multiLevelType w:val="hybridMultilevel"/>
    <w:lvl w:ilvl="0">
      <w:lvlJc w:val="left"/>
      <w:lvlText w:val="•"/>
      <w:numFmt w:val="bullet"/>
      <w:start w:val="1"/>
    </w:lvl>
  </w:abstractNum>
  <w:abstractNum w:abstractNumId="115">
    <w:nsid w:val="49D0FEAC"/>
    <w:multiLevelType w:val="hybridMultilevel"/>
    <w:lvl w:ilvl="0">
      <w:lvlJc w:val="left"/>
      <w:lvlText w:val="%1."/>
      <w:numFmt w:val="decimal"/>
      <w:start w:val="26"/>
    </w:lvl>
  </w:abstractNum>
  <w:abstractNum w:abstractNumId="116">
    <w:nsid w:val="4BEE5A5B"/>
    <w:multiLevelType w:val="hybridMultilevel"/>
    <w:lvl w:ilvl="0">
      <w:lvlJc w:val="left"/>
      <w:lvlText w:val="•"/>
      <w:numFmt w:val="bullet"/>
      <w:start w:val="1"/>
    </w:lvl>
  </w:abstractNum>
  <w:abstractNum w:abstractNumId="117">
    <w:nsid w:val="5551B9F3"/>
    <w:multiLevelType w:val="hybridMultilevel"/>
    <w:lvl w:ilvl="0">
      <w:lvlJc w:val="left"/>
      <w:lvlText w:val="%1."/>
      <w:numFmt w:val="decimal"/>
      <w:start w:val="26"/>
    </w:lvl>
  </w:abstractNum>
  <w:abstractNum w:abstractNumId="118">
    <w:nsid w:val="24F6AB8E"/>
    <w:multiLevelType w:val="hybridMultilevel"/>
    <w:lvl w:ilvl="0">
      <w:lvlJc w:val="left"/>
      <w:lvlText w:val="%1."/>
      <w:numFmt w:val="decimal"/>
      <w:start w:val="26"/>
    </w:lvl>
  </w:abstractNum>
  <w:abstractNum w:abstractNumId="119">
    <w:nsid w:val="634C574C"/>
    <w:multiLevelType w:val="hybridMultilevel"/>
    <w:lvl w:ilvl="0">
      <w:lvlJc w:val="left"/>
      <w:lvlText w:val="%1."/>
      <w:numFmt w:val="decimal"/>
      <w:start w:val="26"/>
    </w:lvl>
  </w:abstractNum>
  <w:abstractNum w:abstractNumId="120">
    <w:nsid w:val="24E99DD7"/>
    <w:multiLevelType w:val="hybridMultilevel"/>
    <w:lvl w:ilvl="0">
      <w:lvlJc w:val="left"/>
      <w:lvlText w:val="*"/>
      <w:numFmt w:val="bullet"/>
      <w:start w:val="1"/>
    </w:lvl>
  </w:abstractNum>
  <w:abstractNum w:abstractNumId="121">
    <w:nsid w:val="2A31B62D"/>
    <w:multiLevelType w:val="hybridMultilevel"/>
    <w:lvl w:ilvl="0">
      <w:lvlJc w:val="left"/>
      <w:lvlText w:val="%1."/>
      <w:numFmt w:val="decimal"/>
      <w:start w:val="26"/>
    </w:lvl>
  </w:abstractNum>
  <w:abstractNum w:abstractNumId="122">
    <w:nsid w:val="1849C29B"/>
    <w:multiLevelType w:val="hybridMultilevel"/>
    <w:lvl w:ilvl="0">
      <w:lvlJc w:val="left"/>
      <w:lvlText w:val="%1."/>
      <w:numFmt w:val="decimal"/>
      <w:start w:val="26"/>
    </w:lvl>
  </w:abstractNum>
  <w:abstractNum w:abstractNumId="123">
    <w:nsid w:val="7DFF9D09"/>
    <w:multiLevelType w:val="hybridMultilevel"/>
    <w:lvl w:ilvl="0">
      <w:lvlJc w:val="left"/>
      <w:lvlText w:val="%1."/>
      <w:numFmt w:val="decimal"/>
      <w:start w:val="27"/>
    </w:lvl>
  </w:abstractNum>
  <w:abstractNum w:abstractNumId="124">
    <w:nsid w:val="754342"/>
    <w:multiLevelType w:val="hybridMultilevel"/>
    <w:lvl w:ilvl="0">
      <w:lvlJc w:val="left"/>
      <w:lvlText w:val="%1."/>
      <w:numFmt w:val="decimal"/>
      <w:start w:val="28"/>
    </w:lvl>
  </w:abstractNum>
  <w:abstractNum w:abstractNumId="125">
    <w:nsid w:val="69E7F3E5"/>
    <w:multiLevelType w:val="hybridMultilevel"/>
    <w:lvl w:ilvl="0">
      <w:lvlJc w:val="left"/>
      <w:lvlText w:val="%1)"/>
      <w:numFmt w:val="lowerLetter"/>
      <w:start w:val="1"/>
    </w:lvl>
  </w:abstractNum>
  <w:abstractNum w:abstractNumId="126">
    <w:nsid w:val="2A6DE806"/>
    <w:multiLevelType w:val="hybridMultilevel"/>
    <w:lvl w:ilvl="0">
      <w:lvlJc w:val="left"/>
      <w:lvlText w:val="(%1)"/>
      <w:numFmt w:val="lowerLetter"/>
      <w:start w:val="2"/>
    </w:lvl>
  </w:abstractNum>
  <w:abstractNum w:abstractNumId="127">
    <w:nsid w:val="1816F8C4"/>
    <w:multiLevelType w:val="hybridMultilevel"/>
    <w:lvl w:ilvl="0">
      <w:lvlJc w:val="left"/>
      <w:lvlText w:val="•"/>
      <w:numFmt w:val="bullet"/>
      <w:start w:val="1"/>
    </w:lvl>
  </w:abstractNum>
  <w:abstractNum w:abstractNumId="128">
    <w:nsid w:val="37DF2233"/>
    <w:multiLevelType w:val="hybridMultilevel"/>
    <w:lvl w:ilvl="0">
      <w:lvlJc w:val="left"/>
      <w:lvlText w:val="%1."/>
      <w:numFmt w:val="decimal"/>
      <w:start w:val="28"/>
    </w:lvl>
  </w:abstractNum>
  <w:abstractNum w:abstractNumId="129">
    <w:nsid w:val="7AB49DAF"/>
    <w:multiLevelType w:val="hybridMultilevel"/>
    <w:lvl w:ilvl="0">
      <w:lvlJc w:val="left"/>
      <w:lvlText w:val="(%1)"/>
      <w:numFmt w:val="lowerLetter"/>
      <w:start w:val="3"/>
    </w:lvl>
  </w:abstractNum>
  <w:abstractNum w:abstractNumId="130">
    <w:nsid w:val="759F82CD"/>
    <w:multiLevelType w:val="hybridMultilevel"/>
    <w:lvl w:ilvl="0">
      <w:lvlJc w:val="left"/>
      <w:lvlText w:val="%1."/>
      <w:numFmt w:val="decimal"/>
      <w:start w:val="29"/>
    </w:lvl>
  </w:abstractNum>
  <w:abstractNum w:abstractNumId="131">
    <w:nsid w:val="61E74EA3"/>
    <w:multiLevelType w:val="hybridMultilevel"/>
    <w:lvl w:ilvl="0">
      <w:lvlJc w:val="left"/>
      <w:lvlText w:val="%1."/>
      <w:numFmt w:val="decimal"/>
      <w:start w:val="30"/>
    </w:lvl>
  </w:abstractNum>
  <w:abstractNum w:abstractNumId="132">
    <w:nsid w:val="597B4D84"/>
    <w:multiLevelType w:val="hybridMultilevel"/>
    <w:lvl w:ilvl="0">
      <w:lvlJc w:val="left"/>
      <w:lvlText w:val="(%1)"/>
      <w:numFmt w:val="lowerRoman"/>
      <w:start w:val="1"/>
    </w:lvl>
  </w:abstractNum>
  <w:abstractNum w:abstractNumId="133">
    <w:nsid w:val="F819E7F"/>
    <w:multiLevelType w:val="hybridMultilevel"/>
    <w:lvl w:ilvl="0">
      <w:lvlJc w:val="left"/>
      <w:lvlText w:val="%1."/>
      <w:numFmt w:val="decimal"/>
      <w:start w:val="30"/>
    </w:lvl>
  </w:abstractNum>
  <w:abstractNum w:abstractNumId="134">
    <w:nsid w:val="57C7D42D"/>
    <w:multiLevelType w:val="hybridMultilevel"/>
    <w:lvl w:ilvl="0">
      <w:lvlJc w:val="left"/>
      <w:lvlText w:val="(%1)"/>
      <w:numFmt w:val="lowerRoman"/>
      <w:start w:val="2"/>
    </w:lvl>
  </w:abstractNum>
  <w:abstractNum w:abstractNumId="135">
    <w:nsid w:val="312167AD"/>
    <w:multiLevelType w:val="hybridMultilevel"/>
    <w:lvl w:ilvl="0">
      <w:lvlJc w:val="left"/>
      <w:lvlText w:val="%1."/>
      <w:numFmt w:val="decimal"/>
      <w:start w:val="31"/>
    </w:lvl>
  </w:abstractNum>
  <w:abstractNum w:abstractNumId="136">
    <w:nsid w:val="631B64D4"/>
    <w:multiLevelType w:val="hybridMultilevel"/>
    <w:lvl w:ilvl="0">
      <w:lvlJc w:val="left"/>
      <w:lvlText w:val="%1."/>
      <w:numFmt w:val="decimal"/>
      <w:start w:val="32"/>
    </w:lvl>
  </w:abstractNum>
  <w:abstractNum w:abstractNumId="137">
    <w:nsid w:val="78B5E776"/>
    <w:multiLevelType w:val="hybridMultilevel"/>
    <w:lvl w:ilvl="0">
      <w:lvlJc w:val="left"/>
      <w:lvlText w:val="%1."/>
      <w:numFmt w:val="decimal"/>
      <w:start w:val="33"/>
    </w:lvl>
  </w:abstractNum>
  <w:abstractNum w:abstractNumId="138">
    <w:nsid w:val="75486E47"/>
    <w:multiLevelType w:val="hybridMultilevel"/>
    <w:lvl w:ilvl="0">
      <w:lvlJc w:val="left"/>
      <w:lvlText w:val="%1."/>
      <w:numFmt w:val="decimal"/>
      <w:start w:val="5"/>
    </w:lvl>
  </w:abstractNum>
  <w:abstractNum w:abstractNumId="139">
    <w:nsid w:val="6E534CDE"/>
    <w:multiLevelType w:val="hybridMultilevel"/>
    <w:lvl w:ilvl="0">
      <w:lvlJc w:val="left"/>
      <w:lvlText w:val="%1."/>
      <w:numFmt w:val="decimal"/>
      <w:start w:val="6"/>
    </w:lvl>
  </w:abstractNum>
  <w:abstractNum w:abstractNumId="140">
    <w:nsid w:val="1A0DDE32"/>
    <w:multiLevelType w:val="hybridMultilevel"/>
    <w:lvl w:ilvl="0">
      <w:lvlJc w:val="left"/>
      <w:lvlText w:val="(%1)"/>
      <w:numFmt w:val="lowerLetter"/>
      <w:start w:val="1"/>
    </w:lvl>
  </w:abstractNum>
  <w:abstractNum w:abstractNumId="141">
    <w:nsid w:val="65968C1C"/>
    <w:multiLevelType w:val="hybridMultilevel"/>
    <w:lvl w:ilvl="0">
      <w:lvlJc w:val="left"/>
      <w:lvlText w:val="%1."/>
      <w:numFmt w:val="decimal"/>
      <w:start w:val="10"/>
    </w:lvl>
  </w:abstractNum>
  <w:abstractNum w:abstractNumId="142">
    <w:nsid w:val="46263DEC"/>
    <w:multiLevelType w:val="hybridMultilevel"/>
    <w:lvl w:ilvl="0">
      <w:lvlJc w:val="left"/>
      <w:lvlText w:val="%1."/>
      <w:numFmt w:val="decimal"/>
      <w:start w:val="11"/>
    </w:lvl>
  </w:abstractNum>
  <w:abstractNum w:abstractNumId="143">
    <w:nsid w:val="260D8C4A"/>
    <w:multiLevelType w:val="hybridMultilevel"/>
    <w:lvl w:ilvl="0">
      <w:lvlJc w:val="left"/>
      <w:lvlText w:val="%1."/>
      <w:numFmt w:val="decimal"/>
      <w:start w:val="11"/>
    </w:lvl>
  </w:abstractNum>
  <w:abstractNum w:abstractNumId="144">
    <w:nsid w:val="73D4D3C4"/>
    <w:multiLevelType w:val="hybridMultilevel"/>
    <w:lvl w:ilvl="0">
      <w:lvlJc w:val="left"/>
      <w:lvlText w:val="%1."/>
      <w:numFmt w:val="decimal"/>
      <w:start w:val="12"/>
    </w:lvl>
  </w:abstractNum>
  <w:abstractNum w:abstractNumId="145">
    <w:nsid w:val="746F2E30"/>
    <w:multiLevelType w:val="hybridMultilevel"/>
    <w:lvl w:ilvl="0">
      <w:lvlJc w:val="left"/>
      <w:lvlText w:val="(%1)"/>
      <w:numFmt w:val="lowerRoman"/>
      <w:start w:val="1"/>
    </w:lvl>
  </w:abstractNum>
  <w:abstractNum w:abstractNumId="146">
    <w:nsid w:val="6FDE8AF6"/>
    <w:multiLevelType w:val="hybridMultilevel"/>
    <w:lvl w:ilvl="0">
      <w:lvlJc w:val="left"/>
      <w:lvlText w:val="•"/>
      <w:numFmt w:val="bullet"/>
      <w:start w:val="1"/>
    </w:lvl>
  </w:abstractNum>
  <w:abstractNum w:abstractNumId="147">
    <w:nsid w:val="3FC32E20"/>
    <w:multiLevelType w:val="hybridMultilevel"/>
    <w:lvl w:ilvl="0">
      <w:lvlJc w:val="left"/>
      <w:lvlText w:val="•"/>
      <w:numFmt w:val="bullet"/>
      <w:start w:val="1"/>
    </w:lvl>
  </w:abstractNum>
  <w:abstractNum w:abstractNumId="148">
    <w:nsid w:val="49C0E823"/>
    <w:multiLevelType w:val="hybridMultilevel"/>
    <w:lvl w:ilvl="0">
      <w:lvlJc w:val="left"/>
      <w:lvlText w:val="•"/>
      <w:numFmt w:val="bullet"/>
      <w:start w:val="1"/>
    </w:lvl>
  </w:abstractNum>
  <w:abstractNum w:abstractNumId="149">
    <w:nsid w:val="14D53685"/>
    <w:multiLevelType w:val="hybridMultilevel"/>
    <w:lvl w:ilvl="0">
      <w:lvlJc w:val="left"/>
      <w:lvlText w:val="•"/>
      <w:numFmt w:val="bullet"/>
      <w:start w:val="1"/>
    </w:lvl>
  </w:abstractNum>
  <w:abstractNum w:abstractNumId="150">
    <w:nsid w:val="230F856C"/>
    <w:multiLevelType w:val="hybridMultilevel"/>
    <w:lvl w:ilvl="0">
      <w:lvlJc w:val="left"/>
      <w:lvlText w:val="•"/>
      <w:numFmt w:val="bullet"/>
      <w:start w:val="1"/>
    </w:lvl>
  </w:abstractNum>
  <w:abstractNum w:abstractNumId="151">
    <w:nsid w:val="6EAA85FB"/>
    <w:multiLevelType w:val="hybridMultilevel"/>
    <w:lvl w:ilvl="0">
      <w:lvlJc w:val="left"/>
      <w:lvlText w:val="•"/>
      <w:numFmt w:val="bullet"/>
      <w:start w:val="1"/>
    </w:lvl>
  </w:abstractNum>
  <w:abstractNum w:abstractNumId="152">
    <w:nsid w:val="3F06ECB2"/>
    <w:multiLevelType w:val="hybridMultilevel"/>
    <w:lvl w:ilvl="0">
      <w:lvlJc w:val="left"/>
      <w:lvlText w:val="•"/>
      <w:numFmt w:val="bullet"/>
      <w:start w:val="1"/>
    </w:lvl>
  </w:abstractNum>
  <w:abstractNum w:abstractNumId="153">
    <w:nsid w:val="3B594807"/>
    <w:multiLevelType w:val="hybridMultilevel"/>
    <w:lvl w:ilvl="0">
      <w:lvlJc w:val="left"/>
      <w:lvlText w:val="•"/>
      <w:numFmt w:val="bullet"/>
      <w:start w:val="1"/>
    </w:lvl>
  </w:abstractNum>
  <w:abstractNum w:abstractNumId="154">
    <w:nsid w:val="6CAA2304"/>
    <w:multiLevelType w:val="hybridMultilevel"/>
    <w:lvl w:ilvl="0">
      <w:lvlJc w:val="left"/>
      <w:lvlText w:val="▪"/>
      <w:numFmt w:val="bullet"/>
      <w:start w:val="1"/>
    </w:lvl>
  </w:abstractNum>
  <w:abstractNum w:abstractNumId="155">
    <w:nsid w:val="3F7C2FF4"/>
    <w:multiLevelType w:val="hybridMultilevel"/>
    <w:lvl w:ilvl="0">
      <w:lvlJc w:val="left"/>
      <w:lvlText w:val="•"/>
      <w:numFmt w:val="bullet"/>
      <w:start w:val="1"/>
    </w:lvl>
  </w:abstractNum>
  <w:abstractNum w:abstractNumId="156">
    <w:nsid w:val="25413B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2022-06-17T08:15:15Z</dcterms:created>
  <dcterms:modified xsi:type="dcterms:W3CDTF">2022-06-17T08:15:15Z</dcterms:modified>
</cp:coreProperties>
</file>