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3326765</wp:posOffset>
            </wp:positionH>
            <wp:positionV relativeFrom="paragraph">
              <wp:posOffset>67945</wp:posOffset>
            </wp:positionV>
            <wp:extent cx="60325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250" cy="29845"/>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20-F</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Registration statement pursuant to Section 12(b) or (g) of the Securities Exchange Act of 1934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_X_</w:t>
      </w:r>
      <w:r>
        <w:rPr>
          <w:rFonts w:ascii="Arial" w:cs="Arial" w:eastAsia="Arial" w:hAnsi="Arial"/>
          <w:sz w:val="18"/>
          <w:szCs w:val="18"/>
          <w:b w:val="1"/>
          <w:bCs w:val="1"/>
          <w:color w:val="auto"/>
        </w:rPr>
        <w:t xml:space="preserve"> Annual report pursuant to Section 13 or 15 (d) of the Securities Exchange Act of 1934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Shell company report pursuant to section 13 or 15(d) of the Securties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3326765</wp:posOffset>
            </wp:positionH>
            <wp:positionV relativeFrom="paragraph">
              <wp:posOffset>69850</wp:posOffset>
            </wp:positionV>
            <wp:extent cx="60325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250" cy="29845"/>
                    </a:xfrm>
                    <a:prstGeom prst="rect">
                      <a:avLst/>
                    </a:prstGeom>
                    <a:noFill/>
                  </pic:spPr>
                </pic:pic>
              </a:graphicData>
            </a:graphic>
          </wp:anchor>
        </w:drawing>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333-08704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72390</wp:posOffset>
            </wp:positionV>
            <wp:extent cx="183515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29845"/>
                    </a:xfrm>
                    <a:prstGeom prst="rect">
                      <a:avLst/>
                    </a:prstGeom>
                    <a:noFill/>
                  </pic:spPr>
                </pic:pic>
              </a:graphicData>
            </a:graphic>
          </wp:anchor>
        </w:drawing>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72390</wp:posOffset>
            </wp:positionV>
            <wp:extent cx="183515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29845"/>
                    </a:xfrm>
                    <a:prstGeom prst="rect">
                      <a:avLst/>
                    </a:prstGeom>
                    <a:noFill/>
                  </pic:spPr>
                </pic:pic>
              </a:graphicData>
            </a:graphic>
          </wp:anchor>
        </w:drawing>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69850</wp:posOffset>
            </wp:positionV>
            <wp:extent cx="183515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5150" cy="29845"/>
                    </a:xfrm>
                    <a:prstGeom prst="rect">
                      <a:avLst/>
                    </a:prstGeom>
                    <a:noFill/>
                  </pic:spPr>
                </pic:pic>
              </a:graphicData>
            </a:graphic>
          </wp:anchor>
        </w:drawing>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(Jurisdiction of Incorporation or Organization)</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LEOPARDSTOWN,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69850</wp:posOffset>
            </wp:positionV>
            <wp:extent cx="183515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29845"/>
                    </a:xfrm>
                    <a:prstGeom prst="rect">
                      <a:avLst/>
                    </a:prstGeom>
                    <a:noFill/>
                  </pic:spPr>
                </pic:pic>
              </a:graphicData>
            </a:graphic>
          </wp:anchor>
        </w:drawing>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 Brennan, Chief Financial Officer</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 Leopardstown, Dublin 18, Ireland.</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Brendan.Brennan@iconplc.com</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011-353-1-291-2000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69850</wp:posOffset>
            </wp:positionV>
            <wp:extent cx="183515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29845"/>
                    </a:xfrm>
                    <a:prstGeom prst="rect">
                      <a:avLst/>
                    </a:prstGeom>
                    <a:noFill/>
                  </pic:spPr>
                </pic:pic>
              </a:graphicData>
            </a:graphic>
          </wp:anchor>
        </w:drawing>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34" w:lineRule="exact"/>
        <w:rPr>
          <w:sz w:val="24"/>
          <w:szCs w:val="24"/>
          <w:color w:val="auto"/>
        </w:rPr>
      </w:pPr>
    </w:p>
    <w:p>
      <w:pPr>
        <w:ind w:left="960" w:right="1240" w:firstLine="1263"/>
        <w:spacing w:after="0" w:line="266" w:lineRule="auto"/>
        <w:rPr>
          <w:sz w:val="20"/>
          <w:szCs w:val="20"/>
          <w:color w:val="auto"/>
        </w:rPr>
      </w:pPr>
      <w:r>
        <w:rPr>
          <w:rFonts w:ascii="Arial" w:cs="Arial" w:eastAsia="Arial" w:hAnsi="Arial"/>
          <w:sz w:val="18"/>
          <w:szCs w:val="18"/>
          <w:i w:val="1"/>
          <w:iCs w:val="1"/>
          <w:color w:val="auto"/>
        </w:rPr>
        <w:t xml:space="preserve">Title of each class Name of exchange on which registered </w:t>
      </w:r>
      <w:r>
        <w:rPr>
          <w:rFonts w:ascii="Arial" w:cs="Arial" w:eastAsia="Arial" w:hAnsi="Arial"/>
          <w:sz w:val="18"/>
          <w:szCs w:val="18"/>
          <w:b w:val="1"/>
          <w:bCs w:val="1"/>
          <w:color w:val="auto"/>
        </w:rPr>
        <w:t>ORDINARY SHARES, PAR VALUE €0.06 EACH NASDAQ GLOBAL SELECT MARKET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(Title of class)</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60,106,780 Ordinary Shares.</w:t>
      </w:r>
    </w:p>
    <w:p>
      <w:pPr>
        <w:spacing w:after="0" w:line="6" w:lineRule="exact"/>
        <w:rPr>
          <w:sz w:val="24"/>
          <w:szCs w:val="24"/>
          <w:color w:val="auto"/>
        </w:rPr>
      </w:pPr>
    </w:p>
    <w:p>
      <w:pPr>
        <w:spacing w:after="0"/>
        <w:tabs>
          <w:tab w:leader="none" w:pos="9260" w:val="left"/>
        </w:tabs>
        <w:rPr>
          <w:sz w:val="20"/>
          <w:szCs w:val="20"/>
          <w:color w:val="auto"/>
        </w:rPr>
      </w:pPr>
      <w:r>
        <w:rPr>
          <w:rFonts w:ascii="Arial" w:cs="Arial" w:eastAsia="Arial" w:hAnsi="Arial"/>
          <w:sz w:val="17"/>
          <w:szCs w:val="17"/>
          <w:color w:val="auto"/>
        </w:rPr>
        <w:t xml:space="preserve">Indicate by check mark if the registrant is a well-known seasoned issuer, as determined in Rule 405 of the Securities Act. Yes </w:t>
      </w:r>
      <w:r>
        <w:rPr>
          <w:rFonts w:ascii="Arial" w:cs="Arial" w:eastAsia="Arial" w:hAnsi="Arial"/>
          <w:sz w:val="17"/>
          <w:szCs w:val="17"/>
          <w:u w:val="single" w:color="auto"/>
          <w:color w:val="auto"/>
        </w:rPr>
        <w:t>X</w:t>
      </w:r>
      <w:r>
        <w:rPr>
          <w:sz w:val="20"/>
          <w:szCs w:val="20"/>
          <w:color w:val="auto"/>
        </w:rPr>
        <w:tab/>
      </w:r>
      <w:r>
        <w:rPr>
          <w:rFonts w:ascii="Arial" w:cs="Arial" w:eastAsia="Arial" w:hAnsi="Arial"/>
          <w:sz w:val="16"/>
          <w:szCs w:val="16"/>
          <w:color w:val="auto"/>
        </w:rPr>
        <w:t>No__</w:t>
      </w:r>
    </w:p>
    <w:p>
      <w:pPr>
        <w:spacing w:after="0" w:line="17" w:lineRule="exact"/>
        <w:rPr>
          <w:sz w:val="24"/>
          <w:szCs w:val="24"/>
          <w:color w:val="auto"/>
        </w:rPr>
      </w:pPr>
    </w:p>
    <w:p>
      <w:pPr>
        <w:ind w:right="620"/>
        <w:spacing w:after="0" w:line="246" w:lineRule="auto"/>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8"/>
          <w:szCs w:val="18"/>
          <w:u w:val="single" w:color="auto"/>
          <w:color w:val="auto"/>
        </w:rPr>
        <w:t>X</w:t>
      </w:r>
    </w:p>
    <w:p>
      <w:pPr>
        <w:spacing w:after="0" w:line="1" w:lineRule="exact"/>
        <w:rPr>
          <w:sz w:val="24"/>
          <w:szCs w:val="24"/>
          <w:color w:val="auto"/>
        </w:rPr>
      </w:pPr>
    </w:p>
    <w:p>
      <w:pPr>
        <w:jc w:val="both"/>
        <w:ind w:right="40"/>
        <w:spacing w:after="0" w:line="246"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w:t>
      </w:r>
    </w:p>
    <w:tbl>
      <w:tblPr>
        <w:tblLayout w:type="fixed"/>
        <w:tblInd w:w="0" w:type="dxa"/>
        <w:tblCellMar>
          <w:top w:w="0" w:type="dxa"/>
          <w:left w:w="0" w:type="dxa"/>
          <w:bottom w:w="0" w:type="dxa"/>
          <w:right w:w="0" w:type="dxa"/>
        </w:tblCellMar>
      </w:tblPr>
      <w:tr>
        <w:trPr>
          <w:trHeight w:val="203"/>
        </w:trPr>
        <w:tc>
          <w:tcPr>
            <w:tcW w:w="7340" w:type="dxa"/>
            <w:vAlign w:val="bottom"/>
            <w:gridSpan w:val="7"/>
          </w:tcPr>
          <w:p>
            <w:pPr>
              <w:spacing w:after="0" w:line="202" w:lineRule="exact"/>
              <w:rPr>
                <w:sz w:val="20"/>
                <w:szCs w:val="20"/>
                <w:color w:val="auto"/>
              </w:rPr>
            </w:pPr>
            <w:r>
              <w:rPr>
                <w:rFonts w:ascii="Arial" w:cs="Arial" w:eastAsia="Arial" w:hAnsi="Arial"/>
                <w:sz w:val="18"/>
                <w:szCs w:val="18"/>
                <w:color w:val="auto"/>
                <w:w w:val="90"/>
              </w:rPr>
              <w:t>submitted and posted pursuant to Rule 405 of Regulation S-T during the preceding 12 months: Yes X</w:t>
            </w:r>
          </w:p>
        </w:tc>
        <w:tc>
          <w:tcPr>
            <w:tcW w:w="3300" w:type="dxa"/>
            <w:vAlign w:val="bottom"/>
          </w:tcPr>
          <w:p>
            <w:pPr>
              <w:ind w:left="60"/>
              <w:spacing w:after="0" w:line="202" w:lineRule="exact"/>
              <w:rPr>
                <w:sz w:val="20"/>
                <w:szCs w:val="20"/>
                <w:color w:val="auto"/>
              </w:rPr>
            </w:pPr>
            <w:r>
              <w:rPr>
                <w:rFonts w:ascii="Arial" w:cs="Arial" w:eastAsia="Arial" w:hAnsi="Arial"/>
                <w:sz w:val="18"/>
                <w:szCs w:val="18"/>
                <w:color w:val="auto"/>
              </w:rPr>
              <w:t>No__</w:t>
            </w: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220"/>
        </w:trPr>
        <w:tc>
          <w:tcPr>
            <w:tcW w:w="10640" w:type="dxa"/>
            <w:vAlign w:val="bottom"/>
            <w:gridSpan w:val="8"/>
          </w:tcPr>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w:t>
            </w:r>
          </w:p>
        </w:tc>
      </w:tr>
      <w:tr>
        <w:trPr>
          <w:trHeight w:val="185"/>
        </w:trPr>
        <w:tc>
          <w:tcPr>
            <w:tcW w:w="1820" w:type="dxa"/>
            <w:vAlign w:val="bottom"/>
            <w:gridSpan w:val="4"/>
          </w:tcPr>
          <w:p>
            <w:pPr>
              <w:spacing w:after="0" w:line="185" w:lineRule="exact"/>
              <w:rPr>
                <w:sz w:val="20"/>
                <w:szCs w:val="20"/>
                <w:color w:val="auto"/>
              </w:rPr>
            </w:pPr>
            <w:r>
              <w:rPr>
                <w:rFonts w:ascii="Arial" w:cs="Arial" w:eastAsia="Arial" w:hAnsi="Arial"/>
                <w:sz w:val="18"/>
                <w:szCs w:val="18"/>
                <w:color w:val="auto"/>
                <w:w w:val="92"/>
              </w:rPr>
              <w:t>Large accelerated filer X</w:t>
            </w:r>
          </w:p>
        </w:tc>
        <w:tc>
          <w:tcPr>
            <w:tcW w:w="5520" w:type="dxa"/>
            <w:vAlign w:val="bottom"/>
            <w:gridSpan w:val="3"/>
          </w:tcPr>
          <w:p>
            <w:pPr>
              <w:ind w:left="3300"/>
              <w:spacing w:after="0" w:line="185" w:lineRule="exact"/>
              <w:rPr>
                <w:sz w:val="20"/>
                <w:szCs w:val="20"/>
                <w:color w:val="auto"/>
              </w:rPr>
            </w:pPr>
            <w:r>
              <w:rPr>
                <w:rFonts w:ascii="Arial" w:cs="Arial" w:eastAsia="Arial" w:hAnsi="Arial"/>
                <w:sz w:val="18"/>
                <w:szCs w:val="18"/>
                <w:color w:val="auto"/>
              </w:rPr>
              <w:t>Accelerated filer __</w:t>
            </w:r>
          </w:p>
        </w:tc>
        <w:tc>
          <w:tcPr>
            <w:tcW w:w="3300" w:type="dxa"/>
            <w:vAlign w:val="bottom"/>
          </w:tcPr>
          <w:p>
            <w:pPr>
              <w:ind w:left="1580"/>
              <w:spacing w:after="0" w:line="185" w:lineRule="exact"/>
              <w:rPr>
                <w:sz w:val="20"/>
                <w:szCs w:val="20"/>
                <w:color w:val="auto"/>
              </w:rPr>
            </w:pPr>
            <w:r>
              <w:rPr>
                <w:rFonts w:ascii="Arial" w:cs="Arial" w:eastAsia="Arial" w:hAnsi="Arial"/>
                <w:sz w:val="18"/>
                <w:szCs w:val="18"/>
                <w:color w:val="auto"/>
                <w:w w:val="88"/>
              </w:rPr>
              <w:t>Non-accelerated filer __</w:t>
            </w: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20" w:type="dxa"/>
            <w:vAlign w:val="bottom"/>
            <w:gridSpan w:val="4"/>
          </w:tcPr>
          <w:p>
            <w:pPr>
              <w:spacing w:after="0" w:line="20" w:lineRule="exact"/>
              <w:rPr>
                <w:sz w:val="1"/>
                <w:szCs w:val="1"/>
                <w:color w:val="auto"/>
              </w:rPr>
            </w:pPr>
          </w:p>
        </w:tc>
      </w:tr>
      <w:tr>
        <w:trPr>
          <w:trHeight w:val="220"/>
        </w:trPr>
        <w:tc>
          <w:tcPr>
            <w:tcW w:w="10640" w:type="dxa"/>
            <w:vAlign w:val="bottom"/>
            <w:gridSpan w:val="8"/>
          </w:tcPr>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tc>
      </w:tr>
      <w:tr>
        <w:trPr>
          <w:trHeight w:val="185"/>
        </w:trPr>
        <w:tc>
          <w:tcPr>
            <w:tcW w:w="1820" w:type="dxa"/>
            <w:vAlign w:val="bottom"/>
            <w:gridSpan w:val="4"/>
          </w:tcPr>
          <w:p>
            <w:pPr>
              <w:spacing w:after="0" w:line="185" w:lineRule="exact"/>
              <w:rPr>
                <w:sz w:val="20"/>
                <w:szCs w:val="20"/>
                <w:color w:val="auto"/>
              </w:rPr>
            </w:pPr>
            <w:r>
              <w:rPr>
                <w:rFonts w:ascii="Arial" w:cs="Arial" w:eastAsia="Arial" w:hAnsi="Arial"/>
                <w:sz w:val="18"/>
                <w:szCs w:val="18"/>
                <w:color w:val="auto"/>
              </w:rPr>
              <w:t>U.S. GAAP X</w:t>
            </w:r>
          </w:p>
        </w:tc>
        <w:tc>
          <w:tcPr>
            <w:tcW w:w="5520" w:type="dxa"/>
            <w:vAlign w:val="bottom"/>
            <w:gridSpan w:val="3"/>
          </w:tcPr>
          <w:p>
            <w:pPr>
              <w:ind w:left="1680"/>
              <w:spacing w:after="0" w:line="185" w:lineRule="exact"/>
              <w:rPr>
                <w:sz w:val="20"/>
                <w:szCs w:val="20"/>
                <w:color w:val="auto"/>
              </w:rPr>
            </w:pPr>
            <w:r>
              <w:rPr>
                <w:rFonts w:ascii="Arial" w:cs="Arial" w:eastAsia="Arial" w:hAnsi="Arial"/>
                <w:sz w:val="18"/>
                <w:szCs w:val="18"/>
                <w:color w:val="auto"/>
                <w:w w:val="89"/>
              </w:rPr>
              <w:t>International Financial Reporting Standards as issued</w:t>
            </w:r>
          </w:p>
        </w:tc>
        <w:tc>
          <w:tcPr>
            <w:tcW w:w="3300" w:type="dxa"/>
            <w:vAlign w:val="bottom"/>
          </w:tcPr>
          <w:p>
            <w:pPr>
              <w:spacing w:after="0"/>
              <w:rPr>
                <w:sz w:val="16"/>
                <w:szCs w:val="16"/>
                <w:color w:val="auto"/>
              </w:rPr>
            </w:pPr>
          </w:p>
        </w:tc>
      </w:tr>
      <w:tr>
        <w:trPr>
          <w:trHeight w:val="231"/>
        </w:trPr>
        <w:tc>
          <w:tcPr>
            <w:tcW w:w="900" w:type="dxa"/>
            <w:vAlign w:val="bottom"/>
          </w:tcPr>
          <w:p>
            <w:pPr>
              <w:spacing w:after="0"/>
              <w:rPr>
                <w:sz w:val="20"/>
                <w:szCs w:val="20"/>
                <w:color w:val="auto"/>
              </w:rPr>
            </w:pPr>
            <w:r>
              <w:rPr>
                <w:rFonts w:ascii="Arial" w:cs="Arial" w:eastAsia="Arial" w:hAnsi="Arial"/>
                <w:sz w:val="18"/>
                <w:szCs w:val="18"/>
                <w:color w:val="auto"/>
              </w:rPr>
              <w:t>__</w:t>
            </w:r>
          </w:p>
        </w:tc>
        <w:tc>
          <w:tcPr>
            <w:tcW w:w="16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2620"/>
              <w:spacing w:after="0"/>
              <w:rPr>
                <w:sz w:val="20"/>
                <w:szCs w:val="20"/>
                <w:color w:val="auto"/>
              </w:rPr>
            </w:pPr>
            <w:r>
              <w:rPr>
                <w:rFonts w:ascii="Arial" w:cs="Arial" w:eastAsia="Arial" w:hAnsi="Arial"/>
                <w:sz w:val="18"/>
                <w:szCs w:val="18"/>
                <w:color w:val="auto"/>
              </w:rPr>
              <w:t>Other __</w:t>
            </w:r>
          </w:p>
        </w:tc>
        <w:tc>
          <w:tcPr>
            <w:tcW w:w="3300" w:type="dxa"/>
            <w:vAlign w:val="bottom"/>
          </w:tcPr>
          <w:p>
            <w:pPr>
              <w:spacing w:after="0"/>
              <w:rPr>
                <w:sz w:val="20"/>
                <w:szCs w:val="20"/>
                <w:color w:val="auto"/>
              </w:rPr>
            </w:pPr>
          </w:p>
        </w:tc>
      </w:tr>
    </w:tbl>
    <w:p>
      <w:pPr>
        <w:ind w:left="3200"/>
        <w:spacing w:after="0"/>
        <w:rPr>
          <w:sz w:val="20"/>
          <w:szCs w:val="20"/>
          <w:color w:val="auto"/>
        </w:rPr>
      </w:pPr>
      <w:r>
        <w:rPr>
          <w:rFonts w:ascii="Arial" w:cs="Arial" w:eastAsia="Arial" w:hAnsi="Arial"/>
          <w:sz w:val="18"/>
          <w:szCs w:val="18"/>
          <w:color w:val="auto"/>
        </w:rPr>
        <w:t>by the International Accounting Standards Board</w:t>
      </w:r>
    </w:p>
    <w:p>
      <w:pPr>
        <w:spacing w:after="0" w:line="6" w:lineRule="exact"/>
        <w:rPr>
          <w:sz w:val="24"/>
          <w:szCs w:val="24"/>
          <w:color w:val="auto"/>
        </w:rPr>
      </w:pPr>
    </w:p>
    <w:p>
      <w:pPr>
        <w:ind w:right="300"/>
        <w:spacing w:after="0" w:line="246"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 Item 17 __ Item 18__</w:t>
      </w:r>
    </w:p>
    <w:p>
      <w:pPr>
        <w:spacing w:after="0" w:line="1" w:lineRule="exact"/>
        <w:rPr>
          <w:sz w:val="24"/>
          <w:szCs w:val="24"/>
          <w:color w:val="auto"/>
        </w:rPr>
      </w:pPr>
    </w:p>
    <w:p>
      <w:pPr>
        <w:spacing w:after="0"/>
        <w:tabs>
          <w:tab w:leader="none" w:pos="1054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 Yes __</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414655</wp:posOffset>
            </wp:positionV>
            <wp:extent cx="72529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214" w:right="279" w:bottom="84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60" w:type="dxa"/>
            <w:vAlign w:val="bottom"/>
            <w:gridSpan w:val="5"/>
          </w:tcPr>
          <w:p>
            <w:pPr>
              <w:jc w:val="center"/>
              <w:ind w:right="1940"/>
              <w:spacing w:after="0"/>
              <w:rPr>
                <w:sz w:val="20"/>
                <w:szCs w:val="20"/>
                <w:color w:val="auto"/>
              </w:rPr>
            </w:pPr>
            <w:r>
              <w:rPr>
                <w:rFonts w:ascii="Arial" w:cs="Arial" w:eastAsia="Arial" w:hAnsi="Arial"/>
                <w:sz w:val="18"/>
                <w:szCs w:val="18"/>
                <w:b w:val="1"/>
                <w:bCs w:val="1"/>
                <w:color w:val="auto"/>
                <w:w w:val="97"/>
              </w:rPr>
              <w:t>TABLE OF CONTENTS</w:t>
            </w:r>
          </w:p>
        </w:tc>
        <w:tc>
          <w:tcPr>
            <w:tcW w:w="2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62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General</w:t>
              </w:r>
            </w:hyperlink>
          </w:p>
        </w:tc>
        <w:tc>
          <w:tcPr>
            <w:tcW w:w="8240" w:type="dxa"/>
            <w:vAlign w:val="bottom"/>
            <w:gridSpan w:val="29"/>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05"/>
        </w:trPr>
        <w:tc>
          <w:tcPr>
            <w:tcW w:w="8860" w:type="dxa"/>
            <w:vAlign w:val="bottom"/>
            <w:gridSpan w:val="3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Statement</w:t>
              </w:r>
            </w:hyperlink>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44"/>
        </w:trPr>
        <w:tc>
          <w:tcPr>
            <w:tcW w:w="6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3"/>
          </w:tcPr>
          <w:p>
            <w:pPr>
              <w:jc w:val="center"/>
              <w:ind w:right="2600"/>
              <w:spacing w:after="0"/>
              <w:rPr>
                <w:sz w:val="20"/>
                <w:szCs w:val="20"/>
                <w:color w:val="auto"/>
              </w:rPr>
            </w:pPr>
            <w:r>
              <w:rPr>
                <w:rFonts w:ascii="Arial" w:cs="Arial" w:eastAsia="Arial" w:hAnsi="Arial"/>
                <w:sz w:val="18"/>
                <w:szCs w:val="18"/>
                <w:b w:val="1"/>
                <w:bCs w:val="1"/>
                <w:color w:val="auto"/>
                <w:w w:val="98"/>
              </w:rPr>
              <w:t>PART I</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86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Identity of Directors, Senior Management and Advisors</w:t>
              </w:r>
            </w:hyperlink>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3380" w:type="dxa"/>
            <w:vAlign w:val="bottom"/>
            <w:tcBorders>
              <w:top w:val="single" w:sz="8" w:color="0000EE"/>
              <w:bottom w:val="single" w:sz="8" w:color="0000EE"/>
            </w:tcBorders>
            <w:gridSpan w:val="17"/>
          </w:tcPr>
          <w:p>
            <w:pPr>
              <w:spacing w:after="0" w:line="193"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2. Offer Statistics and Expected Timetable</w:t>
              </w:r>
            </w:hyperlink>
          </w:p>
        </w:tc>
        <w:tc>
          <w:tcPr>
            <w:tcW w:w="1120" w:type="dxa"/>
            <w:vAlign w:val="bottom"/>
            <w:tcBorders>
              <w:top w:val="single" w:sz="8" w:color="0000EE"/>
            </w:tcBorders>
            <w:gridSpan w:val="8"/>
          </w:tcPr>
          <w:p>
            <w:pPr>
              <w:spacing w:after="0"/>
              <w:rPr>
                <w:sz w:val="16"/>
                <w:szCs w:val="16"/>
                <w:color w:val="auto"/>
              </w:rPr>
            </w:pPr>
          </w:p>
        </w:tc>
        <w:tc>
          <w:tcPr>
            <w:tcW w:w="4360" w:type="dxa"/>
            <w:vAlign w:val="bottom"/>
            <w:gridSpan w:val="5"/>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1740" w:type="dxa"/>
            <w:vAlign w:val="bottom"/>
            <w:tcBorders>
              <w:bottom w:val="single" w:sz="8" w:color="0000EE"/>
            </w:tcBorders>
            <w:gridSpan w:val="5"/>
          </w:tcPr>
          <w:p>
            <w:pPr>
              <w:spacing w:after="0" w:line="193"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Item 3. Key Information</w:t>
              </w:r>
            </w:hyperlink>
          </w:p>
        </w:tc>
        <w:tc>
          <w:tcPr>
            <w:tcW w:w="7120" w:type="dxa"/>
            <w:vAlign w:val="bottom"/>
            <w:gridSpan w:val="25"/>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2620" w:type="dxa"/>
            <w:vAlign w:val="bottom"/>
            <w:tcBorders>
              <w:bottom w:val="single" w:sz="8" w:color="0000EE"/>
            </w:tcBorders>
            <w:gridSpan w:val="14"/>
          </w:tcPr>
          <w:p>
            <w:pPr>
              <w:spacing w:after="0" w:line="193"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4. Information on the Company</w:t>
              </w:r>
            </w:hyperlink>
          </w:p>
        </w:tc>
        <w:tc>
          <w:tcPr>
            <w:tcW w:w="6240" w:type="dxa"/>
            <w:vAlign w:val="bottom"/>
            <w:gridSpan w:val="16"/>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3"/>
        </w:trPr>
        <w:tc>
          <w:tcPr>
            <w:tcW w:w="2700" w:type="dxa"/>
            <w:vAlign w:val="bottom"/>
            <w:tcBorders>
              <w:bottom w:val="single" w:sz="8" w:color="0000EE"/>
            </w:tcBorders>
            <w:gridSpan w:val="15"/>
          </w:tcPr>
          <w:p>
            <w:pPr>
              <w:spacing w:after="0" w:line="193"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4A. Unresolved Staff Comments</w:t>
              </w:r>
            </w:hyperlink>
          </w:p>
        </w:tc>
        <w:tc>
          <w:tcPr>
            <w:tcW w:w="6160" w:type="dxa"/>
            <w:vAlign w:val="bottom"/>
            <w:gridSpan w:val="15"/>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3"/>
        </w:trPr>
        <w:tc>
          <w:tcPr>
            <w:tcW w:w="3880" w:type="dxa"/>
            <w:vAlign w:val="bottom"/>
            <w:tcBorders>
              <w:bottom w:val="single" w:sz="8" w:color="0000EE"/>
            </w:tcBorders>
            <w:gridSpan w:val="20"/>
          </w:tcPr>
          <w:p>
            <w:pPr>
              <w:spacing w:after="0" w:line="193"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Item 5. Operating and Financial Review and Prospects</w:t>
              </w:r>
            </w:hyperlink>
          </w:p>
        </w:tc>
        <w:tc>
          <w:tcPr>
            <w:tcW w:w="4980" w:type="dxa"/>
            <w:vAlign w:val="bottom"/>
            <w:gridSpan w:val="10"/>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44">
              <w:r>
                <w:rPr>
                  <w:rFonts w:ascii="Arial" w:cs="Arial" w:eastAsia="Arial" w:hAnsi="Arial"/>
                  <w:sz w:val="18"/>
                  <w:szCs w:val="18"/>
                  <w:color w:val="0000EE"/>
                </w:rPr>
                <w:t>Item 6. Directors, Senior Management and Employees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59">
              <w:r>
                <w:rPr>
                  <w:rFonts w:ascii="Arial" w:cs="Arial" w:eastAsia="Arial" w:hAnsi="Arial"/>
                  <w:sz w:val="18"/>
                  <w:szCs w:val="18"/>
                  <w:color w:val="0000EE"/>
                </w:rPr>
                <w:t>Item 7. Major Shareholders and Related Party Transactions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3"/>
        </w:trPr>
        <w:tc>
          <w:tcPr>
            <w:tcW w:w="212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8. Financial Information</w:t>
              </w:r>
            </w:hyperlink>
          </w:p>
        </w:tc>
        <w:tc>
          <w:tcPr>
            <w:tcW w:w="2080" w:type="dxa"/>
            <w:vAlign w:val="bottom"/>
            <w:tcBorders>
              <w:top w:val="single" w:sz="8" w:color="0000EE"/>
            </w:tcBorders>
            <w:gridSpan w:val="15"/>
          </w:tcPr>
          <w:p>
            <w:pPr>
              <w:spacing w:after="0"/>
              <w:rPr>
                <w:sz w:val="16"/>
                <w:szCs w:val="16"/>
                <w:color w:val="auto"/>
              </w:rPr>
            </w:pPr>
          </w:p>
        </w:tc>
        <w:tc>
          <w:tcPr>
            <w:tcW w:w="4660" w:type="dxa"/>
            <w:vAlign w:val="bottom"/>
            <w:gridSpan w:val="7"/>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3"/>
        </w:trPr>
        <w:tc>
          <w:tcPr>
            <w:tcW w:w="2100" w:type="dxa"/>
            <w:vAlign w:val="bottom"/>
            <w:tcBorders>
              <w:bottom w:val="single" w:sz="8" w:color="0000EE"/>
            </w:tcBorders>
            <w:gridSpan w:val="7"/>
          </w:tcPr>
          <w:p>
            <w:pPr>
              <w:spacing w:after="0" w:line="193"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Item 9. The Offer and Listing</w:t>
              </w:r>
            </w:hyperlink>
          </w:p>
        </w:tc>
        <w:tc>
          <w:tcPr>
            <w:tcW w:w="6760" w:type="dxa"/>
            <w:vAlign w:val="bottom"/>
            <w:gridSpan w:val="23"/>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61">
              <w:r>
                <w:rPr>
                  <w:rFonts w:ascii="Arial" w:cs="Arial" w:eastAsia="Arial" w:hAnsi="Arial"/>
                  <w:sz w:val="18"/>
                  <w:szCs w:val="18"/>
                  <w:color w:val="0000EE"/>
                </w:rPr>
                <w:t>Item 10. Additional Information</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80" w:type="dxa"/>
            <w:vAlign w:val="bottom"/>
            <w:tcBorders>
              <w:bottom w:val="single" w:sz="8" w:color="0000EE"/>
            </w:tcBorders>
            <w:gridSpan w:val="26"/>
          </w:tcPr>
          <w:p>
            <w:pPr>
              <w:spacing w:after="0" w:line="193"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11. Quantitative and Qualitative Disclosures about Market Risk</w:t>
              </w:r>
            </w:hyperlink>
          </w:p>
        </w:tc>
        <w:tc>
          <w:tcPr>
            <w:tcW w:w="3980" w:type="dxa"/>
            <w:vAlign w:val="bottom"/>
            <w:gridSpan w:val="4"/>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70">
              <w:r>
                <w:rPr>
                  <w:rFonts w:ascii="Arial" w:cs="Arial" w:eastAsia="Arial" w:hAnsi="Arial"/>
                  <w:sz w:val="18"/>
                  <w:szCs w:val="18"/>
                  <w:color w:val="0000EE"/>
                </w:rPr>
                <w:t>Item 12. Description of Securities Other than Equity Securities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44"/>
        </w:trPr>
        <w:tc>
          <w:tcPr>
            <w:tcW w:w="6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3"/>
          </w:tcPr>
          <w:p>
            <w:pPr>
              <w:jc w:val="center"/>
              <w:ind w:right="2580"/>
              <w:spacing w:after="0"/>
              <w:rPr>
                <w:sz w:val="20"/>
                <w:szCs w:val="20"/>
                <w:color w:val="auto"/>
              </w:rPr>
            </w:pPr>
            <w:r>
              <w:rPr>
                <w:rFonts w:ascii="Arial" w:cs="Arial" w:eastAsia="Arial" w:hAnsi="Arial"/>
                <w:sz w:val="18"/>
                <w:szCs w:val="18"/>
                <w:b w:val="1"/>
                <w:bCs w:val="1"/>
                <w:color w:val="auto"/>
                <w:w w:val="99"/>
              </w:rPr>
              <w:t>PART II</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860" w:type="dxa"/>
            <w:vAlign w:val="bottom"/>
            <w:gridSpan w:val="3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13. Defaults, Dividend Arrearages and Delinquencies</w:t>
              </w:r>
            </w:hyperlink>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tcBorders>
              <w:bottom w:val="single" w:sz="8" w:color="0000EE"/>
            </w:tcBorders>
            <w:gridSpan w:val="29"/>
          </w:tcPr>
          <w:p>
            <w:pPr>
              <w:spacing w:after="0" w:line="193"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14. Material Modifications to the Rights of Security Holders and Use of Proceeds</w:t>
              </w:r>
            </w:hyperlink>
          </w:p>
        </w:tc>
        <w:tc>
          <w:tcPr>
            <w:tcW w:w="2700" w:type="dxa"/>
            <w:vAlign w:val="bottom"/>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3"/>
        </w:trPr>
        <w:tc>
          <w:tcPr>
            <w:tcW w:w="2400" w:type="dxa"/>
            <w:vAlign w:val="bottom"/>
            <w:tcBorders>
              <w:bottom w:val="single" w:sz="8" w:color="0000EE"/>
            </w:tcBorders>
            <w:gridSpan w:val="12"/>
          </w:tcPr>
          <w:p>
            <w:pPr>
              <w:spacing w:after="0" w:line="193"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Item 15. Controls and Procedures</w:t>
              </w:r>
            </w:hyperlink>
          </w:p>
        </w:tc>
        <w:tc>
          <w:tcPr>
            <w:tcW w:w="6460" w:type="dxa"/>
            <w:vAlign w:val="bottom"/>
            <w:gridSpan w:val="18"/>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1300" w:type="dxa"/>
            <w:vAlign w:val="bottom"/>
            <w:tcBorders>
              <w:bottom w:val="single" w:sz="8" w:color="0000EE"/>
            </w:tcBorders>
            <w:gridSpan w:val="3"/>
          </w:tcPr>
          <w:p>
            <w:pPr>
              <w:spacing w:after="0" w:line="193"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Item 16. Reserved</w:t>
              </w:r>
            </w:hyperlink>
          </w:p>
        </w:tc>
        <w:tc>
          <w:tcPr>
            <w:tcW w:w="7560" w:type="dxa"/>
            <w:vAlign w:val="bottom"/>
            <w:gridSpan w:val="27"/>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71">
              <w:r>
                <w:rPr>
                  <w:rFonts w:ascii="Arial" w:cs="Arial" w:eastAsia="Arial" w:hAnsi="Arial"/>
                  <w:sz w:val="18"/>
                  <w:szCs w:val="18"/>
                  <w:color w:val="0000EE"/>
                </w:rPr>
                <w:t>Item 16A. Audit Committee Financial Expert</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1820" w:type="dxa"/>
            <w:vAlign w:val="bottom"/>
            <w:tcBorders>
              <w:top w:val="single" w:sz="8" w:color="0000EE"/>
              <w:bottom w:val="single" w:sz="8" w:color="0000EE"/>
            </w:tcBorders>
            <w:gridSpan w:val="6"/>
          </w:tcPr>
          <w:p>
            <w:pPr>
              <w:spacing w:after="0" w:line="193"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16B. Code of Ethics</w:t>
              </w:r>
            </w:hyperlink>
          </w:p>
        </w:tc>
        <w:tc>
          <w:tcPr>
            <w:tcW w:w="1400" w:type="dxa"/>
            <w:vAlign w:val="bottom"/>
            <w:tcBorders>
              <w:top w:val="single" w:sz="8" w:color="0000EE"/>
            </w:tcBorders>
            <w:gridSpan w:val="10"/>
          </w:tcPr>
          <w:p>
            <w:pPr>
              <w:spacing w:after="0"/>
              <w:rPr>
                <w:sz w:val="16"/>
                <w:szCs w:val="16"/>
                <w:color w:val="auto"/>
              </w:rPr>
            </w:pPr>
          </w:p>
        </w:tc>
        <w:tc>
          <w:tcPr>
            <w:tcW w:w="5640" w:type="dxa"/>
            <w:vAlign w:val="bottom"/>
            <w:gridSpan w:val="14"/>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0000EE"/>
            </w:tcBorders>
            <w:gridSpan w:val="18"/>
          </w:tcPr>
          <w:p>
            <w:pPr>
              <w:spacing w:after="0" w:line="193"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Item 16C. Principal Accountant Fees and Services</w:t>
              </w:r>
            </w:hyperlink>
          </w:p>
        </w:tc>
        <w:tc>
          <w:tcPr>
            <w:tcW w:w="5280" w:type="dxa"/>
            <w:vAlign w:val="bottom"/>
            <w:gridSpan w:val="12"/>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5160" w:type="dxa"/>
            <w:vAlign w:val="bottom"/>
            <w:tcBorders>
              <w:bottom w:val="single" w:sz="8" w:color="0000EE"/>
            </w:tcBorders>
            <w:gridSpan w:val="27"/>
          </w:tcPr>
          <w:p>
            <w:pPr>
              <w:spacing w:after="0" w:line="193"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16D. Exemptions from the Listing Standards for Audit Committees</w:t>
              </w:r>
            </w:hyperlink>
          </w:p>
        </w:tc>
        <w:tc>
          <w:tcPr>
            <w:tcW w:w="3700" w:type="dxa"/>
            <w:vAlign w:val="bottom"/>
            <w:gridSpan w:val="3"/>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3"/>
        </w:trPr>
        <w:tc>
          <w:tcPr>
            <w:tcW w:w="5700" w:type="dxa"/>
            <w:vAlign w:val="bottom"/>
            <w:tcBorders>
              <w:bottom w:val="single" w:sz="8" w:color="0000EE"/>
            </w:tcBorders>
            <w:gridSpan w:val="28"/>
          </w:tcPr>
          <w:p>
            <w:pPr>
              <w:spacing w:after="0" w:line="193"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Item 16E. Purchases of Equity Securities by the Issuer and Affiliated Purchasers</w:t>
              </w:r>
            </w:hyperlink>
          </w:p>
        </w:tc>
        <w:tc>
          <w:tcPr>
            <w:tcW w:w="3160" w:type="dxa"/>
            <w:vAlign w:val="bottom"/>
            <w:gridSpan w:val="2"/>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73">
              <w:r>
                <w:rPr>
                  <w:rFonts w:ascii="Arial" w:cs="Arial" w:eastAsia="Arial" w:hAnsi="Arial"/>
                  <w:sz w:val="18"/>
                  <w:szCs w:val="18"/>
                  <w:color w:val="0000EE"/>
                </w:rPr>
                <w:t>Item 16F. Changes in Registrant's Certifying Accountant</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3"/>
        </w:trPr>
        <w:tc>
          <w:tcPr>
            <w:tcW w:w="2380" w:type="dxa"/>
            <w:vAlign w:val="bottom"/>
            <w:tcBorders>
              <w:top w:val="single" w:sz="8" w:color="0000EE"/>
              <w:bottom w:val="single" w:sz="8" w:color="0000EE"/>
            </w:tcBorders>
            <w:gridSpan w:val="11"/>
          </w:tcPr>
          <w:p>
            <w:pPr>
              <w:spacing w:after="0" w:line="193"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Item 16G. Corporate Governance</w:t>
              </w:r>
            </w:hyperlink>
          </w:p>
        </w:tc>
        <w:tc>
          <w:tcPr>
            <w:tcW w:w="1640" w:type="dxa"/>
            <w:vAlign w:val="bottom"/>
            <w:tcBorders>
              <w:top w:val="single" w:sz="8" w:color="0000EE"/>
            </w:tcBorders>
            <w:gridSpan w:val="10"/>
          </w:tcPr>
          <w:p>
            <w:pPr>
              <w:spacing w:after="0"/>
              <w:rPr>
                <w:sz w:val="16"/>
                <w:szCs w:val="16"/>
                <w:color w:val="auto"/>
              </w:rPr>
            </w:pPr>
          </w:p>
        </w:tc>
        <w:tc>
          <w:tcPr>
            <w:tcW w:w="4840" w:type="dxa"/>
            <w:vAlign w:val="bottom"/>
            <w:gridSpan w:val="9"/>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73">
              <w:r>
                <w:rPr>
                  <w:rFonts w:ascii="Arial" w:cs="Arial" w:eastAsia="Arial" w:hAnsi="Arial"/>
                  <w:sz w:val="18"/>
                  <w:szCs w:val="18"/>
                  <w:color w:val="0000EE"/>
                </w:rPr>
                <w:t>Item 16H. Mine Safety Disclosure</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657"/>
        </w:trPr>
        <w:tc>
          <w:tcPr>
            <w:tcW w:w="6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3"/>
          </w:tcPr>
          <w:p>
            <w:pPr>
              <w:jc w:val="center"/>
              <w:ind w:right="2580"/>
              <w:spacing w:after="0"/>
              <w:rPr>
                <w:sz w:val="20"/>
                <w:szCs w:val="20"/>
                <w:color w:val="auto"/>
              </w:rPr>
            </w:pPr>
            <w:r>
              <w:rPr>
                <w:rFonts w:ascii="Arial" w:cs="Arial" w:eastAsia="Arial" w:hAnsi="Arial"/>
                <w:sz w:val="18"/>
                <w:szCs w:val="18"/>
                <w:b w:val="1"/>
                <w:bCs w:val="1"/>
                <w:color w:val="auto"/>
              </w:rPr>
              <w:t>PART III</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1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17. Financial Statements</w:t>
              </w:r>
            </w:hyperlink>
          </w:p>
        </w:tc>
        <w:tc>
          <w:tcPr>
            <w:tcW w:w="6720" w:type="dxa"/>
            <w:vAlign w:val="bottom"/>
            <w:gridSpan w:val="21"/>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3"/>
        </w:trPr>
        <w:tc>
          <w:tcPr>
            <w:tcW w:w="8860" w:type="dxa"/>
            <w:vAlign w:val="bottom"/>
            <w:gridSpan w:val="30"/>
          </w:tcPr>
          <w:p>
            <w:pPr>
              <w:spacing w:after="0" w:line="193" w:lineRule="exact"/>
              <w:rPr>
                <w:rFonts w:ascii="Arial" w:cs="Arial" w:eastAsia="Arial" w:hAnsi="Arial"/>
                <w:sz w:val="18"/>
                <w:szCs w:val="18"/>
                <w:color w:val="0000EE"/>
              </w:rPr>
            </w:pPr>
            <w:hyperlink w:anchor="page73">
              <w:r>
                <w:rPr>
                  <w:rFonts w:ascii="Arial" w:cs="Arial" w:eastAsia="Arial" w:hAnsi="Arial"/>
                  <w:sz w:val="18"/>
                  <w:szCs w:val="18"/>
                  <w:color w:val="0000EE"/>
                </w:rPr>
                <w:t>Item 18. Financial Statements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3"/>
        </w:trPr>
        <w:tc>
          <w:tcPr>
            <w:tcW w:w="2120" w:type="dxa"/>
            <w:vAlign w:val="bottom"/>
            <w:tcBorders>
              <w:top w:val="single" w:sz="8" w:color="0000EE"/>
            </w:tcBorders>
            <w:gridSpan w:val="8"/>
          </w:tcPr>
          <w:p>
            <w:pPr>
              <w:spacing w:after="0" w:line="193" w:lineRule="exact"/>
              <w:rPr>
                <w:rFonts w:ascii="Arial" w:cs="Arial" w:eastAsia="Arial" w:hAnsi="Arial"/>
                <w:sz w:val="18"/>
                <w:szCs w:val="18"/>
                <w:color w:val="0000EE"/>
              </w:rPr>
            </w:pPr>
            <w:hyperlink w:anchor="page74">
              <w:r>
                <w:rPr>
                  <w:rFonts w:ascii="Arial" w:cs="Arial" w:eastAsia="Arial" w:hAnsi="Arial"/>
                  <w:sz w:val="18"/>
                  <w:szCs w:val="18"/>
                  <w:color w:val="0000EE"/>
                </w:rPr>
                <w:t>Item 19. Exhibits</w:t>
              </w:r>
            </w:hyperlink>
          </w:p>
        </w:tc>
        <w:tc>
          <w:tcPr>
            <w:tcW w:w="6740" w:type="dxa"/>
            <w:vAlign w:val="bottom"/>
            <w:gridSpan w:val="22"/>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668"/>
        </w:trPr>
        <w:tc>
          <w:tcPr>
            <w:tcW w:w="620" w:type="dxa"/>
            <w:vAlign w:val="bottom"/>
            <w:tcBorders>
              <w:top w:val="single" w:sz="8" w:color="0000EE"/>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nineteen members of the European Union (including the Republic of Ireland, France, Germany, Spain, Italy, Finland, Belgium, Latvia, Lithuania and the Netherlands). ICON publishes its consolidated financial statements in U.S.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envoirnment and other factors identified in the Company’s United States Securities and Exchange Commission filings and in the “Risk Factors” included on pages 4 through 13. The Company has no obligation under the PSLRA to update any forward looking statements and does not intend to do so.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4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19"/>
        </w:trPr>
        <w:tc>
          <w:tcPr>
            <w:tcW w:w="4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425"/>
        </w:trPr>
        <w:tc>
          <w:tcPr>
            <w:tcW w:w="4400" w:type="dxa"/>
            <w:vAlign w:val="bottom"/>
          </w:tcPr>
          <w:p>
            <w:pPr>
              <w:spacing w:after="0"/>
              <w:rPr>
                <w:sz w:val="20"/>
                <w:szCs w:val="20"/>
                <w:color w:val="auto"/>
              </w:rPr>
            </w:pPr>
            <w:r>
              <w:rPr>
                <w:rFonts w:ascii="Arial" w:cs="Arial" w:eastAsia="Arial" w:hAnsi="Arial"/>
                <w:sz w:val="18"/>
                <w:szCs w:val="18"/>
                <w:b w:val="1"/>
                <w:bCs w:val="1"/>
                <w:color w:val="auto"/>
              </w:rPr>
              <w:t>Statement of Operations Data:</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2,030,286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1,784,345</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1,503,993</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1,296,509</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1,263,147</w:t>
            </w: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 (1)</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(526,970)</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(448,287)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(363,103)</w:t>
            </w:r>
          </w:p>
        </w:tc>
      </w:tr>
      <w:tr>
        <w:trPr>
          <w:trHeight w:val="21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1,503,316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1,336,058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1,115,006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945,729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900,044</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903,167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845,413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717,750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611,923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541,388</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336,461</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313,931</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280,780</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255,864</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232,688</w:t>
            </w:r>
          </w:p>
        </w:tc>
      </w:tr>
      <w:tr>
        <w:trPr>
          <w:trHeight w:val="21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52,542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46,514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42,823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38,682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33,873</w:t>
            </w: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and other items (2), (3),(4),(5)</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8,796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9,033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5,636</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9,817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1,300,966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1,214,891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1,046,989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916,286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807,949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202,350</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121,167</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68,017</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29,443</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92,095</w:t>
            </w:r>
          </w:p>
        </w:tc>
      </w:tr>
      <w:tr>
        <w:trPr>
          <w:trHeight w:val="219"/>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income/(expense)</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52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202,716</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120,865</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67,221</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28,995</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92,724</w:t>
            </w:r>
          </w:p>
        </w:tc>
      </w:tr>
      <w:tr>
        <w:trPr>
          <w:trHeight w:val="219"/>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(30,248)</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(18,053)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172,468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102,812</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55,420</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22,880</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87,071</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Net income per ordinary share (6):</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3"/>
        </w:trPr>
        <w:tc>
          <w:tcPr>
            <w:tcW w:w="4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0.38</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06"/>
        </w:trPr>
        <w:tc>
          <w:tcPr>
            <w:tcW w:w="440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2.73</w:t>
            </w:r>
          </w:p>
        </w:tc>
        <w:tc>
          <w:tcPr>
            <w:tcW w:w="2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line="206" w:lineRule="exact"/>
              <w:rPr>
                <w:sz w:val="20"/>
                <w:szCs w:val="20"/>
                <w:color w:val="auto"/>
              </w:rPr>
            </w:pPr>
            <w:r>
              <w:rPr>
                <w:rFonts w:ascii="Arial" w:cs="Arial" w:eastAsia="Arial" w:hAnsi="Arial"/>
                <w:sz w:val="18"/>
                <w:szCs w:val="18"/>
                <w:color w:val="auto"/>
              </w:rPr>
              <w:t>1.65</w:t>
            </w:r>
          </w:p>
        </w:tc>
        <w:tc>
          <w:tcPr>
            <w:tcW w:w="30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0.92</w:t>
            </w:r>
          </w:p>
        </w:tc>
        <w:tc>
          <w:tcPr>
            <w:tcW w:w="32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0.37</w:t>
            </w:r>
          </w:p>
        </w:tc>
        <w:tc>
          <w:tcPr>
            <w:tcW w:w="30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line="206" w:lineRule="exact"/>
              <w:rPr>
                <w:sz w:val="20"/>
                <w:szCs w:val="20"/>
                <w:color w:val="auto"/>
              </w:rPr>
            </w:pPr>
            <w:r>
              <w:rPr>
                <w:rFonts w:ascii="Arial" w:cs="Arial" w:eastAsia="Arial" w:hAnsi="Arial"/>
                <w:sz w:val="18"/>
                <w:szCs w:val="18"/>
                <w:color w:val="auto"/>
              </w:rPr>
              <w:t>1.44</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6"/>
        </w:trPr>
        <w:tc>
          <w:tcPr>
            <w:tcW w:w="4400" w:type="dxa"/>
            <w:vAlign w:val="bottom"/>
          </w:tcPr>
          <w:p>
            <w:pPr>
              <w:spacing w:after="0" w:line="206" w:lineRule="exact"/>
              <w:rPr>
                <w:sz w:val="20"/>
                <w:szCs w:val="20"/>
                <w:color w:val="auto"/>
              </w:rPr>
            </w:pPr>
            <w:r>
              <w:rPr>
                <w:rFonts w:ascii="Arial" w:cs="Arial" w:eastAsia="Arial" w:hAnsi="Arial"/>
                <w:sz w:val="18"/>
                <w:szCs w:val="18"/>
                <w:color w:val="auto"/>
                <w:w w:val="94"/>
              </w:rPr>
              <w:t>Weighted average number of ordinary shares outstanding:</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3"/>
        </w:trPr>
        <w:tc>
          <w:tcPr>
            <w:tcW w:w="4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61,496,115</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60,907,274</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59,968,174</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60,379,338</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59,718,934</w:t>
            </w:r>
          </w:p>
        </w:tc>
      </w:tr>
      <w:tr>
        <w:trPr>
          <w:trHeight w:val="206"/>
        </w:trPr>
        <w:tc>
          <w:tcPr>
            <w:tcW w:w="4400" w:type="dxa"/>
            <w:vAlign w:val="bottom"/>
            <w:tcBorders>
              <w:bottom w:val="single" w:sz="8" w:color="auto"/>
            </w:tcBorders>
          </w:tcPr>
          <w:p>
            <w:pPr>
              <w:ind w:left="160"/>
              <w:spacing w:after="0" w:line="20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63,131,417</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
              <w:spacing w:after="0" w:line="206" w:lineRule="exact"/>
              <w:rPr>
                <w:sz w:val="20"/>
                <w:szCs w:val="20"/>
                <w:color w:val="auto"/>
              </w:rPr>
            </w:pPr>
            <w:r>
              <w:rPr>
                <w:rFonts w:ascii="Arial" w:cs="Arial" w:eastAsia="Arial" w:hAnsi="Arial"/>
                <w:sz w:val="18"/>
                <w:szCs w:val="18"/>
                <w:color w:val="auto"/>
              </w:rPr>
              <w:t>62,253,251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60,450,706</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w w:val="97"/>
              </w:rPr>
              <w:t>61,070,686</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line="206" w:lineRule="exact"/>
              <w:rPr>
                <w:sz w:val="20"/>
                <w:szCs w:val="20"/>
                <w:color w:val="auto"/>
              </w:rPr>
            </w:pPr>
            <w:r>
              <w:rPr>
                <w:rFonts w:ascii="Arial" w:cs="Arial" w:eastAsia="Arial" w:hAnsi="Arial"/>
                <w:sz w:val="18"/>
                <w:szCs w:val="18"/>
                <w:color w:val="auto"/>
                <w:w w:val="99"/>
              </w:rPr>
              <w:t>60,637,103</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0"/>
        </w:trPr>
        <w:tc>
          <w:tcPr>
            <w:tcW w:w="4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7"/>
        </w:trPr>
        <w:tc>
          <w:tcPr>
            <w:tcW w:w="44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118,900</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182,519</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114,047</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119,237</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97,100</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138,317</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76,183</w:t>
            </w:r>
          </w:p>
        </w:tc>
        <w:tc>
          <w:tcPr>
            <w:tcW w:w="3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54,940</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281,148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352,259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250,326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253,514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330,333</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1,528,850</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1,442,460</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1,202,108</w:t>
            </w:r>
          </w:p>
        </w:tc>
        <w:tc>
          <w:tcPr>
            <w:tcW w:w="3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1,027,517</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 term government grants</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13,179</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11,198</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14,312</w:t>
            </w:r>
          </w:p>
        </w:tc>
        <w:tc>
          <w:tcPr>
            <w:tcW w:w="3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20,038</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capital</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5,037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5,168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327,234</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279,572</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237,217</w:t>
            </w:r>
          </w:p>
        </w:tc>
        <w:tc>
          <w:tcPr>
            <w:tcW w:w="3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211,549</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196,960</w:t>
            </w:r>
          </w:p>
        </w:tc>
        <w:tc>
          <w:tcPr>
            <w:tcW w:w="0" w:type="dxa"/>
            <w:vAlign w:val="bottom"/>
          </w:tcPr>
          <w:p>
            <w:pPr>
              <w:spacing w:after="0"/>
              <w:rPr>
                <w:sz w:val="1"/>
                <w:szCs w:val="1"/>
                <w:color w:val="auto"/>
              </w:rPr>
            </w:pPr>
          </w:p>
        </w:tc>
      </w:tr>
      <w:tr>
        <w:trPr>
          <w:trHeight w:val="253"/>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5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950,206</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910,579</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754,575</w:t>
            </w: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681,544</w:t>
            </w: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338"/>
        <w:spacing w:after="0" w:line="266"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Reimbursable expenses are comprised of payments to investigators and certain other costs reimbursed by clients under terms specific to each of the Company’s contracts. </w:t>
      </w:r>
      <w:r>
        <w:rPr>
          <w:rFonts w:ascii="Arial" w:cs="Arial" w:eastAsia="Arial" w:hAnsi="Arial"/>
          <w:sz w:val="18"/>
          <w:szCs w:val="18"/>
          <w:i w:val="1"/>
          <w:iCs w:val="1"/>
          <w:color w:val="auto"/>
        </w:rPr>
        <w:t>See Note 2 (d) to the Audited Consolidated Financial Statements.</w:t>
      </w:r>
    </w:p>
    <w:p>
      <w:pPr>
        <w:spacing w:after="0" w:line="205" w:lineRule="exact"/>
        <w:rPr>
          <w:rFonts w:ascii="Arial" w:cs="Arial" w:eastAsia="Arial" w:hAnsi="Arial"/>
          <w:sz w:val="18"/>
          <w:szCs w:val="18"/>
          <w:color w:val="auto"/>
        </w:rPr>
      </w:pPr>
    </w:p>
    <w:p>
      <w:pPr>
        <w:jc w:val="both"/>
        <w:ind w:left="480" w:hanging="338"/>
        <w:spacing w:after="0" w:line="253"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See </w:t>
      </w:r>
      <w:r>
        <w:rPr>
          <w:rFonts w:ascii="Arial" w:cs="Arial" w:eastAsia="Arial" w:hAnsi="Arial"/>
          <w:sz w:val="18"/>
          <w:szCs w:val="18"/>
          <w:i w:val="1"/>
          <w:iCs w:val="1"/>
          <w:color w:val="auto"/>
        </w:rPr>
        <w:t>Note 14 to the Audited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p>
    <w:p>
      <w:pPr>
        <w:spacing w:after="0" w:line="216" w:lineRule="exact"/>
        <w:rPr>
          <w:rFonts w:ascii="Arial" w:cs="Arial" w:eastAsia="Arial" w:hAnsi="Arial"/>
          <w:sz w:val="18"/>
          <w:szCs w:val="18"/>
          <w:color w:val="auto"/>
        </w:rPr>
      </w:pPr>
    </w:p>
    <w:p>
      <w:pPr>
        <w:jc w:val="both"/>
        <w:ind w:left="480" w:hanging="338"/>
        <w:spacing w:after="0" w:line="268"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During the year ended December 31, 2013 the Company conducted a review of its operations. A restructuring charge of $9.0 million was recognized as part of this review. The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into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w:t>
      </w:r>
      <w:r>
        <w:rPr>
          <w:rFonts w:ascii="Arial" w:cs="Arial" w:eastAsia="Arial" w:hAnsi="Arial"/>
          <w:sz w:val="17"/>
          <w:szCs w:val="17"/>
          <w:i w:val="1"/>
          <w:iCs w:val="1"/>
          <w:color w:val="auto"/>
        </w:rPr>
        <w:t>See Note 14 to the Audited Consolidated Financial Statements.</w:t>
      </w:r>
    </w:p>
    <w:p>
      <w:pPr>
        <w:spacing w:after="0" w:line="205" w:lineRule="exact"/>
        <w:rPr>
          <w:rFonts w:ascii="Arial" w:cs="Arial" w:eastAsia="Arial" w:hAnsi="Arial"/>
          <w:sz w:val="17"/>
          <w:szCs w:val="17"/>
          <w:color w:val="auto"/>
        </w:rPr>
      </w:pPr>
    </w:p>
    <w:p>
      <w:pPr>
        <w:jc w:val="both"/>
        <w:ind w:left="480" w:hanging="338"/>
        <w:spacing w:after="0" w:line="286" w:lineRule="auto"/>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Restructuring and other items of $5.6 million were recorded during the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 The Company also incurred certain other charges of $1.1 million in relation to the retirement of Mr. Peter Gray, former Vice Chairman of the Board and former CEO of the Company in 2012. </w:t>
      </w:r>
      <w:r>
        <w:rPr>
          <w:rFonts w:ascii="Arial" w:cs="Arial" w:eastAsia="Arial" w:hAnsi="Arial"/>
          <w:sz w:val="16"/>
          <w:szCs w:val="16"/>
          <w:i w:val="1"/>
          <w:iCs w:val="1"/>
          <w:color w:val="auto"/>
        </w:rPr>
        <w:t>See Note 14 to the Audited Consolidated Financial Statements.</w:t>
      </w:r>
    </w:p>
    <w:p>
      <w:pPr>
        <w:spacing w:after="0" w:line="192" w:lineRule="exact"/>
        <w:rPr>
          <w:rFonts w:ascii="Arial" w:cs="Arial" w:eastAsia="Arial" w:hAnsi="Arial"/>
          <w:sz w:val="16"/>
          <w:szCs w:val="16"/>
          <w:color w:val="auto"/>
        </w:rPr>
      </w:pPr>
    </w:p>
    <w:p>
      <w:pPr>
        <w:jc w:val="both"/>
        <w:ind w:left="480" w:hanging="338"/>
        <w:spacing w:after="0" w:line="269"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Restructuring charges of $9.8 million were recorded during the year ended December 31, 2011. During 2011 the Company conducted a review of its operations to improve resource utilization within the business and better align resources to current and future growth opportunities. This review resulted in the adoption of an initial restructuring plan, which included the closure of the Company’s facility in Edinburgh, United Kingdom and resource rationalizations in certain of the more mature markets in which it operates. A further restructuring plan was also adopted during 2011 which resulted in the relocation of the Company’s facility in Maryland, USA and further resource rationalizations.</w:t>
      </w:r>
    </w:p>
    <w:p>
      <w:pPr>
        <w:spacing w:after="0" w:line="206" w:lineRule="exact"/>
        <w:rPr>
          <w:rFonts w:ascii="Arial" w:cs="Arial" w:eastAsia="Arial" w:hAnsi="Arial"/>
          <w:sz w:val="17"/>
          <w:szCs w:val="17"/>
          <w:color w:val="auto"/>
        </w:rPr>
      </w:pPr>
    </w:p>
    <w:p>
      <w:pPr>
        <w:ind w:left="480" w:hanging="338"/>
        <w:spacing w:after="0" w:line="266"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 Factors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Various risk factors that are relevant to our business and the services we provide are outlined below. If any of these events were to occur, our business operations and financial results could be materially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increased use of strategic partnership arrangements in recent years has resulted in a greater proportion of our net revenues being derived from a relatively limited number of customers. During the year ended December 31, 2014 53% of our net revenues were derived from our top five customers, with one customer contributing more than 10% of our net revenues during the period (31%). No other customer contributed more than 10% of our net revenues during this period. During the year ended December 31, 2013 53% of our net revenues were derived from our top five customers, with two customers individually contributing more than 10% of our net revenues during the period (26% and 10% respectively). No other customer contributed more than 10% of our net revenues during this period. During the year ended December 31, 2012 48% of our net revenues were derived from our top five customers, with two customers individually contributing more than 10% of our net revenues during the period (18% and 12% respectively). No other customer contributed more than 10% of net revenues during this period. The loss of, or a significant decrease in business from one or more of these key customers could have a material adverse impact on our results of operations and financial results.</w:t>
      </w:r>
    </w:p>
    <w:p>
      <w:pPr>
        <w:spacing w:after="0" w:line="21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7"/>
          <w:szCs w:val="17"/>
          <w:color w:val="auto"/>
        </w:rPr>
        <w: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recognize and negotiate change orders for changes in the resources required or the scope of the work to be performed and the costs of performance of these contracts exceeded their fixed fees it could materialy adversely affect our operations and financial results.</w:t>
      </w:r>
    </w:p>
    <w:p>
      <w:pPr>
        <w:spacing w:after="0" w:line="2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215" w:lineRule="exact"/>
        <w:rPr>
          <w:sz w:val="20"/>
          <w:szCs w:val="20"/>
          <w:color w:val="auto"/>
        </w:rPr>
      </w:pPr>
    </w:p>
    <w:p>
      <w:pPr>
        <w:ind w:left="480" w:hanging="28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44" w:lineRule="exact"/>
        <w:rPr>
          <w:rFonts w:ascii="Arial" w:cs="Arial" w:eastAsia="Arial" w:hAnsi="Arial"/>
          <w:sz w:val="18"/>
          <w:szCs w:val="18"/>
          <w:color w:val="auto"/>
        </w:rPr>
      </w:pPr>
    </w:p>
    <w:p>
      <w:pPr>
        <w:ind w:left="480" w:hanging="28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44" w:lineRule="exact"/>
        <w:rPr>
          <w:rFonts w:ascii="Arial" w:cs="Arial" w:eastAsia="Arial" w:hAnsi="Arial"/>
          <w:sz w:val="18"/>
          <w:szCs w:val="18"/>
          <w:color w:val="auto"/>
        </w:rPr>
      </w:pPr>
    </w:p>
    <w:p>
      <w:pPr>
        <w:ind w:left="480" w:hanging="28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44" w:lineRule="exact"/>
        <w:rPr>
          <w:rFonts w:ascii="Arial" w:cs="Arial" w:eastAsia="Arial" w:hAnsi="Arial"/>
          <w:sz w:val="18"/>
          <w:szCs w:val="18"/>
          <w:color w:val="auto"/>
        </w:rPr>
      </w:pPr>
    </w:p>
    <w:p>
      <w:pPr>
        <w:ind w:left="480" w:hanging="28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and</w:t>
      </w:r>
    </w:p>
    <w:p>
      <w:pPr>
        <w:spacing w:after="0" w:line="244" w:lineRule="exact"/>
        <w:rPr>
          <w:rFonts w:ascii="Arial" w:cs="Arial" w:eastAsia="Arial" w:hAnsi="Arial"/>
          <w:sz w:val="18"/>
          <w:szCs w:val="18"/>
          <w:color w:val="auto"/>
        </w:rPr>
      </w:pPr>
    </w:p>
    <w:p>
      <w:pPr>
        <w:ind w:left="480" w:hanging="28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the ability to recruit suitable willing patients.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enrollment may result in the termination or delay of a study which could have a material adverse impact on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our ability to recruit suitable willing investigators.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products and services.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certain third parties to provide us with products and services critical to our business. Such services include, amongst others, suppliers of drugs for patients participating in trials, suppliers of kits for use in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use web-enabled and other integrated information systems in delivering our services. We intend to further increase the use of these systems and such systems will be either developed internally or provided by or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07" w:lineRule="exact"/>
        <w:rPr>
          <w:sz w:val="20"/>
          <w:szCs w:val="20"/>
          <w:color w:val="auto"/>
        </w:rPr>
      </w:pPr>
    </w:p>
    <w:p>
      <w:pPr>
        <w:ind w:left="480" w:hanging="28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impairment or failure of data centers, telecommunications facilities or other key infrastructure platforms;</w:t>
      </w:r>
    </w:p>
    <w:p>
      <w:pPr>
        <w:spacing w:after="0" w:line="244" w:lineRule="exact"/>
        <w:rPr>
          <w:rFonts w:ascii="Arial" w:cs="Arial" w:eastAsia="Arial" w:hAnsi="Arial"/>
          <w:sz w:val="18"/>
          <w:szCs w:val="18"/>
          <w:color w:val="auto"/>
        </w:rPr>
      </w:pPr>
    </w:p>
    <w:p>
      <w:pPr>
        <w:ind w:left="480" w:hanging="288"/>
        <w:spacing w:after="0" w:line="266"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cyber-attacks or other failures or malfunctions in our application or information systems or their associated hardware or other systems that we have access to or that we rely upon; and</w:t>
      </w:r>
    </w:p>
    <w:p>
      <w:pPr>
        <w:spacing w:after="0" w:line="205" w:lineRule="exact"/>
        <w:rPr>
          <w:rFonts w:ascii="Arial" w:cs="Arial" w:eastAsia="Arial" w:hAnsi="Arial"/>
          <w:sz w:val="18"/>
          <w:szCs w:val="18"/>
          <w:color w:val="auto"/>
        </w:rPr>
      </w:pPr>
    </w:p>
    <w:p>
      <w:pPr>
        <w:ind w:left="480" w:hanging="28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excessive costs, excessive delays or other deficiencies in or problems with systems development and deployment.</w:t>
      </w: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 attack and similar events at or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a contract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 natural disasters, the outbreak of war, the escalation of hostilities and acts of terrorism, particularly involving cities in which we have offices, could adversely affect our business.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7"/>
          <w:szCs w:val="17"/>
          <w:color w:val="auto"/>
        </w:rPr>
        <w:t>Unauthorized disclosure of sensitive or confidential data, whether through system failure or employee negligence, fraud or misappropriation, could damage our reputation and cause us to lose clients. Similarly, unauthorized access to or through our information systems or those we develop for our clients,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the cover provided or amount to adequately cover us against claims related to security breaches, cyber-attacks and other related breaches.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Upgrading the information systems that support our operating processes and evolving the technology platform for our services pose risks to our business.</w:t>
      </w: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enjoin us from using preferred technology or seek license payments from us.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and Firecrest services. Also, increased IT-related expenditures may negatively impact our financial condition, including profitability.</w:t>
      </w:r>
    </w:p>
    <w:p>
      <w:pPr>
        <w:spacing w:after="0" w:line="188"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 other things any of which could have a material effect on our financial conditions and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While we have developed contingency plans to minimize the impact of such events, a disruption to the availability of air transportation or other travel systems could have a material adverse impact on our ability to provide services and results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We may make, or be unable to make, acquisitions in the future, which may lead to disruptions to our ongoing business.</w:t>
      </w:r>
    </w:p>
    <w:p>
      <w:pPr>
        <w:spacing w:after="0" w:line="2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215" w:lineRule="exact"/>
        <w:rPr>
          <w:sz w:val="20"/>
          <w:szCs w:val="20"/>
          <w:color w:val="auto"/>
        </w:rPr>
      </w:pPr>
    </w:p>
    <w:p>
      <w:pPr>
        <w:ind w:left="1120" w:hanging="60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and quickly assimilate the operations and services or products of the acquired company or business;</w:t>
      </w:r>
    </w:p>
    <w:p>
      <w:pPr>
        <w:spacing w:after="0" w:line="244" w:lineRule="exact"/>
        <w:rPr>
          <w:rFonts w:ascii="Arial" w:cs="Arial" w:eastAsia="Arial" w:hAnsi="Arial"/>
          <w:sz w:val="18"/>
          <w:szCs w:val="18"/>
          <w:color w:val="auto"/>
        </w:rPr>
      </w:pPr>
    </w:p>
    <w:p>
      <w:pPr>
        <w:ind w:left="1120" w:hanging="60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44" w:lineRule="exact"/>
        <w:rPr>
          <w:rFonts w:ascii="Arial" w:cs="Arial" w:eastAsia="Arial" w:hAnsi="Arial"/>
          <w:sz w:val="18"/>
          <w:szCs w:val="18"/>
          <w:color w:val="auto"/>
        </w:rPr>
      </w:pPr>
    </w:p>
    <w:p>
      <w:pPr>
        <w:ind w:left="1120" w:hanging="60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44" w:lineRule="exact"/>
        <w:rPr>
          <w:rFonts w:ascii="Arial" w:cs="Arial" w:eastAsia="Arial" w:hAnsi="Arial"/>
          <w:sz w:val="18"/>
          <w:szCs w:val="18"/>
          <w:color w:val="auto"/>
        </w:rPr>
      </w:pPr>
    </w:p>
    <w:p>
      <w:pPr>
        <w:ind w:left="1120" w:hanging="60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44" w:lineRule="exact"/>
        <w:rPr>
          <w:rFonts w:ascii="Arial" w:cs="Arial" w:eastAsia="Arial" w:hAnsi="Arial"/>
          <w:sz w:val="18"/>
          <w:szCs w:val="18"/>
          <w:color w:val="auto"/>
        </w:rPr>
      </w:pPr>
    </w:p>
    <w:p>
      <w:pPr>
        <w:ind w:left="1120" w:hanging="60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45"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Serious adverse events can occur in Phase I trials.</w:t>
      </w:r>
    </w:p>
    <w:p>
      <w:pPr>
        <w:spacing w:after="0" w:line="24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conduct Early Phase and Proof of Principle clinical trials including first-in human and healthy volunteer studies. Although we have policies and procedures in place, due to the experimental nature of these studies, serious adverse events may arise.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firms.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2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both"/>
        <w:spacing w:after="0" w:line="294" w:lineRule="auto"/>
        <w:rPr>
          <w:sz w:val="20"/>
          <w:szCs w:val="20"/>
          <w:color w:val="auto"/>
        </w:rPr>
      </w:pPr>
      <w:r>
        <w:rPr>
          <w:rFonts w:ascii="Arial" w:cs="Arial" w:eastAsia="Arial" w:hAnsi="Arial"/>
          <w:sz w:val="16"/>
          <w:szCs w:val="16"/>
          <w:color w:val="auto"/>
        </w:rPr>
        <w:t>We may, in certain circumstances, grant a customer greater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biopharmaceutical industry has a history of intellectual property litigation, and these lawsuits will likely continue in the future. Accordingly,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act as legal representative for some clients.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act as the legal representative for certain clients in certain jurisdictions. As we believe that acting as legal representative of clients exposes us to a higher risk of liability, there is a designated entity within the ICON Group which is generally used to provide this service in relevant jurisdictions subject to certain preconditions being met. The preconditions relate to obtaining specific insurance commitments and indemnities from the client to cover the nature of the exposure. However, there is no guarantee that the specific insurance will respond and provide cover or that a client will fulfil its obligations in relation to their indemnity.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and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20" w:lineRule="exact"/>
        <w:rPr>
          <w:sz w:val="20"/>
          <w:szCs w:val="20"/>
          <w:color w:val="auto"/>
        </w:rPr>
      </w:pPr>
    </w:p>
    <w:p>
      <w:pPr>
        <w:ind w:left="640" w:hanging="368"/>
        <w:spacing w:after="0" w:line="266"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pharmaceutical, biotechnology or medical device companies expanded upon their in-house clinical or development capabilities, they would be less likely to utilize our services;</w:t>
      </w:r>
    </w:p>
    <w:p>
      <w:pPr>
        <w:spacing w:after="0" w:line="205" w:lineRule="exact"/>
        <w:rPr>
          <w:rFonts w:ascii="Arial" w:cs="Arial" w:eastAsia="Arial" w:hAnsi="Arial"/>
          <w:sz w:val="18"/>
          <w:szCs w:val="18"/>
          <w:color w:val="auto"/>
        </w:rPr>
      </w:pPr>
    </w:p>
    <w:p>
      <w:pPr>
        <w:ind w:left="640" w:hanging="368"/>
        <w:spacing w:after="0" w:line="26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205" w:lineRule="exact"/>
        <w:rPr>
          <w:rFonts w:ascii="Arial" w:cs="Arial" w:eastAsia="Arial" w:hAnsi="Arial"/>
          <w:sz w:val="18"/>
          <w:szCs w:val="18"/>
          <w:color w:val="auto"/>
        </w:rPr>
      </w:pPr>
    </w:p>
    <w:p>
      <w:pPr>
        <w:ind w:left="640" w:hanging="36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unfavorable economic conditions or disruptions in the credit and capital markets negatively impacted our clients.</w:t>
      </w:r>
    </w:p>
    <w:p>
      <w:pPr>
        <w:spacing w:after="0" w:line="24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6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dynamic market.</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of operations. Similarly, we compete with other CROs for work which comes outside of these strategic relationships and being unable to win work outside of these strategic relationships would have a material adverse impact on our results of operations.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type and depth of services provided by CROs have changed in recent years. Failure to develop and market new services or expand existing service offerings could adversely affect our business and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4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adversely affect our results of operations.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of operations.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 of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various risks in relation to our cash and cash equivalents and short term investments.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principle sovereign risk relates to investments in U.S. Treasury funds), and other factors.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right="460"/>
        <w:spacing w:after="0" w:line="266"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We must comply with the applicable regulatory requirements governing the conduct of clinical trials in all countries in which we operate. If we fail to comply with any of these requirements we could suffer some or all of:</w:t>
      </w:r>
    </w:p>
    <w:p>
      <w:pPr>
        <w:spacing w:after="0" w:line="180" w:lineRule="exact"/>
        <w:rPr>
          <w:sz w:val="20"/>
          <w:szCs w:val="20"/>
          <w:color w:val="auto"/>
        </w:rPr>
      </w:pPr>
    </w:p>
    <w:p>
      <w:pPr>
        <w:ind w:left="1120" w:hanging="60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of or delay in any research;</w:t>
      </w:r>
    </w:p>
    <w:p>
      <w:pPr>
        <w:spacing w:after="0" w:line="218" w:lineRule="exact"/>
        <w:rPr>
          <w:rFonts w:ascii="Arial" w:cs="Arial" w:eastAsia="Arial" w:hAnsi="Arial"/>
          <w:sz w:val="18"/>
          <w:szCs w:val="18"/>
          <w:color w:val="auto"/>
        </w:rPr>
      </w:pPr>
    </w:p>
    <w:p>
      <w:pPr>
        <w:ind w:left="1120" w:hanging="60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18" w:lineRule="exact"/>
        <w:rPr>
          <w:rFonts w:ascii="Arial" w:cs="Arial" w:eastAsia="Arial" w:hAnsi="Arial"/>
          <w:sz w:val="18"/>
          <w:szCs w:val="18"/>
          <w:color w:val="auto"/>
        </w:rPr>
      </w:pPr>
    </w:p>
    <w:p>
      <w:pPr>
        <w:ind w:left="1120" w:hanging="60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44" w:lineRule="exact"/>
        <w:rPr>
          <w:rFonts w:ascii="Arial" w:cs="Arial" w:eastAsia="Arial" w:hAnsi="Arial"/>
          <w:sz w:val="18"/>
          <w:szCs w:val="18"/>
          <w:color w:val="auto"/>
        </w:rPr>
      </w:pPr>
    </w:p>
    <w:p>
      <w:pPr>
        <w:ind w:left="1120" w:hanging="60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18" w:lineRule="exact"/>
        <w:rPr>
          <w:rFonts w:ascii="Arial" w:cs="Arial" w:eastAsia="Arial" w:hAnsi="Arial"/>
          <w:sz w:val="18"/>
          <w:szCs w:val="18"/>
          <w:color w:val="auto"/>
        </w:rPr>
      </w:pPr>
    </w:p>
    <w:p>
      <w:pPr>
        <w:ind w:left="1120" w:hanging="60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18" w:lineRule="exact"/>
        <w:rPr>
          <w:rFonts w:ascii="Arial" w:cs="Arial" w:eastAsia="Arial" w:hAnsi="Arial"/>
          <w:sz w:val="18"/>
          <w:szCs w:val="18"/>
          <w:color w:val="auto"/>
        </w:rPr>
      </w:pPr>
    </w:p>
    <w:p>
      <w:pPr>
        <w:ind w:left="1120" w:hanging="60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244" w:lineRule="exact"/>
        <w:rPr>
          <w:rFonts w:ascii="Arial" w:cs="Arial" w:eastAsia="Arial" w:hAnsi="Arial"/>
          <w:sz w:val="18"/>
          <w:szCs w:val="18"/>
          <w:color w:val="auto"/>
        </w:rPr>
      </w:pPr>
    </w:p>
    <w:p>
      <w:pPr>
        <w:ind w:left="1120" w:hanging="60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from clients and resulting material penalties, damages and costs.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operational and legal risks associated with our international operations.</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2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Finally, we operate in some countries where national laws may require not only proper books and records, but also sufficient controls, policies and processes to ensure business is conducted without the influence of bribery and corruption. Given the high level of complexity of some of these laws, the large number of employees and contractors and the large amount of pass through costs we have in many jurisdictions, there is a risk that some provisions may inadvertently be breached by the Company, for example through negligent or corrupt behavior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line="266"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w:t>
      </w:r>
    </w:p>
    <w:p>
      <w:pPr>
        <w:spacing w:after="0" w:line="24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Current and proposed laws and regulations relating to the confidentiality of personal data of patients and others could limit the scope of our services, expose us to increased risk and liability and increase the cost of doing business, any of which could have a material adverse impact on our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claims brought against us could result in payment of substantial damages, costs and liabilities and decrease our profitability.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Claims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breach the terms of an agreement with a client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one or more employees or contractors fail to comply with all applicable regulations and Good Clinical Practice and thereby expose us to the risk of claims by clients.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Clients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arising from the study drug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 or action or enforcement by regulatory authorities.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ICON public limited company (“ICON plc”)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 The Company’s mission is to accelerate the development of drugs that save lives and improve the quality of life. Our vision is to be the Global CRO partner of choice in drug development by delivering best in class information, solutions and performance in clinical and outcomes research.</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2014, we employed approximately 10,600 employees in 81 locations in 38 countries. During the year ended December 31, 2014, we derived approximately 40.3%, 48.8% and 10.9% of our net revenue in the United States, Europe and Rest of World, respectively.</w:t>
      </w:r>
    </w:p>
    <w:p>
      <w:pPr>
        <w:spacing w:after="0" w:line="20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began operations in 1990 and have expanded our business predominately through internal growth, together with a number of strategic acquisitions, to enhance our capabilities and expertise in certain areas of the clinical development process.</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On </w:t>
      </w:r>
      <w:r>
        <w:rPr>
          <w:rFonts w:ascii="Arial" w:cs="Arial" w:eastAsia="Arial" w:hAnsi="Arial"/>
          <w:sz w:val="17"/>
          <w:szCs w:val="17"/>
          <w:color w:val="auto"/>
        </w:rPr>
        <w:t>February 27,</w:t>
      </w:r>
      <w:r>
        <w:rPr>
          <w:rFonts w:ascii="Arial" w:cs="Arial" w:eastAsia="Arial" w:hAnsi="Arial"/>
          <w:sz w:val="21"/>
          <w:szCs w:val="21"/>
          <w:color w:val="auto"/>
        </w:rPr>
        <w:t xml:space="preserve"> 2015 the Company acquired MediMedia Pharma Solutions for a total cash consideration of $120.0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May 7, 2014 the Company acquired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 During the year ended December 31, 2014, 2,640,610 ordinary shares were redeemed by the Company under these programs for a total consideration of $140.0 million.</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incorporated in Ireland and our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analyses, post marketing surveillance, regulatory affairs services and central laboratory services. CROs are required to provide these services in accordance with good clinical and laboratory practices, as governed by the applicable regulatory authorities.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and a limited number of medium and large CROs with global operations. Although there are few barriers to entry for small, limited-service providers, we believe there are significant barriers to becoming a CRO with global capabilities and expertise. Some of these barriers include the infrastructure and experience necessary to serve the global demands of clients (sponsors),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manage the development programmes of pharmaceutical, biotechnology and medical device companies. We believe that some large pharmaceutical companies, rather than utilizing many CRO service providers, are selecting a limited number of CROs with which they deal, with many also seeking to form strategic partnerships with global CROs in an effort to drive incremental development efficiencies and leverage the scientific and medical expertise that resides within the CRO. We believe that this trend will further concentrate the market share among the larger CROs with a track record of quality, speed, flexibility, responsiveness, global capabilities and overall development experience and expertise.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5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Before a new drug or biologic may be marketed, it must undergo extensive testing and regulatory review in order to determine that it is safe and effective. The following discussion primarily relates to the U.S. Food and Drug Administration (FDA) approval process for such products. Similar procedures must be followed for product development with other global regulatory agencies. The stages of this development process are as follows: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Preclinical Research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become effective by the FDA before starting the proposed clinical studies.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pharmacology testing in 20 to 80 human subjects, usually healthy volunteers, and includes studies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how the drug works, if it is safe, how it is affected by other drugs, where it goes in the body, how long it remains active and how it is broken down and eliminated from the body.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color w:val="auto"/>
        </w:rPr>
        <w:t>). Includes basic efficacy (effectiveness)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best effective dose, confirm that the drug works as expected, and provide additional safety data. If the Phase II results are satisfactory and no clinical hold is enforced by the FDA, the Sponsor may proceed to Phase III studies.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 can</w:t>
      </w:r>
      <w:r>
        <w:rPr>
          <w:rFonts w:ascii="Arial" w:cs="Arial" w:eastAsia="Arial" w:hAnsi="Arial"/>
          <w:sz w:val="18"/>
          <w:szCs w:val="18"/>
          <w:b w:val="1"/>
          <w:bCs w:val="1"/>
          <w:color w:val="auto"/>
        </w:rPr>
        <w:t xml:space="preserve"> </w:t>
      </w:r>
      <w:r>
        <w:rPr>
          <w:rFonts w:ascii="Arial" w:cs="Arial" w:eastAsia="Arial" w:hAnsi="Arial"/>
          <w:sz w:val="18"/>
          <w:szCs w:val="18"/>
          <w:color w:val="auto"/>
        </w:rPr>
        <w:t>be placebo-controlled trials, in which the new drug is compared with a “sugar pill”, or studies comparing the new drug with one or more drugs with established safety and efficacy profiles in the same therapeutic category.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 serious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for which existing therapeutic options are limited or of minimal value, the FDA may allow the Sponsor to make the new drug or biologic available to a larger number of patients through the regulated provision of a Treatment Investigational New Drug, or TIND. Although less scientifically rigorous than a controlled clinical trial, a TIND may enroll and collect a substantial amount of data from tens of thousands of patients.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NDA or BLA Preparation and Submission. </w:t>
      </w:r>
      <w:r>
        <w:rPr>
          <w:rFonts w:ascii="Arial" w:cs="Arial" w:eastAsia="Arial" w:hAnsi="Arial"/>
          <w:sz w:val="17"/>
          <w:szCs w:val="17"/>
          <w:color w:val="auto"/>
        </w:rPr>
        <w:t>Upon completion of Phase III trials, the Sponsor assembles the statistically analyzed data from all phases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into a single large submission along with the Chemistry and Manufacturing and preclinical data and the proposed labeling into the New Drug Application (NDA), or Biologics License Application (BLA) which today comprises, on average, approximately 100,000 pages.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FDA Review and Approval of NDA or BLA (1 to 1.5 years). </w:t>
      </w:r>
      <w:r>
        <w:rPr>
          <w:rFonts w:ascii="Arial" w:cs="Arial" w:eastAsia="Arial" w:hAnsi="Arial"/>
          <w:sz w:val="17"/>
          <w:szCs w:val="17"/>
          <w:color w:val="auto"/>
        </w:rPr>
        <w:t>Data from all phases of development (including a TIND) is scrutinized to confirm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 has complied with all applicable regulations and that the drug or biologic is safe and effective for the specific use (or “indication”) under study. The FDA may refuse to accept the NDA or BLA if the Sponsor’s application has certain administrative or content criteria which do not meet FDA standards. The FDA may also deny approval of the drug or biologic product if applicable regulatory requirements are not satisfied.</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 xml:space="preserve">Post-Marketing Surveillance and Phase IV Studies. </w:t>
      </w:r>
      <w:r>
        <w:rPr>
          <w:rFonts w:ascii="Arial" w:cs="Arial" w:eastAsia="Arial" w:hAnsi="Arial"/>
          <w:sz w:val="16"/>
          <w:szCs w:val="16"/>
          <w:color w:val="auto"/>
        </w:rPr>
        <w:t>Federal regulation requires the Sponsor to collect and periodically report to the FDA additional safety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efficacy data on the drug or biologic for as long as the Sponsor 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Sponsors of marketed drugs or biologics to prepare Risk Management plans which are aimed at assessing areas of product risk and plans for managing such risk should they occur. The FDA Amendment Act of 2007 has imposed additional regulatory requirements on Sponsors which address product safety, to conduct post-marketing surveillance studies and to submit the clinical trial information, including clinical study results of investigational and marketed products, to a databank managed and maintained by the National Institutes of Health. The information is accessible to the public via the worldwide web. This action was taken as a result to increase “public transparency” of Sponsor’s clinical studies and respective clinical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2014 was approximately $27 billion. We believe that the following trends create further growth opportunities for global CROs, although there is no assurance that growth will materialize.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New technologies together with improved understanding of disease pathology (driven by scientific advances such as the mapping of the human genome) have increased the number of new drug candidates being investigated in early development and greatly broadened the number of biological mechanisms being targeted by such candidates. This should lead to increased activity in both Preclinical and Phase I development and in turn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Declining Productivity Within Research and Development Programs.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and considerable knowledge and experience in a broad range of therapeutic areas are a key resource to support a global regulatory approval strategy. Alongside this, the increasing need to access pools of new patients is leading to the conduct of clinical trials in new “emerging regions” such as Eastern Europe, Latin America, Asia-Pacific, South America and India. We believe that having access to both traditional and emerging clinical research markets gives global CROs a competitive advantage.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within the Biotechnology Sector.</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drug companies in particular are actively entering strategic partnerships with a limited number of CROs in an effort to drive increased efficiencies. The CRO industry and in particular large CROs with global capabilities and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to establish competitive claims,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wake of a number of high profile recalls of previously approved drugs, regulatory authorities, such as the FDA and the European Medicines Agency,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 Furthermore, a variety of healthcare databases containing medical and prescribing records can be “data mined” to collect patient data from very large populations in support of on-going safety and efficacy assessments.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Increasing Requirement to Show the Economic Value of New Treatments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rising costs of healthcare in most developed countries means there is an increasing pressure to show that new medical treatments are more cost effective and deliver better patient outcomes than existing treatments regimes. In many countries there are formal assessment processes to determine the economic value of new treatments and product reimbursement is often dependent on the outcome of such assessments. This means that sponsors need to increasingly generate outcomes data both as part of the product approval submissions and as part of post-approval research programmes. This is creating opportunities for CRO’s who can offer support in developing and interpreting this outcomes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ICON’s mission is to accelerate the development of drugs that save lives and improve the quality of life. Our vision is to be the global CRO partner of choice in drug development by delivering best in class information, solutions and performance.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achieved strong growth since our foundation in 1990. The impact of the International Conference on Harmonization Good Clinical Practise, the resulting globalization of clinical research and the acceleration in the understanding of human and molecular biology which has led to many new treatment paths being explored were key catalysts of our early growth.</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our market has developed, biopharmaceutical companies are tackling declining levels of productivity,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One consequence of the drive to accelerate time to market will be increased emphasis on early stage development and translational medicine, as companies seek to filter compounds earlier in the development process, thereby lowering attrition rates and development expenditure. Regulatory pressures too will increase the emphasis on late stage (post marketing) surveillance, while increasing requirements to demonstrate the economic value of new compounds, through outcomes and comparative effectiveness research, will most likely be required in order to secure reimbursement. Furthermore, we believe advances in molecular biology will drive further growth in innovation in the long term which in turn should create further growth opportunities for both development companies and their outsource providers.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spacing w:after="0" w:line="249" w:lineRule="auto"/>
        <w:rPr>
          <w:sz w:val="20"/>
          <w:szCs w:val="20"/>
          <w:color w:val="auto"/>
        </w:rPr>
      </w:pPr>
      <w:r>
        <w:rPr>
          <w:rFonts w:ascii="Arial" w:cs="Arial" w:eastAsia="Arial" w:hAnsi="Arial"/>
          <w:sz w:val="18"/>
          <w:szCs w:val="18"/>
          <w:color w:val="auto"/>
        </w:rPr>
        <w:t>We expect the increased adoption of outsourcing will be a core strategy of clients in the near term as they respond to the increased pressures on their revenues and profitability. Larger clients in particular are seeking to form strategic partnerships with global CROs in an effort to reduce the number of outsource partners with whom they engage and to reduce inefficiencies in their current drug development models.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and operational data with clients will therefore become increasingly important for CROs. ICON will seek to benefit from this increased outsourcing by clients to grow our business byincreasing market share with our existing client base and adding new clients within the Phase I-IV outsourced development services market; the aim being to ensure we will be considered for all major Phase I–IV projects.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core strategies to achieve these objectives will be as follows: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 Scale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Building scale within the organization which can be achieved through developing strategic relationships with clients, growing positions in existing and selected new markets, broadening our service offerings and targeted strategic acquisitions as required.</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Strategic client relationships will manifest themselves in many different forms. Many of these relationships will require new forms of collaboration across ICON service areas and departments and will therefore require increased flexibility to offer services on both a standalone basis and as part of a fully integrated service model. To support this objective we continue to enhance our capabilities and expertise, evolve our collaboration models, invest in technology that will enable closer data integration across our service areas and enhance our project and programme management capabilities.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will also continue to build our positions in emerging markets and have expanded our presence in regions such as Asia-Pacific, in particular in China and Japan, as is evident from our acquisition of Niphix, the Japanese subsidiary of Aptiv Solutions, in 2014 and BeijingWits Medical Limited, a leading Chinese CRO, in 2012. In 2013, we also added scale to our contract resourcing service offering in the US through the acquisition of ClinForce and Assent Consulting.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 Quality and Competitiveness</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Ensuring that we have a competitive offering by providing our customers a broad range of services across the development spectrum and the global coverage to deliver their programs remains a focus. Over the past year we have strengthened the depth of our services through organic growth and also added new and enhanced service offerings in adaptive trials and medical devices through the acquisition of Aptiv Solutions. We continue to evolve our Commercialization and Outcomes offering, building on the platforms we acquired with Oxford Outcomes and PriceSpective. Our global coverage has also increased through the acquisition of Aptiv Solutions and we now have additional offices in Cologne (Germany), Strasbourg (France), Allschwil (Switzerland), Marlborough (US) and Abingdon (UK) which will allow us to continue supporting our customers’ global development programmes.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enhance our operating processes and delivery models to gain competitive advantage. Our proprietary ICONIK platform, which integrates clinical data across multiple systems, is helping us drive better project execution and identify significant operational efficiencies. Our ADDPLAN software offers industry leading statistical design, simulation and analysis software for adaptive clinical trials and helps our customers identify the most promising drug candidates earlier.</w:t>
      </w:r>
    </w:p>
    <w:p>
      <w:pPr>
        <w:spacing w:after="0" w:line="217"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We are also working to reduce patient recruitment times through enhanced site and investigator selection based on key performance metrics and we continue to work with investigator sites to optimise study conduct and enhance data quality. Our Firecrest technology is supporting our efforts in this area.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spacing w:after="0" w:line="329" w:lineRule="auto"/>
        <w:rPr>
          <w:sz w:val="20"/>
          <w:szCs w:val="20"/>
          <w:color w:val="auto"/>
        </w:rPr>
      </w:pPr>
      <w:r>
        <w:rPr>
          <w:rFonts w:ascii="Arial" w:cs="Arial" w:eastAsia="Arial" w:hAnsi="Arial"/>
          <w:sz w:val="16"/>
          <w:szCs w:val="16"/>
          <w:color w:val="auto"/>
        </w:rPr>
        <w:t>We are successfully leveraging our support costs and have created global business support infrastructure across functions such as Finance, Information Technology, Facilities and Human Resources which is helping us to enhance service levels whilst driving down the costs of this service provision.</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Quality project execution underpins all we do and we have an ongoing focus on developing our people and processes to continue to enhance our service delivery. We are also deploying supporting technologies which we believe will also enable faster and deeper insights into the quality of trial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Leadership and Talent</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Core to all our strategies are our people. The need to grow and retain talent within the organisation is fundamental in enabling us to be the global CRO partner of choice. ICON’s talent review and succession planning processes are core strategies in the achievement of this objective. We launched the ICON Business Academy with University College Dublin (UCD) in 2013 which provides customised management and development programs for global employees involved in people management roles. We have also created a new Graduate Certificate in Clinical Trial Management in association with the UCD School of Medicine, which is enhancing the quality of graduate training in clinical research and increase the pool of talent available to ICON to support our customer’s drug development programmes.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Leveraging Informatics</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Developing best in class information to help clients improve the costs and efficiencies associated with drug development will be another key strategy in achieving our objectives. Our proprietary ICONIK platform, a web-based information platform that enables the management, reporting, analysis and visualization of all data relating to drug development will be a key tool in this regard. Firecrest’s comprehensive site performance management system, a web-based solution which enables accurate study information, including protocol information, training manuals and case report forms amongst others, to be rolled out quickly and simultaneously to investigative sites is also a key platform in this regard and will allow site behavior to be tracked to ensure training is understood, procedures are being followed and that timelines are met and study parameters are met. Our ADDPLAN software, offers an industry leading statistical design, simulation and analysis software for adaptive clinical trials and helps our customers identify the most promising drug candidates earlier. ADDPLAN is used by FDA, EMA and Japan’s PMDA, as well as over fifty top pharmaceutical and medical device companies and academic researchers.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Systems on page 23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Expertise</w:t>
      </w:r>
    </w:p>
    <w:p>
      <w:pPr>
        <w:spacing w:after="0" w:line="24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Increased scientific expertise will be important as clients look to their partners for support in identify promising drug candidates earlier in the development process. During 2014, ICON established a dedicated global consulting and drug development services group. ICON has also made a number of strategic acquisitions in recent years to develop our scientific base in areas such as adaptive trials and outcomes research and we continue to strengthen our therapeutic expertise.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Services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ICON specializes in the strategic development, management and analysis of programs that support Clinical Development - from compound selection to Phase I-IV clinical studies.</w:t>
      </w:r>
    </w:p>
    <w:p>
      <w:pPr>
        <w:spacing w:after="0" w:line="206"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Our Clinical Research business specializes in the planning, management, execution and analysis of Phase I – IV clinical trials, ranging from small studies to complex, multinational projects. We also conduct various laboratory tests on the patient's blood, urine and other bodily fluids at appropriate intervals during the trial. Specific clinical development services offered to biopharmaceutical and medical device companies include:</w:t>
      </w:r>
    </w:p>
    <w:p>
      <w:pPr>
        <w:spacing w:after="0" w:line="198" w:lineRule="exact"/>
        <w:rPr>
          <w:sz w:val="20"/>
          <w:szCs w:val="20"/>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16"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Statistical Analysis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Risk-based Monitoring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Response Technologies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 Patient Reported Outcomes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Reporting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Access and commercialization services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and Market Access Consulting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Resourcing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Biomarker development</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Adaptive trial design and execution</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Device Trials</w:t>
      </w:r>
    </w:p>
    <w:p>
      <w:pPr>
        <w:spacing w:after="0" w:line="5" w:lineRule="exact"/>
        <w:rPr>
          <w:rFonts w:ascii="Arial" w:cs="Arial" w:eastAsia="Arial" w:hAnsi="Arial"/>
          <w:sz w:val="18"/>
          <w:szCs w:val="18"/>
          <w:color w:val="auto"/>
        </w:rPr>
      </w:pPr>
    </w:p>
    <w:p>
      <w:pPr>
        <w:ind w:left="640" w:hanging="17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Healthcare communications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507"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Sales and Marketing</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marketing strategy is focused on building a differentiated brand position for ICON and supporting our business development efforts to develop and build relationships with pharmaceutical, biotechnology and medical device companies. Our marketing activities are coordinated centrally to ensure a consistent and differentiated market positioning for ICON and to ensure all marketing efforts align to the overall strategic objectives of the business. Our business development teams are also co-ordinately centrally but sales activities are carried out locally by executives in each of the major locations. We structure this team to be able to address the different market segments we serve and also have specialist sales groups who are able to focus on specific customer types and ICON service areas. Our aim is to develop deeper relationships within our clients in order to gain repeat business and give us opportunities to penetrate into other therapeutic indications and adjacent service lines where applicable. Our business development professionals, senior executives and project team leaders share responsibility for the maintenance of key client relationships.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CRO industry is fragmented, consisting of many small, niche service providers, some medium-sized providers and a smaller number of large CROs, including ICON, that are differentiated by the scale of our global operations and broad service portfolios. Globalization is driving market share to these global CROs and when competing for large global development opportunities, ICON competes primarily with Quintiles Transnational Corporation, PAREXEL International Corporation, Pharmaceutical Product Development Inc and Covance. In some other market segments, for example biotech and mid-tier pharma, ICON may also compete against smaller CROs including PRA and INC Research.</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CROs generally compete on the basis of previous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payors and regulators require. We believe that we compete favourably in all these areas.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year ended December 31, 2014 revenue was earned from over 500 clients. The increased use of strategic partnership arrangements in recent years has resulted in a greater proportion of our net revenues being derived from a relatively limited number of customers. During the year ended December 31, 2014 53% of our net revenues were derived from our top five customers, with one customer contributing more than 10% of our net revenues during the period (31%). No other customer contributed more than 10% of our net revenues during this period. During the year ended December 31, 2013 53% of our net revenues were derived from our top five customers, with two customers individually contributing more than 10% of our net revenues during the period (26% and 10% respectively). No other customer contributed more than 10% of our net revenues during this period. During the year ended December 31, 2012 48% of our net revenues were derived from our top five customers, with two customers individually contributing more that 10% of our net revenues during the period (18% and 12% respectively). No other customer contributed more than 10% of net revenues during this period. The loss of, or a significant decrease in business from one or more of these key customers could have a material adverse impact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2014 we had a backlog of approximately $3.6 billion, compared with approximately $3.1 billion at December 31, 2013.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Information Systems</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Having access to accurate and timely information is critical in the management, delivery and quality of all aspects of drug development. To enable this ICON has developed an Informatics strategy built around ICONIK, a web-based information platform that enables the management, reporting, analysis and visualisation of all data relating to drug development. ICONIK collects, manages and standardises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thereby reducing overall cost and time to market.</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site management and training technology, Firecrest, is another important component of our Informatics strategy. Firecrest provides an on-line web-based portal to access visit by visit study guides which drive site performance and quality.</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Oracle, EMC, SAS and Medidata. IT expenditure is authorized by strict IT governance policies requiring senior level approval of all strategic IT expenditure based on defined, measurable business benefits.</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also developed an interactive response technology (IXR) system which provides features such as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kit/sample management system and a web interface system to allow clients to review results online.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All of the Company’s global finance operations utilize Oracle’s eBusiness suite to serve the organization’s financial and project accounting requirements, while Oracle Peoplesoft and Success Factors are used to fulfill our HR people management requirements.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Company’s strategy of using technology to enhance our global processes can be seen from our deployment of platforms like ICONIK, iDoc our global SOP Document Management system and our Web-based training delivery solution, iLearn.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IT systems are operated from two centralized hubs in Dublin, Ireland and Philadelphia, Pennsylvania. Other offices are linked to these hubs through a network managed by Verizon, a tier one global telecommunications provider. This network provides global connectivity for our applications and allows collaboration and communication using tools like Microsoft Lync, Sharepoint and eRooms. Mobile staff can also access all systems via secure remote access facilities. A global corporate intranet portal provides access to all authorized data and applications for our internal staff as well as providing an internal platform for company wide communication.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5" w:name="page26"/>
    <w:bookmarkEnd w:id="25"/>
    <w:p>
      <w:pPr>
        <w:jc w:val="both"/>
        <w:spacing w:after="0" w:line="265" w:lineRule="auto"/>
        <w:rPr>
          <w:sz w:val="20"/>
          <w:szCs w:val="20"/>
          <w:color w:val="auto"/>
        </w:rPr>
      </w:pPr>
      <w:r>
        <w:rPr>
          <w:rFonts w:ascii="Arial" w:cs="Arial" w:eastAsia="Arial" w:hAnsi="Arial"/>
          <w:sz w:val="16"/>
          <w:szCs w:val="16"/>
          <w:color w:val="auto"/>
        </w:rPr>
        <w:t>Following the acquisition of Aptiv Solutions we have now integrated three new technology platforms into the ICON offerings. These comprise of ADDPLAN for simulation and design of exploratory/pilot &amp; confirmatory/ pivotal adaptive clinical trials (</w:t>
      </w:r>
      <w:r>
        <w:rPr>
          <w:rFonts w:ascii="Arial" w:cs="Arial" w:eastAsia="Arial" w:hAnsi="Arial"/>
          <w:sz w:val="16"/>
          <w:szCs w:val="16"/>
          <w:i w:val="1"/>
          <w:iCs w:val="1"/>
          <w:color w:val="auto"/>
        </w:rPr>
        <w:t>ADDPLAN</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DF (Dose Finder), ADDPLAN® Base, ADDPLAN®</w:t>
      </w:r>
      <w:r>
        <w:rPr>
          <w:rFonts w:ascii="Arial" w:cs="Arial" w:eastAsia="Arial" w:hAnsi="Arial"/>
          <w:sz w:val="16"/>
          <w:szCs w:val="16"/>
          <w:color w:val="auto"/>
        </w:rPr>
        <w:t xml:space="preserve"> </w:t>
      </w:r>
      <w:r>
        <w:rPr>
          <w:rFonts w:ascii="Arial" w:cs="Arial" w:eastAsia="Arial" w:hAnsi="Arial"/>
          <w:sz w:val="16"/>
          <w:szCs w:val="16"/>
          <w:i w:val="1"/>
          <w:iCs w:val="1"/>
          <w:color w:val="auto"/>
        </w:rPr>
        <w:t>MC (Multiple Comparison) &amp; ADDPLAN® PE (Population Enrichment)</w:t>
      </w:r>
      <w:r>
        <w:rPr>
          <w:rFonts w:ascii="Arial" w:cs="Arial" w:eastAsia="Arial" w:hAnsi="Arial"/>
          <w:sz w:val="16"/>
          <w:szCs w:val="16"/>
          <w:color w:val="auto"/>
        </w:rPr>
        <w:t>), AptivAdvantage which is an integrated platform comprising EDC, randomization &amp;</w:t>
      </w:r>
      <w:r>
        <w:rPr>
          <w:rFonts w:ascii="Arial" w:cs="Arial" w:eastAsia="Arial" w:hAnsi="Arial"/>
          <w:sz w:val="16"/>
          <w:szCs w:val="16"/>
          <w:i w:val="1"/>
          <w:iCs w:val="1"/>
          <w:color w:val="auto"/>
        </w:rPr>
        <w:t xml:space="preserve"> </w:t>
      </w:r>
      <w:r>
        <w:rPr>
          <w:rFonts w:ascii="Arial" w:cs="Arial" w:eastAsia="Arial" w:hAnsi="Arial"/>
          <w:sz w:val="16"/>
          <w:szCs w:val="16"/>
          <w:color w:val="auto"/>
        </w:rPr>
        <w:t>drug supply management specifically created for execution of adaptive clinical trials and used to deliver risk-based monitoring and AptivInsite which is a novel approach to risk-based monitoring, using Verification by Statistical Sampling (VSS) to manage data quality and site related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revenues on contracts are recognized on a proportional performance method. Depending on the contractual terms revenue is either recognized on the percentage of completion method based on the relationship between hours incurred and the total estimated hours of the trial or on the unit of delivery method. Payment terms usually provide either for payments based on the achievement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dates or delivery of the database.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21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Government Regulation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-13335</wp:posOffset>
            </wp:positionV>
            <wp:extent cx="27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Regulatory authorities, including the United States Food and Drug Administration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including the Medicines and Healthcare products Regulatory Agency (“MHRA”) in the United Kingdom and the Bundesinstitut für Arzneimittel und Medizinprodukte (“BfARM”) in Germany. In addition, our activities in Europe are affected by the European Medicines Agency (“EMA”), which is based in London, England.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must retain records for each study for specified periods for inspection by the client and by the applicable regulatory authority during audits. If we fail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nature of our business exposes us to potential liability including, but not limited to, potential liability for (i) breach of contract or negligence claims by our customers; (ii) non-compliance with regulatory or legal obligations including, but not limited to, anti-bribery and anti-corruption laws; (iii) third party (such as patients) claims in respect of our performance of services; and (iv) claims by patients as a result of the performance of third party investigators (physicians running the trials).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try to reduce this potential liability by:</w:t>
      </w:r>
    </w:p>
    <w:p>
      <w:pPr>
        <w:spacing w:after="0" w:line="271" w:lineRule="exact"/>
        <w:rPr>
          <w:sz w:val="20"/>
          <w:szCs w:val="20"/>
          <w:color w:val="auto"/>
        </w:rPr>
      </w:pPr>
    </w:p>
    <w:p>
      <w:pPr>
        <w:ind w:left="640" w:right="200" w:firstLine="4"/>
        <w:spacing w:after="0" w:line="251" w:lineRule="auto"/>
        <w:tabs>
          <w:tab w:leader="none" w:pos="1198"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Seeking contractual indemnification from customers in relation to certain trial activities. However, the terms and scope of indemnification varies from customer to customer and trial to trial and the performance of these indemnities is not secured. As a result, we bear the risk that indemnification may not be relevant or sufficient or that the indemnifying party may not have the financial ability to fulfill its indemnification obligations. Furthermore this indemnification does not protect us against our own acts or omissions such as our negligence or where our performance does not reach the required contractual, industry or regulatory standard.</w:t>
      </w:r>
    </w:p>
    <w:p>
      <w:pPr>
        <w:spacing w:after="0" w:line="246" w:lineRule="exact"/>
        <w:rPr>
          <w:rFonts w:ascii="Arial" w:cs="Arial" w:eastAsia="Arial" w:hAnsi="Arial"/>
          <w:sz w:val="18"/>
          <w:szCs w:val="18"/>
          <w:color w:val="auto"/>
        </w:rPr>
      </w:pPr>
    </w:p>
    <w:p>
      <w:pPr>
        <w:jc w:val="both"/>
        <w:ind w:left="640" w:right="320" w:firstLine="4"/>
        <w:spacing w:after="0" w:line="256" w:lineRule="auto"/>
        <w:tabs>
          <w:tab w:leader="none" w:pos="1198"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worldwide professional liability insurance. While we believe our insurance coverage is adequate, there is no guarantee that we will continue to be able to maintain such insurance coverage on terms acceptable to us, if at all, or that the relevant policy will respond and provide cover when we want it to.</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level of our insurance coverage or the relevant circumstances are not covered by our insurance policies.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Description of Property</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of approximately 15,000 square meters. We lease all other properties under operating leases.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three offices in New York, two offices in each of the following US locations: San Antonio, Philadelphia and one office in each of the following U.S. locations: Baltimore, Bethesda, Boston, Chicago, Durham, Gaithersburg, Houston, Los Angeles, Marlborough, Morristown, Nashville, Raleigh, San Diego, San Francisco and Wilmington.</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European operations maintain two offices in Amsterdam, Frankfurt and one office in each of the following locations: Abingdon, Allschwil, Ankara, Barcelona, Bucharest, Budapest, Cologne, Edinburgh, Munich, Kiev, Limerick, London, Madrid, Marlow, Milan, Moscow, Oxford, Paris, Prague, Riga, Southampton, Stockholm, Strasbourg, Tel Aviv, Vilnius and Warsaw.</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maintain two offices in Tokyo and Singapore and one office in each of the following locations: Auckland, Bangalore, Bangkok, Beijing, Bogota, Buenos Aires, Chennai, Hong Kong, Johannesburg, Lima, Manila, Mexico City, Montreal, Osaka, Santiago, Sao Paolo, Seoul, Shanghai, Sydney, Taipei, Tianjin, Toronto, Trivandrum and Vancouver.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29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2"/>
        </w:trPr>
        <w:tc>
          <w:tcPr>
            <w:tcW w:w="5460" w:type="dxa"/>
            <w:vAlign w:val="bottom"/>
          </w:tcPr>
          <w:p>
            <w:pPr>
              <w:spacing w:after="0"/>
              <w:rPr>
                <w:sz w:val="20"/>
                <w:szCs w:val="20"/>
                <w:color w:val="auto"/>
              </w:rPr>
            </w:pPr>
            <w:r>
              <w:rPr>
                <w:rFonts w:ascii="Arial" w:cs="Arial" w:eastAsia="Arial" w:hAnsi="Arial"/>
                <w:sz w:val="18"/>
                <w:szCs w:val="18"/>
                <w:color w:val="auto"/>
                <w:w w:val="92"/>
              </w:rPr>
              <w:t>Details of the Company’s significant operating subsidiaries are as follows:</w:t>
            </w:r>
          </w:p>
        </w:tc>
        <w:tc>
          <w:tcPr>
            <w:tcW w:w="29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52"/>
        </w:trPr>
        <w:tc>
          <w:tcPr>
            <w:tcW w:w="546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Company</w:t>
            </w:r>
          </w:p>
        </w:tc>
        <w:tc>
          <w:tcPr>
            <w:tcW w:w="2960" w:type="dxa"/>
            <w:vAlign w:val="bottom"/>
          </w:tcPr>
          <w:p>
            <w:pPr>
              <w:ind w:left="900"/>
              <w:spacing w:after="0"/>
              <w:rPr>
                <w:sz w:val="20"/>
                <w:szCs w:val="20"/>
                <w:color w:val="auto"/>
              </w:rPr>
            </w:pPr>
            <w:r>
              <w:rPr>
                <w:rFonts w:ascii="Arial" w:cs="Arial" w:eastAsia="Arial" w:hAnsi="Arial"/>
                <w:sz w:val="18"/>
                <w:szCs w:val="18"/>
                <w:b w:val="1"/>
                <w:bCs w:val="1"/>
                <w:i w:val="1"/>
                <w:iCs w:val="1"/>
                <w:color w:val="auto"/>
              </w:rPr>
              <w:t>Country</w:t>
            </w:r>
          </w:p>
        </w:tc>
        <w:tc>
          <w:tcPr>
            <w:tcW w:w="3000" w:type="dxa"/>
            <w:vAlign w:val="bottom"/>
          </w:tcPr>
          <w:p>
            <w:pPr>
              <w:jc w:val="center"/>
              <w:ind w:left="71"/>
              <w:spacing w:after="0"/>
              <w:rPr>
                <w:sz w:val="20"/>
                <w:szCs w:val="20"/>
                <w:color w:val="auto"/>
              </w:rPr>
            </w:pPr>
            <w:r>
              <w:rPr>
                <w:rFonts w:ascii="Arial" w:cs="Arial" w:eastAsia="Arial" w:hAnsi="Arial"/>
                <w:sz w:val="18"/>
                <w:szCs w:val="18"/>
                <w:b w:val="1"/>
                <w:bCs w:val="1"/>
                <w:i w:val="1"/>
                <w:iCs w:val="1"/>
                <w:color w:val="auto"/>
                <w:w w:val="85"/>
              </w:rPr>
              <w:t>Group ownership</w:t>
            </w:r>
          </w:p>
        </w:tc>
      </w:tr>
      <w:tr>
        <w:trPr>
          <w:trHeight w:val="214"/>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S.A.</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Argentina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Aptiv Solutions (Australia) PTY Ltd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Australia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PTY Limited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Australia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Austria GmbH</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Austria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Belgium N.V.</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Belgium</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Pesquisas Clínicas LTDA.</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Brazil</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EOOD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Bulgaria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(Canada) Inc.</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Canada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Oxford Outcomes LTD.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Canada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Chile Limitada</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Chile</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(Beijing No.2) Co., Ltd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China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(Beijing) Co., Ltd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China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Ispitivanja ICON d.o.o (ICON Research Ltd.)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Croatia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s.r.o.</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Czech Republic</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Nordic Countries A/S</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Denmark</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Finland Oy</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Finland</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Aptiv Solutions</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France</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France S.A.S.</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France</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S.A.R.L.</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France</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Aptiv Solutions GmbH</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Germany</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Germany GmbH</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Germany</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GmbH</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Germany</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Hong Kong Limited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Hong Kong</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00"/>
        </w:trPr>
        <w:tc>
          <w:tcPr>
            <w:tcW w:w="54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b w:val="1"/>
                <w:bCs w:val="1"/>
                <w:i w:val="1"/>
                <w:iCs w:val="1"/>
                <w:color w:val="auto"/>
              </w:rPr>
              <w:t>ICON Klinikai Kutató Korlátolt Felelősségű Társaság</w:t>
            </w:r>
          </w:p>
        </w:tc>
        <w:tc>
          <w:tcPr>
            <w:tcW w:w="29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r>
      <w:tr>
        <w:trPr>
          <w:trHeight w:val="225"/>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Limited Liability Company)</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Hungary</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India Private Limited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India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Israel Limited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Israel</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Italia S.R.L.</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Italy</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Japan K.K.</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Japan</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Niphix KK</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Japan</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Investments Limited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Jersey</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Korea Yuhan Hoesa</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Korea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CRO Malaysia SDN. BHD.</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Malaysia</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3"/>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México, S.A. de C.V.</w:t>
            </w:r>
          </w:p>
        </w:tc>
        <w:tc>
          <w:tcPr>
            <w:tcW w:w="296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Mexico</w:t>
            </w:r>
          </w:p>
        </w:tc>
        <w:tc>
          <w:tcPr>
            <w:tcW w:w="300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i w:val="1"/>
                <w:iCs w:val="1"/>
                <w:color w:val="auto"/>
                <w:w w:val="86"/>
              </w:rPr>
              <w:t>100%</w:t>
            </w:r>
          </w:p>
        </w:tc>
      </w:tr>
      <w:tr>
        <w:trPr>
          <w:trHeight w:val="597"/>
        </w:trPr>
        <w:tc>
          <w:tcPr>
            <w:tcW w:w="5460" w:type="dxa"/>
            <w:vAlign w:val="bottom"/>
          </w:tcPr>
          <w:p>
            <w:pPr>
              <w:spacing w:after="0"/>
              <w:rPr>
                <w:sz w:val="24"/>
                <w:szCs w:val="24"/>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27</w:t>
            </w:r>
          </w:p>
        </w:tc>
        <w:tc>
          <w:tcPr>
            <w:tcW w:w="3000" w:type="dxa"/>
            <w:vAlign w:val="bottom"/>
          </w:tcPr>
          <w:p>
            <w:pPr>
              <w:spacing w:after="0"/>
              <w:rPr>
                <w:sz w:val="24"/>
                <w:szCs w:val="24"/>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Insourcing B.V.</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Netherlands</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B.V.</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Netherlands</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(New Zealand)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New Zealand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Peru S.A.</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Peru</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Services Philippines, Inc.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Philippines</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Poland Sp. z o.o.</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Poland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Sp. z o.o.</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Poland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Resourcing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Republic of Ireland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International</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Republic of Ireland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Republic of Ireland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Holdings</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Republic of Ireland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Holdings Clinical Research International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Republic of Ireland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S.R.L.</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Romania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(Rus) LLC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Russia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d.o.o. Beograd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Serbia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(Pte)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Singapore</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Slovakia, s.r.o.</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Slovakia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España, S.L.</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Spain</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Sweden AB</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Sweden</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Switzerland GmbH</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Switzerland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(Switzerland) GmbH</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Switzerland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Medical Imaging AG</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Switzerland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Taiwan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Taiwan</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(Thailand)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Thailand</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w w:val="99"/>
              </w:rPr>
              <w:t>ICON Ankara Klinik Arastirma Dis Ticaret Anonim Sirketi</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Turkey</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Aptiv Solutions Ukraine LLC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Ukraine</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LLC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Ukraine</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Aptiv Solutions (UK) Ltd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United Kingdom</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International UK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United Kingdom</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(U.K.)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United Kingdom</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Development Solutions Limited</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United Kingdom</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Addplan, Inc.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USA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Beacon Bioscience, Inc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USA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DOCS Global, Inc.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USA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Clinical Research LLC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USA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3"/>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Development Solutions, LLC</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USA</w:t>
            </w:r>
          </w:p>
        </w:tc>
        <w:tc>
          <w:tcPr>
            <w:tcW w:w="26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597"/>
        </w:trPr>
        <w:tc>
          <w:tcPr>
            <w:tcW w:w="5140" w:type="dxa"/>
            <w:vAlign w:val="bottom"/>
          </w:tcPr>
          <w:p>
            <w:pPr>
              <w:spacing w:after="0"/>
              <w:rPr>
                <w:sz w:val="24"/>
                <w:szCs w:val="24"/>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28</w:t>
            </w:r>
          </w:p>
        </w:tc>
        <w:tc>
          <w:tcPr>
            <w:tcW w:w="2640" w:type="dxa"/>
            <w:vAlign w:val="bottom"/>
          </w:tcPr>
          <w:p>
            <w:pPr>
              <w:spacing w:after="0"/>
              <w:rPr>
                <w:sz w:val="24"/>
                <w:szCs w:val="24"/>
                <w:color w:val="auto"/>
              </w:rPr>
            </w:pPr>
          </w:p>
        </w:tc>
      </w:tr>
      <w:tr>
        <w:trPr>
          <w:trHeight w:val="117"/>
        </w:trPr>
        <w:tc>
          <w:tcPr>
            <w:tcW w:w="51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5"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Early Phase Services,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Laboratory Services, Inc.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ICON US Holdings Inc.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Pricespective,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MMMM/CHC Holding,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MMMM Group,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Managed Care Strategic Solutions,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MMMM Consulting,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Global Pharmaceutical Strategies Group,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PubsHub,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CHC Group,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Complete Healthcare Communications, Inc.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Complete Publication Solutions, Inc.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5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3"/>
        </w:trPr>
        <w:tc>
          <w:tcPr>
            <w:tcW w:w="5040" w:type="dxa"/>
            <w:vAlign w:val="bottom"/>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C4 MedSolutions, LLC</w:t>
            </w:r>
          </w:p>
        </w:tc>
        <w:tc>
          <w:tcPr>
            <w:tcW w:w="3200" w:type="dxa"/>
            <w:vAlign w:val="bottom"/>
            <w:shd w:val="clear" w:color="auto" w:fill="CCEEFF"/>
          </w:tcPr>
          <w:p>
            <w:pPr>
              <w:ind w:left="1320"/>
              <w:spacing w:after="0"/>
              <w:rPr>
                <w:sz w:val="20"/>
                <w:szCs w:val="20"/>
                <w:color w:val="auto"/>
              </w:rPr>
            </w:pPr>
            <w:r>
              <w:rPr>
                <w:rFonts w:ascii="Arial" w:cs="Arial" w:eastAsia="Arial" w:hAnsi="Arial"/>
                <w:sz w:val="18"/>
                <w:szCs w:val="18"/>
                <w:b w:val="1"/>
                <w:bCs w:val="1"/>
                <w:i w:val="1"/>
                <w:iCs w:val="1"/>
                <w:color w:val="auto"/>
              </w:rPr>
              <w:t>USA</w:t>
            </w:r>
          </w:p>
        </w:tc>
        <w:tc>
          <w:tcPr>
            <w:tcW w:w="318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2014, we employed approximately 10,600 employees, in 81 locations in 38 countries. During the year ended December 31, 2014 we derived approximately 40.3%, 48.8% and 10.9% of our net revenue in the United States, Europe and Rest of World, respectively.</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2014 we had a backlog of approximately $3.6 billion, compared with approximately $3.1 billion at December 31, 2013.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21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2" w:name="page33"/>
    <w:bookmarkEnd w:id="32"/>
    <w:p>
      <w:pPr>
        <w:jc w:val="both"/>
        <w:spacing w:after="0" w:line="265" w:lineRule="auto"/>
        <w:rPr>
          <w:sz w:val="20"/>
          <w:szCs w:val="20"/>
          <w:color w:val="auto"/>
        </w:rPr>
      </w:pPr>
      <w:r>
        <w:rPr>
          <w:rFonts w:ascii="Arial" w:cs="Arial" w:eastAsia="Arial" w:hAnsi="Arial"/>
          <w:sz w:val="17"/>
          <w:szCs w:val="17"/>
          <w:color w:val="auto"/>
        </w:rPr>
        <w:t>In addition to exchange rate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80" w:type="dxa"/>
            <w:vAlign w:val="bottom"/>
            <w:gridSpan w:val="2"/>
          </w:tcPr>
          <w:p>
            <w:pPr>
              <w:jc w:val="right"/>
              <w:ind w:right="811"/>
              <w:spacing w:after="0"/>
              <w:rPr>
                <w:sz w:val="20"/>
                <w:szCs w:val="20"/>
                <w:color w:val="auto"/>
              </w:rPr>
            </w:pPr>
            <w:r>
              <w:rPr>
                <w:rFonts w:ascii="Arial" w:cs="Arial" w:eastAsia="Arial" w:hAnsi="Arial"/>
                <w:sz w:val="18"/>
                <w:szCs w:val="18"/>
                <w:b w:val="1"/>
                <w:bCs w:val="1"/>
                <w:color w:val="auto"/>
                <w:w w:val="97"/>
              </w:rPr>
              <w:t>Year Ended December 31,</w:t>
            </w:r>
          </w:p>
        </w:tc>
        <w:tc>
          <w:tcPr>
            <w:tcW w:w="100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2180" w:type="dxa"/>
            <w:vAlign w:val="bottom"/>
          </w:tcPr>
          <w:p>
            <w:pPr>
              <w:jc w:val="right"/>
              <w:ind w:right="271"/>
              <w:spacing w:after="0"/>
              <w:rPr>
                <w:sz w:val="20"/>
                <w:szCs w:val="20"/>
                <w:color w:val="auto"/>
              </w:rPr>
            </w:pPr>
            <w:r>
              <w:rPr>
                <w:rFonts w:ascii="Arial" w:cs="Arial" w:eastAsia="Arial" w:hAnsi="Arial"/>
                <w:sz w:val="18"/>
                <w:szCs w:val="18"/>
                <w:b w:val="1"/>
                <w:bCs w:val="1"/>
                <w:color w:val="auto"/>
              </w:rPr>
              <w:t>2014</w:t>
            </w:r>
          </w:p>
        </w:tc>
        <w:tc>
          <w:tcPr>
            <w:tcW w:w="1280" w:type="dxa"/>
            <w:vAlign w:val="bottom"/>
          </w:tcPr>
          <w:p>
            <w:pPr>
              <w:jc w:val="right"/>
              <w:ind w:right="171"/>
              <w:spacing w:after="0"/>
              <w:rPr>
                <w:sz w:val="20"/>
                <w:szCs w:val="20"/>
                <w:color w:val="auto"/>
              </w:rPr>
            </w:pPr>
            <w:r>
              <w:rPr>
                <w:rFonts w:ascii="Arial" w:cs="Arial" w:eastAsia="Arial" w:hAnsi="Arial"/>
                <w:sz w:val="18"/>
                <w:szCs w:val="18"/>
                <w:b w:val="1"/>
                <w:bCs w:val="1"/>
                <w:color w:val="auto"/>
              </w:rPr>
              <w:t>2013</w:t>
            </w:r>
          </w:p>
        </w:tc>
        <w:tc>
          <w:tcPr>
            <w:tcW w:w="1800" w:type="dxa"/>
            <w:vAlign w:val="bottom"/>
          </w:tcPr>
          <w:p>
            <w:pPr>
              <w:jc w:val="right"/>
              <w:ind w:right="571"/>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2013</w:t>
            </w:r>
          </w:p>
        </w:tc>
      </w:tr>
      <w:tr>
        <w:trPr>
          <w:trHeight w:val="230"/>
        </w:trPr>
        <w:tc>
          <w:tcPr>
            <w:tcW w:w="5160" w:type="dxa"/>
            <w:vAlign w:val="bottom"/>
          </w:tcPr>
          <w:p>
            <w:pPr>
              <w:spacing w:after="0"/>
              <w:rPr>
                <w:sz w:val="19"/>
                <w:szCs w:val="19"/>
                <w:color w:val="auto"/>
              </w:rPr>
            </w:pPr>
          </w:p>
        </w:tc>
        <w:tc>
          <w:tcPr>
            <w:tcW w:w="3460" w:type="dxa"/>
            <w:vAlign w:val="bottom"/>
            <w:gridSpan w:val="2"/>
          </w:tcPr>
          <w:p>
            <w:pPr>
              <w:jc w:val="right"/>
              <w:ind w:right="391"/>
              <w:spacing w:after="0"/>
              <w:rPr>
                <w:sz w:val="20"/>
                <w:szCs w:val="20"/>
                <w:color w:val="auto"/>
              </w:rPr>
            </w:pPr>
            <w:r>
              <w:rPr>
                <w:rFonts w:ascii="Arial" w:cs="Arial" w:eastAsia="Arial" w:hAnsi="Arial"/>
                <w:sz w:val="18"/>
                <w:szCs w:val="18"/>
                <w:b w:val="1"/>
                <w:bCs w:val="1"/>
                <w:color w:val="auto"/>
              </w:rPr>
              <w:t>Percentage of Net Revenue</w:t>
            </w:r>
          </w:p>
        </w:tc>
        <w:tc>
          <w:tcPr>
            <w:tcW w:w="2800" w:type="dxa"/>
            <w:vAlign w:val="bottom"/>
            <w:gridSpan w:val="2"/>
          </w:tcPr>
          <w:p>
            <w:pPr>
              <w:jc w:val="right"/>
              <w:ind w:right="231"/>
              <w:spacing w:after="0"/>
              <w:rPr>
                <w:sz w:val="20"/>
                <w:szCs w:val="20"/>
                <w:color w:val="auto"/>
              </w:rPr>
            </w:pPr>
            <w:r>
              <w:rPr>
                <w:rFonts w:ascii="Arial" w:cs="Arial" w:eastAsia="Arial" w:hAnsi="Arial"/>
                <w:sz w:val="18"/>
                <w:szCs w:val="18"/>
                <w:b w:val="1"/>
                <w:bCs w:val="1"/>
                <w:color w:val="auto"/>
                <w:w w:val="90"/>
              </w:rPr>
              <w:t>Percentage Increase/(Decrease)</w:t>
            </w:r>
          </w:p>
        </w:tc>
      </w:tr>
      <w:tr>
        <w:trPr>
          <w:trHeight w:val="214"/>
        </w:trPr>
        <w:tc>
          <w:tcPr>
            <w:tcW w:w="5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8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425"/>
        </w:trPr>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60.1%</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8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3"/>
        </w:trPr>
        <w:tc>
          <w:tcPr>
            <w:tcW w:w="5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22.4%</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8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7.2%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3"/>
        </w:trPr>
        <w:tc>
          <w:tcPr>
            <w:tcW w:w="5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8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3"/>
        </w:trPr>
        <w:tc>
          <w:tcPr>
            <w:tcW w:w="5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2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80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37.2%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w w:val="99"/>
              </w:rPr>
              <w:t>Income from operations (excluding restructuring and other items)</w:t>
            </w:r>
          </w:p>
        </w:tc>
        <w:tc>
          <w:tcPr>
            <w:tcW w:w="2180" w:type="dxa"/>
            <w:vAlign w:val="bottom"/>
          </w:tcPr>
          <w:p>
            <w:pPr>
              <w:jc w:val="right"/>
              <w:ind w:right="111"/>
              <w:spacing w:after="0"/>
              <w:rPr>
                <w:sz w:val="20"/>
                <w:szCs w:val="20"/>
                <w:color w:val="auto"/>
              </w:rPr>
            </w:pPr>
            <w:r>
              <w:rPr>
                <w:rFonts w:ascii="Arial" w:cs="Arial" w:eastAsia="Arial" w:hAnsi="Arial"/>
                <w:sz w:val="18"/>
                <w:szCs w:val="18"/>
                <w:color w:val="auto"/>
              </w:rPr>
              <w:t>14.0%</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800" w:type="dxa"/>
            <w:vAlign w:val="bottom"/>
          </w:tcPr>
          <w:p>
            <w:pPr>
              <w:jc w:val="right"/>
              <w:ind w:right="431"/>
              <w:spacing w:after="0"/>
              <w:rPr>
                <w:sz w:val="20"/>
                <w:szCs w:val="20"/>
                <w:color w:val="auto"/>
              </w:rPr>
            </w:pPr>
            <w:r>
              <w:rPr>
                <w:rFonts w:ascii="Arial" w:cs="Arial" w:eastAsia="Arial" w:hAnsi="Arial"/>
                <w:sz w:val="18"/>
                <w:szCs w:val="18"/>
                <w:color w:val="auto"/>
              </w:rPr>
              <w:t>62.2%</w:t>
            </w:r>
          </w:p>
        </w:tc>
        <w:tc>
          <w:tcPr>
            <w:tcW w:w="100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01"/>
        </w:trPr>
        <w:tc>
          <w:tcPr>
            <w:tcW w:w="5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2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8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(2.6)%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Income from operations (including restructuring and other items )</w:t>
            </w:r>
          </w:p>
        </w:tc>
        <w:tc>
          <w:tcPr>
            <w:tcW w:w="2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13.4%</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8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67.0%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0"/>
        </w:trPr>
        <w:tc>
          <w:tcPr>
            <w:tcW w:w="5160" w:type="dxa"/>
            <w:vAlign w:val="bottom"/>
          </w:tcPr>
          <w:p>
            <w:pPr>
              <w:spacing w:after="0"/>
              <w:rPr>
                <w:sz w:val="24"/>
                <w:szCs w:val="24"/>
                <w:color w:val="auto"/>
              </w:rPr>
            </w:pPr>
          </w:p>
        </w:tc>
        <w:tc>
          <w:tcPr>
            <w:tcW w:w="2180" w:type="dxa"/>
            <w:vAlign w:val="bottom"/>
          </w:tcPr>
          <w:p>
            <w:pPr>
              <w:jc w:val="right"/>
              <w:ind w:right="1451"/>
              <w:spacing w:after="0"/>
              <w:rPr>
                <w:sz w:val="20"/>
                <w:szCs w:val="20"/>
                <w:color w:val="auto"/>
              </w:rPr>
            </w:pPr>
            <w:r>
              <w:rPr>
                <w:rFonts w:ascii="Arial" w:cs="Arial" w:eastAsia="Arial" w:hAnsi="Arial"/>
                <w:sz w:val="18"/>
                <w:szCs w:val="18"/>
                <w:color w:val="auto"/>
              </w:rPr>
              <w:t>31</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516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revenue for the year increased by $167.2 million, or 12.5%, from $1,336.1 million for the year ended December 31, 2013 to $1,503.3 million for the year ended December 31, 2014. In total, the Company had five strategic relationships in place in 2014 and 2013. In 2013, net revenue earned from these five customers equated to $670.7 million and in 2014 net revenue earned increased to $771.2 million, accounting for $100.5 million of the increase in net revenue in 2014. The largest of these customers related to a Strategic Partnership with a large global pharmaceutical company, signed in May 2011. Given the size of this new partnership it was always envisaged that it would take 18 to 24 months for the model to be fully implemented and that the Company would see significant incremental revenue growth beyond this period. In 2013 and 2014, net revenue from this customer directly contributed 26% and 31%, respectively, of the Company’s net revenue for the year. The majority of the residual increase in net revenue in 2014 relates to revenue arising as a result of the 2014 acquisition of Aptiv Solutions and the full year impact of the 2013 acquisition of the clinical trials services division of Cross Country Healthcare Inc.</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revenue in Ireland increased by $87.7 million during 2014, from $272.7 million for the year ended December 31, 2013 to $360.4 million for the year ended December 31, 2014. Net revenue in Ireland during the year ended December 31, 2014 increased by 32.2% compared to an overall increase in Group revenues of 12.5%. The higher proportional increase in net revenue in Ireland during 2014 was a function of our global transfer pricing model. In previous years significant upfront investment in personnel and related costs was required to support the increase of activities under our strategic relationship partnerships. With the operating models and infrastructure associated with these partnerships now largely in place, the level of 2014 investment required by the Irish entity to support other Group entities has reduced, resulting in a greater portion of residual revenue being earned by the Irish entity.</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revenue for Rest of Europe increased by $39.1 million or 11.7%, from $333.5 million for the year ended December 31, 2013 to $372.6 million for the year ended December 31, 2014. Net revenue in the U.S. increased by $23.6 million or 4.0%, from $582.2 million for the year ended December 31, 2013 to $605.8 million for the year ended December 31, 2014. Net revenue for other regions (i.e. those outside of Europe and the U.S) increased by $16.9 million or 11.5%, from $147.6 million for the year ended December 31, 2013 to $164.5 million for the year ended December 31, 2014. The increase in net revenue in the Rest of Europe and other regions during 2014 was in line with overall increases in Group net revenues. The percentage increase in net revenues in the U.S. region was lower than the overall increases in group net revenues during the year. This lower proportional increase in net revenues was predominately due to a generally stable cost base during 2014 as a result of prior period investments, resulting in sufficient personnel and related infrastructure to support our Strategic Partnership relationships and other customers.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Direct costs for the year increased by $57.8 million, or 6.8%, from $845.4 million for the year ended December 31, 2013 to $903.2 million for the year ended December 31,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$52.4 million and an increase in other direct project related costs of $12.4 million, offset by a decrease in laboratory costs of $7.0 million. As a percentage of net revenue, direct costs have decreased from 63.3% for the year ended December 31, 2013 to 60.1% for the year ended December 31, 2014.</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Selling, general and administrative expenses for the year increased by $22.5 million, or 7.2%, from $313.9 million for the year ended December 31, 2013 to $336.5 million for the year ended December 31, 2014.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 for the period arose primarily from an increase in personnel related expenditure, including bonuses of $15.0 million, an increase in facilities and related costs of $9.7 million and an increase in other general overhead costs of $2.5 million. The increase in selling, general and administrative expenses are inclusive of expenses in relation to Aptiv since acquisition. In addition, during the year ended December 31, 2014, we recognized a foreign exchange gain of $6.0 million, which reduced selling, general and administrative expenses from 22.8% of revenue to 22.4% of revenue for the year ended December 31, 2014. As a percentage of net revenue, selling, general and administrative expenses, decreased from 23.5% for the year ended December 31, 2013 to 22.4% for the year ended December 31, 2014.</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8"/>
          <w:szCs w:val="18"/>
          <w:color w:val="auto"/>
        </w:rPr>
        <w:t>Total share based compensation expense recognized during the years ended December 31, 2014 and December 31, 2013 amounted to $22.7 million and $14.2 million respectively.</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Depreciation expense for the period increased by $3.2 million, or 8.3%, from $39.0 million for the year ended December 31, 2013 to $42.2 million for the year ended December 31, 2014. The increase in depreciation expenses principally arises from continued investment in facilities, information systems and equipment to support the Company’s growth. As a percentage of net revenue, depreciation expense decreased from 2.9% of net revenues for the year ended December 31, 2013 to 2.8% for the year ended December 31, 2014. Amortization expense for the year increased by $2.8 million, or 37.2%, from $7.5 million for the year ended December 31, 2013 to $10.3 million for the year ended December 31, 2014. Amortization expense represents the amortization of intangible assets acquired on business combinations. The increase in the amortization expense for the period relates to the Aptiv Solutions acquisition. As a percentage of net revenue, amortization expense increased from 0.6% of net revenues for the year ended December, 2013 to 0.7% for the year ended December 31, 2014.</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restructuring charge of $8.8 million was recognized during the year ended December 31, 2014. Following the closure of the Company’s European Phase 1 services in 2013, the Company recognized a charge during the current year in relation to its Manchester, United Kingdom facility; $5.6 million in relation to asset impairments and $3.2 million in relation to an onerous lease charge associated with this facility. </w:t>
      </w:r>
      <w:r>
        <w:rPr>
          <w:rFonts w:ascii="Arial" w:cs="Arial" w:eastAsia="Arial" w:hAnsi="Arial"/>
          <w:sz w:val="18"/>
          <w:szCs w:val="18"/>
          <w:i w:val="1"/>
          <w:iCs w:val="1"/>
          <w:color w:val="auto"/>
        </w:rPr>
        <w:t>See Note 14 to the Audited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above, income from operations increased by $81.2 million, or 67.0%, from $121.2 million for the year ended December 31, 2013 ($130.2 million excluding restructuring charges) to $202.4 million for the year ended December 31, 2014 ($211.1 million, or 62.2% excluding restructuring charges). As a percentage of net revenue, income from operations increased from 9.1% of net revenues for the year ended December 31, 2013 (9.7% excluding restructuring charges) to 13.4% of net revenues for year ended December 31, 2014 (14.0% excluding restructuring charges).</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from operations in Ireland increased from $81.8 million for the year ended December 31, 2013 ($82.9 million excluding the impact of restructuring and other charges), to $138.2 million for year ended December 31, 2014 ($138.2 million excluding the impact of restructuring and other charges). Income from operations in Ireland and other geographic regions are impacted by the Company’s global transfer pricing model. Previous strategic investment in personnel and related infrastructure together with enhanced operating processes and the successful leveraging of our support costs in 2014, has resulted in a decrease of the proportion of the Group’s net revenue being used to support other Group entities and a corresponding increase in income from operations in Ireland in 2014.</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Rest of Europe region, income from operations increased by $11.7 million, from $2.8 million for the year ended December 31, 2013 to $14.4 million for the year ended December 31, 2014. Excluding restructuring charges recorded income from operations in the Rest of Europe increased by $17.0 million, from $6.3 million for the year ended December 31, 2013 to $23.3 million for the year ended December 31, 2014. As a percentage of net revenues income from operations increased from 0.8% (1.9% excluding restructuring charges) for the year ended December 31, 2013 to 3.9% (6.2% excluding restructuring charges) for the year ended December 31, 2014. During 2013, the Company undertook a commercial review of its Early Phase business, the result of which was the decision to close the Company’s Phase 1 European service offering in the United Kingdom. Consequently, this entity stopped providing services to ICON Ireland, and in line with the Company’s transfer pricing policy, the entity was removed from the global transfer pricing model. Subsequent third party expenses incurred by this entity were not reimbursed under the cost plus model. With the closure of this facility in 2013 the same level of operational costs were not incurred in 2014, thereby contributing to higher income from operations in the current year.</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U.S. region, income from operations increased by $9.6 million or 32.5%, from $29.5 million for the year ended December 31, 2013 to $39.1 million for the year ended December 31, 2014. Excluding restructuring charges recorded income from operations in the U.S. increased by $5.5 million, from $33.6 million for the year ended December 31, 2013 to $39.1 million for the year ended December 31, 2014. As a percentage of net revenues income from operations in the U.S. region increased from 5.1% (5.8% excluding restructuring charges) for the year ended December 31, 2013 to 6.4% (6.4% excluding restructuring charges) for the year ended December 31, 2014. The increase in operating income as a percentage of net revenues arose predominately from the closure of the Company’s Phase I facility in Omaha, Nebraska during 2013 and the consolidation of US Phase I capabilities into the Company’s expanded Phase I facility in San Antonio, Texas.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both"/>
        <w:spacing w:after="0" w:line="250" w:lineRule="auto"/>
        <w:rPr>
          <w:sz w:val="20"/>
          <w:szCs w:val="20"/>
          <w:color w:val="auto"/>
        </w:rPr>
      </w:pPr>
      <w:r>
        <w:rPr>
          <w:rFonts w:ascii="Arial" w:cs="Arial" w:eastAsia="Arial" w:hAnsi="Arial"/>
          <w:sz w:val="18"/>
          <w:szCs w:val="18"/>
          <w:color w:val="auto"/>
        </w:rPr>
        <w:t>In other regions, income from operations increased by $3.6 million from $7.1 million for the year ended December 31, 2013 to $10.6 million for the year ended December 31, 2014. Excluding restructuring charges recorded income from operations in other regions increased by $3.1 million, from $7.5 million for the year ended December 31, 2013 to $10.6 million for the year ended December 31, 2014. As a percentage of net revenues, income from operations in the other regions increased from 4.8% (5.1% excluding restructuring charges) for the year ended December 31, 2013 to 6.5% (6.5% excluding restructuring charges) for the year ended December 31, 2014. The increase in operating income as a percentage of net revenues is due to the distribution in revenues amongst different locations within the regions.</w:t>
      </w:r>
    </w:p>
    <w:p>
      <w:pPr>
        <w:spacing w:after="0" w:line="221"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Interest expense decreased from $1.3 million for the year ended December 31, 2013 to $0.8 million for the year ended December 31, 2014. Interest income for the year ended December 31, 2014 increased from $1.0 million for the year ended December 31, 2013 to $1.2 million for the year ended December 31, 2014.</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 for income taxes for the period increased from $18.1 million for the year ended December 31, 2013 ($19.9 million excluding the impact of restructuring charges) to $30.2 million ($30.2 million excluding the impact of restructuring charges) for the year ended December 31, 2014. The Company’s effective tax rate for the year ended December 31, 2014 was 14.9% (14.3% excluding the impact of restructuring charges) compared with 14.9% (15.3% excluding the impact of restructuring charges) for the year ended December 31, 2013. The Company’s effective tax rate is principally a function of the distribution of pre-tax profits in the territories in which it operates.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revenue for the year increased by $221.1 million, or 19.8%, from $1,115.0 million for the year ended December 31, 2012 to $1,336.1 million for the year ended December 31, 2013. In total, the Company had five strategic relationships in place in 2012 and 2013. In 2012, net revenue earned from these five customers equated to $512.9 million and in 2013 net revenue earned increased to $670.7 million, accounting for $157.8 million of the increase in net revenue in 2013. The largest of these customers related to a Strategic Partnership with a large global Pharmaceutical company, signed in May 2011. Given the size of this new partnership it was always envisaged that it would take 18 to 24 months for the model to be fully implemented and that the Company would see significant incremental revenue growth over this period. In 2012 and 2013, net revenue from this customer directly contributed 18% ($197.4 million) and 26% ($346.1 million), respectively, of the Company’s net revenue for the year. The majority of the residual increase in net revenue in 2013 relates to revenue delivered as a result of the 2013 acquisition of the clinical trials services division of Cross Country Healthcare Inc.</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 in Ireland increased from $172.0 million for the year ended December 31, 2012 to $272.7 million for the year ended December 31, 2013. During the same period, net revenue for the Rest of Europe decreased from $338.5 million to $333.5 million, net revenue for U.S. increased from $471.7 million to $582.2 million and net revenue for other regions increased from $132.8 million to $147.6 million.</w:t>
      </w:r>
    </w:p>
    <w:p>
      <w:pPr>
        <w:spacing w:after="0" w:line="21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Net revenue in Ireland is principally a function of the Company’s global transfer pricing model. Previous strategic investment in personnel and related infrastructure complemented with enhanced operating processes and the successful leveraging of our support costs in 2013 has resulted in a decrease of the proportion of the Group’s net revenue being used to support other Group entities and a corresponding increase in net revenue in Ireland in the current year.</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Net revenue in the Rest of Europe decreased by $5 million for the year ended December 31, 2013 compared to the year ended December 31, 2012. The decrease represents growth in expenses in the region, which are remunerated as discussed in Note 17, Business Segment Information, offset by certain Rest of Europe expenses incurred during 2013 which were not eligible for the Group’s global transfer pricing model.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in the U.S. region increased by $110.5 million for the year ended December 31, 2013 compared to the year ended December 31, 2012. As a result of a large significant strategic partnership, signed in May 2011, the Company executed a greater proportion of its work in 2013 in the US region compared to 2012, accounting for the majority of the revenue increase. In addition, during 2013, the Company acquired the clinical trials services division of Cross Country Healthcare Inc, which is primarily a U.S.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ind w:right="280"/>
        <w:spacing w:after="0" w:line="266" w:lineRule="auto"/>
        <w:rPr>
          <w:sz w:val="20"/>
          <w:szCs w:val="20"/>
          <w:color w:val="auto"/>
        </w:rPr>
      </w:pPr>
      <w:r>
        <w:rPr>
          <w:rFonts w:ascii="Arial" w:cs="Arial" w:eastAsia="Arial" w:hAnsi="Arial"/>
          <w:sz w:val="18"/>
          <w:szCs w:val="18"/>
          <w:color w:val="auto"/>
        </w:rPr>
        <w:t>Net revenue for other regions increased by $14.8 million for the year ended December 31, 2013 compared to the year ended December 31, 2012. This rate of increase is in line with the overall organic growth of the Company.</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Direct costs for the year increased by $127.7 million, or 17.8%, from $717.7 million for the year ended December 31, 2012 to $845.4 million for the year ended December 31, 2013.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$131.3 million offset by a decrease in other direct project related costs of $3.6 million. As a percentage of net revenue, direct costs have decreased from 64.4% for the year ended December 31, 2012 to 63.3% for the year ended December 31, 2013.</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general and administrative expenses for the year increased by $33.1 million, or 11.8%, from $280.8 million for the year ended December 31, 2012 to $313.9 million for the year ended December 31, 2013.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 for the period arose primarily from an increase in personnel related expenditure, including bonuses of $24.1 million, an increase in facilities and related costs of $4.9 million and an increase in other general overhead costs of $4.1 million. The increase in selling, general and administrative expenses are inclusive of amounts in relation to the clinical trial services division of Cross County Healthcare Inc. since acquisition. As a percentage of net revenue, selling, general and administrative expenses, decreased from 25.2% for the year ended December 31, 2012 to 23.5% for the year ended December 31, 2013.</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Total share based compensation expense recognized during the years ended December 31, 2013 and December 31, 2012 amounted to $14.2 million and $11.5 million respectively.</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Depreciation expense for the period increased by $3.8 million, or 10.7%, from $35.2 million for the year ended December 31, 2012 to $39.0 million for the year ended December 31, 2013 and principally arises from an investment in facilities, information systems and equipment to support the Company’s growth. As a percentage of net revenue, depreciation expense decreased from 3.1% of net revenues for the year ended December 31, 2012 to 2.9% for the year ended December 31, 2013. Amortization expense for the year decreased by $0.1 million, or 1%, from $7.6 million for the year ended December 31, 2012 to $7.5 million for the year ended December 31, 2013. Amortization expense represents the amortization of intangible assets acquired on business combinations. The decrease in the amortization expense in the current period is primarily a result of certain intangible assets acquired from the acquisitions of Firecrest and Oxford Outcomes being fully amortized during the year ended 31 December 2012. This was offset by the intangible assets acquired from the acquisition of the clinical trial services division of Cross Country Healthcare Inc. during the three months ended March 31, 2013. As a percentage of net revenue, amortization expense decreased from 0.7% of net revenues for the year ended December, 2012 to 0.6% of net revenues for the year ended December 31, 2013.</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Restructuring and other items of $9.0 million were recorded during the year ended December 31,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w:t>
      </w:r>
      <w:r>
        <w:rPr>
          <w:rFonts w:ascii="Arial" w:cs="Arial" w:eastAsia="Arial" w:hAnsi="Arial"/>
          <w:sz w:val="18"/>
          <w:szCs w:val="18"/>
          <w:i w:val="1"/>
          <w:iCs w:val="1"/>
          <w:color w:val="auto"/>
        </w:rPr>
        <w:t>see note 14 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non-recurring items for further information).</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above, income from operations increased by $53.2 million, or 78.1%, from $68.0 million for the year ended December 31, 2012 ($73.7 million excluding restructuring charges) to $121.2 million for the year ended December 31, 2013 ($130.2 million, or 76.8% excluding restructuring charges). As a percentage of net revenue, income from operations increased from 6.1% of net revenues for the year ended December 31, 2012 (6.6% excluding restructuring charges) to 9.1% of net revenues for year ended December 31, 2013 (9.7% excluding restructuring charges).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both"/>
        <w:spacing w:after="0" w:line="250" w:lineRule="auto"/>
        <w:rPr>
          <w:sz w:val="20"/>
          <w:szCs w:val="20"/>
          <w:color w:val="auto"/>
        </w:rPr>
      </w:pPr>
      <w:r>
        <w:rPr>
          <w:rFonts w:ascii="Arial" w:cs="Arial" w:eastAsia="Arial" w:hAnsi="Arial"/>
          <w:sz w:val="18"/>
          <w:szCs w:val="18"/>
          <w:color w:val="auto"/>
        </w:rPr>
        <w:t>Income from operations in Ireland increased from a profit of $9.7 million for the year ended December 31, 2012 ($11.7 million excluding the impact of restructuring and other charges), to a profit of $81.8 million for year ended December 31, 2013 ($82.9 million excluding the impact of restructuring and other charges). Income/ (losses) from operations in Ireland and other geographic regions are impacted by the Group’s global transfer pricing model. Previous strategic investment in personnel and related infrastructure complemented with enhanced operating processes and the successful leveraging of our support costs in 2013 has resulted in a decrease of the proportion of the Group’s net revenue being used to support other Group entities and a corresponding increase in profit from operations in Ireland in 2013.</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the Rest of Europe, income from operations decreased by $26.4 million for the year ended December 31, 2013 compared to the year ended December 31, 2012. This decrease is driven primarily by two main items. Firstly, the cost plus mark-up paid to the majority of Rest of Europe entities decreased with effect from late 2012 with the full year effect in 2013. This accounted for circa $3 million of the decrease from the Rest of Europe income from operations between 2012 and 2013. The cost plus mark-up margin paid to the Rest of Europe entities is reviewed annually as described in Note 17, </w:t>
      </w:r>
      <w:r>
        <w:rPr>
          <w:rFonts w:ascii="Arial" w:cs="Arial" w:eastAsia="Arial" w:hAnsi="Arial"/>
          <w:sz w:val="16"/>
          <w:szCs w:val="16"/>
          <w:i w:val="1"/>
          <w:iCs w:val="1"/>
          <w:color w:val="auto"/>
        </w:rPr>
        <w:t>Business Segment Information</w:t>
      </w:r>
      <w:r>
        <w:rPr>
          <w:rFonts w:ascii="Arial" w:cs="Arial" w:eastAsia="Arial" w:hAnsi="Arial"/>
          <w:sz w:val="16"/>
          <w:szCs w:val="16"/>
          <w:color w:val="auto"/>
        </w:rPr>
        <w:t>.</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Secondly, during 2013, the Company undertook a commercial review of its Early Phase business, the result of which was the decision to close the Company’s Phase 1 European service offering in the UK. Consequently, this entity stopped providing services to ICON Ireland, and in line with the Company’s transfer pricing policy, the entity was removed from the global transfer pricing model. Subsequent third party expenses incurred by this entity were not reimbursed under the cost plus model. The removal of the UK entity from the global transfer pricing model resulted in a $20.2 million decrease in Rest of Europe income from operations between 2012 and 2013.</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the U.S. region, income from operations increased by $8.5 million for the year ended December 31, 2013 compared to the year ended December 31, 2012. U.S. operating costs increased by $100.8 million in 2013 compared with 2012, primarily driven by headcount increases. As the US operates on a cost plus mark up the increase in cost resulted in an increase in income from operations as the underlying cost base increased.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Other regions, income from operations decreased by $1 million for the year ended December 31, 2013 compared to the year ended December 31, 2012. Similarly to the other geographical regions, this was mainly a result a change in the mark-up which was applied under the Company’s global transfer pricing model.</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expense decreased from $1.9 million for the year ended December 31, 2012 to $1.3 million for the year ended December 31, 2013. Interest expense for the year ended December 31, 2013 includes $0.2 million in respect of non-cash finance charges relating to acquisition contingent consideration compared to $0.9 million recognized during the year ended December 31, 2012. Interest income for the year ended December 31, 2013 decreased from $1.2 million for the year ended December 31, 2012 to $1.0 million for the year ended December 31, 2013. Even though our U.S. dollar cash balances increased significantly during the year, a historical low level of interest rates payable on U.S. dollars resulted in a reduction of our interest income in comparison to 2012.</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 for income taxes for the period increased from $11.8 million for the year ended December 31, 2012 ($12.5 million excluding the impact of restructuring charges) to $18.1 million ($19.9 million excluding the impact of restructuring charges) for the year ended December 31, 2013. The Company’s effective tax rate for the year ended December 31, 2013 was 14.9% (15.3% excluding the impact of restructuring charges) compared with 17.6% (17.2% excluding the impact of restructuring charges) for the year ended December 31, 2012. The Company’s effective tax rate is principally a function of the distribution of pre-tax profits in the territories in which it operates.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both"/>
        <w:spacing w:after="0" w:line="268" w:lineRule="auto"/>
        <w:rPr>
          <w:sz w:val="20"/>
          <w:szCs w:val="20"/>
          <w:color w:val="auto"/>
        </w:rPr>
      </w:pPr>
      <w:r>
        <w:rPr>
          <w:rFonts w:ascii="Arial" w:cs="Arial" w:eastAsia="Arial" w:hAnsi="Arial"/>
          <w:sz w:val="17"/>
          <w:szCs w:val="17"/>
          <w:color w:val="auto"/>
        </w:rPr>
        <w:t>The Company’s cash and short term investment balances at December 31, 2014 amounted to $216.0 million compared with cash and short term investment balances of $320.8 million at December 31, 2013. The Company’s cash and short term investment balances at December 31, 2014 comprised cash and cash equivalents $118.9 million and short-term investments $97.1 million. The Company’s cash and short-term investment balances at December 31, 2013 comprised cash and cash equivalents $182.5 million and short-term investments $138.3 million. During the year ended December 31, 2014, the Company closed the acquisition of Aptiv Solutions resulting in a cash outflow totalling $121.1 million ($143.5 million including certain payments totalling $22.4 million which were made on behalf of the company on completion of the acquisition).</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June 30, 2014 the Company entered into a five year committed multi currency revolving credit facility for $100.0 million with Citibank, JP Morgan, Santander and Barclays Bank. Each bank subject to the agreement has committed $25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$100.0 million at December 31, 2014. This replaced all other facilities in place at that date.</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cash provided by operating activities was $169.9 million for the year ended December 31, 2014 compared with net cash provided by operating activities of $221.2 million for the year ended December 31, 2013.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2014 was 40 days compared to 32 days at December 31, 2013.</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was $112.3 million for the year ended December 31, 2014 compared to net cash used in investing activities of $184.4 million for the year ended December 31, 2013. Net cash used in the year ended December 31, 2014 arose principally from cash paid for acquisitions, capital expenditures and the purchase of short-term investments.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year ended December 31, 2014 the Company completed the acquisition of Aptiv Solutions for a cash consideration of $143.5 million including certain payments totalling $22.4 million which were made on behalf of the company on completion of the acquisition.The acquisition agreement also provided for a net working capital adjustment to the purchase price for certain working capital targets to be achieved on completion </w:t>
      </w:r>
      <w:r>
        <w:rPr>
          <w:rFonts w:ascii="Arial" w:cs="Arial" w:eastAsia="Arial" w:hAnsi="Arial"/>
          <w:sz w:val="18"/>
          <w:szCs w:val="18"/>
          <w:i w:val="1"/>
          <w:iCs w:val="1"/>
          <w:color w:val="auto"/>
        </w:rPr>
        <w:t>(See note 4 Goodwill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relating to the acquisition)</w:t>
      </w:r>
      <w:r>
        <w:rPr>
          <w:rFonts w:ascii="Arial" w:cs="Arial" w:eastAsia="Arial" w:hAnsi="Arial"/>
          <w:sz w:val="18"/>
          <w:szCs w:val="18"/>
          <w:color w:val="auto"/>
        </w:rPr>
        <w:t>.</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 for the year ended December 31, 2014 amounted to $32.8 million, and comprised mainly of expenditure on global infrastructure and information technology systems to support the Company’s growth. During the year ended December 31, 2014 the Company received a net $41.2 million from the sale of short-term investments.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used by financing activities during the year ended December 31, 2014 amounted to $116.4 million compared with net cash provided by financing activities of $28.8 million for the year ended December 31, 2013. Net cash used in financing activities during the year ended December 31, 2014 increased primarily from cash paid amounting to $141.1 million (inclusive of share repurchase costs) to repurchase shares under the Company’s share repurchase plan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12 Share Capital for further information). </w:t>
      </w:r>
      <w:r>
        <w:rPr>
          <w:rFonts w:ascii="Arial" w:cs="Arial" w:eastAsia="Arial" w:hAnsi="Arial"/>
          <w:sz w:val="18"/>
          <w:szCs w:val="18"/>
          <w:color w:val="auto"/>
        </w:rPr>
        <w:t>This was offset by cash received amounting to $22.3 million from the exercise of stock options.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during the year ended December 31, 2013 increased primarily from the $27.0 million received from the exercise of stock options.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ind w:right="220"/>
        <w:spacing w:after="0" w:line="266" w:lineRule="auto"/>
        <w:rPr>
          <w:sz w:val="20"/>
          <w:szCs w:val="20"/>
          <w:color w:val="auto"/>
        </w:rPr>
      </w:pPr>
      <w:r>
        <w:rPr>
          <w:rFonts w:ascii="Arial" w:cs="Arial" w:eastAsia="Arial" w:hAnsi="Arial"/>
          <w:sz w:val="18"/>
          <w:szCs w:val="18"/>
          <w:color w:val="auto"/>
        </w:rPr>
        <w:t>As a result of these cash flows, cash and cash equivalents decreased by $63.6 million for the year ended December 31, 2014 compared to an increase of $68.5 million for the year ended December 31, 2013.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rPr>
              <w:t>Payments due by period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4"/>
              </w:rPr>
              <w:t>Less than 1</w:t>
            </w:r>
          </w:p>
        </w:tc>
        <w:tc>
          <w:tcPr>
            <w:tcW w:w="6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1 to 3</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More than</w:t>
            </w:r>
          </w:p>
        </w:tc>
      </w:tr>
      <w:tr>
        <w:trPr>
          <w:trHeight w:val="213"/>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6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years</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 years</w:t>
            </w:r>
          </w:p>
        </w:tc>
      </w:tr>
      <w:tr>
        <w:trPr>
          <w:trHeight w:val="230"/>
        </w:trPr>
        <w:tc>
          <w:tcPr>
            <w:tcW w:w="3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(U.S.$ in millions)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r>
      <w:tr>
        <w:trPr>
          <w:trHeight w:val="219"/>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and Non-current tax liabilities</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r>
      <w:tr>
        <w:trPr>
          <w:trHeight w:val="213"/>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3"/>
        </w:trPr>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(U.S.$ in millions)</w:t>
            </w:r>
          </w:p>
        </w:tc>
        <w:tc>
          <w:tcPr>
            <w:tcW w:w="14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204.6</w:t>
            </w:r>
          </w:p>
        </w:tc>
        <w:tc>
          <w:tcPr>
            <w:tcW w:w="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4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r>
    </w:tbl>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to spend approximately $47.5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215" w:lineRule="exact"/>
        <w:rPr>
          <w:sz w:val="20"/>
          <w:szCs w:val="20"/>
          <w:color w:val="auto"/>
        </w:rPr>
      </w:pPr>
    </w:p>
    <w:p>
      <w:pPr>
        <w:jc w:val="both"/>
        <w:spacing w:after="0" w:line="363" w:lineRule="auto"/>
        <w:rPr>
          <w:sz w:val="20"/>
          <w:szCs w:val="20"/>
          <w:color w:val="auto"/>
        </w:rPr>
      </w:pPr>
      <w:r>
        <w:rPr>
          <w:rFonts w:ascii="Arial" w:cs="Arial" w:eastAsia="Arial" w:hAnsi="Arial"/>
          <w:sz w:val="14"/>
          <w:szCs w:val="14"/>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review our goodwill for impairment annually, or more frequently if facts or circumstances warrant such a review. We evaluate goodwill for impairment by firstly comparing the fair value of each reporting segment to its carrying value. Fair value is determined using the market approach, by assessing the market value of each reporting unit. If the carrying amount exceeds the fair value then a second step is completed which involves the fair value of the reporting unit being allocated to each asset and liability with the excess being implied goodwill. If the implied goodwill is lower than its carrying amount, goodwill is impaired and written down to its implied fair value.</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estimates and judgments are required in allocating the fair value of the reporting unit to each asset and liability. If we were to use different estimates or judgments a material impairment charge to the statement of operations could arise. We believe that we have used reasonable estimates and judgments in assessing the carrying value of our goodwill.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earn revenues by providing a number of different services to our clients. These services include clinical trials management, biometric activities, consulting, imaging, contract staffing, informatics and laboratory services. Revenue for services, as rendered, are recognized only after persuasive evidence of an arrangement exists, the sales price is fixed or determinable and collectability is reasonably assured.</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invoice our customers upon achievement of specified contractual milestones. This mechanism, which allows us to receive payment from our customers throughout the duration of the contract, may not be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this would impact on the fair presentation of our future results.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1"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In addition, we are also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Pronouncements</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Income Statement - Extraordinary and Unusual Items (Subtopic 225-20): Simplifying Income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by Eliminating the Concept of Extraordinary Items. </w:t>
      </w:r>
      <w:r>
        <w:rPr>
          <w:rFonts w:ascii="Arial" w:cs="Arial" w:eastAsia="Arial" w:hAnsi="Arial"/>
          <w:sz w:val="17"/>
          <w:szCs w:val="17"/>
          <w:color w:val="auto"/>
        </w:rPr>
        <w:t>ASU 2015-01 eliminates the separate presentation of extraordinary items, net of tax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earnings per share, but does not affect the requirement to disclose material items that are unusual in nature or infrequently occurring. The amendments in ASU 2015-01 are effective for fiscal years, and interim periods within those years, beginning after December 15, 2015. The Company does not expect the adoption of ASU 2015-01 to have a material impact on the financial statements.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Compensation—Stock Compensation (Topic 718): Accounting for Share-Based Payments When the Terms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Award Provide That a Performance Target Could Be Achieved after the Requisite Service Period (a consensus of the FASB Emerging Issues Task Force). </w:t>
      </w:r>
      <w:r>
        <w:rPr>
          <w:rFonts w:ascii="Arial" w:cs="Arial" w:eastAsia="Arial" w:hAnsi="Arial"/>
          <w:sz w:val="16"/>
          <w:szCs w:val="16"/>
          <w:color w:val="auto"/>
        </w:rPr>
        <w:t xml:space="preserve">ASU 2014-12 requires a reporting entity to treat a performance target that affects vesting and that could be achieved after the requisite service period as a performance condition. A reporting entity should apply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to awards with performance conditions that affect vesting. ASU 2014-12 requires a reporting entity to treat a performance target that affects vesting and that could be achieved after the requisite service period as a performance condition. A reporting entity should apply FASB ASC Topic 718, Compensation—Stock Compensation, to awards with performance conditions that affect vesting. The amendments in ASU 2014-12 are effective for fiscal years, and interim periods within those years, beginning after December 15, 2015. The Company does not expect the adoption of ASU 2014-18 to have a material impact on the financial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provides a five-step analysis of transactions to determine when and how revenue is recognized. The ASU will require many companies to use more judgment than under current U.S. GAAP. The amendments in ASU 2014-09 are effective for fiscal years, and interim periods within those years, beginning after December 15, 2016. The Company does not expect the adoption of ASU 2014-09 to have a material impact on the financial statements.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July 2013, the FASB issued ASU No. 2013-11, Income Taxes (Topic 740): </w:t>
      </w:r>
      <w:r>
        <w:rPr>
          <w:rFonts w:ascii="Arial" w:cs="Arial" w:eastAsia="Arial" w:hAnsi="Arial"/>
          <w:sz w:val="17"/>
          <w:szCs w:val="17"/>
          <w:i w:val="1"/>
          <w:iCs w:val="1"/>
          <w:color w:val="auto"/>
        </w:rPr>
        <w:t>Presentation of an Unrecognized Tax Benefit When a Net Operating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Carryforward, a Similar Tax Loss, or a Tax Credit Carryforward Exists. </w:t>
      </w:r>
      <w:r>
        <w:rPr>
          <w:rFonts w:ascii="Arial" w:cs="Arial" w:eastAsia="Arial" w:hAnsi="Arial"/>
          <w:sz w:val="17"/>
          <w:szCs w:val="17"/>
          <w:color w:val="auto"/>
        </w:rPr>
        <w:t>ASU 2013-11 requires an entity to present an unrecognized tax benefit, or a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ASU 2013-11 are effective for fiscal years, and interim periods within those years, beginning after December 15, 2013. The adoption of ASU 2013-11 did not have a material impact on the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6"/>
          <w:szCs w:val="16"/>
          <w:color w:val="auto"/>
        </w:rPr>
        <w:t xml:space="preserve">In March 2013, the FASB issued ASU No. 2013-05, Foreign Currency Matters (Topic 830): </w:t>
      </w:r>
      <w:r>
        <w:rPr>
          <w:rFonts w:ascii="Arial" w:cs="Arial" w:eastAsia="Arial" w:hAnsi="Arial"/>
          <w:sz w:val="16"/>
          <w:szCs w:val="16"/>
          <w:i w:val="1"/>
          <w:iCs w:val="1"/>
          <w:color w:val="auto"/>
        </w:rPr>
        <w:t>Parent’s Accounting for the Cumulative Translation Adjustment</w:t>
      </w:r>
      <w:r>
        <w:rPr>
          <w:rFonts w:ascii="Arial" w:cs="Arial" w:eastAsia="Arial" w:hAnsi="Arial"/>
          <w:sz w:val="16"/>
          <w:szCs w:val="16"/>
          <w:color w:val="auto"/>
        </w:rPr>
        <w:t xml:space="preserve"> </w:t>
      </w:r>
      <w:r>
        <w:rPr>
          <w:rFonts w:ascii="Arial" w:cs="Arial" w:eastAsia="Arial" w:hAnsi="Arial"/>
          <w:sz w:val="16"/>
          <w:szCs w:val="16"/>
          <w:i w:val="1"/>
          <w:iCs w:val="1"/>
          <w:color w:val="auto"/>
        </w:rPr>
        <w:t>upon Derecognition of Certain Subsidiaries or Groups of Assets within a Foreign Entity or of an Investment in a Foreign Entity</w:t>
      </w:r>
      <w:r>
        <w:rPr>
          <w:rFonts w:ascii="Arial" w:cs="Arial" w:eastAsia="Arial" w:hAnsi="Arial"/>
          <w:sz w:val="16"/>
          <w:szCs w:val="16"/>
          <w:color w:val="auto"/>
        </w:rPr>
        <w:t>. When a reporting entity</w:t>
      </w:r>
      <w:r>
        <w:rPr>
          <w:rFonts w:ascii="Arial" w:cs="Arial" w:eastAsia="Arial" w:hAnsi="Arial"/>
          <w:sz w:val="16"/>
          <w:szCs w:val="16"/>
          <w:i w:val="1"/>
          <w:iCs w:val="1"/>
          <w:color w:val="auto"/>
        </w:rPr>
        <w:t xml:space="preserve"> </w:t>
      </w:r>
      <w:r>
        <w:rPr>
          <w:rFonts w:ascii="Arial" w:cs="Arial" w:eastAsia="Arial" w:hAnsi="Arial"/>
          <w:sz w:val="16"/>
          <w:szCs w:val="16"/>
          <w:color w:val="auto"/>
        </w:rPr>
        <w:t>(parent) ceases to have a controlling financial interest in a subsidiary or group of assets that is a nonprofit activity or a business (other than a sale of in substance real estate or conveyance of oil and gas mineral rights) within a foreign entity, the parent is required to apply the guidance in Subtopic 830-30 to release any related cumulative translation adjustment into net income. Accordingly, the cumulative translation adjustment should be released into net income only if the sale or transfer results in the complete or substantially complete liquidation of the foreign entity in which the subsidiary or group of assets had resided. For an equity method investment that is a foreign entity, a pro rata portion of the cumulative translation adjustment should be released into net income upon a partial sale of such an equity method investment. However, this treatment does not apply to an equity method investment that is not a foreign entity. In those instances, the cumulative translation adjustment is released into net income only if the partial sale represents a complete or substantially complete liquidation of the foreign entity that contains the equity method investment. The amendments in ASU 2013-05 are effective prospectively for fiscal years, and interim periods within those years, beginning after December 15, 2013. The adoption of ASU 2013-05 did not have a material impact on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Directors and Senior Management</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March 12, 2015.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0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Age</w:t>
            </w:r>
          </w:p>
        </w:tc>
        <w:tc>
          <w:tcPr>
            <w:tcW w:w="58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Position</w:t>
            </w:r>
          </w:p>
        </w:tc>
      </w:tr>
      <w:tr>
        <w:trPr>
          <w:trHeight w:val="21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Thomas Lynch (2)(3)(4)(5)</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58</w:t>
            </w:r>
          </w:p>
        </w:tc>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Chairman of the Board, Director</w:t>
            </w:r>
          </w:p>
        </w:tc>
      </w:tr>
      <w:tr>
        <w:trPr>
          <w:trHeight w:val="213"/>
        </w:trPr>
        <w:tc>
          <w:tcPr>
            <w:tcW w:w="3540" w:type="dxa"/>
            <w:vAlign w:val="bottom"/>
          </w:tcPr>
          <w:p>
            <w:pPr>
              <w:spacing w:after="0"/>
              <w:rPr>
                <w:sz w:val="20"/>
                <w:szCs w:val="20"/>
                <w:color w:val="auto"/>
              </w:rPr>
            </w:pPr>
            <w:r>
              <w:rPr>
                <w:rFonts w:ascii="Arial" w:cs="Arial" w:eastAsia="Arial" w:hAnsi="Arial"/>
                <w:sz w:val="18"/>
                <w:szCs w:val="18"/>
                <w:color w:val="auto"/>
              </w:rPr>
              <w:t>Ciaran Murray (1)(5)</w:t>
            </w:r>
          </w:p>
        </w:tc>
        <w:tc>
          <w:tcPr>
            <w:tcW w:w="2040" w:type="dxa"/>
            <w:vAlign w:val="bottom"/>
          </w:tcPr>
          <w:p>
            <w:pPr>
              <w:ind w:left="1040"/>
              <w:spacing w:after="0"/>
              <w:rPr>
                <w:sz w:val="20"/>
                <w:szCs w:val="20"/>
                <w:color w:val="auto"/>
              </w:rPr>
            </w:pPr>
            <w:r>
              <w:rPr>
                <w:rFonts w:ascii="Arial" w:cs="Arial" w:eastAsia="Arial" w:hAnsi="Arial"/>
                <w:sz w:val="18"/>
                <w:szCs w:val="18"/>
                <w:color w:val="auto"/>
              </w:rPr>
              <w:t>52</w:t>
            </w:r>
          </w:p>
        </w:tc>
        <w:tc>
          <w:tcPr>
            <w:tcW w:w="5840" w:type="dxa"/>
            <w:vAlign w:val="bottom"/>
          </w:tcPr>
          <w:p>
            <w:pPr>
              <w:ind w:left="720"/>
              <w:spacing w:after="0"/>
              <w:rPr>
                <w:sz w:val="20"/>
                <w:szCs w:val="20"/>
                <w:color w:val="auto"/>
              </w:rPr>
            </w:pPr>
            <w:r>
              <w:rPr>
                <w:rFonts w:ascii="Arial" w:cs="Arial" w:eastAsia="Arial" w:hAnsi="Arial"/>
                <w:sz w:val="18"/>
                <w:szCs w:val="18"/>
                <w:color w:val="auto"/>
              </w:rPr>
              <w:t>Chief Executive Officer, Director</w:t>
            </w:r>
          </w:p>
        </w:tc>
      </w:tr>
      <w:tr>
        <w:trPr>
          <w:trHeight w:val="21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Brendan Brennan (1)(5)</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36</w:t>
            </w:r>
          </w:p>
        </w:tc>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Chief Financial Officer</w:t>
            </w:r>
          </w:p>
        </w:tc>
      </w:tr>
      <w:tr>
        <w:trPr>
          <w:trHeight w:val="213"/>
        </w:trPr>
        <w:tc>
          <w:tcPr>
            <w:tcW w:w="3540" w:type="dxa"/>
            <w:vAlign w:val="bottom"/>
          </w:tcPr>
          <w:p>
            <w:pPr>
              <w:spacing w:after="0"/>
              <w:rPr>
                <w:sz w:val="20"/>
                <w:szCs w:val="20"/>
                <w:color w:val="auto"/>
              </w:rPr>
            </w:pPr>
            <w:r>
              <w:rPr>
                <w:rFonts w:ascii="Arial" w:cs="Arial" w:eastAsia="Arial" w:hAnsi="Arial"/>
                <w:sz w:val="18"/>
                <w:szCs w:val="18"/>
                <w:color w:val="auto"/>
              </w:rPr>
              <w:t>Dr. Steve Cutler (1)</w:t>
            </w:r>
          </w:p>
        </w:tc>
        <w:tc>
          <w:tcPr>
            <w:tcW w:w="2040" w:type="dxa"/>
            <w:vAlign w:val="bottom"/>
          </w:tcPr>
          <w:p>
            <w:pPr>
              <w:ind w:left="1040"/>
              <w:spacing w:after="0"/>
              <w:rPr>
                <w:sz w:val="20"/>
                <w:szCs w:val="20"/>
                <w:color w:val="auto"/>
              </w:rPr>
            </w:pPr>
            <w:r>
              <w:rPr>
                <w:rFonts w:ascii="Arial" w:cs="Arial" w:eastAsia="Arial" w:hAnsi="Arial"/>
                <w:sz w:val="18"/>
                <w:szCs w:val="18"/>
                <w:color w:val="auto"/>
              </w:rPr>
              <w:t>54</w:t>
            </w:r>
          </w:p>
        </w:tc>
        <w:tc>
          <w:tcPr>
            <w:tcW w:w="5840" w:type="dxa"/>
            <w:vAlign w:val="bottom"/>
          </w:tcPr>
          <w:p>
            <w:pPr>
              <w:ind w:left="720"/>
              <w:spacing w:after="0"/>
              <w:rPr>
                <w:sz w:val="20"/>
                <w:szCs w:val="20"/>
                <w:color w:val="auto"/>
              </w:rPr>
            </w:pPr>
            <w:r>
              <w:rPr>
                <w:rFonts w:ascii="Arial" w:cs="Arial" w:eastAsia="Arial" w:hAnsi="Arial"/>
                <w:sz w:val="18"/>
                <w:szCs w:val="18"/>
                <w:color w:val="auto"/>
              </w:rPr>
              <w:t>Chief Operating Officer</w:t>
            </w:r>
          </w:p>
        </w:tc>
      </w:tr>
      <w:tr>
        <w:trPr>
          <w:trHeight w:val="21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Dr. John Climax (6)</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62</w:t>
            </w:r>
          </w:p>
        </w:tc>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Director</w:t>
            </w:r>
          </w:p>
        </w:tc>
      </w:tr>
      <w:tr>
        <w:trPr>
          <w:trHeight w:val="213"/>
        </w:trPr>
        <w:tc>
          <w:tcPr>
            <w:tcW w:w="3540" w:type="dxa"/>
            <w:vAlign w:val="bottom"/>
          </w:tcPr>
          <w:p>
            <w:pPr>
              <w:spacing w:after="0"/>
              <w:rPr>
                <w:sz w:val="20"/>
                <w:szCs w:val="20"/>
                <w:color w:val="auto"/>
              </w:rPr>
            </w:pPr>
            <w:r>
              <w:rPr>
                <w:rFonts w:ascii="Arial" w:cs="Arial" w:eastAsia="Arial" w:hAnsi="Arial"/>
                <w:sz w:val="18"/>
                <w:szCs w:val="18"/>
                <w:color w:val="auto"/>
              </w:rPr>
              <w:t>Dr. Ronan Lambe (6)</w:t>
            </w:r>
          </w:p>
        </w:tc>
        <w:tc>
          <w:tcPr>
            <w:tcW w:w="2040" w:type="dxa"/>
            <w:vAlign w:val="bottom"/>
          </w:tcPr>
          <w:p>
            <w:pPr>
              <w:ind w:left="1040"/>
              <w:spacing w:after="0"/>
              <w:rPr>
                <w:sz w:val="20"/>
                <w:szCs w:val="20"/>
                <w:color w:val="auto"/>
              </w:rPr>
            </w:pPr>
            <w:r>
              <w:rPr>
                <w:rFonts w:ascii="Arial" w:cs="Arial" w:eastAsia="Arial" w:hAnsi="Arial"/>
                <w:sz w:val="18"/>
                <w:szCs w:val="18"/>
                <w:color w:val="auto"/>
              </w:rPr>
              <w:t>75</w:t>
            </w:r>
          </w:p>
        </w:tc>
        <w:tc>
          <w:tcPr>
            <w:tcW w:w="584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21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 (3)(6)</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59</w:t>
            </w:r>
          </w:p>
        </w:tc>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Director</w:t>
            </w:r>
          </w:p>
        </w:tc>
      </w:tr>
      <w:tr>
        <w:trPr>
          <w:trHeight w:val="213"/>
        </w:trPr>
        <w:tc>
          <w:tcPr>
            <w:tcW w:w="3540" w:type="dxa"/>
            <w:vAlign w:val="bottom"/>
          </w:tcPr>
          <w:p>
            <w:pPr>
              <w:spacing w:after="0"/>
              <w:rPr>
                <w:sz w:val="20"/>
                <w:szCs w:val="20"/>
                <w:color w:val="auto"/>
              </w:rPr>
            </w:pPr>
            <w:r>
              <w:rPr>
                <w:rFonts w:ascii="Arial" w:cs="Arial" w:eastAsia="Arial" w:hAnsi="Arial"/>
                <w:sz w:val="18"/>
                <w:szCs w:val="18"/>
                <w:color w:val="auto"/>
              </w:rPr>
              <w:t>Declan McKeon (3)(4)</w:t>
            </w:r>
          </w:p>
        </w:tc>
        <w:tc>
          <w:tcPr>
            <w:tcW w:w="2040" w:type="dxa"/>
            <w:vAlign w:val="bottom"/>
          </w:tcPr>
          <w:p>
            <w:pPr>
              <w:ind w:left="1040"/>
              <w:spacing w:after="0"/>
              <w:rPr>
                <w:sz w:val="20"/>
                <w:szCs w:val="20"/>
                <w:color w:val="auto"/>
              </w:rPr>
            </w:pPr>
            <w:r>
              <w:rPr>
                <w:rFonts w:ascii="Arial" w:cs="Arial" w:eastAsia="Arial" w:hAnsi="Arial"/>
                <w:sz w:val="18"/>
                <w:szCs w:val="18"/>
                <w:color w:val="auto"/>
              </w:rPr>
              <w:t>63</w:t>
            </w:r>
          </w:p>
        </w:tc>
        <w:tc>
          <w:tcPr>
            <w:tcW w:w="584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21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Professor William Hall (2)(3)(4)(6)</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65</w:t>
            </w:r>
          </w:p>
        </w:tc>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Director</w:t>
            </w:r>
          </w:p>
        </w:tc>
      </w:tr>
      <w:tr>
        <w:trPr>
          <w:trHeight w:val="213"/>
        </w:trPr>
        <w:tc>
          <w:tcPr>
            <w:tcW w:w="3540" w:type="dxa"/>
            <w:vAlign w:val="bottom"/>
          </w:tcPr>
          <w:p>
            <w:pPr>
              <w:spacing w:after="0"/>
              <w:rPr>
                <w:sz w:val="20"/>
                <w:szCs w:val="20"/>
                <w:color w:val="auto"/>
              </w:rPr>
            </w:pPr>
            <w:r>
              <w:rPr>
                <w:rFonts w:ascii="Arial" w:cs="Arial" w:eastAsia="Arial" w:hAnsi="Arial"/>
                <w:sz w:val="18"/>
                <w:szCs w:val="18"/>
                <w:color w:val="auto"/>
              </w:rPr>
              <w:t>Mary Pendergast (2)(6)</w:t>
            </w:r>
          </w:p>
        </w:tc>
        <w:tc>
          <w:tcPr>
            <w:tcW w:w="2040" w:type="dxa"/>
            <w:vAlign w:val="bottom"/>
          </w:tcPr>
          <w:p>
            <w:pPr>
              <w:ind w:left="1040"/>
              <w:spacing w:after="0"/>
              <w:rPr>
                <w:sz w:val="20"/>
                <w:szCs w:val="20"/>
                <w:color w:val="auto"/>
              </w:rPr>
            </w:pPr>
            <w:r>
              <w:rPr>
                <w:rFonts w:ascii="Arial" w:cs="Arial" w:eastAsia="Arial" w:hAnsi="Arial"/>
                <w:sz w:val="18"/>
                <w:szCs w:val="18"/>
                <w:color w:val="auto"/>
              </w:rPr>
              <w:t>64</w:t>
            </w:r>
          </w:p>
        </w:tc>
        <w:tc>
          <w:tcPr>
            <w:tcW w:w="584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21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Dr. Hugh Brady</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55</w:t>
            </w:r>
          </w:p>
        </w:tc>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Director</w:t>
            </w: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Diarmaid Cunningham</w:t>
            </w:r>
          </w:p>
        </w:tc>
        <w:tc>
          <w:tcPr>
            <w:tcW w:w="2040" w:type="dxa"/>
            <w:vAlign w:val="bottom"/>
          </w:tcPr>
          <w:p>
            <w:pPr>
              <w:ind w:left="1040"/>
              <w:spacing w:after="0"/>
              <w:rPr>
                <w:sz w:val="20"/>
                <w:szCs w:val="20"/>
                <w:color w:val="auto"/>
              </w:rPr>
            </w:pPr>
            <w:r>
              <w:rPr>
                <w:rFonts w:ascii="Arial" w:cs="Arial" w:eastAsia="Arial" w:hAnsi="Arial"/>
                <w:sz w:val="18"/>
                <w:szCs w:val="18"/>
                <w:color w:val="auto"/>
              </w:rPr>
              <w:t>40</w:t>
            </w:r>
          </w:p>
        </w:tc>
        <w:tc>
          <w:tcPr>
            <w:tcW w:w="5840" w:type="dxa"/>
            <w:vAlign w:val="bottom"/>
          </w:tcPr>
          <w:p>
            <w:pPr>
              <w:ind w:left="720"/>
              <w:spacing w:after="0"/>
              <w:rPr>
                <w:sz w:val="20"/>
                <w:szCs w:val="20"/>
                <w:color w:val="auto"/>
              </w:rPr>
            </w:pPr>
            <w:r>
              <w:rPr>
                <w:rFonts w:ascii="Arial" w:cs="Arial" w:eastAsia="Arial" w:hAnsi="Arial"/>
                <w:sz w:val="18"/>
                <w:szCs w:val="18"/>
                <w:color w:val="auto"/>
              </w:rPr>
              <w:t>General Counsel &amp; Company Secretary</w:t>
            </w:r>
          </w:p>
        </w:tc>
      </w:tr>
    </w:tbl>
    <w:p>
      <w:pPr>
        <w:spacing w:after="0" w:line="189"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16" w:lineRule="exact"/>
        <w:rPr>
          <w:rFonts w:ascii="Arial" w:cs="Arial" w:eastAsia="Arial" w:hAnsi="Arial"/>
          <w:sz w:val="18"/>
          <w:szCs w:val="18"/>
          <w:color w:val="auto"/>
        </w:rPr>
      </w:pPr>
    </w:p>
    <w:p>
      <w:pPr>
        <w:ind w:left="640" w:hanging="63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Quality Committee.</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Thomas Lynch </w:t>
      </w:r>
      <w:r>
        <w:rPr>
          <w:rFonts w:ascii="Arial" w:cs="Arial" w:eastAsia="Arial" w:hAnsi="Arial"/>
          <w:sz w:val="16"/>
          <w:szCs w:val="16"/>
          <w:color w:val="auto"/>
        </w:rPr>
        <w:t>was appointed Chairman of Board of the Company in January 2013. He has served as an outside director of the Company since August 1994.</w:t>
      </w:r>
      <w:r>
        <w:rPr>
          <w:rFonts w:ascii="Arial" w:cs="Arial" w:eastAsia="Arial" w:hAnsi="Arial"/>
          <w:sz w:val="16"/>
          <w:szCs w:val="16"/>
          <w:i w:val="1"/>
          <w:iCs w:val="1"/>
          <w:color w:val="auto"/>
        </w:rPr>
        <w:t xml:space="preserve"> </w:t>
      </w:r>
      <w:r>
        <w:rPr>
          <w:rFonts w:ascii="Arial" w:cs="Arial" w:eastAsia="Arial" w:hAnsi="Arial"/>
          <w:sz w:val="16"/>
          <w:szCs w:val="16"/>
          <w:color w:val="auto"/>
        </w:rPr>
        <w:t>Mr. Lynch served as Chairman and Chief Executive Officer of Amarin Corporation from December 2007 to December 2009. Mr Lynch retired from the Board of Amarin in October 2010 but continues to serve as Chairman of Amarin Pharmaceuticals Ireland Ltd. Mr. Lynch served in a variety of senior roles in Elan Corporation plc from 1993 to 2004. He was a director of IDA Ireland from 2001 to 2010 and of the Royal Opera House (Covent Garden) from 2001 to 2010. He currently serves as a director of GW Pharmaceuticals plc, is Chairman of the Ireland East Hospital Group, Dublin Academic Medical Centre and the Queens University of Belfast Foundation. He also serves as a board member of a number of public and privately held pharmaceutical companies. Mr Lynch graduated from Queens University of Belfast with a BSc in Economics and is a fellow of the Institute of the Chartered Accountants in Ireland.</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is the Chief Executive Officer of ICON plc. He joined ICON as Chief Financial Officer in 2005 and served in that capacity until his appointment</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Executive Officer in 2011. Mr. Murray is an executive with 30 years of leadership experience forged from a career spent operating in global markets in high-growth entrepreneurial companies and blue-chip multi-nationals, including PricewaterhouseCoopers, Kraft Foods, Novell Inc., Northern Foods and Codec DCC. Mr. Murray has also played a leadership role in advocating for safe, ethical high-quality research through his 2014 Chairmanship of the Association of Clinical Research Organisations (ACRO). ACRO represents the CRO industry globally to key stakeholders including pharmaceutical, biotech and medical device companies, regulators, legislators and patient groups. In 2014 Mr. Murray was named as a leader in CRO Innovation by PharmaVOICE100, a listing of the most influential people in the biopharma industry. Mr. Murray graduated with a Bachelor of Commerce degree from University College Dublin and he is a Fellow of the Institute of Chartered Accountants in Ireland. He was awarded an Honorary Degree of Doctor of Laws from University College Dublin in 2013 for his support of third level research and innovation in Ireland.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Brendan Brennan </w:t>
      </w:r>
      <w:r>
        <w:rPr>
          <w:rFonts w:ascii="Arial" w:cs="Arial" w:eastAsia="Arial" w:hAnsi="Arial"/>
          <w:sz w:val="18"/>
          <w:szCs w:val="18"/>
          <w:color w:val="auto"/>
        </w:rPr>
        <w:t>has served as Chief Financial Officer since February 2012. Mr. Brennan joined ICON in 2006 and he has served in a number of senior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roles in the Company including the role of Senior Vice President of Corporate Finance. Prior to this he developed his corporate finance experience in Cement Roadstone Holdings, a major Irish building materials organization. Mr. Brennan qualified as a chartered accountant with PricewaterhouseCoopers and obtained a bachelors degree in Accounting and Finance from Dublin City University.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4" w:name="page45"/>
    <w:bookmarkEnd w:id="44"/>
    <w:p>
      <w:pPr>
        <w:jc w:val="both"/>
        <w:spacing w:after="0" w:line="249" w:lineRule="auto"/>
        <w:rPr>
          <w:sz w:val="20"/>
          <w:szCs w:val="20"/>
          <w:color w:val="auto"/>
        </w:rPr>
      </w:pPr>
      <w:r>
        <w:rPr>
          <w:rFonts w:ascii="Arial" w:cs="Arial" w:eastAsia="Arial" w:hAnsi="Arial"/>
          <w:sz w:val="18"/>
          <w:szCs w:val="18"/>
          <w:i w:val="1"/>
          <w:iCs w:val="1"/>
          <w:color w:val="auto"/>
        </w:rPr>
        <w:t xml:space="preserve">Dr. Steve Cutler </w:t>
      </w:r>
      <w:r>
        <w:rPr>
          <w:rFonts w:ascii="Arial" w:cs="Arial" w:eastAsia="Arial" w:hAnsi="Arial"/>
          <w:sz w:val="18"/>
          <w:szCs w:val="18"/>
          <w:color w:val="auto"/>
        </w:rPr>
        <w:t>was appointed Chief Operating Officer of the Company in January 2014, having previously occupied the position of Group President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Services since November 2011.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Dr. John Climax</w:t>
      </w:r>
      <w:r>
        <w:rPr>
          <w:rFonts w:ascii="Arial" w:cs="Arial" w:eastAsia="Arial" w:hAnsi="Arial"/>
          <w:sz w:val="18"/>
          <w:szCs w:val="18"/>
          <w:color w:val="auto"/>
        </w:rPr>
        <w:t>, one of the Company’s co-founders, served as Chairman of the Board of the Company from November 2002 to December 2009,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from June 1990 to October 2002. From January 2010 he has held a position as an outside director of the Company. Dr. Climax has over 25 years of experience in the contract research industry. Dr. Climax is the Executive Chairman of Dignity Sciences Ltd.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has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director of the Company since January 2008.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Professor Dermot Kelleher </w:t>
      </w:r>
      <w:r>
        <w:rPr>
          <w:rFonts w:ascii="Arial" w:cs="Arial" w:eastAsia="Arial" w:hAnsi="Arial"/>
          <w:sz w:val="18"/>
          <w:szCs w:val="18"/>
          <w:color w:val="auto"/>
        </w:rPr>
        <w:t>has served as an outside director of the Company since May 2008. Professor Kelleher is currently Vice President (Health) and Dean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Faculty of Medicine at Imperial College London. From 2004 to 2012 he was Head of the School of Medicine and Vice Provost for Medical Affairs at Trinity College, Dublin, Ireland where he led the development of the Institute of Molecular Medicine and Molecular Medicine Ireland. His research interests have focused on gastrointestinal infectious and inflammatory diseases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Declan McKeon </w:t>
      </w:r>
      <w:r>
        <w:rPr>
          <w:rFonts w:ascii="Arial" w:cs="Arial" w:eastAsia="Arial" w:hAnsi="Arial"/>
          <w:sz w:val="16"/>
          <w:szCs w:val="16"/>
          <w:color w:val="auto"/>
        </w:rPr>
        <w:t>has served as an outside director of the Company since April 2010. Mr. McKeon was a partner in PricewaterhouseCoopers from 1986 to 2007.</w:t>
      </w:r>
      <w:r>
        <w:rPr>
          <w:rFonts w:ascii="Arial" w:cs="Arial" w:eastAsia="Arial" w:hAnsi="Arial"/>
          <w:sz w:val="16"/>
          <w:szCs w:val="16"/>
          <w:i w:val="1"/>
          <w:iCs w:val="1"/>
          <w:color w:val="auto"/>
        </w:rPr>
        <w:t xml:space="preserve"> </w:t>
      </w:r>
      <w:r>
        <w:rPr>
          <w:rFonts w:ascii="Arial" w:cs="Arial" w:eastAsia="Arial" w:hAnsi="Arial"/>
          <w:sz w:val="16"/>
          <w:szCs w:val="16"/>
          <w:color w:val="auto"/>
        </w:rPr>
        <w:t>His roles included leadership of the audit and business advisory team for PricewaterhouseCoopers Ireland, membership of the PricewaterhouseCoopers Europe audit and business advisory services executive and market sector leader for consumer and industrial products. Mr. McKeon is a non-executive director of Ryanair plc, remains a consultant to PricewaterhouseCoopers and sits on the audit committee of the Royal College of Surgeons in Ireland. Mr. McKeon holds a Bachelor of Commerce and Masters in Business Studies from University College Dublin and is a Fellow of The Institute of Chartered Accountants in Ireland.</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Professor William Hall </w:t>
      </w:r>
      <w:r>
        <w:rPr>
          <w:rFonts w:ascii="Arial" w:cs="Arial" w:eastAsia="Arial" w:hAnsi="Arial"/>
          <w:sz w:val="18"/>
          <w:szCs w:val="18"/>
          <w:color w:val="auto"/>
        </w:rPr>
        <w:t>has served as an outside Director of the Company since February 2013. He is a renowned expert in infectious diseases and virology, is</w:t>
      </w:r>
      <w:r>
        <w:rPr>
          <w:rFonts w:ascii="Arial" w:cs="Arial" w:eastAsia="Arial" w:hAnsi="Arial"/>
          <w:sz w:val="18"/>
          <w:szCs w:val="18"/>
          <w:i w:val="1"/>
          <w:iCs w:val="1"/>
          <w:color w:val="auto"/>
        </w:rPr>
        <w:t xml:space="preserve"> </w:t>
      </w:r>
      <w:r>
        <w:rPr>
          <w:rFonts w:ascii="Arial" w:cs="Arial" w:eastAsia="Arial" w:hAnsi="Arial"/>
          <w:sz w:val="18"/>
          <w:szCs w:val="18"/>
          <w:color w:val="auto"/>
        </w:rPr>
        <w:t>Chair of Medical Microbiology and Director of the Centre for Research in Infectious Diseases at University College Dublin’s (UCD) School of Medicine and Medical Science. He is also a director of UCD’s National Virus Reference Laboratory and is a consultant microbiologist at St. Vincent’s University Hospital Dublin. Professor Hall also serves as a consultant to the Minister of Heath and Children in the Republic of Ireland, providing input on a number of topics including influenza pandemic preparedness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board member of The Atlantic Philanthropies and is a co-founder of the Global Virus Network.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jc w:val="both"/>
        <w:spacing w:after="0" w:line="250" w:lineRule="auto"/>
        <w:rPr>
          <w:sz w:val="20"/>
          <w:szCs w:val="20"/>
          <w:color w:val="auto"/>
        </w:rPr>
      </w:pPr>
      <w:r>
        <w:rPr>
          <w:rFonts w:ascii="Arial" w:cs="Arial" w:eastAsia="Arial" w:hAnsi="Arial"/>
          <w:sz w:val="18"/>
          <w:szCs w:val="18"/>
          <w:i w:val="1"/>
          <w:iCs w:val="1"/>
          <w:color w:val="auto"/>
        </w:rPr>
        <w:t xml:space="preserve">Mary Pendergast </w:t>
      </w:r>
      <w:r>
        <w:rPr>
          <w:rFonts w:ascii="Arial" w:cs="Arial" w:eastAsia="Arial" w:hAnsi="Arial"/>
          <w:sz w:val="18"/>
          <w:szCs w:val="18"/>
          <w:color w:val="auto"/>
        </w:rPr>
        <w:t>has served as an outside director of the Company since February 2014. She is an expert in the regulatory aspects of drug development and is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Pendergast Consulting, a consulting firm that advises biopharmaceutical companies, patient groups, professional and advocacy organisations,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 Ms. Pendergast is also a board member of Impax Laboratories, Inc.</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Dr. Hugh Brady </w:t>
      </w:r>
      <w:r>
        <w:rPr>
          <w:rFonts w:ascii="Arial" w:cs="Arial" w:eastAsia="Arial" w:hAnsi="Arial"/>
          <w:sz w:val="16"/>
          <w:szCs w:val="16"/>
          <w:color w:val="auto"/>
        </w:rPr>
        <w:t>has served as an outside director of the Company since April 2014. From September 2015 Dr. Brady will take up the position of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Vice-Chancellor Designate of the University of Bristol. Dr. Brady is President Emeritus of University College Dublin (UCD), one of Europe’s leading research-intensive universities, where he served as President from 2004 until the end of 2013. During his tenure Dr. Brady oversaw a significant expansion of UCD’s science, engineering and biomedical research capacity, including the development of the Conway Institute for Biomedical Research, UCD Clinical Research Centre and the Dublin Academic Medical Centre. In addition, he led a major growth in UCD’s international footprint, including the establishment of the Beijing-Dublin International College and the UCD Shenzhen Health Sciences Institute in China. A nephrologist by training, Dr. Brady was Professor of Medicine and Therapeutics at UCD before being appointed the university’s President. He returned to Ireland having built a successful career as a physician and biomedical research scientist in the US, where he spent nine years at Harvard University, including a period as Associate Professor of Medicine. In parallel with his academic career at Harvard, he served as Director of the Renal Division of the Brockton/West Roxbury VA Medical Center and Consultant Physician at the Brigham and Women’s Hospital, Boston. He has an international reputation in the pathogenesis of diabetic kidney disease and renal inflammation. Dr.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Diarmaid Cunningham </w:t>
      </w:r>
      <w:r>
        <w:rPr>
          <w:rFonts w:ascii="Arial" w:cs="Arial" w:eastAsia="Arial" w:hAnsi="Arial"/>
          <w:sz w:val="18"/>
          <w:szCs w:val="18"/>
          <w:color w:val="auto"/>
        </w:rPr>
        <w:t>is General Counsel, Executive Vice President and Company Secretary. Mr. Cunningham joined the Company in November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appointed Company Secretary in October 2011. Mr Cunningham spent 10 years with A&amp;L Goodbody, one of Ireland's premier corporate law firms, prior to joining the Company. Mr. Cunningham graduated with a Bachelor of Business and Legal Studies from University College Dublin in 1997 and qualified as a lawyer with A&amp;L Goodbody in 2001. Mr. Cunningham served as Secretary to the Board of the Association of Clinical Research Organisations (ACRO) in 2013 and 2014. ACRO represents the CRO industry globally to key stakeholders including pharmaceutical, biotech and medical device companies, regulators, legislators and patient groups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Acts 1963 to 2013 of Ireland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comprises one executive and eight outside-directors at the date of this report. The outside-directors bring independent judgment to bear on issues of strategy, performance, resources, key appointments and standards. The Company considers all of its outside-directors to be of complementary skills, experience and knowledge and each outside-director has specific skills, experience and knowledge that are valuable to the Company.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(9 directors) to be adequate but continues to look for suitable qualified potential candidates to join the Board.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As detailed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normally meets at least four times each year. During the year ended December 31, 2014 the Board met on five occasions. An additional Board update was held on one occasion, to provide an update to the Board on various items. All directors allocated sufficient time to the Company during the year ended December 31, 2014 to effectively discharge their responsibilities to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retirement and re-election</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2015, it is anticipated that three directors will retire by rotation and offer themselves for re-election.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Board has delegated some of its responsibilities to Board Committees. There are five permanent Committees. These are the Audit Committee, the Compensation and Organization Committee, the Nominating and Governance Committee, the Execution Committee and the Quality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Each committee completed a self-evaluation of the performance of the committee during the year ended December 31, 2014 and each committee was satisfied with their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on a case by case basis, may approve additional services not covered by the annual pre-approval, as the need for such services arises. The Audit Committee reviews all services which are provided by the external auditors regularly to review the independence and objectivity of the external auditors taking into consideration relevant professional and regulatory requirements so that these are not impaired by the provisions of permissible non-audit services. The Chief Financial Officer, the Head of Internal Audit, the General Counsel and the external auditors normally attend all meetings of the Audit Committee and have direct access to the Committee Chairman at all times. During 2014, the Audit Committee was comprised of, and still comprises of, the following four independent directors: Declan McKeon (Chairman); Thomas Lynch; Professor Dermot Kelleher; and Professor William Hall.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During 2014, the Compensation and Organization Committee comprised of, and still comprises of, the following independent directors: Professor William Hall (Chairperson); Thomas Lynch; and Mary Pendergast.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an external search consultant as needed to assist it in identifying potential new outside directors. Once potential suitable candidates are identified either by the external search consultants or by members of the Nominating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2014, the Nominating and Governance Committee comprised of, and still comprises of, the following independent directors: Thomas Lynch (Chairman), Declan McKeon and Professor William Hall.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During 2014, the Execution Committee comprised of, and still comprises of, the following directors: Ciaran Murray (Chairman); Thomas Lynch; and Brendan Brennan.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Committee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purpose of the Quality Committee is to provide oversight of the quality strategy and initiatives in place within the Company. As part of this the Committee is required to review the Company’s strategy in relation to quality and to review continuous improvement initiatives and activities in place within the Company. The Committee also reviews reports of audits by internal and external auditors or regulatory agencies (including the FDA and European Medicines Agency). During 2014, the Quality Committee comprised of, and still comprises of, the following directors: Professor Dermot Kelleher (Chairman); Dr. John Climax (Vice Chairman); Dr. Ronan Lambe; Professor William Hall; and Mary Pendergast.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Attendance at Board and committee meetings by the Directors who held office during 2014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146685</wp:posOffset>
            </wp:positionV>
            <wp:extent cx="72485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 Attendance Table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ind w:left="1460"/>
              <w:spacing w:after="0" w:line="202" w:lineRule="exact"/>
              <w:rPr>
                <w:sz w:val="20"/>
                <w:szCs w:val="20"/>
                <w:color w:val="auto"/>
              </w:rPr>
            </w:pPr>
            <w:r>
              <w:rPr>
                <w:rFonts w:ascii="Arial" w:cs="Arial" w:eastAsia="Arial" w:hAnsi="Arial"/>
                <w:sz w:val="18"/>
                <w:szCs w:val="18"/>
                <w:b w:val="1"/>
                <w:bCs w:val="1"/>
                <w:color w:val="auto"/>
                <w:w w:val="88"/>
              </w:rPr>
              <w:t>Board</w:t>
            </w:r>
          </w:p>
        </w:tc>
        <w:tc>
          <w:tcPr>
            <w:tcW w:w="1300" w:type="dxa"/>
            <w:vAlign w:val="bottom"/>
            <w:tcBorders>
              <w:top w:val="single" w:sz="8" w:color="auto"/>
            </w:tcBorders>
          </w:tcPr>
          <w:p>
            <w:pPr>
              <w:ind w:left="680"/>
              <w:spacing w:after="0" w:line="202" w:lineRule="exact"/>
              <w:rPr>
                <w:sz w:val="20"/>
                <w:szCs w:val="20"/>
                <w:color w:val="auto"/>
              </w:rPr>
            </w:pPr>
            <w:r>
              <w:rPr>
                <w:rFonts w:ascii="Arial" w:cs="Arial" w:eastAsia="Arial" w:hAnsi="Arial"/>
                <w:sz w:val="18"/>
                <w:szCs w:val="18"/>
                <w:b w:val="1"/>
                <w:bCs w:val="1"/>
                <w:color w:val="auto"/>
              </w:rPr>
              <w:t>Audit</w:t>
            </w:r>
          </w:p>
        </w:tc>
        <w:tc>
          <w:tcPr>
            <w:tcW w:w="1360" w:type="dxa"/>
            <w:vAlign w:val="bottom"/>
            <w:tcBorders>
              <w:top w:val="single" w:sz="8" w:color="auto"/>
            </w:tcBorders>
          </w:tcPr>
          <w:p>
            <w:pPr>
              <w:jc w:val="center"/>
              <w:ind w:left="11"/>
              <w:spacing w:after="0" w:line="202" w:lineRule="exact"/>
              <w:rPr>
                <w:sz w:val="20"/>
                <w:szCs w:val="20"/>
                <w:color w:val="auto"/>
              </w:rPr>
            </w:pPr>
            <w:r>
              <w:rPr>
                <w:rFonts w:ascii="Arial" w:cs="Arial" w:eastAsia="Arial" w:hAnsi="Arial"/>
                <w:sz w:val="18"/>
                <w:szCs w:val="18"/>
                <w:b w:val="1"/>
                <w:bCs w:val="1"/>
                <w:color w:val="auto"/>
                <w:w w:val="87"/>
              </w:rPr>
              <w:t>Compensation</w:t>
            </w:r>
          </w:p>
        </w:tc>
        <w:tc>
          <w:tcPr>
            <w:tcW w:w="11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Nominating</w:t>
            </w:r>
          </w:p>
        </w:tc>
        <w:tc>
          <w:tcPr>
            <w:tcW w:w="11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Execution</w:t>
            </w:r>
          </w:p>
        </w:tc>
        <w:tc>
          <w:tcPr>
            <w:tcW w:w="1080" w:type="dxa"/>
            <w:vAlign w:val="bottom"/>
            <w:tcBorders>
              <w:top w:val="single" w:sz="8" w:color="auto"/>
            </w:tcBorders>
          </w:tcPr>
          <w:p>
            <w:pPr>
              <w:ind w:left="240"/>
              <w:spacing w:after="0" w:line="202" w:lineRule="exact"/>
              <w:rPr>
                <w:sz w:val="20"/>
                <w:szCs w:val="20"/>
                <w:color w:val="auto"/>
              </w:rPr>
            </w:pPr>
            <w:r>
              <w:rPr>
                <w:rFonts w:ascii="Arial" w:cs="Arial" w:eastAsia="Arial" w:hAnsi="Arial"/>
                <w:sz w:val="18"/>
                <w:szCs w:val="18"/>
                <w:b w:val="1"/>
                <w:bCs w:val="1"/>
                <w:color w:val="auto"/>
              </w:rPr>
              <w:t>Quality</w:t>
            </w:r>
          </w:p>
        </w:tc>
      </w:tr>
      <w:tr>
        <w:trPr>
          <w:trHeight w:val="213"/>
        </w:trPr>
        <w:tc>
          <w:tcPr>
            <w:tcW w:w="3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center"/>
              <w:ind w:left="31"/>
              <w:spacing w:after="0"/>
              <w:rPr>
                <w:sz w:val="20"/>
                <w:szCs w:val="20"/>
                <w:color w:val="auto"/>
              </w:rPr>
            </w:pPr>
            <w:r>
              <w:rPr>
                <w:rFonts w:ascii="Arial" w:cs="Arial" w:eastAsia="Arial" w:hAnsi="Arial"/>
                <w:sz w:val="18"/>
                <w:szCs w:val="18"/>
                <w:b w:val="1"/>
                <w:bCs w:val="1"/>
                <w:color w:val="auto"/>
                <w:w w:val="87"/>
              </w:rPr>
              <w:t>and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b w:val="1"/>
                <w:bCs w:val="1"/>
                <w:color w:val="auto"/>
                <w:w w:val="90"/>
              </w:rPr>
              <w:t>Organisation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Governance</w:t>
            </w:r>
          </w:p>
        </w:tc>
        <w:tc>
          <w:tcPr>
            <w:tcW w:w="1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9"/>
        </w:trPr>
        <w:tc>
          <w:tcPr>
            <w:tcW w:w="34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gridSpan w:val="5"/>
          </w:tcPr>
          <w:p>
            <w:pPr>
              <w:spacing w:after="0"/>
              <w:rPr>
                <w:sz w:val="19"/>
                <w:szCs w:val="19"/>
                <w:color w:val="auto"/>
              </w:rPr>
            </w:pPr>
          </w:p>
        </w:tc>
      </w:tr>
      <w:tr>
        <w:trPr>
          <w:trHeight w:val="219"/>
        </w:trPr>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Director</w:t>
            </w:r>
          </w:p>
        </w:tc>
        <w:tc>
          <w:tcPr>
            <w:tcW w:w="194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Number of meetings attended / number of meetings eligible to attend</w:t>
            </w:r>
          </w:p>
        </w:tc>
      </w:tr>
      <w:tr>
        <w:trPr>
          <w:trHeight w:val="219"/>
        </w:trPr>
        <w:tc>
          <w:tcPr>
            <w:tcW w:w="3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Thomas Lynch (1)</w:t>
            </w:r>
          </w:p>
        </w:tc>
        <w:tc>
          <w:tcPr>
            <w:tcW w:w="1940" w:type="dxa"/>
            <w:vAlign w:val="bottom"/>
            <w:tcBorders>
              <w:bottom w:val="single" w:sz="8" w:color="auto"/>
            </w:tcBorders>
            <w:shd w:val="clear" w:color="auto" w:fill="CCEEFF"/>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shd w:val="clear" w:color="auto" w:fill="CCEEFF"/>
          </w:tcPr>
          <w:p>
            <w:pPr>
              <w:jc w:val="center"/>
              <w:ind w:left="391"/>
              <w:spacing w:after="0"/>
              <w:rPr>
                <w:sz w:val="20"/>
                <w:szCs w:val="20"/>
                <w:color w:val="auto"/>
              </w:rPr>
            </w:pPr>
            <w:r>
              <w:rPr>
                <w:rFonts w:ascii="Arial" w:cs="Arial" w:eastAsia="Arial" w:hAnsi="Arial"/>
                <w:sz w:val="18"/>
                <w:szCs w:val="18"/>
                <w:color w:val="auto"/>
                <w:w w:val="87"/>
              </w:rPr>
              <w:t>4/4</w:t>
            </w:r>
          </w:p>
        </w:tc>
        <w:tc>
          <w:tcPr>
            <w:tcW w:w="13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7"/>
              </w:rPr>
              <w:t>3/3</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9"/>
        </w:trPr>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Ciaran Murray</w:t>
            </w:r>
          </w:p>
        </w:tc>
        <w:tc>
          <w:tcPr>
            <w:tcW w:w="1940" w:type="dxa"/>
            <w:vAlign w:val="bottom"/>
            <w:tcBorders>
              <w:bottom w:val="single" w:sz="8" w:color="auto"/>
            </w:tcBorders>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9"/>
        </w:trPr>
        <w:tc>
          <w:tcPr>
            <w:tcW w:w="3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Dr. John Climax</w:t>
            </w:r>
          </w:p>
        </w:tc>
        <w:tc>
          <w:tcPr>
            <w:tcW w:w="1940" w:type="dxa"/>
            <w:vAlign w:val="bottom"/>
            <w:tcBorders>
              <w:bottom w:val="single" w:sz="8" w:color="auto"/>
            </w:tcBorders>
            <w:shd w:val="clear" w:color="auto" w:fill="CCEEFF"/>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shd w:val="clear" w:color="auto" w:fill="CCEEFF"/>
          </w:tcPr>
          <w:p>
            <w:pPr>
              <w:jc w:val="center"/>
              <w:ind w:left="3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2/2</w:t>
            </w:r>
          </w:p>
        </w:tc>
      </w:tr>
      <w:tr>
        <w:trPr>
          <w:trHeight w:val="219"/>
        </w:trPr>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Dr. Ronan Lambe (1)</w:t>
            </w:r>
          </w:p>
        </w:tc>
        <w:tc>
          <w:tcPr>
            <w:tcW w:w="1940" w:type="dxa"/>
            <w:vAlign w:val="bottom"/>
            <w:tcBorders>
              <w:bottom w:val="single" w:sz="8" w:color="auto"/>
            </w:tcBorders>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2/2</w:t>
            </w:r>
          </w:p>
        </w:tc>
      </w:tr>
      <w:tr>
        <w:trPr>
          <w:trHeight w:val="219"/>
        </w:trPr>
        <w:tc>
          <w:tcPr>
            <w:tcW w:w="3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Prof. Dermot Kelleher (1)</w:t>
            </w:r>
          </w:p>
        </w:tc>
        <w:tc>
          <w:tcPr>
            <w:tcW w:w="1940" w:type="dxa"/>
            <w:vAlign w:val="bottom"/>
            <w:tcBorders>
              <w:bottom w:val="single" w:sz="8" w:color="auto"/>
            </w:tcBorders>
            <w:shd w:val="clear" w:color="auto" w:fill="CCEEFF"/>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shd w:val="clear" w:color="auto" w:fill="CCEEFF"/>
          </w:tcPr>
          <w:p>
            <w:pPr>
              <w:jc w:val="center"/>
              <w:ind w:left="391"/>
              <w:spacing w:after="0"/>
              <w:rPr>
                <w:sz w:val="20"/>
                <w:szCs w:val="20"/>
                <w:color w:val="auto"/>
              </w:rPr>
            </w:pPr>
            <w:r>
              <w:rPr>
                <w:rFonts w:ascii="Arial" w:cs="Arial" w:eastAsia="Arial" w:hAnsi="Arial"/>
                <w:sz w:val="18"/>
                <w:szCs w:val="18"/>
                <w:color w:val="auto"/>
                <w:w w:val="87"/>
              </w:rPr>
              <w:t>4/4</w:t>
            </w:r>
          </w:p>
        </w:tc>
        <w:tc>
          <w:tcPr>
            <w:tcW w:w="13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2/2</w:t>
            </w:r>
          </w:p>
        </w:tc>
      </w:tr>
      <w:tr>
        <w:trPr>
          <w:trHeight w:val="219"/>
        </w:trPr>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Declan McKeon (1)</w:t>
            </w:r>
          </w:p>
        </w:tc>
        <w:tc>
          <w:tcPr>
            <w:tcW w:w="1940" w:type="dxa"/>
            <w:vAlign w:val="bottom"/>
            <w:tcBorders>
              <w:bottom w:val="single" w:sz="8" w:color="auto"/>
            </w:tcBorders>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87"/>
              </w:rPr>
              <w:t>4/4</w:t>
            </w:r>
          </w:p>
        </w:tc>
        <w:tc>
          <w:tcPr>
            <w:tcW w:w="13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3/3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9"/>
        </w:trPr>
        <w:tc>
          <w:tcPr>
            <w:tcW w:w="3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Prof. William Hall (1)</w:t>
            </w:r>
          </w:p>
        </w:tc>
        <w:tc>
          <w:tcPr>
            <w:tcW w:w="1940" w:type="dxa"/>
            <w:vAlign w:val="bottom"/>
            <w:tcBorders>
              <w:bottom w:val="single" w:sz="8" w:color="auto"/>
            </w:tcBorders>
            <w:shd w:val="clear" w:color="auto" w:fill="CCEEFF"/>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shd w:val="clear" w:color="auto" w:fill="CCEEFF"/>
          </w:tcPr>
          <w:p>
            <w:pPr>
              <w:jc w:val="center"/>
              <w:ind w:left="391"/>
              <w:spacing w:after="0"/>
              <w:rPr>
                <w:sz w:val="20"/>
                <w:szCs w:val="20"/>
                <w:color w:val="auto"/>
              </w:rPr>
            </w:pPr>
            <w:r>
              <w:rPr>
                <w:rFonts w:ascii="Arial" w:cs="Arial" w:eastAsia="Arial" w:hAnsi="Arial"/>
                <w:sz w:val="18"/>
                <w:szCs w:val="18"/>
                <w:color w:val="auto"/>
                <w:w w:val="87"/>
              </w:rPr>
              <w:t>4/4</w:t>
            </w:r>
          </w:p>
        </w:tc>
        <w:tc>
          <w:tcPr>
            <w:tcW w:w="13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7"/>
              </w:rPr>
              <w:t>3/3</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2/2</w:t>
            </w:r>
          </w:p>
        </w:tc>
      </w:tr>
      <w:tr>
        <w:trPr>
          <w:trHeight w:val="219"/>
        </w:trPr>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Mary Pendergast (1)(2)</w:t>
            </w:r>
          </w:p>
        </w:tc>
        <w:tc>
          <w:tcPr>
            <w:tcW w:w="1940" w:type="dxa"/>
            <w:vAlign w:val="bottom"/>
            <w:tcBorders>
              <w:bottom w:val="single" w:sz="8" w:color="auto"/>
            </w:tcBorders>
          </w:tcPr>
          <w:p>
            <w:pPr>
              <w:jc w:val="center"/>
              <w:ind w:left="1351"/>
              <w:spacing w:after="0"/>
              <w:rPr>
                <w:sz w:val="20"/>
                <w:szCs w:val="20"/>
                <w:color w:val="auto"/>
              </w:rPr>
            </w:pPr>
            <w:r>
              <w:rPr>
                <w:rFonts w:ascii="Arial" w:cs="Arial" w:eastAsia="Arial" w:hAnsi="Arial"/>
                <w:sz w:val="18"/>
                <w:szCs w:val="18"/>
                <w:color w:val="auto"/>
                <w:w w:val="87"/>
              </w:rPr>
              <w:t>5/5</w:t>
            </w:r>
          </w:p>
        </w:tc>
        <w:tc>
          <w:tcPr>
            <w:tcW w:w="130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87"/>
              </w:rPr>
              <w:t>3/3</w:t>
            </w:r>
          </w:p>
        </w:tc>
        <w:tc>
          <w:tcPr>
            <w:tcW w:w="11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1/1</w:t>
            </w:r>
          </w:p>
        </w:tc>
      </w:tr>
      <w:tr>
        <w:trPr>
          <w:trHeight w:val="219"/>
        </w:trPr>
        <w:tc>
          <w:tcPr>
            <w:tcW w:w="3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Dr. Hugh Brady (1)(3)</w:t>
            </w:r>
          </w:p>
        </w:tc>
        <w:tc>
          <w:tcPr>
            <w:tcW w:w="1940" w:type="dxa"/>
            <w:vAlign w:val="bottom"/>
            <w:tcBorders>
              <w:bottom w:val="single" w:sz="8" w:color="auto"/>
            </w:tcBorders>
            <w:shd w:val="clear" w:color="auto" w:fill="CCEEFF"/>
          </w:tcPr>
          <w:p>
            <w:pPr>
              <w:jc w:val="center"/>
              <w:ind w:left="1351"/>
              <w:spacing w:after="0"/>
              <w:rPr>
                <w:sz w:val="20"/>
                <w:szCs w:val="20"/>
                <w:color w:val="auto"/>
              </w:rPr>
            </w:pPr>
            <w:r>
              <w:rPr>
                <w:rFonts w:ascii="Arial" w:cs="Arial" w:eastAsia="Arial" w:hAnsi="Arial"/>
                <w:sz w:val="18"/>
                <w:szCs w:val="18"/>
                <w:color w:val="auto"/>
                <w:w w:val="87"/>
              </w:rPr>
              <w:t>4/4</w:t>
            </w:r>
          </w:p>
        </w:tc>
        <w:tc>
          <w:tcPr>
            <w:tcW w:w="1300" w:type="dxa"/>
            <w:vAlign w:val="bottom"/>
            <w:tcBorders>
              <w:bottom w:val="single" w:sz="8" w:color="auto"/>
            </w:tcBorders>
            <w:shd w:val="clear" w:color="auto" w:fill="CCEEFF"/>
          </w:tcPr>
          <w:p>
            <w:pPr>
              <w:jc w:val="center"/>
              <w:ind w:left="3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9"/>
        </w:trPr>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Cathrin Petty (1)(4)</w:t>
            </w:r>
          </w:p>
        </w:tc>
        <w:tc>
          <w:tcPr>
            <w:tcW w:w="1940" w:type="dxa"/>
            <w:vAlign w:val="bottom"/>
            <w:tcBorders>
              <w:bottom w:val="single" w:sz="8" w:color="auto"/>
            </w:tcBorders>
          </w:tcPr>
          <w:p>
            <w:pPr>
              <w:jc w:val="center"/>
              <w:ind w:left="135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7" w:lineRule="exact"/>
        <w:rPr>
          <w:sz w:val="20"/>
          <w:szCs w:val="20"/>
          <w:color w:val="auto"/>
        </w:rPr>
      </w:pPr>
    </w:p>
    <w:p>
      <w:pPr>
        <w:ind w:left="640" w:hanging="4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director as defined under NASDAQ Rule 5605(a)(2)</w:t>
      </w:r>
    </w:p>
    <w:p>
      <w:pPr>
        <w:spacing w:after="0" w:line="16" w:lineRule="exact"/>
        <w:rPr>
          <w:rFonts w:ascii="Arial" w:cs="Arial" w:eastAsia="Arial" w:hAnsi="Arial"/>
          <w:sz w:val="18"/>
          <w:szCs w:val="18"/>
          <w:color w:val="auto"/>
        </w:rPr>
      </w:pPr>
    </w:p>
    <w:p>
      <w:pPr>
        <w:ind w:left="640" w:hanging="4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Mary Pendergast was appointed as a director on February 18, 2014.</w:t>
      </w:r>
    </w:p>
    <w:p>
      <w:pPr>
        <w:spacing w:after="0" w:line="5" w:lineRule="exact"/>
        <w:rPr>
          <w:rFonts w:ascii="Arial" w:cs="Arial" w:eastAsia="Arial" w:hAnsi="Arial"/>
          <w:sz w:val="18"/>
          <w:szCs w:val="18"/>
          <w:color w:val="auto"/>
        </w:rPr>
      </w:pPr>
    </w:p>
    <w:p>
      <w:pPr>
        <w:ind w:left="640" w:hanging="4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Hugh Brady was appointed as a director on April 29, 2014.</w:t>
      </w:r>
    </w:p>
    <w:p>
      <w:pPr>
        <w:spacing w:after="0" w:line="5" w:lineRule="exact"/>
        <w:rPr>
          <w:rFonts w:ascii="Arial" w:cs="Arial" w:eastAsia="Arial" w:hAnsi="Arial"/>
          <w:sz w:val="18"/>
          <w:szCs w:val="18"/>
          <w:color w:val="auto"/>
        </w:rPr>
      </w:pPr>
    </w:p>
    <w:p>
      <w:pPr>
        <w:ind w:left="640" w:hanging="4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Cathrin Petty resigned as a director on January 24,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 remuneration</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Outside Directors are remunerated by way of Directors’ fees and are also eligible for participation in the share option scheme. Each Outside Director (excluding the Board Chairman) is paid an annual retainer of $60,000 and additional fees for Board Committee service. The Board Chairman is paid $563,000 annually and does not receive additional payment for Board Committee service. Outside Directors are not eligible for performance related bonuses and no pension contributions are made on their behalf. The Compensation and Organization Committee sets non-Executive remuneration.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Total cash compensation is divided into a base salary portion and a bonus incentive portion. Base salary is established based on peer group and is adjusted based on individual performance, experience and the importance of the role.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60% and 100% with actual pay outs ranging from 90 to 150% of salary based on group and individual performance.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9" w:name="page50"/>
    <w:bookmarkEnd w:id="49"/>
    <w:p>
      <w:pPr>
        <w:jc w:val="both"/>
        <w:spacing w:after="0" w:line="272" w:lineRule="auto"/>
        <w:rPr>
          <w:sz w:val="20"/>
          <w:szCs w:val="20"/>
          <w:color w:val="auto"/>
        </w:rPr>
      </w:pPr>
      <w:r>
        <w:rPr>
          <w:rFonts w:ascii="Arial" w:cs="Arial" w:eastAsia="Arial" w:hAnsi="Arial"/>
          <w:sz w:val="17"/>
          <w:szCs w:val="17"/>
          <w:color w:val="auto"/>
        </w:rPr>
        <w:t>During the year ended December 31, 2014 an additional cash bonus of $5.9 million was awarded by the Compensation and Organization Committee to Mr. Ciaran Murray ($3.6 million), Chief Executive Officer, Mr. Brendan Brennan Chief Financial Officer ($0.9 million) and Dr. Steve Cutler Chief Operating Officer ($1.4 million), to reflect their contribution to the exceptional performance of the Company during 2014. The additional bonus is included within Other Liabilities in the Consolidated Balance Sheet at December 31, 2014. This amount has been paid in 2015 to date.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year ended December 31, 2012 an additional bonus of $9.5 million was awarded by the Compensation and Organization Committee to Mr. Ciaran Murray Chief Executive Officer ($5.5 million), Mr. Brendan Brennan Chief Financial Officer ($1.5 million) and Dr. Steve Cutler Chief Operating Officer ($2.5 million), to reflect their contribution to the successful turnaround in the performance of the Company during 2012 and the creation of a platform to enable the delivery of long-term sustainable returns to the Company’s shareholders. The bonus was payable in either cash or ordinary shares of the Company, at the discretion of the Committee, over the period up to December 31, 2015. $6.4 million was paid under this plan to December 31, 2014. The remaining $3.1 million is included within Other Liabilities in the Consolidated Balance Sheet at December 31, 2014. This amount has been paid in 2015 to date.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regularly scheduled meeting of the Committee in the fiscal year. The grant date is determined by the Committee, and grants are awarded at the closing price on the day of grant.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 The Company granted equity incentive awards to executive officers in its fiscal years ended December 31, 2012, December 31, 2013 and December 31, 2014 </w:t>
      </w:r>
      <w:r>
        <w:rPr>
          <w:rFonts w:ascii="Arial" w:cs="Arial" w:eastAsia="Arial" w:hAnsi="Arial"/>
          <w:sz w:val="19"/>
          <w:szCs w:val="19"/>
          <w:i w:val="1"/>
          <w:iCs w:val="1"/>
          <w:color w:val="auto"/>
        </w:rPr>
        <w:t>(see Share Ownership section for further information)</w:t>
      </w:r>
      <w:r>
        <w:rPr>
          <w:rFonts w:ascii="Arial" w:cs="Arial" w:eastAsia="Arial" w:hAnsi="Arial"/>
          <w:sz w:val="19"/>
          <w:szCs w:val="19"/>
          <w:color w:val="auto"/>
        </w:rPr>
        <w: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13"/>
        </w:trPr>
        <w:tc>
          <w:tcPr>
            <w:tcW w:w="2140" w:type="dxa"/>
            <w:vAlign w:val="bottom"/>
          </w:tcPr>
          <w:p>
            <w:pPr>
              <w:spacing w:after="0"/>
              <w:rPr>
                <w:sz w:val="20"/>
                <w:szCs w:val="20"/>
                <w:color w:val="auto"/>
              </w:rPr>
            </w:pPr>
            <w:r>
              <w:rPr>
                <w:rFonts w:ascii="Arial" w:cs="Arial" w:eastAsia="Arial" w:hAnsi="Arial"/>
                <w:sz w:val="18"/>
                <w:szCs w:val="18"/>
                <w:b w:val="1"/>
                <w:bCs w:val="1"/>
                <w:color w:val="auto"/>
                <w:w w:val="98"/>
              </w:rPr>
              <w:t>Executive Compensation</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4"/>
        </w:trPr>
        <w:tc>
          <w:tcPr>
            <w:tcW w:w="5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Summary compensation table - Year ended December 31, 2014</w:t>
            </w:r>
          </w:p>
        </w:tc>
        <w:tc>
          <w:tcPr>
            <w:tcW w:w="9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78"/>
        </w:trPr>
        <w:tc>
          <w:tcPr>
            <w:tcW w:w="214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jc w:val="right"/>
              <w:ind w:right="91"/>
              <w:spacing w:after="0" w:line="177" w:lineRule="exact"/>
              <w:rPr>
                <w:sz w:val="20"/>
                <w:szCs w:val="20"/>
                <w:color w:val="auto"/>
              </w:rPr>
            </w:pPr>
            <w:r>
              <w:rPr>
                <w:rFonts w:ascii="Arial" w:cs="Arial" w:eastAsia="Arial" w:hAnsi="Arial"/>
                <w:sz w:val="18"/>
                <w:szCs w:val="18"/>
                <w:b w:val="1"/>
                <w:bCs w:val="1"/>
                <w:color w:val="auto"/>
              </w:rPr>
              <w:t>Pension</w:t>
            </w:r>
          </w:p>
        </w:tc>
        <w:tc>
          <w:tcPr>
            <w:tcW w:w="90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All other</w:t>
            </w:r>
          </w:p>
        </w:tc>
        <w:tc>
          <w:tcPr>
            <w:tcW w:w="1000" w:type="dxa"/>
            <w:vAlign w:val="bottom"/>
            <w:tcBorders>
              <w:right w:val="single" w:sz="8" w:color="auto"/>
            </w:tcBorders>
          </w:tcPr>
          <w:p>
            <w:pPr>
              <w:spacing w:after="0"/>
              <w:rPr>
                <w:sz w:val="15"/>
                <w:szCs w:val="15"/>
                <w:color w:val="auto"/>
              </w:rPr>
            </w:pPr>
          </w:p>
        </w:tc>
        <w:tc>
          <w:tcPr>
            <w:tcW w:w="1180" w:type="dxa"/>
            <w:vAlign w:val="bottom"/>
          </w:tcPr>
          <w:p>
            <w:pPr>
              <w:jc w:val="right"/>
              <w:ind w:right="31"/>
              <w:spacing w:after="0" w:line="177" w:lineRule="exact"/>
              <w:rPr>
                <w:sz w:val="20"/>
                <w:szCs w:val="20"/>
                <w:color w:val="auto"/>
              </w:rPr>
            </w:pPr>
            <w:r>
              <w:rPr>
                <w:rFonts w:ascii="Arial" w:cs="Arial" w:eastAsia="Arial" w:hAnsi="Arial"/>
                <w:sz w:val="18"/>
                <w:szCs w:val="18"/>
                <w:b w:val="1"/>
                <w:bCs w:val="1"/>
                <w:color w:val="auto"/>
                <w:w w:val="96"/>
              </w:rPr>
              <w:t>Share-based</w:t>
            </w:r>
          </w:p>
        </w:tc>
        <w:tc>
          <w:tcPr>
            <w:tcW w:w="9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Director’s</w:t>
            </w:r>
          </w:p>
        </w:tc>
        <w:tc>
          <w:tcPr>
            <w:tcW w:w="1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Total</w:t>
            </w:r>
          </w:p>
        </w:tc>
      </w:tr>
      <w:tr>
        <w:trPr>
          <w:trHeight w:val="254"/>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Name &amp; principal position</w:t>
            </w:r>
          </w:p>
        </w:tc>
        <w:tc>
          <w:tcPr>
            <w:tcW w:w="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w w:val="86"/>
              </w:rPr>
              <w:t>Year</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Salary</w:t>
            </w:r>
          </w:p>
        </w:tc>
        <w:tc>
          <w:tcPr>
            <w:tcW w:w="294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Bonus** contributioncompensation</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5"/>
              </w:rPr>
              <w:t>compensation</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compensation</w:t>
            </w:r>
          </w:p>
        </w:tc>
      </w:tr>
      <w:tr>
        <w:trPr>
          <w:trHeight w:val="196"/>
        </w:trPr>
        <w:tc>
          <w:tcPr>
            <w:tcW w:w="214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8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31"/>
              <w:spacing w:after="0" w:line="196" w:lineRule="exact"/>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rPr>
              <w:t>$’000</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$’000</w:t>
            </w:r>
          </w:p>
        </w:tc>
        <w:tc>
          <w:tcPr>
            <w:tcW w:w="9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r>
      <w:tr>
        <w:trPr>
          <w:trHeight w:val="200"/>
        </w:trPr>
        <w:tc>
          <w:tcPr>
            <w:tcW w:w="214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Ciaran Murray,</w:t>
            </w:r>
          </w:p>
        </w:tc>
        <w:tc>
          <w:tcPr>
            <w:tcW w:w="98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25"/>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9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2014</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1,184</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5,427*</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148</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5,415</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12,221</w:t>
            </w: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00"/>
        </w:trPr>
        <w:tc>
          <w:tcPr>
            <w:tcW w:w="214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Brendan Brennan,</w:t>
            </w:r>
          </w:p>
        </w:tc>
        <w:tc>
          <w:tcPr>
            <w:tcW w:w="98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25"/>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9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2014</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478</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1,333*</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60</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1,002</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00"/>
        </w:trPr>
        <w:tc>
          <w:tcPr>
            <w:tcW w:w="214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Dr. Steve Cutler</w:t>
            </w:r>
          </w:p>
        </w:tc>
        <w:tc>
          <w:tcPr>
            <w:tcW w:w="98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25"/>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Operating Officer</w:t>
            </w:r>
          </w:p>
        </w:tc>
        <w:tc>
          <w:tcPr>
            <w:tcW w:w="9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2014</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703</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2,291*</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175</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2,823</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r>
      <w:tr>
        <w:trPr>
          <w:trHeight w:val="219"/>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r>
        <w:trPr>
          <w:trHeight w:val="219"/>
        </w:trPr>
        <w:tc>
          <w:tcPr>
            <w:tcW w:w="2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right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84"/>
              </w:rPr>
              <w:t>2014</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2,365</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9,051</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383</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11,907</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9,240</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21,147</w:t>
            </w:r>
          </w:p>
        </w:tc>
      </w:tr>
    </w:tbl>
    <w:p>
      <w:pPr>
        <w:spacing w:after="0" w:line="227" w:lineRule="exact"/>
        <w:rPr>
          <w:sz w:val="20"/>
          <w:szCs w:val="20"/>
          <w:color w:val="auto"/>
        </w:rPr>
      </w:pPr>
    </w:p>
    <w:p>
      <w:pPr>
        <w:ind w:left="820" w:hanging="814"/>
        <w:spacing w:after="0"/>
        <w:tabs>
          <w:tab w:leader="none" w:pos="82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Includes $3.6 million, $0.9 million and $1.4 million respectively for Ciaran Murray, Brendan Brennan and Dr. Steve Cutler payable in respect of the</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additional 2014 bonus.</w:t>
      </w:r>
    </w:p>
    <w:p>
      <w:pPr>
        <w:spacing w:after="0" w:line="6" w:lineRule="exact"/>
        <w:rPr>
          <w:sz w:val="20"/>
          <w:szCs w:val="20"/>
          <w:color w:val="auto"/>
        </w:rPr>
      </w:pPr>
    </w:p>
    <w:p>
      <w:pPr>
        <w:ind w:left="820" w:right="160" w:hanging="814"/>
        <w:spacing w:after="0" w:line="253" w:lineRule="auto"/>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Excludes $2.0 million, $0.5 million and $0.8 million respectively for Ciaran Murray, Brendan Bennan and Dr. Steve Cutler which were paid during 2014 under the terms of the 2012 long-term incentive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Summary compensation table - Year ended December 31, 2013</w:t>
            </w:r>
          </w:p>
        </w:tc>
        <w:tc>
          <w:tcPr>
            <w:tcW w:w="9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78"/>
        </w:trPr>
        <w:tc>
          <w:tcPr>
            <w:tcW w:w="214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jc w:val="right"/>
              <w:ind w:right="91"/>
              <w:spacing w:after="0" w:line="177" w:lineRule="exact"/>
              <w:rPr>
                <w:sz w:val="20"/>
                <w:szCs w:val="20"/>
                <w:color w:val="auto"/>
              </w:rPr>
            </w:pPr>
            <w:r>
              <w:rPr>
                <w:rFonts w:ascii="Arial" w:cs="Arial" w:eastAsia="Arial" w:hAnsi="Arial"/>
                <w:sz w:val="18"/>
                <w:szCs w:val="18"/>
                <w:b w:val="1"/>
                <w:bCs w:val="1"/>
                <w:color w:val="auto"/>
              </w:rPr>
              <w:t>Pension</w:t>
            </w:r>
          </w:p>
        </w:tc>
        <w:tc>
          <w:tcPr>
            <w:tcW w:w="90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All other</w:t>
            </w:r>
          </w:p>
        </w:tc>
        <w:tc>
          <w:tcPr>
            <w:tcW w:w="1000" w:type="dxa"/>
            <w:vAlign w:val="bottom"/>
            <w:tcBorders>
              <w:right w:val="single" w:sz="8" w:color="auto"/>
            </w:tcBorders>
          </w:tcPr>
          <w:p>
            <w:pPr>
              <w:spacing w:after="0"/>
              <w:rPr>
                <w:sz w:val="15"/>
                <w:szCs w:val="15"/>
                <w:color w:val="auto"/>
              </w:rPr>
            </w:pPr>
          </w:p>
        </w:tc>
        <w:tc>
          <w:tcPr>
            <w:tcW w:w="1180" w:type="dxa"/>
            <w:vAlign w:val="bottom"/>
          </w:tcPr>
          <w:p>
            <w:pPr>
              <w:jc w:val="right"/>
              <w:ind w:right="31"/>
              <w:spacing w:after="0" w:line="177" w:lineRule="exact"/>
              <w:rPr>
                <w:sz w:val="20"/>
                <w:szCs w:val="20"/>
                <w:color w:val="auto"/>
              </w:rPr>
            </w:pPr>
            <w:r>
              <w:rPr>
                <w:rFonts w:ascii="Arial" w:cs="Arial" w:eastAsia="Arial" w:hAnsi="Arial"/>
                <w:sz w:val="18"/>
                <w:szCs w:val="18"/>
                <w:b w:val="1"/>
                <w:bCs w:val="1"/>
                <w:color w:val="auto"/>
                <w:w w:val="96"/>
              </w:rPr>
              <w:t>Share-based</w:t>
            </w:r>
          </w:p>
        </w:tc>
        <w:tc>
          <w:tcPr>
            <w:tcW w:w="9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Director’s</w:t>
            </w:r>
          </w:p>
        </w:tc>
        <w:tc>
          <w:tcPr>
            <w:tcW w:w="1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Total</w:t>
            </w:r>
          </w:p>
        </w:tc>
      </w:tr>
      <w:tr>
        <w:trPr>
          <w:trHeight w:val="254"/>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Name &amp; principal position</w:t>
            </w:r>
          </w:p>
        </w:tc>
        <w:tc>
          <w:tcPr>
            <w:tcW w:w="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w w:val="86"/>
              </w:rPr>
              <w:t>Year</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Salary</w:t>
            </w:r>
          </w:p>
        </w:tc>
        <w:tc>
          <w:tcPr>
            <w:tcW w:w="294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Bonus** contributioncompensation</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5"/>
              </w:rPr>
              <w:t>compensation</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compensation</w:t>
            </w:r>
          </w:p>
        </w:tc>
      </w:tr>
      <w:tr>
        <w:trPr>
          <w:trHeight w:val="196"/>
        </w:trPr>
        <w:tc>
          <w:tcPr>
            <w:tcW w:w="214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8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31"/>
              <w:spacing w:after="0" w:line="196" w:lineRule="exact"/>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rPr>
              <w:t>$’000</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$’000</w:t>
            </w:r>
          </w:p>
        </w:tc>
        <w:tc>
          <w:tcPr>
            <w:tcW w:w="9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r>
      <w:tr>
        <w:trPr>
          <w:trHeight w:val="200"/>
        </w:trPr>
        <w:tc>
          <w:tcPr>
            <w:tcW w:w="214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Ciaran Murray,</w:t>
            </w:r>
          </w:p>
        </w:tc>
        <w:tc>
          <w:tcPr>
            <w:tcW w:w="98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25"/>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9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2013</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945</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1,485</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3,188</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00"/>
        </w:trPr>
        <w:tc>
          <w:tcPr>
            <w:tcW w:w="214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Brendan Brennan,</w:t>
            </w:r>
          </w:p>
        </w:tc>
        <w:tc>
          <w:tcPr>
            <w:tcW w:w="98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25"/>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9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2013</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453</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427</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13"/>
        </w:trPr>
        <w:tc>
          <w:tcPr>
            <w:tcW w:w="21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00"/>
        </w:trPr>
        <w:tc>
          <w:tcPr>
            <w:tcW w:w="214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Dr. Steve Cutler</w:t>
            </w:r>
          </w:p>
        </w:tc>
        <w:tc>
          <w:tcPr>
            <w:tcW w:w="98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13"/>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Group President Clinical</w:t>
            </w:r>
          </w:p>
        </w:tc>
        <w:tc>
          <w:tcPr>
            <w:tcW w:w="98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r>
      <w:tr>
        <w:trPr>
          <w:trHeight w:val="225"/>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Research Services*</w:t>
            </w:r>
          </w:p>
        </w:tc>
        <w:tc>
          <w:tcPr>
            <w:tcW w:w="9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2013</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562</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677</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168</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1,416</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r>
      <w:tr>
        <w:trPr>
          <w:trHeight w:val="219"/>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r>
        <w:trPr>
          <w:trHeight w:val="219"/>
        </w:trPr>
        <w:tc>
          <w:tcPr>
            <w:tcW w:w="2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right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84"/>
              </w:rPr>
              <w:t>2013</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1,960</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2,589</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343</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4,991</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5,132</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10,123</w:t>
            </w:r>
          </w:p>
        </w:tc>
      </w:tr>
    </w:tbl>
    <w:p>
      <w:pPr>
        <w:spacing w:after="0" w:line="227" w:lineRule="exact"/>
        <w:rPr>
          <w:sz w:val="20"/>
          <w:szCs w:val="20"/>
          <w:color w:val="auto"/>
        </w:rPr>
      </w:pPr>
    </w:p>
    <w:p>
      <w:pPr>
        <w:ind w:left="820" w:hanging="814"/>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Appointed Chief Operating Officer on January 1, 2014</w:t>
      </w:r>
    </w:p>
    <w:p>
      <w:pPr>
        <w:spacing w:after="0" w:line="17" w:lineRule="exact"/>
        <w:rPr>
          <w:sz w:val="20"/>
          <w:szCs w:val="20"/>
          <w:color w:val="auto"/>
        </w:rPr>
      </w:pPr>
    </w:p>
    <w:p>
      <w:pPr>
        <w:ind w:left="820" w:right="100" w:hanging="814"/>
        <w:spacing w:after="0" w:line="253" w:lineRule="auto"/>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Excludes $1.7 million, $0.5 million and $0.9 million respectively for Ciaran Murray, Brendan Brennan and Dr. Steve Cutler which were paid during 2013 under the terms of the 2012 long-term incentive plan.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13"/>
        </w:trPr>
        <w:tc>
          <w:tcPr>
            <w:tcW w:w="3120" w:type="dxa"/>
            <w:vAlign w:val="bottom"/>
          </w:tcPr>
          <w:p>
            <w:pPr>
              <w:spacing w:after="0"/>
              <w:rPr>
                <w:sz w:val="20"/>
                <w:szCs w:val="20"/>
                <w:color w:val="auto"/>
              </w:rPr>
            </w:pPr>
            <w:r>
              <w:rPr>
                <w:rFonts w:ascii="Arial" w:cs="Arial" w:eastAsia="Arial" w:hAnsi="Arial"/>
                <w:sz w:val="18"/>
                <w:szCs w:val="18"/>
                <w:b w:val="1"/>
                <w:bCs w:val="1"/>
                <w:color w:val="auto"/>
              </w:rPr>
              <w:t>Director Compensation</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w w:val="97"/>
              </w:rPr>
              <w:t>Summary compensation table - Year ended December 31, 2014</w:t>
            </w: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4"/>
        </w:trPr>
        <w:tc>
          <w:tcPr>
            <w:tcW w:w="3120" w:type="dxa"/>
            <w:vAlign w:val="bottom"/>
            <w:tcBorders>
              <w:top w:val="single" w:sz="8" w:color="auto"/>
              <w:left w:val="single" w:sz="8" w:color="auto"/>
              <w:right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1"/>
              <w:spacing w:after="0" w:line="195" w:lineRule="exact"/>
              <w:rPr>
                <w:sz w:val="20"/>
                <w:szCs w:val="20"/>
                <w:color w:val="auto"/>
              </w:rPr>
            </w:pPr>
            <w:r>
              <w:rPr>
                <w:rFonts w:ascii="Arial" w:cs="Arial" w:eastAsia="Arial" w:hAnsi="Arial"/>
                <w:sz w:val="18"/>
                <w:szCs w:val="18"/>
                <w:b w:val="1"/>
                <w:bCs w:val="1"/>
                <w:color w:val="auto"/>
              </w:rPr>
              <w:t>Company</w:t>
            </w:r>
          </w:p>
        </w:tc>
        <w:tc>
          <w:tcPr>
            <w:tcW w:w="94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r>
      <w:tr>
        <w:trPr>
          <w:trHeight w:val="213"/>
        </w:trPr>
        <w:tc>
          <w:tcPr>
            <w:tcW w:w="312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rPr>
              <w:t>pension</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1000" w:type="dxa"/>
            <w:vAlign w:val="bottom"/>
            <w:tcBorders>
              <w:right w:val="single" w:sz="8" w:color="auto"/>
            </w:tcBorders>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96"/>
              </w:rPr>
              <w:t>Share-based</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Director’s</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54"/>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9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w w:val="92"/>
              </w:rPr>
              <w:t>Year</w:t>
            </w:r>
          </w:p>
        </w:tc>
        <w:tc>
          <w:tcPr>
            <w:tcW w:w="31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Salary contributioncompensation</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5"/>
              </w:rPr>
              <w:t>compensation</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Compensation</w:t>
            </w:r>
          </w:p>
        </w:tc>
      </w:tr>
      <w:tr>
        <w:trPr>
          <w:trHeight w:val="196"/>
        </w:trPr>
        <w:tc>
          <w:tcPr>
            <w:tcW w:w="312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4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$’000</w:t>
            </w:r>
          </w:p>
        </w:tc>
        <w:tc>
          <w:tcPr>
            <w:tcW w:w="102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$’000</w:t>
            </w:r>
          </w:p>
        </w:tc>
        <w:tc>
          <w:tcPr>
            <w:tcW w:w="9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$’000</w:t>
            </w:r>
          </w:p>
        </w:tc>
        <w:tc>
          <w:tcPr>
            <w:tcW w:w="9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1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r>
      <w:tr>
        <w:trPr>
          <w:trHeight w:val="213"/>
        </w:trPr>
        <w:tc>
          <w:tcPr>
            <w:tcW w:w="3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Thomas Lynch</w:t>
            </w:r>
          </w:p>
        </w:tc>
        <w:tc>
          <w:tcPr>
            <w:tcW w:w="980" w:type="dxa"/>
            <w:vAlign w:val="bottom"/>
            <w:tcBorders>
              <w:right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13"/>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Ciaran Murray</w:t>
            </w:r>
          </w:p>
        </w:tc>
        <w:tc>
          <w:tcPr>
            <w:tcW w:w="9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1,184</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148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5,415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12,221</w:t>
            </w:r>
          </w:p>
        </w:tc>
      </w:tr>
      <w:tr>
        <w:trPr>
          <w:trHeight w:val="213"/>
        </w:trPr>
        <w:tc>
          <w:tcPr>
            <w:tcW w:w="3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Climax</w:t>
            </w:r>
          </w:p>
        </w:tc>
        <w:tc>
          <w:tcPr>
            <w:tcW w:w="980" w:type="dxa"/>
            <w:vAlign w:val="bottom"/>
            <w:tcBorders>
              <w:right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3"/>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9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13"/>
        </w:trPr>
        <w:tc>
          <w:tcPr>
            <w:tcW w:w="3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980" w:type="dxa"/>
            <w:vAlign w:val="bottom"/>
            <w:tcBorders>
              <w:right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3"/>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9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13"/>
        </w:trPr>
        <w:tc>
          <w:tcPr>
            <w:tcW w:w="3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Cathrin Petty*</w:t>
            </w:r>
          </w:p>
        </w:tc>
        <w:tc>
          <w:tcPr>
            <w:tcW w:w="980" w:type="dxa"/>
            <w:vAlign w:val="bottom"/>
            <w:tcBorders>
              <w:right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Hall</w:t>
            </w:r>
          </w:p>
        </w:tc>
        <w:tc>
          <w:tcPr>
            <w:tcW w:w="9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3"/>
        </w:trPr>
        <w:tc>
          <w:tcPr>
            <w:tcW w:w="3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Mary Pendergast**</w:t>
            </w:r>
          </w:p>
        </w:tc>
        <w:tc>
          <w:tcPr>
            <w:tcW w:w="980" w:type="dxa"/>
            <w:vAlign w:val="bottom"/>
            <w:tcBorders>
              <w:right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9"/>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Hugh Brady ***</w:t>
            </w:r>
          </w:p>
        </w:tc>
        <w:tc>
          <w:tcPr>
            <w:tcW w:w="9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w w:val="89"/>
              </w:rPr>
              <w:t>2014</w:t>
            </w: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9"/>
        </w:trPr>
        <w:tc>
          <w:tcPr>
            <w:tcW w:w="31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89"/>
              </w:rPr>
              <w:t>2014</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1,184</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148</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5,474</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6,806</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5,685</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13,652</w:t>
            </w:r>
          </w:p>
        </w:tc>
      </w:tr>
    </w:tbl>
    <w:p>
      <w:pPr>
        <w:spacing w:after="0" w:line="227" w:lineRule="exact"/>
        <w:rPr>
          <w:sz w:val="20"/>
          <w:szCs w:val="20"/>
          <w:color w:val="auto"/>
        </w:rPr>
      </w:pPr>
    </w:p>
    <w:p>
      <w:pPr>
        <w:ind w:left="820" w:hanging="814"/>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Resigned on January 24, 2014 ** Appointed February 18, 2014 ***Appointed April 29, 2014</w:t>
      </w:r>
    </w:p>
    <w:p>
      <w:pPr>
        <w:spacing w:after="0" w:line="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6"/>
          <w:szCs w:val="16"/>
          <w:color w:val="auto"/>
        </w:rPr>
        <w:t>Includes $3.6 million payable in respect of the additional 2014 bonus plan.</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Summary compensation table - Year ended December 31, 2013</w:t>
            </w: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4"/>
        </w:trPr>
        <w:tc>
          <w:tcPr>
            <w:tcW w:w="3080" w:type="dxa"/>
            <w:vAlign w:val="bottom"/>
            <w:tcBorders>
              <w:left w:val="single" w:sz="8" w:color="auto"/>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jc w:val="right"/>
              <w:ind w:right="91"/>
              <w:spacing w:after="0" w:line="195" w:lineRule="exact"/>
              <w:rPr>
                <w:sz w:val="20"/>
                <w:szCs w:val="20"/>
                <w:color w:val="auto"/>
              </w:rPr>
            </w:pPr>
            <w:r>
              <w:rPr>
                <w:rFonts w:ascii="Arial" w:cs="Arial" w:eastAsia="Arial" w:hAnsi="Arial"/>
                <w:sz w:val="18"/>
                <w:szCs w:val="18"/>
                <w:b w:val="1"/>
                <w:bCs w:val="1"/>
                <w:color w:val="auto"/>
              </w:rPr>
              <w:t>Company</w:t>
            </w: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r>
      <w:tr>
        <w:trPr>
          <w:trHeight w:val="213"/>
        </w:trPr>
        <w:tc>
          <w:tcPr>
            <w:tcW w:w="30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b w:val="1"/>
                <w:bCs w:val="1"/>
                <w:color w:val="auto"/>
              </w:rPr>
              <w:t>pension</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1000" w:type="dxa"/>
            <w:vAlign w:val="bottom"/>
            <w:tcBorders>
              <w:right w:val="single" w:sz="8" w:color="auto"/>
            </w:tcBorders>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w w:val="94"/>
              </w:rPr>
              <w:t>Share-based</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Director’s</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54"/>
        </w:trPr>
        <w:tc>
          <w:tcPr>
            <w:tcW w:w="3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0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w w:val="92"/>
              </w:rPr>
              <w:t>Year</w:t>
            </w:r>
          </w:p>
        </w:tc>
        <w:tc>
          <w:tcPr>
            <w:tcW w:w="30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Salary contributioncompensation</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3"/>
              </w:rPr>
              <w:t>compensation</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Compensation</w:t>
            </w:r>
          </w:p>
        </w:tc>
      </w:tr>
      <w:tr>
        <w:trPr>
          <w:trHeight w:val="196"/>
        </w:trPr>
        <w:tc>
          <w:tcPr>
            <w:tcW w:w="3080" w:type="dxa"/>
            <w:vAlign w:val="bottom"/>
            <w:tcBorders>
              <w:left w:val="single" w:sz="8" w:color="auto"/>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2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rPr>
              <w:t>$’000</w:t>
            </w:r>
          </w:p>
        </w:tc>
        <w:tc>
          <w:tcPr>
            <w:tcW w:w="9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$’000</w:t>
            </w:r>
          </w:p>
        </w:tc>
        <w:tc>
          <w:tcPr>
            <w:tcW w:w="9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1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r>
      <w:tr>
        <w:trPr>
          <w:trHeight w:val="213"/>
        </w:trPr>
        <w:tc>
          <w:tcPr>
            <w:tcW w:w="3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Thomas Lynch*</w:t>
            </w:r>
          </w:p>
        </w:tc>
        <w:tc>
          <w:tcPr>
            <w:tcW w:w="100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3"/>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Bruce Given**</w:t>
            </w:r>
          </w:p>
        </w:tc>
        <w:tc>
          <w:tcPr>
            <w:tcW w:w="10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13"/>
        </w:trPr>
        <w:tc>
          <w:tcPr>
            <w:tcW w:w="3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100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945</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3,188</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r>
      <w:tr>
        <w:trPr>
          <w:trHeight w:val="213"/>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Climax</w:t>
            </w:r>
          </w:p>
        </w:tc>
        <w:tc>
          <w:tcPr>
            <w:tcW w:w="10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3"/>
        </w:trPr>
        <w:tc>
          <w:tcPr>
            <w:tcW w:w="3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Ronan Lambe</w:t>
            </w:r>
          </w:p>
        </w:tc>
        <w:tc>
          <w:tcPr>
            <w:tcW w:w="100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3"/>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Dermot Kelleher</w:t>
            </w:r>
          </w:p>
        </w:tc>
        <w:tc>
          <w:tcPr>
            <w:tcW w:w="10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3"/>
        </w:trPr>
        <w:tc>
          <w:tcPr>
            <w:tcW w:w="3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Declan McKeon</w:t>
            </w:r>
          </w:p>
        </w:tc>
        <w:tc>
          <w:tcPr>
            <w:tcW w:w="100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3"/>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Cathrin Petty</w:t>
            </w:r>
          </w:p>
        </w:tc>
        <w:tc>
          <w:tcPr>
            <w:tcW w:w="10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19"/>
        </w:trPr>
        <w:tc>
          <w:tcPr>
            <w:tcW w:w="30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Hall</w:t>
            </w:r>
          </w:p>
        </w:tc>
        <w:tc>
          <w:tcPr>
            <w:tcW w:w="1000" w:type="dxa"/>
            <w:vAlign w:val="bottom"/>
            <w:tcBorders>
              <w:bottom w:val="single" w:sz="8" w:color="auto"/>
              <w:righ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2013</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9"/>
        </w:trPr>
        <w:tc>
          <w:tcPr>
            <w:tcW w:w="3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w w:val="89"/>
              </w:rPr>
              <w:t>2013</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945</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118</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2,588</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3,372</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6,758</w:t>
            </w:r>
          </w:p>
        </w:tc>
      </w:tr>
    </w:tbl>
    <w:p>
      <w:pPr>
        <w:spacing w:after="0" w:line="227" w:lineRule="exact"/>
        <w:rPr>
          <w:sz w:val="20"/>
          <w:szCs w:val="20"/>
          <w:color w:val="auto"/>
        </w:rPr>
      </w:pPr>
    </w:p>
    <w:p>
      <w:pPr>
        <w:ind w:left="5620" w:right="5620" w:hanging="5614"/>
        <w:spacing w:after="0" w:line="832" w:lineRule="auto"/>
        <w:tabs>
          <w:tab w:leader="none" w:pos="812"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Appointed Chairman on January 1, 2013 ** Retired on July 22, 2013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25297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17" w:lineRule="exact"/>
        <w:rPr>
          <w:sz w:val="20"/>
          <w:szCs w:val="20"/>
          <w:color w:val="auto"/>
        </w:rPr>
      </w:pPr>
    </w:p>
    <w:p>
      <w:pPr>
        <w:ind w:right="820"/>
        <w:spacing w:after="0" w:line="253" w:lineRule="auto"/>
        <w:rPr>
          <w:sz w:val="20"/>
          <w:szCs w:val="20"/>
          <w:color w:val="auto"/>
        </w:rPr>
      </w:pPr>
      <w:r>
        <w:rPr>
          <w:rFonts w:ascii="Arial" w:cs="Arial" w:eastAsia="Arial" w:hAnsi="Arial"/>
          <w:sz w:val="18"/>
          <w:szCs w:val="18"/>
          <w:color w:val="auto"/>
        </w:rPr>
        <w:t>The Company does not have any termination or change of control agreements with its named executive officers other than as set out below and in the agreements relating to their equity holdings which provide for vesting on change of control.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Thomas Lynch</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Mr. Thomas Lynch has served as Chairman of the Board of the Company since January 2013 and has served as an outside director of the Company since August 1994. The arrangements with Mr. Lynch provide for the payment to him of director fees of $563,000 per annum plus reasonable expenses properly incurred in carrying out his duties for the Company. He was previously granted and held at March 12, 2015 23,000 ordinary share options at exercise prices ranging from $20.28 to $40.83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Mr. Ciaran Murray is currently Chief Executive Officer of the Company, a position he has held since October 2011. He has served as an Executive Director of the Company since October 2011. He previously served as Chief Financial Officer of the Company from October 2005 until October 2011. The service agreement with Mr. Murray is terminable on 12 months notice by either party. Under the terms of this agreement Mr. Murray is entitled to receive an annual salary of $1,250,000 and a bonus to be agreed by the Compensation and Organization Committee. He is also entitled to receive a pension contribution, a car allowance of $31,000 and medical insurance coverage for himself and his dependants. He was previously granted and held at March 12, 2015 353,901 ordinary share options at exercise prices ranging from $16.80 to $48.67 per share, 112,298 Restricted Share Units which vest on various dates between May 2015 and May 2016 and 125,937 (up to a maximum of 251,874 based on certain performance conditions) Performance Share Units which vest between May 2016 and March 2017 subject to the fulfillment of certain performance conditions. His service agreement requires him to devote his full time and attention to his duties for the Company excepting certain outside director positions authorized by the Board. The agreement with Mr. Murray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Brendan Brennan</w:t>
      </w:r>
    </w:p>
    <w:p>
      <w:pPr>
        <w:spacing w:after="0" w:line="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$464,000 and a bonus to be agreed by the Compensation and Organization Committee. He is also entitled to receive a pension contribution, a car allowance of $25,000 and medical insurance coverage for himself and his dependants. He was previously granted and held at March 12, 2015 58,996 ordinary share options at exercise prices ranging from $20.28 to $48.67 per share, 12,650 Restricted Share Units, which vest on various dates between May 2015 and May 2016, and 22,829 (up to a maximum of 45,658 based on certain performance conditions) Performance Share Units which vest between May 2016 and March 2017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Steve Cutler</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Dr. Steve Cutler was appointed Chief Operating Officer of the Company in January 2014. Prior to this appointment he served as Group President Clinical Research Services since November 2011. The service agreement with Dr. Cutler is terminable on 180 days’ notice by either party. Under the terms of this agreement Dr. Cutler is entitled to receive an annual salary of $750,000 and a bonus to be agreed by the Compensation and Organization Committee. He is also entitled to receive a pension contribution, a car allowance of $12,000 and medical insurance coverage for himself and his dependants. He was previously granted and held at March 12, 2015 117,299 ordinary share options at exercise prices ranging from $17.17 to $48.67 per share, 34,830 Restricted Share Units which vest on various dates between May 2015 and May 2016 and 66,956 (up to a maximum of 133,912 based on certain performance conditions) Performance Share Units which vest between May 2016 and March 2017 subject to the fulfillment of certain performance conditions. His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Dr. John Climax</w:t>
      </w:r>
    </w:p>
    <w:p>
      <w:pPr>
        <w:spacing w:after="0" w:line="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$72,500 per annum plus reasonable expenses properly incurred in carrying out his duties for the Company. He was previously granted and held at March 12, 2015 78,500 ordinary share options at exercise prices ranging from $15.84 to $40.83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$72,500 per annum plus reasonable expenses properly incurred in carrying out his duties for the Company. He was previously granted and held at March 12, 2015 22,500 ordinary share options at exercise prices ranging from $20.28 to $40.83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Professor Dermot Kelleher has served as an outside director of the Company since May 2008. The arrangements with Professor Kelleher provide for the payment to him of director fees of $92,500 per annum. He was previously granted and held at March 12, 2015 18,500 ordinary share options at an exercise price ranging from $20.28 to $40.83.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Mr. Declan McKeon has served as an outside director of the Company since April 2010. The arrangements with Mr. McKeon provide for the payment to him of directors fees of $117,500 per annum. He was previously granted and held at March 12, 2015 19,500 ordinary share options at exercise prices ranging from $20.28 to $40.83.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Cathrin Petty</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Ms. Cathrin Petty served as an outside director of the Company since October 2010 until her retirement in January 2014. The arrangements with Ms. Petty provided for the payment to her of directors fees of $80,000 per annum. Ms. Petty’s unvested share options vested on the date of her retirement.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William Hall</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Professor William Hall has served as an outside director of the Company since February 2013. The arrangements with Professor Hall provide for the payment to him of directors fees of $117,500 per annum. He was previously granted and held at March 12, 2015 17,500 ordinary share options at exercise prices ranging from $32.37 to $40.83.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Mary Pendergast</w:t>
      </w:r>
    </w:p>
    <w:p>
      <w:pPr>
        <w:spacing w:after="0" w:line="17"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auto"/>
        </w:rPr>
        <w:t>Ms. Mary Pendergast has served as an outside director of the Company since February 2014. The arrangements with Ms. Pendergast provide for the payment to her of directors fees of $85,000 per annum. She was previously granted and held at March 12, 2015 10,000 ordinary share options at an exercise price of $40.83</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Dr. Hugh Brady</w:t>
      </w:r>
    </w:p>
    <w:p>
      <w:pPr>
        <w:spacing w:after="0" w:line="17"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Dr. Hugh Brady has served as an outside director of the Company since April 2014. The arrangements with Dr. Brady provide for the payment to him of directors fees of $60,000 per annum. He was previously granted and held at December 31, 2014 10,000 ordinary share options at an exercise price of $40.83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At December 31, 2014, December 31, 2013 and December 31, 2012 we employed approximately 10,600, 10,300 and 9,500 people respectively. Our employees are not unionized and we believe we have a satisfactory relationship with our employees.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p>
    <w:p>
      <w:pPr>
        <w:spacing w:after="0" w:line="236"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following table sets forth certain information as of March 12, 2015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4680" w:type="dxa"/>
            <w:vAlign w:val="bottom"/>
          </w:tcPr>
          <w:p>
            <w:pPr>
              <w:jc w:val="right"/>
              <w:ind w:right="211"/>
              <w:spacing w:after="0"/>
              <w:rPr>
                <w:sz w:val="20"/>
                <w:szCs w:val="20"/>
                <w:color w:val="auto"/>
              </w:rPr>
            </w:pPr>
            <w:r>
              <w:rPr>
                <w:rFonts w:ascii="Arial" w:cs="Arial" w:eastAsia="Arial" w:hAnsi="Arial"/>
                <w:sz w:val="18"/>
                <w:szCs w:val="18"/>
                <w:b w:val="1"/>
                <w:bCs w:val="1"/>
                <w:color w:val="auto"/>
              </w:rPr>
              <w:t>No. of</w:t>
            </w: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 of total</w:t>
            </w: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4680" w:type="dxa"/>
            <w:vAlign w:val="bottom"/>
          </w:tcPr>
          <w:p>
            <w:pPr>
              <w:jc w:val="right"/>
              <w:ind w:right="211"/>
              <w:spacing w:after="0"/>
              <w:rPr>
                <w:sz w:val="20"/>
                <w:szCs w:val="20"/>
                <w:color w:val="auto"/>
              </w:rPr>
            </w:pPr>
            <w:r>
              <w:rPr>
                <w:rFonts w:ascii="Arial" w:cs="Arial" w:eastAsia="Arial" w:hAnsi="Arial"/>
                <w:sz w:val="18"/>
                <w:szCs w:val="18"/>
                <w:b w:val="1"/>
                <w:bCs w:val="1"/>
                <w:color w:val="auto"/>
              </w:rPr>
              <w:t>Shares (1)</w:t>
            </w: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Shares</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Mr. Thomas Lynch</w:t>
            </w:r>
          </w:p>
        </w:tc>
        <w:tc>
          <w:tcPr>
            <w:tcW w:w="46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Mr. Ciaran Murray</w:t>
            </w:r>
          </w:p>
        </w:tc>
        <w:tc>
          <w:tcPr>
            <w:tcW w:w="4680" w:type="dxa"/>
            <w:vAlign w:val="bottom"/>
          </w:tcPr>
          <w:p>
            <w:pPr>
              <w:jc w:val="right"/>
              <w:ind w:right="211"/>
              <w:spacing w:after="0"/>
              <w:rPr>
                <w:sz w:val="20"/>
                <w:szCs w:val="20"/>
                <w:color w:val="auto"/>
              </w:rPr>
            </w:pPr>
            <w:r>
              <w:rPr>
                <w:rFonts w:ascii="Arial" w:cs="Arial" w:eastAsia="Arial" w:hAnsi="Arial"/>
                <w:sz w:val="18"/>
                <w:szCs w:val="18"/>
                <w:color w:val="auto"/>
              </w:rPr>
              <w:t>15,149</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Mr. Brendan Brennan</w:t>
            </w:r>
          </w:p>
        </w:tc>
        <w:tc>
          <w:tcPr>
            <w:tcW w:w="46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3,025</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Dr. Steve Cutler</w:t>
            </w:r>
          </w:p>
        </w:tc>
        <w:tc>
          <w:tcPr>
            <w:tcW w:w="46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46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1,257,568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Dr. Ronan Lambe</w:t>
            </w:r>
          </w:p>
        </w:tc>
        <w:tc>
          <w:tcPr>
            <w:tcW w:w="4680" w:type="dxa"/>
            <w:vAlign w:val="bottom"/>
          </w:tcPr>
          <w:p>
            <w:pPr>
              <w:jc w:val="right"/>
              <w:ind w:right="211"/>
              <w:spacing w:after="0"/>
              <w:rPr>
                <w:sz w:val="20"/>
                <w:szCs w:val="20"/>
                <w:color w:val="auto"/>
              </w:rPr>
            </w:pPr>
            <w:r>
              <w:rPr>
                <w:rFonts w:ascii="Arial" w:cs="Arial" w:eastAsia="Arial" w:hAnsi="Arial"/>
                <w:sz w:val="18"/>
                <w:szCs w:val="18"/>
                <w:color w:val="auto"/>
              </w:rPr>
              <w:t>400</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w:t>
            </w:r>
          </w:p>
        </w:tc>
        <w:tc>
          <w:tcPr>
            <w:tcW w:w="46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Mr. Declan McKeon</w:t>
            </w:r>
          </w:p>
        </w:tc>
        <w:tc>
          <w:tcPr>
            <w:tcW w:w="46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Professor William Hall</w:t>
            </w:r>
          </w:p>
        </w:tc>
        <w:tc>
          <w:tcPr>
            <w:tcW w:w="46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24"/>
        </w:trPr>
        <w:tc>
          <w:tcPr>
            <w:tcW w:w="5540" w:type="dxa"/>
            <w:vAlign w:val="bottom"/>
          </w:tcPr>
          <w:p>
            <w:pPr>
              <w:spacing w:after="0"/>
              <w:rPr>
                <w:sz w:val="20"/>
                <w:szCs w:val="20"/>
                <w:color w:val="auto"/>
              </w:rPr>
            </w:pPr>
            <w:r>
              <w:rPr>
                <w:rFonts w:ascii="Arial" w:cs="Arial" w:eastAsia="Arial" w:hAnsi="Arial"/>
                <w:sz w:val="18"/>
                <w:szCs w:val="18"/>
                <w:color w:val="auto"/>
              </w:rPr>
              <w:t>Ms. Mary Pendergast</w:t>
            </w:r>
          </w:p>
        </w:tc>
        <w:tc>
          <w:tcPr>
            <w:tcW w:w="46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r>
    </w:tbl>
    <w:p>
      <w:pPr>
        <w:spacing w:after="0" w:line="216" w:lineRule="exact"/>
        <w:rPr>
          <w:sz w:val="20"/>
          <w:szCs w:val="20"/>
          <w:color w:val="auto"/>
        </w:rPr>
      </w:pPr>
    </w:p>
    <w:p>
      <w:pPr>
        <w:jc w:val="both"/>
        <w:ind w:left="800" w:hanging="498"/>
        <w:spacing w:after="0" w:line="278"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used in these tables,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 and Performance Share Units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sets forth certain information as of March 12, 2015 regarding beneficial ownership of restricted share units (“RSU’s”) and performance share units (“PSU’s”) which have been issued to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2040" w:type="dxa"/>
            <w:vAlign w:val="bottom"/>
          </w:tcPr>
          <w:p>
            <w:pPr>
              <w:jc w:val="right"/>
              <w:ind w:right="671"/>
              <w:spacing w:after="0"/>
              <w:rPr>
                <w:sz w:val="20"/>
                <w:szCs w:val="20"/>
                <w:color w:val="auto"/>
              </w:rPr>
            </w:pPr>
            <w:r>
              <w:rPr>
                <w:rFonts w:ascii="Arial" w:cs="Arial" w:eastAsia="Arial" w:hAnsi="Arial"/>
                <w:sz w:val="18"/>
                <w:szCs w:val="18"/>
                <w:b w:val="1"/>
                <w:bCs w:val="1"/>
                <w:color w:val="auto"/>
              </w:rPr>
              <w:t>No. of</w:t>
            </w:r>
          </w:p>
        </w:tc>
        <w:tc>
          <w:tcPr>
            <w:tcW w:w="2320" w:type="dxa"/>
            <w:vAlign w:val="bottom"/>
          </w:tcPr>
          <w:p>
            <w:pPr>
              <w:jc w:val="right"/>
              <w:ind w:right="151"/>
              <w:spacing w:after="0"/>
              <w:rPr>
                <w:sz w:val="20"/>
                <w:szCs w:val="20"/>
                <w:color w:val="auto"/>
              </w:rPr>
            </w:pPr>
            <w:r>
              <w:rPr>
                <w:rFonts w:ascii="Arial" w:cs="Arial" w:eastAsia="Arial" w:hAnsi="Arial"/>
                <w:sz w:val="18"/>
                <w:szCs w:val="18"/>
                <w:b w:val="1"/>
                <w:bCs w:val="1"/>
                <w:color w:val="auto"/>
              </w:rPr>
              <w:t>Vesting Date</w:t>
            </w:r>
          </w:p>
        </w:tc>
        <w:tc>
          <w:tcPr>
            <w:tcW w:w="1920" w:type="dxa"/>
            <w:vAlign w:val="bottom"/>
          </w:tcPr>
          <w:p>
            <w:pPr>
              <w:jc w:val="right"/>
              <w:ind w:right="816"/>
              <w:spacing w:after="0"/>
              <w:rPr>
                <w:sz w:val="20"/>
                <w:szCs w:val="20"/>
                <w:color w:val="auto"/>
              </w:rPr>
            </w:pPr>
            <w:r>
              <w:rPr>
                <w:rFonts w:ascii="Arial" w:cs="Arial" w:eastAsia="Arial" w:hAnsi="Arial"/>
                <w:sz w:val="18"/>
                <w:szCs w:val="18"/>
                <w:b w:val="1"/>
                <w:bCs w:val="1"/>
                <w:color w:val="auto"/>
              </w:rPr>
              <w:t>No. of</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Vesting Date</w:t>
            </w:r>
          </w:p>
        </w:tc>
      </w:tr>
      <w:tr>
        <w:trPr>
          <w:trHeight w:val="231"/>
        </w:trPr>
        <w:tc>
          <w:tcPr>
            <w:tcW w:w="320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2040" w:type="dxa"/>
            <w:vAlign w:val="bottom"/>
          </w:tcPr>
          <w:p>
            <w:pPr>
              <w:jc w:val="right"/>
              <w:ind w:right="671"/>
              <w:spacing w:after="0" w:line="230" w:lineRule="exact"/>
              <w:rPr>
                <w:sz w:val="20"/>
                <w:szCs w:val="20"/>
                <w:color w:val="auto"/>
              </w:rPr>
            </w:pPr>
            <w:r>
              <w:rPr>
                <w:rFonts w:ascii="Arial" w:cs="Arial" w:eastAsia="Arial" w:hAnsi="Arial"/>
                <w:sz w:val="18"/>
                <w:szCs w:val="18"/>
                <w:b w:val="1"/>
                <w:bCs w:val="1"/>
                <w:color w:val="auto"/>
              </w:rPr>
              <w:t xml:space="preserve">RSU’s </w:t>
            </w:r>
            <w:r>
              <w:rPr>
                <w:rFonts w:ascii="Arial" w:cs="Arial" w:eastAsia="Arial" w:hAnsi="Arial"/>
                <w:sz w:val="24"/>
                <w:szCs w:val="24"/>
                <w:b w:val="1"/>
                <w:bCs w:val="1"/>
                <w:color w:val="auto"/>
                <w:vertAlign w:val="superscript"/>
              </w:rPr>
              <w:t>(1)</w:t>
            </w:r>
          </w:p>
        </w:tc>
        <w:tc>
          <w:tcPr>
            <w:tcW w:w="2320" w:type="dxa"/>
            <w:vAlign w:val="bottom"/>
          </w:tcPr>
          <w:p>
            <w:pPr>
              <w:spacing w:after="0"/>
              <w:rPr>
                <w:sz w:val="20"/>
                <w:szCs w:val="20"/>
                <w:color w:val="auto"/>
              </w:rPr>
            </w:pPr>
          </w:p>
        </w:tc>
        <w:tc>
          <w:tcPr>
            <w:tcW w:w="1920" w:type="dxa"/>
            <w:vAlign w:val="bottom"/>
          </w:tcPr>
          <w:p>
            <w:pPr>
              <w:jc w:val="right"/>
              <w:ind w:right="816"/>
              <w:spacing w:after="0" w:line="231" w:lineRule="exact"/>
              <w:rPr>
                <w:sz w:val="20"/>
                <w:szCs w:val="20"/>
                <w:color w:val="auto"/>
              </w:rPr>
            </w:pPr>
            <w:r>
              <w:rPr>
                <w:rFonts w:ascii="Arial" w:cs="Arial" w:eastAsia="Arial" w:hAnsi="Arial"/>
                <w:sz w:val="26"/>
                <w:szCs w:val="26"/>
                <w:b w:val="1"/>
                <w:bCs w:val="1"/>
                <w:color w:val="auto"/>
                <w:vertAlign w:val="subscript"/>
              </w:rPr>
              <w:t>PSU’s</w:t>
            </w:r>
            <w:r>
              <w:rPr>
                <w:rFonts w:ascii="Arial" w:cs="Arial" w:eastAsia="Arial" w:hAnsi="Arial"/>
                <w:sz w:val="11"/>
                <w:szCs w:val="11"/>
                <w:b w:val="1"/>
                <w:bCs w:val="1"/>
                <w:color w:val="auto"/>
              </w:rPr>
              <w:t xml:space="preserve"> (1)(3)</w:t>
            </w:r>
          </w:p>
        </w:tc>
        <w:tc>
          <w:tcPr>
            <w:tcW w:w="1940" w:type="dxa"/>
            <w:vAlign w:val="bottom"/>
          </w:tcPr>
          <w:p>
            <w:pPr>
              <w:spacing w:after="0"/>
              <w:rPr>
                <w:sz w:val="20"/>
                <w:szCs w:val="20"/>
                <w:color w:val="auto"/>
              </w:rPr>
            </w:pPr>
          </w:p>
        </w:tc>
      </w:tr>
      <w:tr>
        <w:trPr>
          <w:trHeight w:val="21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20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50,000</w:t>
            </w:r>
          </w:p>
        </w:tc>
        <w:tc>
          <w:tcPr>
            <w:tcW w:w="2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February 10, 2016</w:t>
            </w:r>
          </w:p>
        </w:tc>
        <w:tc>
          <w:tcPr>
            <w:tcW w:w="19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62,299</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 2016</w:t>
            </w:r>
          </w:p>
        </w:tc>
      </w:tr>
      <w:tr>
        <w:trPr>
          <w:trHeight w:val="213"/>
        </w:trPr>
        <w:tc>
          <w:tcPr>
            <w:tcW w:w="320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31,149</w:t>
            </w:r>
          </w:p>
        </w:tc>
        <w:tc>
          <w:tcPr>
            <w:tcW w:w="2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May 1, 2015</w:t>
            </w:r>
          </w:p>
        </w:tc>
        <w:tc>
          <w:tcPr>
            <w:tcW w:w="19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63,638</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2017</w:t>
            </w:r>
          </w:p>
        </w:tc>
      </w:tr>
      <w:tr>
        <w:trPr>
          <w:trHeight w:val="213"/>
        </w:trPr>
        <w:tc>
          <w:tcPr>
            <w:tcW w:w="320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31,149</w:t>
            </w:r>
          </w:p>
        </w:tc>
        <w:tc>
          <w:tcPr>
            <w:tcW w:w="2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May 1, 2016</w:t>
            </w:r>
          </w:p>
        </w:tc>
        <w:tc>
          <w:tcPr>
            <w:tcW w:w="1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00"/>
        </w:trPr>
        <w:tc>
          <w:tcPr>
            <w:tcW w:w="3200" w:type="dxa"/>
            <w:vAlign w:val="bottom"/>
          </w:tcPr>
          <w:p>
            <w:pPr>
              <w:spacing w:after="0" w:line="201" w:lineRule="exact"/>
              <w:rPr>
                <w:sz w:val="20"/>
                <w:szCs w:val="20"/>
                <w:color w:val="auto"/>
              </w:rPr>
            </w:pPr>
            <w:r>
              <w:rPr>
                <w:rFonts w:ascii="Arial" w:cs="Arial" w:eastAsia="Arial" w:hAnsi="Arial"/>
                <w:sz w:val="18"/>
                <w:szCs w:val="18"/>
                <w:color w:val="auto"/>
              </w:rPr>
              <w:t>Mr. Brendan Brennan</w:t>
            </w:r>
          </w:p>
        </w:tc>
        <w:tc>
          <w:tcPr>
            <w:tcW w:w="2040" w:type="dxa"/>
            <w:vAlign w:val="bottom"/>
          </w:tcPr>
          <w:p>
            <w:pPr>
              <w:jc w:val="right"/>
              <w:ind w:right="671"/>
              <w:spacing w:after="0" w:line="201" w:lineRule="exact"/>
              <w:rPr>
                <w:sz w:val="20"/>
                <w:szCs w:val="20"/>
                <w:color w:val="auto"/>
              </w:rPr>
            </w:pPr>
            <w:r>
              <w:rPr>
                <w:rFonts w:ascii="Arial" w:cs="Arial" w:eastAsia="Arial" w:hAnsi="Arial"/>
                <w:sz w:val="18"/>
                <w:szCs w:val="18"/>
                <w:color w:val="auto"/>
              </w:rPr>
              <w:t>6,325</w:t>
            </w:r>
          </w:p>
        </w:tc>
        <w:tc>
          <w:tcPr>
            <w:tcW w:w="23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May 1, 2015</w:t>
            </w:r>
          </w:p>
        </w:tc>
        <w:tc>
          <w:tcPr>
            <w:tcW w:w="1920" w:type="dxa"/>
            <w:vAlign w:val="bottom"/>
          </w:tcPr>
          <w:p>
            <w:pPr>
              <w:jc w:val="right"/>
              <w:ind w:right="816"/>
              <w:spacing w:after="0" w:line="201" w:lineRule="exact"/>
              <w:rPr>
                <w:sz w:val="20"/>
                <w:szCs w:val="20"/>
                <w:color w:val="auto"/>
              </w:rPr>
            </w:pPr>
            <w:r>
              <w:rPr>
                <w:rFonts w:ascii="Arial" w:cs="Arial" w:eastAsia="Arial" w:hAnsi="Arial"/>
                <w:sz w:val="18"/>
                <w:szCs w:val="18"/>
                <w:color w:val="auto"/>
              </w:rPr>
              <w:t>12,650</w:t>
            </w:r>
          </w:p>
        </w:tc>
        <w:tc>
          <w:tcPr>
            <w:tcW w:w="1940" w:type="dxa"/>
            <w:vAlign w:val="bottom"/>
          </w:tcPr>
          <w:p>
            <w:pPr>
              <w:jc w:val="right"/>
              <w:spacing w:after="0" w:line="201" w:lineRule="exact"/>
              <w:rPr>
                <w:sz w:val="20"/>
                <w:szCs w:val="20"/>
                <w:color w:val="auto"/>
              </w:rPr>
            </w:pPr>
            <w:r>
              <w:rPr>
                <w:rFonts w:ascii="Arial" w:cs="Arial" w:eastAsia="Arial" w:hAnsi="Arial"/>
                <w:sz w:val="18"/>
                <w:szCs w:val="18"/>
                <w:color w:val="auto"/>
              </w:rPr>
              <w:t>May 1, 2016</w:t>
            </w:r>
          </w:p>
        </w:tc>
      </w:tr>
      <w:tr>
        <w:trPr>
          <w:trHeight w:val="224"/>
        </w:trPr>
        <w:tc>
          <w:tcPr>
            <w:tcW w:w="3200" w:type="dxa"/>
            <w:vAlign w:val="bottom"/>
          </w:tcPr>
          <w:p>
            <w:pPr>
              <w:spacing w:after="0"/>
              <w:rPr>
                <w:sz w:val="19"/>
                <w:szCs w:val="19"/>
                <w:color w:val="auto"/>
              </w:rPr>
            </w:pPr>
          </w:p>
        </w:tc>
        <w:tc>
          <w:tcPr>
            <w:tcW w:w="2040" w:type="dxa"/>
            <w:vAlign w:val="bottom"/>
          </w:tcPr>
          <w:p>
            <w:pPr>
              <w:jc w:val="right"/>
              <w:ind w:right="671"/>
              <w:spacing w:after="0"/>
              <w:rPr>
                <w:sz w:val="20"/>
                <w:szCs w:val="20"/>
                <w:color w:val="auto"/>
              </w:rPr>
            </w:pPr>
            <w:r>
              <w:rPr>
                <w:rFonts w:ascii="Arial" w:cs="Arial" w:eastAsia="Arial" w:hAnsi="Arial"/>
                <w:sz w:val="18"/>
                <w:szCs w:val="18"/>
                <w:color w:val="auto"/>
              </w:rPr>
              <w:t>6,325</w:t>
            </w:r>
          </w:p>
        </w:tc>
        <w:tc>
          <w:tcPr>
            <w:tcW w:w="2320" w:type="dxa"/>
            <w:vAlign w:val="bottom"/>
          </w:tcPr>
          <w:p>
            <w:pPr>
              <w:jc w:val="right"/>
              <w:ind w:right="151"/>
              <w:spacing w:after="0"/>
              <w:rPr>
                <w:sz w:val="20"/>
                <w:szCs w:val="20"/>
                <w:color w:val="auto"/>
              </w:rPr>
            </w:pPr>
            <w:r>
              <w:rPr>
                <w:rFonts w:ascii="Arial" w:cs="Arial" w:eastAsia="Arial" w:hAnsi="Arial"/>
                <w:sz w:val="18"/>
                <w:szCs w:val="18"/>
                <w:color w:val="auto"/>
              </w:rPr>
              <w:t>May 1, 2016</w:t>
            </w:r>
          </w:p>
        </w:tc>
        <w:tc>
          <w:tcPr>
            <w:tcW w:w="1920" w:type="dxa"/>
            <w:vAlign w:val="bottom"/>
          </w:tcPr>
          <w:p>
            <w:pPr>
              <w:jc w:val="right"/>
              <w:ind w:right="816"/>
              <w:spacing w:after="0"/>
              <w:rPr>
                <w:sz w:val="20"/>
                <w:szCs w:val="20"/>
                <w:color w:val="auto"/>
              </w:rPr>
            </w:pPr>
            <w:r>
              <w:rPr>
                <w:rFonts w:ascii="Arial" w:cs="Arial" w:eastAsia="Arial" w:hAnsi="Arial"/>
                <w:sz w:val="18"/>
                <w:szCs w:val="18"/>
                <w:color w:val="auto"/>
              </w:rPr>
              <w:t>10,179</w:t>
            </w:r>
          </w:p>
        </w:tc>
        <w:tc>
          <w:tcPr>
            <w:tcW w:w="1940" w:type="dxa"/>
            <w:vAlign w:val="bottom"/>
          </w:tcPr>
          <w:p>
            <w:pPr>
              <w:jc w:val="right"/>
              <w:spacing w:after="0"/>
              <w:rPr>
                <w:sz w:val="20"/>
                <w:szCs w:val="20"/>
                <w:color w:val="auto"/>
              </w:rPr>
            </w:pPr>
            <w:r>
              <w:rPr>
                <w:rFonts w:ascii="Arial" w:cs="Arial" w:eastAsia="Arial" w:hAnsi="Arial"/>
                <w:sz w:val="18"/>
                <w:szCs w:val="18"/>
                <w:color w:val="auto"/>
              </w:rPr>
              <w:t>March 3, 2017</w:t>
            </w: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Dr. Steve Cutler</w:t>
            </w:r>
          </w:p>
        </w:tc>
        <w:tc>
          <w:tcPr>
            <w:tcW w:w="20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17,415</w:t>
            </w:r>
          </w:p>
        </w:tc>
        <w:tc>
          <w:tcPr>
            <w:tcW w:w="2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May 1, 2015</w:t>
            </w:r>
          </w:p>
        </w:tc>
        <w:tc>
          <w:tcPr>
            <w:tcW w:w="19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34,831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 2016</w:t>
            </w:r>
          </w:p>
        </w:tc>
      </w:tr>
      <w:tr>
        <w:trPr>
          <w:trHeight w:val="213"/>
        </w:trPr>
        <w:tc>
          <w:tcPr>
            <w:tcW w:w="320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17,415</w:t>
            </w:r>
          </w:p>
        </w:tc>
        <w:tc>
          <w:tcPr>
            <w:tcW w:w="2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May 1, 2016</w:t>
            </w:r>
          </w:p>
        </w:tc>
        <w:tc>
          <w:tcPr>
            <w:tcW w:w="19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32,125</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2017</w:t>
            </w:r>
          </w:p>
        </w:tc>
      </w:tr>
    </w:tbl>
    <w:p>
      <w:pPr>
        <w:spacing w:after="0" w:line="227" w:lineRule="exact"/>
        <w:rPr>
          <w:sz w:val="20"/>
          <w:szCs w:val="20"/>
          <w:color w:val="auto"/>
        </w:rPr>
      </w:pPr>
    </w:p>
    <w:p>
      <w:pPr>
        <w:jc w:val="both"/>
        <w:ind w:left="640" w:right="80" w:hanging="418"/>
        <w:spacing w:after="0" w:line="265"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used in these tables,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1" w:lineRule="exact"/>
        <w:rPr>
          <w:rFonts w:ascii="Arial" w:cs="Arial" w:eastAsia="Arial" w:hAnsi="Arial"/>
          <w:sz w:val="17"/>
          <w:szCs w:val="17"/>
          <w:color w:val="auto"/>
        </w:rPr>
      </w:pPr>
    </w:p>
    <w:p>
      <w:pPr>
        <w:ind w:left="640" w:right="80" w:hanging="418"/>
        <w:spacing w:after="0" w:line="253"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the issued PSUs, performance conditions will determine how many vest. If performance targets are exceeded, additional PSUs will be issued and will vest in accordance with the terms of the relevant PSU award.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sets forth certain information as of March 12, 2015 regarding options to acquire ordinary shares of the Company by all of our current direct and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1500" w:type="dxa"/>
            <w:vAlign w:val="bottom"/>
          </w:tcPr>
          <w:p>
            <w:pPr>
              <w:jc w:val="right"/>
              <w:ind w:right="151"/>
              <w:spacing w:after="0"/>
              <w:rPr>
                <w:sz w:val="20"/>
                <w:szCs w:val="20"/>
                <w:color w:val="auto"/>
              </w:rPr>
            </w:pPr>
            <w:r>
              <w:rPr>
                <w:rFonts w:ascii="Arial" w:cs="Arial" w:eastAsia="Arial" w:hAnsi="Arial"/>
                <w:sz w:val="18"/>
                <w:szCs w:val="18"/>
                <w:b w:val="1"/>
                <w:bCs w:val="1"/>
                <w:color w:val="auto"/>
              </w:rPr>
              <w:t>No. of</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Exercise price</w:t>
            </w:r>
          </w:p>
        </w:tc>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Expiration Date</w:t>
            </w:r>
          </w:p>
        </w:tc>
      </w:tr>
      <w:tr>
        <w:trPr>
          <w:trHeight w:val="326"/>
        </w:trPr>
        <w:tc>
          <w:tcPr>
            <w:tcW w:w="436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1500" w:type="dxa"/>
            <w:vAlign w:val="bottom"/>
          </w:tcPr>
          <w:p>
            <w:pPr>
              <w:jc w:val="right"/>
              <w:ind w:right="151"/>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4"/>
                <w:szCs w:val="24"/>
                <w:b w:val="1"/>
                <w:bCs w:val="1"/>
                <w:color w:val="auto"/>
                <w:vertAlign w:val="superscript"/>
              </w:rPr>
              <w:t>(1)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17"/>
        </w:trPr>
        <w:tc>
          <w:tcPr>
            <w:tcW w:w="43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380" w:type="dxa"/>
            <w:vAlign w:val="bottom"/>
          </w:tcPr>
          <w:p>
            <w:pPr>
              <w:spacing w:after="0"/>
              <w:rPr>
                <w:sz w:val="10"/>
                <w:szCs w:val="10"/>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Mr. Thomas Lynch</w:t>
            </w: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25, 2017</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31, 2019</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77,873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31,344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2022</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67,284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17, 2022</w:t>
            </w:r>
          </w:p>
        </w:tc>
      </w:tr>
      <w:tr>
        <w:trPr>
          <w:trHeight w:val="213"/>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Mr. Brendan Brennan</w:t>
            </w: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25, 2017</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22, 2020</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15,813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2022</w:t>
            </w:r>
          </w:p>
        </w:tc>
      </w:tr>
      <w:tr>
        <w:trPr>
          <w:trHeight w:val="213"/>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10,749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17, 2022</w:t>
            </w:r>
          </w:p>
        </w:tc>
      </w:tr>
      <w:tr>
        <w:trPr>
          <w:trHeight w:val="597"/>
        </w:trPr>
        <w:tc>
          <w:tcPr>
            <w:tcW w:w="4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17"/>
        </w:trPr>
        <w:tc>
          <w:tcPr>
            <w:tcW w:w="4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00"/>
          </w:cols>
          <w:pgMar w:left="240" w:top="507" w:right="1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1380" w:type="dxa"/>
            <w:vAlign w:val="bottom"/>
          </w:tcPr>
          <w:p>
            <w:pPr>
              <w:jc w:val="right"/>
              <w:ind w:right="31"/>
              <w:spacing w:after="0"/>
              <w:rPr>
                <w:sz w:val="20"/>
                <w:szCs w:val="20"/>
                <w:color w:val="auto"/>
              </w:rPr>
            </w:pPr>
            <w:r>
              <w:rPr>
                <w:rFonts w:ascii="Arial" w:cs="Arial" w:eastAsia="Arial" w:hAnsi="Arial"/>
                <w:sz w:val="18"/>
                <w:szCs w:val="18"/>
                <w:b w:val="1"/>
                <w:bCs w:val="1"/>
                <w:color w:val="auto"/>
              </w:rPr>
              <w:t>No. of</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Exercise price</w:t>
            </w:r>
          </w:p>
        </w:tc>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Expiration Date</w:t>
            </w:r>
          </w:p>
        </w:tc>
      </w:tr>
      <w:tr>
        <w:trPr>
          <w:trHeight w:val="326"/>
        </w:trPr>
        <w:tc>
          <w:tcPr>
            <w:tcW w:w="436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1380" w:type="dxa"/>
            <w:vAlign w:val="bottom"/>
          </w:tcPr>
          <w:p>
            <w:pPr>
              <w:jc w:val="right"/>
              <w:ind w:right="31"/>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4"/>
                <w:szCs w:val="24"/>
                <w:b w:val="1"/>
                <w:bCs w:val="1"/>
                <w:color w:val="auto"/>
                <w:vertAlign w:val="superscript"/>
              </w:rPr>
              <w:t>(1)</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17"/>
        </w:trPr>
        <w:tc>
          <w:tcPr>
            <w:tcW w:w="4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380" w:type="dxa"/>
            <w:vAlign w:val="bottom"/>
          </w:tcPr>
          <w:p>
            <w:pPr>
              <w:spacing w:after="0"/>
              <w:rPr>
                <w:sz w:val="10"/>
                <w:szCs w:val="10"/>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Dr. Steve Cutler</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November 7, 2019</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22, 2020</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43,539</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15,823</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2022</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33,937</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17, 2022</w:t>
            </w:r>
          </w:p>
        </w:tc>
      </w:tr>
      <w:tr>
        <w:trPr>
          <w:trHeight w:val="213"/>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30, 2017</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25, 2017</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Mr. Declan McKeon</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29, 2018</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Professor William Hall</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39"/>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Ms. Mary Pendergast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39"/>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Dr. Hugh Brady</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bl>
    <w:p>
      <w:pPr>
        <w:spacing w:after="0" w:line="227" w:lineRule="exact"/>
        <w:rPr>
          <w:sz w:val="20"/>
          <w:szCs w:val="20"/>
          <w:color w:val="auto"/>
        </w:rPr>
      </w:pPr>
    </w:p>
    <w:p>
      <w:pPr>
        <w:ind w:left="5620" w:right="4960" w:hanging="5614"/>
        <w:spacing w:after="0" w:line="832" w:lineRule="auto"/>
        <w:tabs>
          <w:tab w:leader="none" w:pos="5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title of securities covered by all of the above options are non-revenue qualified.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25297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Equity Incentive Plans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2014 is eight years.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sets forth certain information regarding beneficial ownership of ICON's ordinary shares as of March 12, 2015 (i) by each person that beneficially owns more than 5% of the outstanding ordinary shares, based upon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3560" w:type="dxa"/>
            <w:vAlign w:val="bottom"/>
          </w:tcPr>
          <w:p>
            <w:pPr>
              <w:jc w:val="right"/>
              <w:ind w:right="191"/>
              <w:spacing w:after="0"/>
              <w:rPr>
                <w:sz w:val="20"/>
                <w:szCs w:val="20"/>
                <w:color w:val="auto"/>
              </w:rPr>
            </w:pPr>
            <w:r>
              <w:rPr>
                <w:rFonts w:ascii="Arial" w:cs="Arial" w:eastAsia="Arial" w:hAnsi="Arial"/>
                <w:sz w:val="18"/>
                <w:szCs w:val="18"/>
                <w:b w:val="1"/>
                <w:bCs w:val="1"/>
                <w:color w:val="auto"/>
              </w:rPr>
              <w:t>No. of Shares</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Percent of</w:t>
            </w:r>
          </w:p>
        </w:tc>
      </w:tr>
      <w:tr>
        <w:trPr>
          <w:trHeight w:val="238"/>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35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Class</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EARNEST Partners, LLC (2)</w:t>
            </w:r>
          </w:p>
        </w:tc>
        <w:tc>
          <w:tcPr>
            <w:tcW w:w="35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5,394,081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Neuberger Berman, LLC (2)</w:t>
            </w:r>
          </w:p>
        </w:tc>
        <w:tc>
          <w:tcPr>
            <w:tcW w:w="3560" w:type="dxa"/>
            <w:vAlign w:val="bottom"/>
          </w:tcPr>
          <w:p>
            <w:pPr>
              <w:jc w:val="right"/>
              <w:ind w:right="191"/>
              <w:spacing w:after="0"/>
              <w:rPr>
                <w:sz w:val="20"/>
                <w:szCs w:val="20"/>
                <w:color w:val="auto"/>
              </w:rPr>
            </w:pPr>
            <w:r>
              <w:rPr>
                <w:rFonts w:ascii="Arial" w:cs="Arial" w:eastAsia="Arial" w:hAnsi="Arial"/>
                <w:sz w:val="18"/>
                <w:szCs w:val="18"/>
                <w:color w:val="auto"/>
              </w:rPr>
              <w:t>4,827,558</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9"/>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 directors, officers and other key employees as a group (3)</w:t>
            </w:r>
          </w:p>
        </w:tc>
        <w:tc>
          <w:tcPr>
            <w:tcW w:w="35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2,643,766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27" w:lineRule="exact"/>
        <w:rPr>
          <w:sz w:val="20"/>
          <w:szCs w:val="20"/>
          <w:color w:val="auto"/>
        </w:rPr>
      </w:pPr>
    </w:p>
    <w:p>
      <w:pPr>
        <w:jc w:val="both"/>
        <w:ind w:left="800" w:hanging="794"/>
        <w:spacing w:after="0" w:line="278"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97" w:lineRule="exact"/>
        <w:rPr>
          <w:rFonts w:ascii="Arial" w:cs="Arial" w:eastAsia="Arial" w:hAnsi="Arial"/>
          <w:sz w:val="17"/>
          <w:szCs w:val="17"/>
          <w:color w:val="auto"/>
        </w:rPr>
      </w:pPr>
    </w:p>
    <w:p>
      <w:pPr>
        <w:ind w:left="800" w:hanging="794"/>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244" w:lineRule="exact"/>
        <w:rPr>
          <w:rFonts w:ascii="Arial" w:cs="Arial" w:eastAsia="Arial" w:hAnsi="Arial"/>
          <w:sz w:val="18"/>
          <w:szCs w:val="18"/>
          <w:color w:val="auto"/>
        </w:rPr>
      </w:pPr>
    </w:p>
    <w:p>
      <w:pPr>
        <w:jc w:val="both"/>
        <w:ind w:left="800" w:hanging="794"/>
        <w:spacing w:after="0" w:line="253"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751,266 ordinary shares issuable upon the exercise of stock options granted by the Company, 164,016 RSUs awarded by the Company to directors, officers and other key employees and 451,850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31, 2009, Dr. John Climax retired as Chairman of the Board of the Company. From January 2010 he has held the position as an outside director of the Company. The Company has entered into an agreement with Rotrua Limited, a company controlled by Dr. Climax, for the provision of consultancy services for a period of three years from January 1, 2010, at an agreed fee of €262,500 ($346,000) per annum. The consultancy agreement expired in December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Dividends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ICON’s ordinary shares are traded on the NASDAQ Global Select Market under the symbol “ICLR”. The following table sets forth the trading price for the dates indicated for ICON plc’s shares as reported by NASDAQ.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8"/>
                <w:szCs w:val="18"/>
                <w:color w:val="auto"/>
              </w:rPr>
            </w:pPr>
          </w:p>
        </w:tc>
        <w:tc>
          <w:tcPr>
            <w:tcW w:w="146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w:t>
            </w:r>
          </w:p>
        </w:tc>
        <w:tc>
          <w:tcPr>
            <w:tcW w:w="4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r>
      <w:tr>
        <w:trPr>
          <w:trHeight w:val="213"/>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December 31, 2011</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15.03</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December 31, 2013</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26.70</w:t>
            </w:r>
          </w:p>
        </w:tc>
      </w:tr>
      <w:tr>
        <w:trPr>
          <w:trHeight w:val="253"/>
        </w:trPr>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4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35.33</w:t>
            </w:r>
          </w:p>
        </w:tc>
      </w:tr>
      <w:tr>
        <w:trPr>
          <w:trHeight w:val="187"/>
        </w:trPr>
        <w:tc>
          <w:tcPr>
            <w:tcW w:w="35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50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6"/>
                <w:szCs w:val="16"/>
                <w:color w:val="auto"/>
              </w:rPr>
            </w:pPr>
          </w:p>
        </w:tc>
        <w:tc>
          <w:tcPr>
            <w:tcW w:w="146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Ending</w:t>
            </w:r>
          </w:p>
        </w:tc>
        <w:tc>
          <w:tcPr>
            <w:tcW w:w="4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r>
      <w:tr>
        <w:trPr>
          <w:trHeight w:val="213"/>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Mar 31, 2013</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June 30, 2013</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36.71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29.07</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 30, 2013</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35.50</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Dec 31, 2013</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36.42</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Mar 31, 2014</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38.91</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June 30, 2014</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49.39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35.33</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 30, 2014</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r>
      <w:tr>
        <w:trPr>
          <w:trHeight w:val="21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 31, 2014</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49.75</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7"/>
        </w:trPr>
        <w:tc>
          <w:tcPr>
            <w:tcW w:w="35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50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6"/>
                <w:szCs w:val="16"/>
                <w:color w:val="auto"/>
              </w:rPr>
            </w:pPr>
          </w:p>
        </w:tc>
        <w:tc>
          <w:tcPr>
            <w:tcW w:w="146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 Ending</w:t>
            </w:r>
          </w:p>
        </w:tc>
        <w:tc>
          <w:tcPr>
            <w:tcW w:w="4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July 31, 2014</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Aug 31, 2014</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53.50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49.51</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 30, 2014</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49.67</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Oct 31, 2014</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59.81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50.62</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Nov 30, 2014</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51.44</w:t>
            </w:r>
          </w:p>
        </w:tc>
      </w:tr>
      <w:tr>
        <w:trPr>
          <w:trHeight w:val="21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 31, 2014</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49.75</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90"/>
        </w:trPr>
        <w:tc>
          <w:tcPr>
            <w:tcW w:w="3520" w:type="dxa"/>
            <w:vAlign w:val="bottom"/>
          </w:tcPr>
          <w:p>
            <w:pPr>
              <w:spacing w:after="0"/>
              <w:rPr>
                <w:sz w:val="24"/>
                <w:szCs w:val="24"/>
                <w:color w:val="auto"/>
              </w:rPr>
            </w:pPr>
          </w:p>
        </w:tc>
        <w:tc>
          <w:tcPr>
            <w:tcW w:w="4720" w:type="dxa"/>
            <w:vAlign w:val="bottom"/>
          </w:tcPr>
          <w:p>
            <w:pPr>
              <w:jc w:val="right"/>
              <w:ind w:right="2351"/>
              <w:spacing w:after="0"/>
              <w:rPr>
                <w:sz w:val="20"/>
                <w:szCs w:val="20"/>
                <w:color w:val="auto"/>
              </w:rPr>
            </w:pPr>
            <w:r>
              <w:rPr>
                <w:rFonts w:ascii="Arial" w:cs="Arial" w:eastAsia="Arial" w:hAnsi="Arial"/>
                <w:sz w:val="18"/>
                <w:szCs w:val="18"/>
                <w:color w:val="auto"/>
              </w:rPr>
              <w:t>58</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7"/>
        </w:trPr>
        <w:tc>
          <w:tcPr>
            <w:tcW w:w="3520" w:type="dxa"/>
            <w:vAlign w:val="bottom"/>
            <w:tcBorders>
              <w:bottom w:val="single" w:sz="8" w:color="808080"/>
            </w:tcBorders>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hereby incorporate by reference our Memorandum and Articles of Association, as amended, located under the heading “Memorandum and Articles of Association of the Company” in Exhibit 3.1.</w:t>
      </w:r>
    </w:p>
    <w:p>
      <w:pPr>
        <w:spacing w:after="0" w:line="20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following is a summary of certain provisions of the current Articles of Association of the Company. This summary does not purport to be complete and is qualified in its entirety by reference to the complete text of the Articles of Association of the Company, which are included as an exhibit to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incorporated under the name ICON plc, and is registered in Ireland under registered number 145835. The Company's objects, which are detailed in the Memorandum of Association of the Company, are broad and include, but are not limited to, the carrying on the business of an investment holding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Dividends Attaching to Shares</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Necessary to Change the Rights of Shareholders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and General Meetings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Articles of Association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own shares in the Memorandum and Articles of Association of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Share Ownership</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Irish law, the Company can require parties to disclose their interests in shares. The Articles of Association of the Company entitle the directors to require parties to provide details regarding their identity and the nature and extent of any interest which such parties hold in Ordinary Shares. Under Irish law, if a party acquires or disposes of Ordinary Shares so as to bring his interest above or below 5% of the total issued share capital of the Company, he must notify the Company of that. The Company would also need to be notified of the acquisition by an existing substantial (i.e. 5% plus) shareholder, of every movement of one whole percentage integer (e.g. 5.9% to 6.1% but not 6.1% to 6.9%) or more.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 of the Articles of Association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provisions in the Articles of Association of the Company:</w:t>
      </w:r>
    </w:p>
    <w:p>
      <w:pPr>
        <w:spacing w:after="0" w:line="234" w:lineRule="exact"/>
        <w:rPr>
          <w:sz w:val="20"/>
          <w:szCs w:val="20"/>
          <w:color w:val="auto"/>
        </w:rPr>
      </w:pPr>
    </w:p>
    <w:p>
      <w:pPr>
        <w:ind w:left="220" w:hanging="214"/>
        <w:spacing w:after="0"/>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67" w:lineRule="exact"/>
        <w:rPr>
          <w:rFonts w:ascii="Arial" w:cs="Arial" w:eastAsia="Arial" w:hAnsi="Arial"/>
          <w:sz w:val="16"/>
          <w:szCs w:val="16"/>
          <w:color w:val="auto"/>
        </w:rPr>
      </w:pPr>
    </w:p>
    <w:p>
      <w:pPr>
        <w:ind w:left="260" w:hanging="254"/>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discriminating against any existing or prospective holder of shares as a result of such shareholder owning a substantial number of shares; or</w:t>
      </w:r>
    </w:p>
    <w:p>
      <w:pPr>
        <w:spacing w:after="0" w:line="244" w:lineRule="exact"/>
        <w:rPr>
          <w:rFonts w:ascii="Arial" w:cs="Arial" w:eastAsia="Arial" w:hAnsi="Arial"/>
          <w:sz w:val="18"/>
          <w:szCs w:val="18"/>
          <w:color w:val="auto"/>
        </w:rPr>
      </w:pPr>
    </w:p>
    <w:p>
      <w:pPr>
        <w:ind w:left="360" w:hanging="354"/>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governing changes in capital,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each case, where such provisions are more stringent than those required by law.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1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and activities in Sudan, the Republic of Guinea, Côte d’Ivoire, Libya, Iraq, the Democratic People's Republic of Korea, Somalia and the Democratic Republic of Congo; certain activities in Lebanon; all funds, financial assets or economic benefits belonging to Mr. Slobodan Milosevic and certain associated persons; certain activities, persons and entities in Eritrea; certain persons in Egypt and Tunisia; persons indicted by the International Criminal Tribunal for the former Yugoslavia; certain activities, persons and entities in Syria and Iran; certain persons, entities and bodies in the Republic of Guinea-Bissau; certain persons and entities associated with the Taliban in Afghanistan; certain activities and persons in Zimbabwe; certain activities in Liberia and the former Liberian President Charles Taylor, his immediate family and close associates; President Lukashenko, the Belarusian leadership and certain other officials of Belarus; certain persons, entities and bodies in Ukraine; certain persons, entities and bodies in Ukraine; and countries that harbor certain terrorist groups, without the prior permission of the Central Bank of Ireland.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2" w:name="page63"/>
    <w:bookmarkEnd w:id="62"/>
    <w:p>
      <w:pPr>
        <w:spacing w:after="0" w:line="266" w:lineRule="auto"/>
        <w:rPr>
          <w:sz w:val="20"/>
          <w:szCs w:val="20"/>
          <w:color w:val="auto"/>
        </w:rPr>
      </w:pPr>
      <w:r>
        <w:rPr>
          <w:rFonts w:ascii="Arial" w:cs="Arial" w:eastAsia="Arial" w:hAnsi="Arial"/>
          <w:sz w:val="18"/>
          <w:szCs w:val="18"/>
          <w:color w:val="auto"/>
        </w:rPr>
        <w:t>There are no restrictions under the Company’s Articles of Association or under Irish Law that limit the right of non-residents or foreign owners to hold the Company’s ordinary shares or vote at general meetings of the Company.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Taxation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USED HEREIN, REFERENCES TO THE ORDINARY SHARES SHALL INCLUDE SHARES HELD IN THE ACCOUNTS OF PARTICIPANTS THROUGH THE DEPOSITARY TRUST COMPANY (“THE DTC”).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ICON is a public limited company incorporated and resident for tax purposes in Ireland by virtue of its place of central management and control being in Ireland.</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research and development tax credit is available in Ireland where an Irish resident company incurs qualifying expenditure on research and development activities. Qualifying expenditure incurred in a particular account period, which exceeds the qualifying expenditure incurred by the company in 2003 results in a tax credit of 25% of that expenditure. With effect from 1 January 2014 the incremental test does not apply to the first €300,000 of qualifying expenditure as such expenditure automatically qualifies for a tax credit of 25%. Legislative changes have been enacted in December 2014 which abolish the incremental test and therefore all qualifying expenditure will result in a tax credit of 25% for accounting periods commencing after 1 January 2015.</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 of 12.5% referred to above.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4" w:name="page65"/>
    <w:bookmarkEnd w:id="64"/>
    <w:p>
      <w:pPr>
        <w:spacing w:after="0" w:line="266"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206" w:lineRule="exact"/>
        <w:rPr>
          <w:sz w:val="20"/>
          <w:szCs w:val="20"/>
          <w:color w:val="auto"/>
        </w:rPr>
      </w:pPr>
    </w:p>
    <w:p>
      <w:pPr>
        <w:ind w:left="640" w:hanging="337"/>
        <w:spacing w:after="0" w:line="26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throughout a continuous period of at least 12 months, within the two year period prior to disposal</w:t>
      </w:r>
    </w:p>
    <w:p>
      <w:pPr>
        <w:spacing w:after="0" w:line="205" w:lineRule="exact"/>
        <w:rPr>
          <w:rFonts w:ascii="Arial" w:cs="Arial" w:eastAsia="Arial" w:hAnsi="Arial"/>
          <w:sz w:val="18"/>
          <w:szCs w:val="18"/>
          <w:color w:val="auto"/>
        </w:rPr>
      </w:pPr>
    </w:p>
    <w:p>
      <w:pPr>
        <w:ind w:left="640" w:hanging="337"/>
        <w:spacing w:after="0" w:line="329"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60" w:lineRule="exact"/>
        <w:rPr>
          <w:rFonts w:ascii="Arial" w:cs="Arial" w:eastAsia="Arial" w:hAnsi="Arial"/>
          <w:sz w:val="16"/>
          <w:szCs w:val="16"/>
          <w:color w:val="auto"/>
        </w:rPr>
      </w:pPr>
    </w:p>
    <w:p>
      <w:pPr>
        <w:ind w:left="640" w:right="20" w:hanging="337"/>
        <w:spacing w:after="0" w:line="26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w:t>
      </w:r>
    </w:p>
    <w:p>
      <w:pPr>
        <w:spacing w:after="0" w:line="205" w:lineRule="exact"/>
        <w:rPr>
          <w:rFonts w:ascii="Arial" w:cs="Arial" w:eastAsia="Arial" w:hAnsi="Arial"/>
          <w:sz w:val="18"/>
          <w:szCs w:val="18"/>
          <w:color w:val="auto"/>
        </w:rPr>
      </w:pPr>
    </w:p>
    <w:p>
      <w:pPr>
        <w:ind w:left="640" w:hanging="33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withholding tax on dividends</w:t>
      </w:r>
    </w:p>
    <w:p>
      <w:pPr>
        <w:spacing w:after="0" w:line="24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Unless specifically exempted, all dividends paid by the Company, will be subject to Irish withholding tax at the standard rate of income tax in force at the time the dividend is paid, which is currently 20%.</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Irish resident corporate shareholders will be exempt from withholding tax. Where the company paying the dividend is not a 51% subsidiary of the recipient company, a declaration must be made in order to avail of the exemption.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68" w:lineRule="exact"/>
        <w:rPr>
          <w:sz w:val="20"/>
          <w:szCs w:val="20"/>
          <w:color w:val="auto"/>
        </w:rPr>
      </w:pPr>
    </w:p>
    <w:p>
      <w:pPr>
        <w:ind w:left="640" w:hanging="33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(directly or indirectly) by Irish residents</w:t>
      </w:r>
    </w:p>
    <w:p>
      <w:pPr>
        <w:spacing w:after="0" w:line="16" w:lineRule="exact"/>
        <w:rPr>
          <w:rFonts w:ascii="Arial" w:cs="Arial" w:eastAsia="Arial" w:hAnsi="Arial"/>
          <w:sz w:val="18"/>
          <w:szCs w:val="18"/>
          <w:color w:val="auto"/>
        </w:rPr>
      </w:pPr>
    </w:p>
    <w:p>
      <w:pPr>
        <w:ind w:left="640" w:hanging="33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ultimately controlled (directly or indirectly) by residents of a Relevant Territory or</w:t>
      </w:r>
    </w:p>
    <w:p>
      <w:pPr>
        <w:spacing w:after="0" w:line="5" w:lineRule="exact"/>
        <w:rPr>
          <w:rFonts w:ascii="Arial" w:cs="Arial" w:eastAsia="Arial" w:hAnsi="Arial"/>
          <w:sz w:val="18"/>
          <w:szCs w:val="18"/>
          <w:color w:val="auto"/>
        </w:rPr>
      </w:pPr>
    </w:p>
    <w:p>
      <w:pPr>
        <w:ind w:left="640" w:hanging="337"/>
        <w:spacing w:after="0" w:line="24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ind w:left="640" w:hanging="337"/>
        <w:spacing w:after="0" w:line="253"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21" w:lineRule="exact"/>
        <w:rPr>
          <w:sz w:val="20"/>
          <w:szCs w:val="20"/>
          <w:color w:val="auto"/>
        </w:rPr>
      </w:pPr>
    </w:p>
    <w:p>
      <w:pPr>
        <w:ind w:left="640" w:hanging="33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or the DTC is resident in a Relevant Territory and</w:t>
      </w:r>
    </w:p>
    <w:p>
      <w:pPr>
        <w:spacing w:after="0" w:line="16" w:lineRule="exact"/>
        <w:rPr>
          <w:rFonts w:ascii="Arial" w:cs="Arial" w:eastAsia="Arial" w:hAnsi="Arial"/>
          <w:sz w:val="18"/>
          <w:szCs w:val="18"/>
          <w:color w:val="auto"/>
        </w:rPr>
      </w:pPr>
    </w:p>
    <w:p>
      <w:pPr>
        <w:ind w:left="640" w:hanging="33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or the DTC have entered into a qualifying intermediary agreement with the Irish tax authorities and</w:t>
      </w:r>
    </w:p>
    <w:p>
      <w:pPr>
        <w:spacing w:after="0" w:line="5" w:lineRule="exact"/>
        <w:rPr>
          <w:rFonts w:ascii="Arial" w:cs="Arial" w:eastAsia="Arial" w:hAnsi="Arial"/>
          <w:sz w:val="18"/>
          <w:szCs w:val="18"/>
          <w:color w:val="auto"/>
        </w:rPr>
      </w:pPr>
    </w:p>
    <w:p>
      <w:pPr>
        <w:ind w:left="640" w:hanging="337"/>
        <w:spacing w:after="0" w:line="253"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or the DTC have been authorized by the Irish Revenue Commissioners as a qualifying intermediary and such authorization has not expired or been revoked.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Irish income tax on dividends</w:t>
      </w:r>
    </w:p>
    <w:p>
      <w:pPr>
        <w:spacing w:after="0" w:line="245"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tax. This income may also be liable to Pay Related Social Insurance (“PRSI”) of up to 4% and the Universal Social Charge (“USC”) of up to 10% (up to 14% in total). With effect from 1 January 2015, USC rates and bands have been amended such that the maximum rate of USC is increased from 10% to 11%.</w:t>
      </w:r>
    </w:p>
    <w:p>
      <w:pPr>
        <w:spacing w:after="0" w:line="18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06" w:lineRule="exact"/>
        <w:rPr>
          <w:sz w:val="20"/>
          <w:szCs w:val="20"/>
          <w:color w:val="auto"/>
        </w:rPr>
      </w:pPr>
    </w:p>
    <w:p>
      <w:pPr>
        <w:ind w:left="640" w:hanging="33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16" w:lineRule="exact"/>
        <w:rPr>
          <w:rFonts w:ascii="Arial" w:cs="Arial" w:eastAsia="Arial" w:hAnsi="Arial"/>
          <w:sz w:val="18"/>
          <w:szCs w:val="18"/>
          <w:color w:val="auto"/>
        </w:rPr>
      </w:pPr>
    </w:p>
    <w:p>
      <w:pPr>
        <w:ind w:left="640" w:hanging="33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w:t>
      </w:r>
    </w:p>
    <w:p>
      <w:pPr>
        <w:spacing w:after="0" w:line="5" w:lineRule="exact"/>
        <w:rPr>
          <w:rFonts w:ascii="Arial" w:cs="Arial" w:eastAsia="Arial" w:hAnsi="Arial"/>
          <w:sz w:val="18"/>
          <w:szCs w:val="18"/>
          <w:color w:val="auto"/>
        </w:rPr>
      </w:pPr>
    </w:p>
    <w:p>
      <w:pPr>
        <w:ind w:left="640" w:hanging="337"/>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ind w:left="640" w:hanging="337"/>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corporation resident in another EU member state or in a Relevant Territory, which is not controlled directly or indirectly by Irish residents; or</w:t>
      </w:r>
    </w:p>
    <w:p>
      <w:pPr>
        <w:spacing w:after="0" w:line="17" w:lineRule="exact"/>
        <w:rPr>
          <w:rFonts w:ascii="Arial" w:cs="Arial" w:eastAsia="Arial" w:hAnsi="Arial"/>
          <w:sz w:val="17"/>
          <w:szCs w:val="17"/>
          <w:color w:val="auto"/>
        </w:rPr>
      </w:pPr>
    </w:p>
    <w:p>
      <w:pPr>
        <w:ind w:left="640" w:hanging="337"/>
        <w:spacing w:after="0" w:line="25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U.S. Holders who do not qualify for the above income tax exemption may be able to obtain treaty benefits under the double tax treaty.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domicile levy</w:t>
      </w:r>
    </w:p>
    <w:p>
      <w:pPr>
        <w:spacing w:after="0" w:line="245" w:lineRule="exact"/>
        <w:rPr>
          <w:sz w:val="20"/>
          <w:szCs w:val="20"/>
          <w:color w:val="auto"/>
        </w:rPr>
      </w:pPr>
    </w:p>
    <w:p>
      <w:pPr>
        <w:ind w:right="760"/>
        <w:spacing w:after="0" w:line="329" w:lineRule="auto"/>
        <w:rPr>
          <w:sz w:val="20"/>
          <w:szCs w:val="20"/>
          <w:color w:val="auto"/>
        </w:rPr>
      </w:pPr>
      <w:r>
        <w:rPr>
          <w:rFonts w:ascii="Arial" w:cs="Arial" w:eastAsia="Arial" w:hAnsi="Arial"/>
          <w:sz w:val="16"/>
          <w:szCs w:val="16"/>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gains tax on disposal of shares</w:t>
      </w:r>
    </w:p>
    <w:p>
      <w:pPr>
        <w:spacing w:after="0" w:line="245" w:lineRule="exact"/>
        <w:rPr>
          <w:sz w:val="20"/>
          <w:szCs w:val="20"/>
          <w:color w:val="auto"/>
        </w:rPr>
      </w:pPr>
    </w:p>
    <w:p>
      <w:pPr>
        <w:ind w:right="980"/>
        <w:spacing w:after="0" w:line="266" w:lineRule="auto"/>
        <w:rPr>
          <w:sz w:val="20"/>
          <w:szCs w:val="20"/>
          <w:color w:val="auto"/>
        </w:rPr>
      </w:pPr>
      <w:r>
        <w:rPr>
          <w:rFonts w:ascii="Arial" w:cs="Arial" w:eastAsia="Arial" w:hAnsi="Arial"/>
          <w:sz w:val="18"/>
          <w:szCs w:val="18"/>
          <w:color w:val="auto"/>
        </w:rPr>
        <w:t>Irish resident or ordinarily resident shareholders will be liable to capital gains tax at 33% on gains arising from the disposal or part disposal of their shareholding.</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w:t>
      </w:r>
    </w:p>
    <w:p>
      <w:pPr>
        <w:spacing w:after="0" w:line="206" w:lineRule="exact"/>
        <w:rPr>
          <w:sz w:val="20"/>
          <w:szCs w:val="20"/>
          <w:color w:val="auto"/>
        </w:rPr>
      </w:pPr>
    </w:p>
    <w:p>
      <w:pPr>
        <w:ind w:left="640" w:hanging="33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16" w:lineRule="exact"/>
        <w:rPr>
          <w:rFonts w:ascii="Arial" w:cs="Arial" w:eastAsia="Arial" w:hAnsi="Arial"/>
          <w:sz w:val="18"/>
          <w:szCs w:val="18"/>
          <w:color w:val="auto"/>
        </w:rPr>
      </w:pPr>
    </w:p>
    <w:p>
      <w:pPr>
        <w:ind w:left="640" w:hanging="33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 beneficially own the relevant assets when they cease to be resident;</w:t>
      </w:r>
    </w:p>
    <w:p>
      <w:pPr>
        <w:spacing w:after="0" w:line="5" w:lineRule="exact"/>
        <w:rPr>
          <w:rFonts w:ascii="Arial" w:cs="Arial" w:eastAsia="Arial" w:hAnsi="Arial"/>
          <w:sz w:val="18"/>
          <w:szCs w:val="18"/>
          <w:color w:val="auto"/>
        </w:rPr>
      </w:pPr>
    </w:p>
    <w:p>
      <w:pPr>
        <w:ind w:left="640" w:hanging="337"/>
        <w:spacing w:after="0" w:line="24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ind w:left="640" w:hanging="33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 dispose of the relevant assets during this temporary non-residence; and</w:t>
      </w:r>
    </w:p>
    <w:p>
      <w:pPr>
        <w:spacing w:after="0" w:line="5" w:lineRule="exact"/>
        <w:rPr>
          <w:rFonts w:ascii="Arial" w:cs="Arial" w:eastAsia="Arial" w:hAnsi="Arial"/>
          <w:sz w:val="18"/>
          <w:szCs w:val="18"/>
          <w:color w:val="auto"/>
        </w:rPr>
      </w:pPr>
    </w:p>
    <w:p>
      <w:pPr>
        <w:ind w:left="640" w:hanging="33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6" w:name="page67"/>
    <w:bookmarkEnd w:id="66"/>
    <w:p>
      <w:pPr>
        <w:spacing w:after="0" w:line="266"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tax-free thresholds, gifts and inheritances are liable to tax at 33%.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17" w:lineRule="exact"/>
        <w:rPr>
          <w:sz w:val="20"/>
          <w:szCs w:val="20"/>
          <w:color w:val="auto"/>
        </w:rPr>
      </w:pPr>
    </w:p>
    <w:p>
      <w:pPr>
        <w:ind w:left="640" w:hanging="337"/>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17" w:lineRule="exact"/>
        <w:rPr>
          <w:rFonts w:ascii="Arial" w:cs="Arial" w:eastAsia="Arial" w:hAnsi="Arial"/>
          <w:sz w:val="17"/>
          <w:szCs w:val="17"/>
          <w:color w:val="auto"/>
        </w:rPr>
      </w:pPr>
    </w:p>
    <w:p>
      <w:pPr>
        <w:ind w:left="640" w:hanging="337"/>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640" w:hanging="337"/>
        <w:spacing w:after="0" w:line="277"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ind w:left="640" w:hanging="337"/>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where the person receiving the gift or inheritance is resident or ordinarily resident in the Republic of Ireland at the date of the gift or inheritance.</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that apply are:</w:t>
      </w:r>
    </w:p>
    <w:p>
      <w:pPr>
        <w:spacing w:after="0" w:line="17" w:lineRule="exact"/>
        <w:rPr>
          <w:sz w:val="20"/>
          <w:szCs w:val="20"/>
          <w:color w:val="auto"/>
        </w:rPr>
      </w:pPr>
    </w:p>
    <w:p>
      <w:pPr>
        <w:ind w:left="640" w:hanging="33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€15,075 in the case of persons who are not related to one another;</w:t>
      </w:r>
    </w:p>
    <w:p>
      <w:pPr>
        <w:spacing w:after="0" w:line="5" w:lineRule="exact"/>
        <w:rPr>
          <w:rFonts w:ascii="Arial" w:cs="Arial" w:eastAsia="Arial" w:hAnsi="Arial"/>
          <w:sz w:val="18"/>
          <w:szCs w:val="18"/>
          <w:color w:val="auto"/>
        </w:rPr>
      </w:pPr>
    </w:p>
    <w:p>
      <w:pPr>
        <w:ind w:left="640" w:hanging="337"/>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€30,150 in the case of gifts or inheritances received from inter alia a brother or sister or from a brother or sister of a parent or from a grandparent; and</w:t>
      </w:r>
    </w:p>
    <w:p>
      <w:pPr>
        <w:spacing w:after="0" w:line="28" w:lineRule="exact"/>
        <w:rPr>
          <w:rFonts w:ascii="Arial" w:cs="Arial" w:eastAsia="Arial" w:hAnsi="Arial"/>
          <w:sz w:val="16"/>
          <w:szCs w:val="16"/>
          <w:color w:val="auto"/>
        </w:rPr>
      </w:pPr>
    </w:p>
    <w:p>
      <w:pPr>
        <w:ind w:left="640" w:hanging="337"/>
        <w:spacing w:after="0" w:line="253"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€225,000 in the case of gifts and inheritances received from a parent (or from a grandparent by a minor child of a deceased child) and specified inheritances received by a parent from a child.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206"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Irish stamp duty</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Transfers through the DTC of book entry interests in shares are not subject to Irish stamp duty.</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be subject to Irish stamp duty provided that no change in beneficial ownership of the shares has occurred and provided a contract for sale in respect of the transferring shares is not in place.</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person accountable for payment of stamp duty is normally the transferee or, in the case of a transfer by way of gift, or for a consideration less than the market value, all parties to the transfer.</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file reports and other information with the SEC. The SEC maintains a web site that contains reports, proxy and information statements and other information regarding registrants that file electronically with the SEC at http://www.sec.gov.</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a foreign private issuer, we are exempt from certain rules under the Exchange Act, including prescribing the furnishing and content of proxy statements to shareholders.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Simon Holmes telephone number: (353) 1 291 2000.</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exemptions that the Company relies on, and the practices the Company adheres to, are as follows:</w:t>
      </w:r>
    </w:p>
    <w:p>
      <w:pPr>
        <w:spacing w:after="0" w:line="245" w:lineRule="exact"/>
        <w:rPr>
          <w:sz w:val="20"/>
          <w:szCs w:val="20"/>
          <w:color w:val="auto"/>
        </w:rPr>
      </w:pPr>
    </w:p>
    <w:p>
      <w:pPr>
        <w:jc w:val="both"/>
        <w:ind w:left="640" w:hanging="337"/>
        <w:spacing w:after="0" w:line="294"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188" w:lineRule="exact"/>
        <w:rPr>
          <w:rFonts w:ascii="Arial" w:cs="Arial" w:eastAsia="Arial" w:hAnsi="Arial"/>
          <w:sz w:val="16"/>
          <w:szCs w:val="16"/>
          <w:color w:val="auto"/>
        </w:rPr>
      </w:pPr>
    </w:p>
    <w:p>
      <w:pPr>
        <w:jc w:val="both"/>
        <w:ind w:left="640" w:hanging="337"/>
        <w:spacing w:after="0" w:line="251"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219" w:lineRule="exact"/>
        <w:rPr>
          <w:rFonts w:ascii="Arial" w:cs="Arial" w:eastAsia="Arial" w:hAnsi="Arial"/>
          <w:sz w:val="18"/>
          <w:szCs w:val="18"/>
          <w:color w:val="auto"/>
        </w:rPr>
      </w:pPr>
    </w:p>
    <w:p>
      <w:pPr>
        <w:jc w:val="both"/>
        <w:ind w:left="640" w:hanging="337"/>
        <w:spacing w:after="0" w:line="303"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principal market risks (i.e. risk of loss arising from adverse changes in market rates and prices) to which we are exposed include foreign currency risk and interest rate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dollars, could be affected by fluctuations in exchange rates between the U.S. dollar and the currencies of those operations.</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usually negotiate currency fluctuation clauses in our contracts which allow for price negotiation if certain exchange rate triggers occur.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4"/>
        </w:trPr>
        <w:tc>
          <w:tcPr>
            <w:tcW w:w="5540" w:type="dxa"/>
            <w:vAlign w:val="bottom"/>
          </w:tcPr>
          <w:p>
            <w:pPr>
              <w:spacing w:after="0"/>
              <w:rPr>
                <w:sz w:val="20"/>
                <w:szCs w:val="20"/>
                <w:color w:val="auto"/>
              </w:rPr>
            </w:pPr>
            <w:r>
              <w:rPr>
                <w:rFonts w:ascii="Arial" w:cs="Arial" w:eastAsia="Arial" w:hAnsi="Arial"/>
                <w:sz w:val="18"/>
                <w:szCs w:val="18"/>
                <w:color w:val="auto"/>
              </w:rPr>
              <w:t>The following significant exchange rates applied during the year:</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5"/>
        </w:trPr>
        <w:tc>
          <w:tcPr>
            <w:tcW w:w="55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Average Rate</w:t>
            </w:r>
          </w:p>
        </w:tc>
        <w:tc>
          <w:tcPr>
            <w:tcW w:w="10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Closing Rate</w:t>
            </w:r>
          </w:p>
        </w:tc>
        <w:tc>
          <w:tcPr>
            <w:tcW w:w="860" w:type="dxa"/>
            <w:vAlign w:val="bottom"/>
          </w:tcPr>
          <w:p>
            <w:pPr>
              <w:spacing w:after="0"/>
              <w:rPr>
                <w:sz w:val="24"/>
                <w:szCs w:val="24"/>
                <w:color w:val="auto"/>
              </w:rPr>
            </w:pPr>
          </w:p>
        </w:tc>
      </w:tr>
      <w:tr>
        <w:trPr>
          <w:trHeight w:val="230"/>
        </w:trPr>
        <w:tc>
          <w:tcPr>
            <w:tcW w:w="5540" w:type="dxa"/>
            <w:vAlign w:val="bottom"/>
          </w:tcPr>
          <w:p>
            <w:pPr>
              <w:spacing w:after="0"/>
              <w:rPr>
                <w:sz w:val="19"/>
                <w:szCs w:val="19"/>
                <w:color w:val="auto"/>
              </w:rPr>
            </w:pPr>
          </w:p>
        </w:tc>
        <w:tc>
          <w:tcPr>
            <w:tcW w:w="2320" w:type="dxa"/>
            <w:vAlign w:val="bottom"/>
          </w:tcPr>
          <w:p>
            <w:pPr>
              <w:jc w:val="right"/>
              <w:ind w:right="951"/>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jc w:val="right"/>
              <w:ind w:right="611"/>
              <w:spacing w:after="0"/>
              <w:rPr>
                <w:sz w:val="20"/>
                <w:szCs w:val="20"/>
                <w:color w:val="auto"/>
              </w:rPr>
            </w:pPr>
            <w:r>
              <w:rPr>
                <w:rFonts w:ascii="Arial" w:cs="Arial" w:eastAsia="Arial" w:hAnsi="Arial"/>
                <w:sz w:val="18"/>
                <w:szCs w:val="18"/>
                <w:color w:val="auto"/>
                <w:w w:val="84"/>
              </w:rPr>
              <w:t>2013</w:t>
            </w:r>
          </w:p>
        </w:tc>
        <w:tc>
          <w:tcPr>
            <w:tcW w:w="1640" w:type="dxa"/>
            <w:vAlign w:val="bottom"/>
          </w:tcPr>
          <w:p>
            <w:pPr>
              <w:jc w:val="right"/>
              <w:ind w:right="891"/>
              <w:spacing w:after="0"/>
              <w:rPr>
                <w:sz w:val="20"/>
                <w:szCs w:val="20"/>
                <w:color w:val="auto"/>
              </w:rPr>
            </w:pPr>
            <w:r>
              <w:rPr>
                <w:rFonts w:ascii="Arial" w:cs="Arial" w:eastAsia="Arial" w:hAnsi="Arial"/>
                <w:sz w:val="18"/>
                <w:szCs w:val="18"/>
                <w:b w:val="1"/>
                <w:bCs w:val="1"/>
                <w:color w:val="auto"/>
              </w:rPr>
              <w:t>2014</w:t>
            </w:r>
          </w:p>
        </w:tc>
        <w:tc>
          <w:tcPr>
            <w:tcW w:w="860" w:type="dxa"/>
            <w:vAlign w:val="bottom"/>
          </w:tcPr>
          <w:p>
            <w:pPr>
              <w:jc w:val="right"/>
              <w:ind w:right="411"/>
              <w:spacing w:after="0"/>
              <w:rPr>
                <w:sz w:val="20"/>
                <w:szCs w:val="20"/>
                <w:color w:val="auto"/>
              </w:rPr>
            </w:pPr>
            <w:r>
              <w:rPr>
                <w:rFonts w:ascii="Arial" w:cs="Arial" w:eastAsia="Arial" w:hAnsi="Arial"/>
                <w:sz w:val="18"/>
                <w:szCs w:val="18"/>
                <w:color w:val="auto"/>
                <w:w w:val="84"/>
              </w:rPr>
              <w:t>2013</w:t>
            </w:r>
          </w:p>
        </w:tc>
      </w:tr>
      <w:tr>
        <w:trPr>
          <w:trHeight w:val="214"/>
        </w:trPr>
        <w:tc>
          <w:tcPr>
            <w:tcW w:w="5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3"/>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Euro:USD</w:t>
            </w:r>
          </w:p>
        </w:tc>
        <w:tc>
          <w:tcPr>
            <w:tcW w:w="23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b w:val="1"/>
                <w:bCs w:val="1"/>
                <w:color w:val="auto"/>
              </w:rPr>
              <w:t>1.3361</w:t>
            </w:r>
          </w:p>
        </w:tc>
        <w:tc>
          <w:tcPr>
            <w:tcW w:w="10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1.3254</w:t>
            </w:r>
          </w:p>
        </w:tc>
        <w:tc>
          <w:tcPr>
            <w:tcW w:w="16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1.2098</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1.3743</w:t>
            </w:r>
          </w:p>
        </w:tc>
      </w:tr>
      <w:tr>
        <w:trPr>
          <w:trHeight w:val="206"/>
        </w:trPr>
        <w:tc>
          <w:tcPr>
            <w:tcW w:w="5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3"/>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Pound Sterling:USD</w:t>
            </w:r>
          </w:p>
        </w:tc>
        <w:tc>
          <w:tcPr>
            <w:tcW w:w="23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b w:val="1"/>
                <w:bCs w:val="1"/>
                <w:color w:val="auto"/>
              </w:rPr>
              <w:t>1.6548</w:t>
            </w:r>
          </w:p>
        </w:tc>
        <w:tc>
          <w:tcPr>
            <w:tcW w:w="10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1.5653</w:t>
            </w:r>
          </w:p>
        </w:tc>
        <w:tc>
          <w:tcPr>
            <w:tcW w:w="16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1.5577</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1.6557</w:t>
            </w:r>
          </w:p>
        </w:tc>
      </w:tr>
      <w:tr>
        <w:trPr>
          <w:trHeight w:val="444"/>
        </w:trPr>
        <w:tc>
          <w:tcPr>
            <w:tcW w:w="5540" w:type="dxa"/>
            <w:vAlign w:val="bottom"/>
          </w:tcPr>
          <w:p>
            <w:pPr>
              <w:spacing w:after="0"/>
              <w:rPr>
                <w:sz w:val="20"/>
                <w:szCs w:val="20"/>
                <w:color w:val="auto"/>
              </w:rPr>
            </w:pPr>
            <w:r>
              <w:rPr>
                <w:rFonts w:ascii="Arial" w:cs="Arial" w:eastAsia="Arial" w:hAnsi="Arial"/>
                <w:sz w:val="18"/>
                <w:szCs w:val="18"/>
                <w:b w:val="1"/>
                <w:bCs w:val="1"/>
                <w:color w:val="auto"/>
              </w:rPr>
              <w:t>Interest Rate Risk</w:t>
            </w:r>
          </w:p>
        </w:tc>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exposed to interest rate risk in respect of our cash and cash equivalents and short term investments – available for sale. Our treasury function actively manages our available cash resources and invests significant cash balances in various financial instruments to try to ensure optimum returns for the Company’s surplus cash balances. Financial instruments are classified either as cash and cash equivalents or short term investments –available for sale depending upon the maturity of the related investment. Funds may be invested in the form of floating rate notes and medium term minimum “A-” rated corporate securities. We may be subject to interest rate risk in respect of interest rate changes on amounts invested. Our treasury function manages interest rate risk in respect of these balances by monitoring the composition of the Company’s investment portfolio on an ongoing basis having regard to current market interest rates and future trends.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sensitivity analysis below represents the hypothetical change in our interest income based on an immediate 1% movement in market interest rates.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Interest Income</w:t>
            </w:r>
          </w:p>
        </w:tc>
        <w:tc>
          <w:tcPr>
            <w:tcW w:w="36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Interest Income</w:t>
            </w:r>
          </w:p>
        </w:tc>
      </w:tr>
      <w:tr>
        <w:trPr>
          <w:trHeight w:val="213"/>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Interest Income</w:t>
            </w:r>
          </w:p>
        </w:tc>
        <w:tc>
          <w:tcPr>
            <w:tcW w:w="18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7"/>
              </w:rPr>
              <w:t>Change 1% increase</w:t>
            </w:r>
          </w:p>
        </w:tc>
        <w:tc>
          <w:tcPr>
            <w:tcW w:w="18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3"/>
              </w:rPr>
              <w:t>Change 1% decrease</w:t>
            </w:r>
          </w:p>
        </w:tc>
      </w:tr>
      <w:tr>
        <w:trPr>
          <w:trHeight w:val="213"/>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for the year ended</w:t>
            </w:r>
          </w:p>
        </w:tc>
        <w:tc>
          <w:tcPr>
            <w:tcW w:w="200" w:type="dxa"/>
            <w:vAlign w:val="bottom"/>
          </w:tcPr>
          <w:p>
            <w:pPr>
              <w:spacing w:after="0"/>
              <w:rPr>
                <w:sz w:val="18"/>
                <w:szCs w:val="18"/>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in</w:t>
            </w:r>
          </w:p>
        </w:tc>
        <w:tc>
          <w:tcPr>
            <w:tcW w:w="36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in</w:t>
            </w:r>
          </w:p>
        </w:tc>
      </w:tr>
      <w:tr>
        <w:trPr>
          <w:trHeight w:val="213"/>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w w:val="90"/>
              </w:rPr>
              <w:t>December 31, 2014</w:t>
            </w:r>
          </w:p>
        </w:tc>
        <w:tc>
          <w:tcPr>
            <w:tcW w:w="200" w:type="dxa"/>
            <w:vAlign w:val="bottom"/>
          </w:tcPr>
          <w:p>
            <w:pPr>
              <w:spacing w:after="0"/>
              <w:rPr>
                <w:sz w:val="18"/>
                <w:szCs w:val="18"/>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w w:val="89"/>
              </w:rPr>
              <w:t>market interest rate</w:t>
            </w:r>
          </w:p>
        </w:tc>
        <w:tc>
          <w:tcPr>
            <w:tcW w:w="18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market interest rate</w:t>
            </w:r>
          </w:p>
        </w:tc>
      </w:tr>
      <w:tr>
        <w:trPr>
          <w:trHeight w:val="230"/>
        </w:trPr>
        <w:tc>
          <w:tcPr>
            <w:tcW w:w="3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3,800</w:t>
            </w:r>
          </w:p>
        </w:tc>
        <w:tc>
          <w:tcPr>
            <w:tcW w:w="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2014.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Accounting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74 of this Form 20-F.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76 of this Form 20-F.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25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1"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Mr. Declan McKeon acts as the Audit Committee financial expert serving on our Audit Committee and Board of Directors. Mr. McKeon is an independent Board member and serves as one of our non-executive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We adopted a new code of ethics on March 22, 2011, which replaced our previous Code of Ethics. The new Code of Ethics applies to all ICON employees.</w:t>
      </w:r>
    </w:p>
    <w:p>
      <w:pPr>
        <w:spacing w:after="0" w:line="2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amended the Code of Ethics in October 2014 to reflect the adoption of our Ethics Line Charter. The charter provides amongst other items, details on the types of issues that should be reported and how and when to report such issues. There are no waivers from the provisions of the Code of Ethics that are required to be disclosed.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http://investor.iconplc.com/governance.cfm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2014 and December 31, 2013, were KPMG.</w:t>
      </w:r>
    </w:p>
    <w:p>
      <w:pPr>
        <w:spacing w:after="0" w:line="24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2014 and December 31, 2013 and fees billed for other services rendered by KPMG.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12 month period ended</w:t>
            </w:r>
          </w:p>
        </w:tc>
        <w:tc>
          <w:tcPr>
            <w:tcW w:w="460" w:type="dxa"/>
            <w:vAlign w:val="bottom"/>
          </w:tcPr>
          <w:p>
            <w:pPr>
              <w:spacing w:after="0"/>
              <w:rPr>
                <w:sz w:val="18"/>
                <w:szCs w:val="18"/>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12 month period ended</w:t>
            </w:r>
          </w:p>
        </w:tc>
      </w:tr>
      <w:tr>
        <w:trPr>
          <w:trHeight w:val="213"/>
        </w:trPr>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December 31, 2014</w:t>
            </w:r>
          </w:p>
        </w:tc>
        <w:tc>
          <w:tcPr>
            <w:tcW w:w="460" w:type="dxa"/>
            <w:vAlign w:val="bottom"/>
          </w:tcPr>
          <w:p>
            <w:pPr>
              <w:spacing w:after="0"/>
              <w:rPr>
                <w:sz w:val="18"/>
                <w:szCs w:val="18"/>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December 31, 2013</w:t>
            </w:r>
          </w:p>
        </w:tc>
      </w:tr>
      <w:tr>
        <w:trPr>
          <w:trHeight w:val="230"/>
        </w:trPr>
        <w:tc>
          <w:tcPr>
            <w:tcW w:w="3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b w:val="1"/>
                <w:bCs w:val="1"/>
                <w:color w:val="auto"/>
                <w:w w:val="95"/>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(in thousands)</w:t>
            </w:r>
          </w:p>
        </w:tc>
      </w:tr>
      <w:tr>
        <w:trPr>
          <w:trHeight w:val="213"/>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6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2,149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1,637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Audit related fees (2)</w:t>
            </w:r>
          </w:p>
        </w:tc>
        <w:tc>
          <w:tcPr>
            <w:tcW w:w="268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156</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2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1,704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819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3"/>
        </w:trPr>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3"/>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4,009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2,534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27" w:lineRule="exact"/>
        <w:rPr>
          <w:sz w:val="20"/>
          <w:szCs w:val="20"/>
          <w:color w:val="auto"/>
        </w:rPr>
      </w:pPr>
    </w:p>
    <w:p>
      <w:pPr>
        <w:ind w:left="260" w:hanging="254"/>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fees include annual audit fees for the Company and its subsidiaries.</w:t>
      </w:r>
    </w:p>
    <w:p>
      <w:pPr>
        <w:spacing w:after="0" w:line="244" w:lineRule="exact"/>
        <w:rPr>
          <w:rFonts w:ascii="Arial" w:cs="Arial" w:eastAsia="Arial" w:hAnsi="Arial"/>
          <w:sz w:val="18"/>
          <w:szCs w:val="18"/>
          <w:color w:val="auto"/>
        </w:rPr>
      </w:pPr>
    </w:p>
    <w:p>
      <w:pPr>
        <w:ind w:left="260" w:hanging="254"/>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Audit related fees principally consisted of fees for financial due diligence services and fees for audit of the financial statements of employee benefit plans.</w:t>
      </w:r>
    </w:p>
    <w:p>
      <w:pPr>
        <w:spacing w:after="0" w:line="267" w:lineRule="exact"/>
        <w:rPr>
          <w:rFonts w:ascii="Arial" w:cs="Arial" w:eastAsia="Arial" w:hAnsi="Arial"/>
          <w:sz w:val="16"/>
          <w:szCs w:val="16"/>
          <w:color w:val="auto"/>
        </w:rPr>
      </w:pPr>
    </w:p>
    <w:p>
      <w:pPr>
        <w:ind w:left="260" w:hanging="254"/>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the Company by its auditors.</w:t>
      </w:r>
    </w:p>
    <w:p>
      <w:pPr>
        <w:spacing w:after="0" w:line="24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74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 Number</w:t>
            </w:r>
          </w:p>
        </w:tc>
        <w:tc>
          <w:tcPr>
            <w:tcW w:w="200" w:type="dxa"/>
            <w:vAlign w:val="bottom"/>
          </w:tcPr>
          <w:p>
            <w:pPr>
              <w:spacing w:after="0"/>
              <w:rPr>
                <w:sz w:val="18"/>
                <w:szCs w:val="18"/>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w w:val="86"/>
              </w:rPr>
              <w:t>Average Price</w:t>
            </w: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 Number</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 Price</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Maximum</w:t>
            </w:r>
          </w:p>
        </w:tc>
      </w:tr>
      <w:tr>
        <w:trPr>
          <w:trHeight w:val="213"/>
        </w:trPr>
        <w:tc>
          <w:tcPr>
            <w:tcW w:w="3240" w:type="dxa"/>
            <w:vAlign w:val="bottom"/>
          </w:tcPr>
          <w:p>
            <w:pPr>
              <w:spacing w:after="0"/>
              <w:rPr>
                <w:sz w:val="18"/>
                <w:szCs w:val="18"/>
                <w:color w:val="auto"/>
              </w:rPr>
            </w:pPr>
          </w:p>
        </w:tc>
        <w:tc>
          <w:tcPr>
            <w:tcW w:w="2740" w:type="dxa"/>
            <w:vAlign w:val="bottom"/>
          </w:tcPr>
          <w:p>
            <w:pPr>
              <w:jc w:val="right"/>
              <w:ind w:right="31"/>
              <w:spacing w:after="0"/>
              <w:rPr>
                <w:sz w:val="20"/>
                <w:szCs w:val="20"/>
                <w:color w:val="auto"/>
              </w:rPr>
            </w:pPr>
            <w:r>
              <w:rPr>
                <w:rFonts w:ascii="Arial" w:cs="Arial" w:eastAsia="Arial" w:hAnsi="Arial"/>
                <w:sz w:val="18"/>
                <w:szCs w:val="18"/>
                <w:b w:val="1"/>
                <w:bCs w:val="1"/>
                <w:color w:val="auto"/>
              </w:rPr>
              <w:t>of Shares</w:t>
            </w:r>
          </w:p>
        </w:tc>
        <w:tc>
          <w:tcPr>
            <w:tcW w:w="14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8"/>
              </w:rPr>
              <w:t>Paid per Share</w:t>
            </w: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Paid for</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90"/>
              </w:rPr>
              <w:t>Approximate</w:t>
            </w:r>
          </w:p>
        </w:tc>
      </w:tr>
      <w:tr>
        <w:trPr>
          <w:trHeight w:val="213"/>
        </w:trPr>
        <w:tc>
          <w:tcPr>
            <w:tcW w:w="3240" w:type="dxa"/>
            <w:vAlign w:val="bottom"/>
          </w:tcPr>
          <w:p>
            <w:pPr>
              <w:spacing w:after="0"/>
              <w:rPr>
                <w:sz w:val="18"/>
                <w:szCs w:val="18"/>
                <w:color w:val="auto"/>
              </w:rPr>
            </w:pPr>
          </w:p>
        </w:tc>
        <w:tc>
          <w:tcPr>
            <w:tcW w:w="2740" w:type="dxa"/>
            <w:vAlign w:val="bottom"/>
          </w:tcPr>
          <w:p>
            <w:pPr>
              <w:jc w:val="right"/>
              <w:ind w:right="31"/>
              <w:spacing w:after="0"/>
              <w:rPr>
                <w:sz w:val="20"/>
                <w:szCs w:val="20"/>
                <w:color w:val="auto"/>
              </w:rPr>
            </w:pPr>
            <w:r>
              <w:rPr>
                <w:rFonts w:ascii="Arial" w:cs="Arial" w:eastAsia="Arial" w:hAnsi="Arial"/>
                <w:sz w:val="18"/>
                <w:szCs w:val="18"/>
                <w:b w:val="1"/>
                <w:bCs w:val="1"/>
                <w:color w:val="auto"/>
              </w:rPr>
              <w:t>Purchased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Purchased as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Value of</w:t>
            </w:r>
          </w:p>
        </w:tc>
      </w:tr>
      <w:tr>
        <w:trPr>
          <w:trHeight w:val="213"/>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Part of a</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purchased</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Shares</w:t>
            </w:r>
          </w:p>
        </w:tc>
      </w:tr>
      <w:tr>
        <w:trPr>
          <w:trHeight w:val="213"/>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Publicly</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85"/>
              </w:rPr>
              <w:t>Purchased as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that may yet</w:t>
            </w:r>
          </w:p>
        </w:tc>
      </w:tr>
      <w:tr>
        <w:trPr>
          <w:trHeight w:val="213"/>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Part of a</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be</w:t>
            </w:r>
          </w:p>
        </w:tc>
      </w:tr>
      <w:tr>
        <w:trPr>
          <w:trHeight w:val="213"/>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Publicly</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purchased</w:t>
            </w:r>
          </w:p>
        </w:tc>
      </w:tr>
      <w:tr>
        <w:trPr>
          <w:trHeight w:val="213"/>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under</w:t>
            </w:r>
          </w:p>
        </w:tc>
      </w:tr>
      <w:tr>
        <w:trPr>
          <w:trHeight w:val="213"/>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the Plans</w:t>
            </w:r>
          </w:p>
        </w:tc>
      </w:tr>
      <w:tr>
        <w:trPr>
          <w:trHeight w:val="230"/>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(in thousands, except per share data)</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January 1/1 - 1/31</w:t>
            </w:r>
          </w:p>
        </w:tc>
        <w:tc>
          <w:tcPr>
            <w:tcW w:w="2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February 2/1 – 2/28</w:t>
            </w:r>
          </w:p>
        </w:tc>
        <w:tc>
          <w:tcPr>
            <w:tcW w:w="2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March 3/1 – 3/31</w:t>
            </w:r>
          </w:p>
        </w:tc>
        <w:tc>
          <w:tcPr>
            <w:tcW w:w="2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April 4/1 – 4/30</w:t>
            </w:r>
          </w:p>
        </w:tc>
        <w:tc>
          <w:tcPr>
            <w:tcW w:w="2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May 5/1 – 5/31</w:t>
            </w:r>
          </w:p>
        </w:tc>
        <w:tc>
          <w:tcPr>
            <w:tcW w:w="2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291,190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39.60</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291,190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28,468</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June 6/1 – 6/30</w:t>
            </w:r>
          </w:p>
        </w:tc>
        <w:tc>
          <w:tcPr>
            <w:tcW w:w="2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28,468</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July 7/1 – 7/31</w:t>
            </w:r>
          </w:p>
        </w:tc>
        <w:tc>
          <w:tcPr>
            <w:tcW w:w="2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28,468</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August 8/1 – 8/31</w:t>
            </w:r>
          </w:p>
        </w:tc>
        <w:tc>
          <w:tcPr>
            <w:tcW w:w="2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28,468</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September 9/1 – 9/30</w:t>
            </w:r>
          </w:p>
        </w:tc>
        <w:tc>
          <w:tcPr>
            <w:tcW w:w="2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591,258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55.77</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591,258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95,494</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October 10/1 – 10/31</w:t>
            </w:r>
          </w:p>
        </w:tc>
        <w:tc>
          <w:tcPr>
            <w:tcW w:w="2740" w:type="dxa"/>
            <w:vAlign w:val="bottom"/>
          </w:tcPr>
          <w:p>
            <w:pPr>
              <w:jc w:val="right"/>
              <w:ind w:right="31"/>
              <w:spacing w:after="0"/>
              <w:rPr>
                <w:sz w:val="20"/>
                <w:szCs w:val="20"/>
                <w:color w:val="auto"/>
              </w:rPr>
            </w:pPr>
            <w:r>
              <w:rPr>
                <w:rFonts w:ascii="Arial" w:cs="Arial" w:eastAsia="Arial" w:hAnsi="Arial"/>
                <w:sz w:val="18"/>
                <w:szCs w:val="18"/>
                <w:color w:val="auto"/>
              </w:rPr>
              <w:t>803,068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55.91</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803,068</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44,902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50,592</w:t>
            </w:r>
          </w:p>
        </w:tc>
      </w:tr>
      <w:tr>
        <w:trPr>
          <w:trHeight w:val="219"/>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11/1 – 11/30</w:t>
            </w:r>
          </w:p>
        </w:tc>
        <w:tc>
          <w:tcPr>
            <w:tcW w:w="2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955,094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53.00</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955,094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50,622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3"/>
        </w:trPr>
        <w:tc>
          <w:tcPr>
            <w:tcW w:w="3240" w:type="dxa"/>
            <w:vAlign w:val="bottom"/>
            <w:tcBorders>
              <w:bottom w:val="single" w:sz="8" w:color="auto"/>
            </w:tcBorders>
            <w:shd w:val="clear" w:color="auto" w:fill="CCEEFF"/>
          </w:tcPr>
          <w:p>
            <w:pPr>
              <w:spacing w:after="0"/>
              <w:rPr>
                <w:sz w:val="21"/>
                <w:szCs w:val="21"/>
                <w:color w:val="auto"/>
              </w:rPr>
            </w:pPr>
          </w:p>
        </w:tc>
        <w:tc>
          <w:tcPr>
            <w:tcW w:w="2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2,640,610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53.03</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2,640,610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140,030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563"/>
        </w:trPr>
        <w:tc>
          <w:tcPr>
            <w:tcW w:w="3240" w:type="dxa"/>
            <w:vAlign w:val="bottom"/>
          </w:tcPr>
          <w:p>
            <w:pPr>
              <w:spacing w:after="0"/>
              <w:rPr>
                <w:sz w:val="24"/>
                <w:szCs w:val="24"/>
                <w:color w:val="auto"/>
              </w:rPr>
            </w:pPr>
          </w:p>
        </w:tc>
        <w:tc>
          <w:tcPr>
            <w:tcW w:w="2740" w:type="dxa"/>
            <w:vAlign w:val="bottom"/>
          </w:tcPr>
          <w:p>
            <w:pPr>
              <w:jc w:val="right"/>
              <w:ind w:right="91"/>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7"/>
        </w:trPr>
        <w:tc>
          <w:tcPr>
            <w:tcW w:w="324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72" w:name="page73"/>
    <w:bookmarkEnd w:id="72"/>
    <w:p>
      <w:pPr>
        <w:jc w:val="both"/>
        <w:spacing w:after="0" w:line="256" w:lineRule="auto"/>
        <w:rPr>
          <w:sz w:val="20"/>
          <w:szCs w:val="20"/>
          <w:color w:val="auto"/>
        </w:rPr>
      </w:pPr>
      <w:r>
        <w:rPr>
          <w:rFonts w:ascii="Arial" w:cs="Arial" w:eastAsia="Arial" w:hAnsi="Arial"/>
          <w:sz w:val="18"/>
          <w:szCs w:val="18"/>
          <w:color w:val="auto"/>
        </w:rPr>
        <w:t>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10 “Exemptions from Corporate Governance Listing Requirements under the NASDAQ Marketplace Rules”.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74 to 122 of this Form 20-F.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of ICON plc and subsidiaries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2014 and December 31, 2013</w:t>
      </w:r>
    </w:p>
    <w:p>
      <w:pPr>
        <w:spacing w:after="0" w:line="245" w:lineRule="exact"/>
        <w:rPr>
          <w:sz w:val="20"/>
          <w:szCs w:val="20"/>
          <w:color w:val="auto"/>
        </w:rPr>
      </w:pPr>
    </w:p>
    <w:p>
      <w:pPr>
        <w:ind w:right="1680"/>
        <w:spacing w:after="0" w:line="673" w:lineRule="auto"/>
        <w:rPr>
          <w:sz w:val="20"/>
          <w:szCs w:val="20"/>
          <w:color w:val="auto"/>
        </w:rPr>
      </w:pPr>
      <w:r>
        <w:rPr>
          <w:rFonts w:ascii="Arial" w:cs="Arial" w:eastAsia="Arial" w:hAnsi="Arial"/>
          <w:sz w:val="14"/>
          <w:szCs w:val="14"/>
          <w:color w:val="auto"/>
        </w:rPr>
        <w:t>Consolidated Statements of Operations for the years ended December 31, 2014, December 31, 2013 and December 31, 2012 Consolidated Statements of Comprehensive Income for the years ended December 31, 2014, December 31, 2013 and December 31, 2012</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2014, December 31, 2013 and December 31, 2012</w:t>
      </w:r>
    </w:p>
    <w:p>
      <w:pPr>
        <w:spacing w:after="0" w:line="206" w:lineRule="exact"/>
        <w:rPr>
          <w:sz w:val="20"/>
          <w:szCs w:val="20"/>
          <w:color w:val="auto"/>
        </w:rPr>
      </w:pPr>
    </w:p>
    <w:p>
      <w:pPr>
        <w:ind w:right="2540"/>
        <w:spacing w:after="0" w:line="543" w:lineRule="auto"/>
        <w:rPr>
          <w:sz w:val="20"/>
          <w:szCs w:val="20"/>
          <w:color w:val="auto"/>
        </w:rPr>
      </w:pPr>
      <w:r>
        <w:rPr>
          <w:rFonts w:ascii="Arial" w:cs="Arial" w:eastAsia="Arial" w:hAnsi="Arial"/>
          <w:sz w:val="18"/>
          <w:szCs w:val="18"/>
          <w:color w:val="auto"/>
        </w:rPr>
        <w:t>Consolidated Statements of Cash Flows for the years ended December 31, 2014, December 31, 2013 and December 31, 2012 Notes to the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200" w:lineRule="exact"/>
        <w:rPr>
          <w:sz w:val="20"/>
          <w:szCs w:val="20"/>
          <w:color w:val="auto"/>
        </w:rPr>
      </w:pPr>
    </w:p>
    <w:p>
      <w:pPr>
        <w:spacing w:after="0" w:line="26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080" w:type="dxa"/>
            <w:vAlign w:val="bottom"/>
          </w:tcPr>
          <w:p>
            <w:pPr>
              <w:spacing w:after="0"/>
              <w:rPr>
                <w:sz w:val="20"/>
                <w:szCs w:val="20"/>
                <w:color w:val="auto"/>
              </w:rPr>
            </w:pPr>
            <w:r>
              <w:rPr>
                <w:rFonts w:ascii="Arial" w:cs="Arial" w:eastAsia="Arial" w:hAnsi="Arial"/>
                <w:sz w:val="18"/>
                <w:szCs w:val="18"/>
                <w:color w:val="auto"/>
              </w:rPr>
              <w:t>Exhibit</w:t>
            </w:r>
          </w:p>
        </w:tc>
        <w:tc>
          <w:tcPr>
            <w:tcW w:w="10060" w:type="dxa"/>
            <w:vAlign w:val="bottom"/>
          </w:tcPr>
          <w:p>
            <w:pPr>
              <w:spacing w:after="0"/>
              <w:rPr>
                <w:sz w:val="18"/>
                <w:szCs w:val="18"/>
                <w:color w:val="auto"/>
              </w:rPr>
            </w:pPr>
          </w:p>
        </w:tc>
      </w:tr>
      <w:tr>
        <w:trPr>
          <w:trHeight w:val="224"/>
        </w:trPr>
        <w:tc>
          <w:tcPr>
            <w:tcW w:w="1080" w:type="dxa"/>
            <w:vAlign w:val="bottom"/>
          </w:tcPr>
          <w:p>
            <w:pPr>
              <w:spacing w:after="0"/>
              <w:rPr>
                <w:sz w:val="20"/>
                <w:szCs w:val="20"/>
                <w:color w:val="auto"/>
              </w:rPr>
            </w:pPr>
            <w:r>
              <w:rPr>
                <w:rFonts w:ascii="Arial" w:cs="Arial" w:eastAsia="Arial" w:hAnsi="Arial"/>
                <w:sz w:val="18"/>
                <w:szCs w:val="18"/>
                <w:color w:val="auto"/>
              </w:rPr>
              <w:t>Number</w:t>
            </w:r>
          </w:p>
        </w:tc>
        <w:tc>
          <w:tcPr>
            <w:tcW w:w="10060" w:type="dxa"/>
            <w:vAlign w:val="bottom"/>
          </w:tcPr>
          <w:p>
            <w:pPr>
              <w:ind w:left="480"/>
              <w:spacing w:after="0"/>
              <w:rPr>
                <w:sz w:val="20"/>
                <w:szCs w:val="20"/>
                <w:color w:val="auto"/>
              </w:rPr>
            </w:pPr>
            <w:r>
              <w:rPr>
                <w:rFonts w:ascii="Arial" w:cs="Arial" w:eastAsia="Arial" w:hAnsi="Arial"/>
                <w:sz w:val="18"/>
                <w:szCs w:val="18"/>
                <w:color w:val="auto"/>
              </w:rPr>
              <w:t>Title</w:t>
            </w:r>
          </w:p>
        </w:tc>
      </w:tr>
      <w:tr>
        <w:trPr>
          <w:trHeight w:val="414"/>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tcPr>
          <w:p>
            <w:pPr>
              <w:ind w:left="480"/>
              <w:spacing w:after="0"/>
              <w:rPr>
                <w:sz w:val="20"/>
                <w:szCs w:val="20"/>
                <w:color w:val="auto"/>
              </w:rPr>
            </w:pPr>
            <w:r>
              <w:rPr>
                <w:rFonts w:ascii="Arial" w:cs="Arial" w:eastAsia="Arial" w:hAnsi="Arial"/>
                <w:sz w:val="18"/>
                <w:szCs w:val="18"/>
                <w:color w:val="auto"/>
                <w:w w:val="90"/>
              </w:rPr>
              <w:t>Description of the Memorandum and Articles of Association of the Company (incorporated by reference to exhibit 3.1 to the Form 20F</w:t>
            </w:r>
          </w:p>
        </w:tc>
      </w:tr>
      <w:tr>
        <w:trPr>
          <w:trHeight w:val="224"/>
        </w:trPr>
        <w:tc>
          <w:tcPr>
            <w:tcW w:w="1080" w:type="dxa"/>
            <w:vAlign w:val="bottom"/>
          </w:tcPr>
          <w:p>
            <w:pPr>
              <w:spacing w:after="0"/>
              <w:rPr>
                <w:sz w:val="19"/>
                <w:szCs w:val="19"/>
                <w:color w:val="auto"/>
              </w:rPr>
            </w:pPr>
          </w:p>
        </w:tc>
        <w:tc>
          <w:tcPr>
            <w:tcW w:w="10060" w:type="dxa"/>
            <w:vAlign w:val="bottom"/>
          </w:tcPr>
          <w:p>
            <w:pPr>
              <w:ind w:left="480"/>
              <w:spacing w:after="0"/>
              <w:rPr>
                <w:sz w:val="20"/>
                <w:szCs w:val="20"/>
                <w:color w:val="auto"/>
              </w:rPr>
            </w:pPr>
            <w:r>
              <w:rPr>
                <w:rFonts w:ascii="Arial" w:cs="Arial" w:eastAsia="Arial" w:hAnsi="Arial"/>
                <w:sz w:val="18"/>
                <w:szCs w:val="18"/>
                <w:color w:val="auto"/>
              </w:rPr>
              <w:t>(File No. 333-08704) filed on March 6, 2013).</w:t>
            </w:r>
          </w:p>
        </w:tc>
      </w:tr>
      <w:tr>
        <w:trPr>
          <w:trHeight w:val="425"/>
        </w:trPr>
        <w:tc>
          <w:tcPr>
            <w:tcW w:w="1080" w:type="dxa"/>
            <w:vAlign w:val="bottom"/>
          </w:tcPr>
          <w:p>
            <w:pPr>
              <w:spacing w:after="0"/>
              <w:rPr>
                <w:sz w:val="20"/>
                <w:szCs w:val="20"/>
                <w:color w:val="auto"/>
              </w:rPr>
            </w:pPr>
            <w:r>
              <w:rPr>
                <w:rFonts w:ascii="Arial" w:cs="Arial" w:eastAsia="Arial" w:hAnsi="Arial"/>
                <w:sz w:val="18"/>
                <w:szCs w:val="18"/>
                <w:color w:val="auto"/>
              </w:rPr>
              <w:t>12.1*</w:t>
            </w:r>
          </w:p>
        </w:tc>
        <w:tc>
          <w:tcPr>
            <w:tcW w:w="10060" w:type="dxa"/>
            <w:vAlign w:val="bottom"/>
          </w:tcPr>
          <w:p>
            <w:pPr>
              <w:ind w:left="480"/>
              <w:spacing w:after="0"/>
              <w:rPr>
                <w:sz w:val="20"/>
                <w:szCs w:val="20"/>
                <w:color w:val="auto"/>
              </w:rPr>
            </w:pPr>
            <w:r>
              <w:rPr>
                <w:rFonts w:ascii="Arial" w:cs="Arial" w:eastAsia="Arial" w:hAnsi="Arial"/>
                <w:sz w:val="18"/>
                <w:szCs w:val="18"/>
                <w:color w:val="auto"/>
              </w:rPr>
              <w:t>Section 302 certifications.</w:t>
            </w:r>
          </w:p>
        </w:tc>
      </w:tr>
      <w:tr>
        <w:trPr>
          <w:trHeight w:val="425"/>
        </w:trPr>
        <w:tc>
          <w:tcPr>
            <w:tcW w:w="1080" w:type="dxa"/>
            <w:vAlign w:val="bottom"/>
          </w:tcPr>
          <w:p>
            <w:pPr>
              <w:spacing w:after="0"/>
              <w:rPr>
                <w:sz w:val="20"/>
                <w:szCs w:val="20"/>
                <w:color w:val="auto"/>
              </w:rPr>
            </w:pPr>
            <w:r>
              <w:rPr>
                <w:rFonts w:ascii="Arial" w:cs="Arial" w:eastAsia="Arial" w:hAnsi="Arial"/>
                <w:sz w:val="18"/>
                <w:szCs w:val="18"/>
                <w:color w:val="auto"/>
              </w:rPr>
              <w:t>12.2*</w:t>
            </w:r>
          </w:p>
        </w:tc>
        <w:tc>
          <w:tcPr>
            <w:tcW w:w="10060" w:type="dxa"/>
            <w:vAlign w:val="bottom"/>
          </w:tcPr>
          <w:p>
            <w:pPr>
              <w:ind w:left="480"/>
              <w:spacing w:after="0"/>
              <w:rPr>
                <w:sz w:val="20"/>
                <w:szCs w:val="20"/>
                <w:color w:val="auto"/>
              </w:rPr>
            </w:pPr>
            <w:r>
              <w:rPr>
                <w:rFonts w:ascii="Arial" w:cs="Arial" w:eastAsia="Arial" w:hAnsi="Arial"/>
                <w:sz w:val="18"/>
                <w:szCs w:val="18"/>
                <w:color w:val="auto"/>
              </w:rPr>
              <w:t>Section 906 certifications.</w:t>
            </w:r>
          </w:p>
        </w:tc>
      </w:tr>
      <w:tr>
        <w:trPr>
          <w:trHeight w:val="425"/>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10060" w:type="dxa"/>
            <w:vAlign w:val="bottom"/>
          </w:tcPr>
          <w:p>
            <w:pPr>
              <w:ind w:left="48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25"/>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060" w:type="dxa"/>
            <w:vAlign w:val="bottom"/>
          </w:tcPr>
          <w:p>
            <w:pPr>
              <w:ind w:left="48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25"/>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10060" w:type="dxa"/>
            <w:vAlign w:val="bottom"/>
          </w:tcPr>
          <w:p>
            <w:pPr>
              <w:ind w:left="480"/>
              <w:spacing w:after="0"/>
              <w:rPr>
                <w:sz w:val="20"/>
                <w:szCs w:val="20"/>
                <w:color w:val="auto"/>
              </w:rPr>
            </w:pPr>
            <w:r>
              <w:rPr>
                <w:rFonts w:ascii="Arial" w:cs="Arial" w:eastAsia="Arial" w:hAnsi="Arial"/>
                <w:sz w:val="18"/>
                <w:szCs w:val="18"/>
                <w:color w:val="auto"/>
              </w:rPr>
              <w:t>Interactive Data Files (XBRL – Related Documents)</w:t>
            </w:r>
          </w:p>
        </w:tc>
      </w:tr>
    </w:tbl>
    <w:p>
      <w:pPr>
        <w:spacing w:after="0" w:line="228" w:lineRule="exact"/>
        <w:rPr>
          <w:sz w:val="20"/>
          <w:szCs w:val="20"/>
          <w:color w:val="auto"/>
        </w:rPr>
      </w:pPr>
    </w:p>
    <w:p>
      <w:pPr>
        <w:ind w:left="720" w:hanging="71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00"/>
          </w:cols>
          <w:pgMar w:left="240" w:top="50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2014. In making this assessment, we used the criteria set forth by the Committee of Sponsoring Organizations of the Treadway Commission (COSO) in Internal Control – Integrated Framework 2013. Based upon the assessment performed, we determined that, as of December 31, 2014 the Company’s internal control over financial reporting was effective. In addition, there have been no changes in the Company’s internal control over financial reporting during 2014 that have materially affected, or are reasonably likely to affect materially, the Group’s internal control over financial reporting.</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KPMG, which has audited the consolidated financial statements of the Company for the year ended December 31, 2014, has also audited the effectiveness of the Company’s internal control over financial reporting under Auditing Standard No. 5 of the Public Company Accounting Oversight Board (United States) and their report is included at page 76.</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6" w:name="page77"/>
    <w:bookmarkEnd w:id="76"/>
    <w:p>
      <w:pPr>
        <w:ind w:left="28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accompanying consolidated balance sheets of ICON plc and subsidiaries (“the Company”) as of December 31, 2014 and 2013 and the related consolidated statements of operations, comprehensive income, shareholders’ equity and comprehensive income, and cash flows for each of the years in the three-year period ended December 31, 2014. These consolidated financial statements are the responsibility of the Company's management. Our responsibility is to express an opinion on these consolidated financial statements based on our audits.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2014 and 2013 and the results of their operations and their cash flows for each of the years in the three-year period ended December 31, 2014, in conformity with U.S. generally accepted accounting principles.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ICON plc’s internal control over financial reporting as of December 31, 2014 based on criteria established in Internal Control — Integrated Framework 2013 issued by the Committee of Sponsoring Organizations of the Treadway Commission (COSO) and our report dated March 12, 2015 expressed an unqualified opinion on the effectiveness of the Company’s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7" w:name="page78"/>
    <w:bookmarkEnd w:id="77"/>
    <w:p>
      <w:pPr>
        <w:ind w:left="28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have audited ICON plc’s internal control over financial reporting as of December 31, 2014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ICON plc’s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In our opinion, ICON plc maintained, in all material respects, effective internal control over financial reporting as of December 31, 2014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8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ICON plc and subsidiaries as of December 31, 2014 and 2013 and the related consolidated statements of operations, shareholders’ equity and comprehensive income, and cash flows for each of the years in the three-year period ended December 31, 2014 and our report dated March 12, 2015 expressed an unqualified opinion on those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w w:val="87"/>
              </w:rPr>
              <w:t>December 31,</w:t>
            </w:r>
          </w:p>
        </w:tc>
      </w:tr>
      <w:tr>
        <w:trPr>
          <w:trHeight w:val="213"/>
        </w:trPr>
        <w:tc>
          <w:tcPr>
            <w:tcW w:w="8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19"/>
        </w:trPr>
        <w:tc>
          <w:tcPr>
            <w:tcW w:w="87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24"/>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118,900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182,519</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 (Note 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97,100</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138,317</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370,956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342,581</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146,163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113,239</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17,491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14,415</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Deferred tax asset (Note 13)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24,716</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28,644</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28,465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24,664</w:t>
            </w:r>
          </w:p>
        </w:tc>
      </w:tr>
      <w:tr>
        <w:trPr>
          <w:trHeight w:val="219"/>
        </w:trPr>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 (Note 13)</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15,716</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9,049</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819,507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853,428</w:t>
            </w:r>
          </w:p>
        </w:tc>
      </w:tr>
      <w:tr>
        <w:trPr>
          <w:trHeight w:val="213"/>
        </w:trPr>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 (Note 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148,185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160,830</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Goodwill (Note 4)</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463,324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357,523</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11,583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6,732</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Non-current income taxes receivable (Note 13)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15,060</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25,172</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 (Note 13)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21,472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7,421</w:t>
            </w:r>
          </w:p>
        </w:tc>
      </w:tr>
      <w:tr>
        <w:trPr>
          <w:trHeight w:val="219"/>
        </w:trPr>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 (Note 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49,719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31,354</w:t>
            </w:r>
          </w:p>
        </w:tc>
      </w:tr>
      <w:tr>
        <w:trPr>
          <w:trHeight w:val="253"/>
        </w:trPr>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1,528,850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1,442,460</w:t>
            </w:r>
          </w:p>
        </w:tc>
      </w:tr>
      <w:tr>
        <w:trPr>
          <w:trHeight w:val="206"/>
        </w:trPr>
        <w:tc>
          <w:tcPr>
            <w:tcW w:w="8740" w:type="dxa"/>
            <w:vAlign w:val="bottom"/>
          </w:tcPr>
          <w:p>
            <w:pPr>
              <w:spacing w:after="0" w:line="20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2,793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4,594</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280,097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297,347</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Other liabilities (Note 7)</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251,091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194,812</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liability (Note 13)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payable (Note 13)</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4,149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4,416</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538,359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501,169</w:t>
            </w:r>
          </w:p>
        </w:tc>
      </w:tr>
      <w:tr>
        <w:trPr>
          <w:trHeight w:val="213"/>
        </w:trPr>
        <w:tc>
          <w:tcPr>
            <w:tcW w:w="87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liabilities (Note 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13,179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11,198</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Non-current government grants (Note 11)</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1,116</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1,359</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payable (Note 13)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12,389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5,288</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Non-current deferred tax liability (Note 13)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13,601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12,867</w:t>
            </w:r>
          </w:p>
        </w:tc>
      </w:tr>
      <w:tr>
        <w:trPr>
          <w:trHeight w:val="213"/>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0"/>
        </w:trPr>
        <w:tc>
          <w:tcPr>
            <w:tcW w:w="8740" w:type="dxa"/>
            <w:vAlign w:val="bottom"/>
          </w:tcPr>
          <w:p>
            <w:pPr>
              <w:ind w:left="320"/>
              <w:spacing w:after="0" w:line="201" w:lineRule="exact"/>
              <w:rPr>
                <w:sz w:val="20"/>
                <w:szCs w:val="20"/>
                <w:color w:val="auto"/>
              </w:rPr>
            </w:pPr>
            <w:r>
              <w:rPr>
                <w:rFonts w:ascii="Arial" w:cs="Arial" w:eastAsia="Arial" w:hAnsi="Arial"/>
                <w:sz w:val="18"/>
                <w:szCs w:val="18"/>
                <w:color w:val="auto"/>
              </w:rPr>
              <w:t>Ordinary shares, par value 6 euro cents per share;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100,000,000 shares authorized, (Note 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w w:val="91"/>
              </w:rPr>
              <w:t>60,106,780 shares issued and outstanding at December 31, 2014 and 61,587,257 shares issued and outstanding at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8740" w:type="dxa"/>
            <w:vAlign w:val="bottom"/>
          </w:tcPr>
          <w:p>
            <w:pPr>
              <w:ind w:left="320"/>
              <w:spacing w:after="0"/>
              <w:rPr>
                <w:sz w:val="20"/>
                <w:szCs w:val="20"/>
                <w:color w:val="auto"/>
              </w:rPr>
            </w:pPr>
            <w:r>
              <w:rPr>
                <w:rFonts w:ascii="Arial" w:cs="Arial" w:eastAsia="Arial" w:hAnsi="Arial"/>
                <w:sz w:val="18"/>
                <w:szCs w:val="18"/>
                <w:color w:val="auto"/>
              </w:rPr>
              <w:t>December 31, 2013.</w:t>
            </w:r>
          </w:p>
        </w:tc>
        <w:tc>
          <w:tcPr>
            <w:tcW w:w="16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5,037</w:t>
            </w:r>
          </w:p>
        </w:tc>
        <w:tc>
          <w:tcPr>
            <w:tcW w:w="18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5,168</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327,234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279,572</w:t>
            </w:r>
          </w:p>
        </w:tc>
      </w:tr>
      <w:tr>
        <w:trPr>
          <w:trHeight w:val="213"/>
        </w:trPr>
        <w:tc>
          <w:tcPr>
            <w:tcW w:w="8740" w:type="dxa"/>
            <w:vAlign w:val="bottom"/>
          </w:tcPr>
          <w:p>
            <w:pPr>
              <w:ind w:left="320"/>
              <w:spacing w:after="0"/>
              <w:rPr>
                <w:sz w:val="20"/>
                <w:szCs w:val="20"/>
                <w:color w:val="auto"/>
              </w:rPr>
            </w:pPr>
            <w:r>
              <w:rPr>
                <w:rFonts w:ascii="Arial" w:cs="Arial" w:eastAsia="Arial" w:hAnsi="Arial"/>
                <w:sz w:val="18"/>
                <w:szCs w:val="18"/>
                <w:color w:val="auto"/>
              </w:rPr>
              <w:t>Capital redemption reserve (Note 12 (a))</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13"/>
        </w:trPr>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(Note 19)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r>
        <w:trPr>
          <w:trHeight w:val="219"/>
        </w:trPr>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655,185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623,779</w:t>
            </w:r>
          </w:p>
        </w:tc>
      </w:tr>
      <w:tr>
        <w:trPr>
          <w:trHeight w:val="219"/>
        </w:trPr>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950,206</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910,579</w:t>
            </w:r>
          </w:p>
        </w:tc>
      </w:tr>
      <w:tr>
        <w:trPr>
          <w:trHeight w:val="213"/>
        </w:trPr>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1,528,850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1,442,460</w:t>
            </w: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740" w:type="dxa"/>
            <w:vAlign w:val="bottom"/>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586"/>
        </w:trPr>
        <w:tc>
          <w:tcPr>
            <w:tcW w:w="8740" w:type="dxa"/>
            <w:vAlign w:val="bottom"/>
          </w:tcPr>
          <w:p>
            <w:pPr>
              <w:ind w:left="56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8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91"/>
              <w:spacing w:after="0" w:line="202" w:lineRule="exact"/>
              <w:rPr>
                <w:sz w:val="20"/>
                <w:szCs w:val="20"/>
                <w:color w:val="auto"/>
              </w:rPr>
            </w:pPr>
            <w:r>
              <w:rPr>
                <w:rFonts w:ascii="Arial" w:cs="Arial" w:eastAsia="Arial" w:hAnsi="Arial"/>
                <w:sz w:val="18"/>
                <w:szCs w:val="18"/>
                <w:b w:val="1"/>
                <w:bCs w:val="1"/>
                <w:color w:val="auto"/>
                <w:w w:val="90"/>
              </w:rPr>
              <w:t>Year Ended</w:t>
            </w: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87"/>
        </w:trPr>
        <w:tc>
          <w:tcPr>
            <w:tcW w:w="68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4"/>
                <w:szCs w:val="24"/>
                <w:color w:val="auto"/>
              </w:rPr>
            </w:pPr>
          </w:p>
        </w:tc>
        <w:tc>
          <w:tcPr>
            <w:tcW w:w="38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0" w:type="dxa"/>
            <w:vAlign w:val="bottom"/>
          </w:tcPr>
          <w:p>
            <w:pPr>
              <w:spacing w:after="0"/>
              <w:rPr>
                <w:sz w:val="1"/>
                <w:szCs w:val="1"/>
                <w:color w:val="auto"/>
              </w:rPr>
            </w:pPr>
          </w:p>
        </w:tc>
      </w:tr>
      <w:tr>
        <w:trPr>
          <w:trHeight w:val="232"/>
        </w:trPr>
        <w:tc>
          <w:tcPr>
            <w:tcW w:w="68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2,030,286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1,784,345</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1,503,993</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Reimbursable expenses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(526,970)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(448,287)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(388,987)</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revenue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1,503,316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1,336,058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1,115,006</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320"/>
              <w:spacing w:after="0"/>
              <w:rPr>
                <w:sz w:val="20"/>
                <w:szCs w:val="20"/>
                <w:color w:val="auto"/>
              </w:rPr>
            </w:pPr>
            <w:r>
              <w:rPr>
                <w:rFonts w:ascii="Arial" w:cs="Arial" w:eastAsia="Arial" w:hAnsi="Arial"/>
                <w:sz w:val="18"/>
                <w:szCs w:val="18"/>
                <w:color w:val="auto"/>
              </w:rPr>
              <w:t>Direct costs</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903,167</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845,413</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717,750</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336,461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313,931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280,780</w:t>
            </w:r>
          </w:p>
        </w:tc>
        <w:tc>
          <w:tcPr>
            <w:tcW w:w="0" w:type="dxa"/>
            <w:vAlign w:val="bottom"/>
          </w:tcPr>
          <w:p>
            <w:pPr>
              <w:spacing w:after="0"/>
              <w:rPr>
                <w:sz w:val="1"/>
                <w:szCs w:val="1"/>
                <w:color w:val="auto"/>
              </w:rPr>
            </w:pPr>
          </w:p>
        </w:tc>
      </w:tr>
      <w:tr>
        <w:trPr>
          <w:trHeight w:val="213"/>
        </w:trPr>
        <w:tc>
          <w:tcPr>
            <w:tcW w:w="68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52,542</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46,514</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42,823</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 items, net (Note 14)</w:t>
            </w:r>
          </w:p>
        </w:tc>
        <w:tc>
          <w:tcPr>
            <w:tcW w:w="7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8,796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9,033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1,300,966</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1,214,891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1,046,989</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202,350</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121,167</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68,017</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202,716</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120,865</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67,221</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(Note 13)</w:t>
            </w:r>
          </w:p>
        </w:tc>
        <w:tc>
          <w:tcPr>
            <w:tcW w:w="7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(30,248)</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172,468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102,812</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55,420</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(Note 2 (u))</w:t>
            </w:r>
          </w:p>
        </w:tc>
        <w:tc>
          <w:tcPr>
            <w:tcW w:w="7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61,496,115</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60,907,274</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59,968,174</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(Note 2 (u))</w:t>
            </w:r>
          </w:p>
        </w:tc>
        <w:tc>
          <w:tcPr>
            <w:tcW w:w="7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63,131,417</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62,253,251</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60,450,706</w:t>
            </w:r>
          </w:p>
        </w:tc>
        <w:tc>
          <w:tcPr>
            <w:tcW w:w="0" w:type="dxa"/>
            <w:vAlign w:val="bottom"/>
          </w:tcPr>
          <w:p>
            <w:pPr>
              <w:spacing w:after="0"/>
              <w:rPr>
                <w:sz w:val="1"/>
                <w:szCs w:val="1"/>
                <w:color w:val="auto"/>
              </w:rPr>
            </w:pPr>
          </w:p>
        </w:tc>
      </w:tr>
      <w:tr>
        <w:trPr>
          <w:trHeight w:val="417"/>
        </w:trPr>
        <w:tc>
          <w:tcPr>
            <w:tcW w:w="6820" w:type="dxa"/>
            <w:vAlign w:val="bottom"/>
          </w:tcPr>
          <w:p>
            <w:pPr>
              <w:spacing w:after="0"/>
              <w:rPr>
                <w:sz w:val="20"/>
                <w:szCs w:val="20"/>
                <w:color w:val="auto"/>
              </w:rPr>
            </w:pPr>
            <w:r>
              <w:rPr>
                <w:rFonts w:ascii="Arial" w:cs="Arial" w:eastAsia="Arial" w:hAnsi="Arial"/>
                <w:sz w:val="18"/>
                <w:szCs w:val="18"/>
                <w:color w:val="auto"/>
                <w:w w:val="96"/>
              </w:rPr>
              <w:t>The accompanying notes are an integral part of these consolidated financial statements.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6820" w:type="dxa"/>
            <w:vAlign w:val="bottom"/>
          </w:tcPr>
          <w:p>
            <w:pPr>
              <w:ind w:left="5620"/>
              <w:spacing w:after="0"/>
              <w:rPr>
                <w:sz w:val="20"/>
                <w:szCs w:val="20"/>
                <w:color w:val="auto"/>
              </w:rPr>
            </w:pPr>
            <w:r>
              <w:rPr>
                <w:rFonts w:ascii="Arial" w:cs="Arial" w:eastAsia="Arial" w:hAnsi="Arial"/>
                <w:sz w:val="18"/>
                <w:szCs w:val="18"/>
                <w:color w:val="auto"/>
              </w:rPr>
              <w:t>78</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8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91"/>
              <w:spacing w:after="0" w:line="202" w:lineRule="exact"/>
              <w:rPr>
                <w:sz w:val="20"/>
                <w:szCs w:val="20"/>
                <w:color w:val="auto"/>
              </w:rPr>
            </w:pPr>
            <w:r>
              <w:rPr>
                <w:rFonts w:ascii="Arial" w:cs="Arial" w:eastAsia="Arial" w:hAnsi="Arial"/>
                <w:sz w:val="18"/>
                <w:szCs w:val="18"/>
                <w:b w:val="1"/>
                <w:bCs w:val="1"/>
                <w:color w:val="auto"/>
                <w:w w:val="90"/>
              </w:rPr>
              <w:t>Year Ended</w:t>
            </w:r>
          </w:p>
        </w:tc>
        <w:tc>
          <w:tcPr>
            <w:tcW w:w="4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6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r>
      <w:tr>
        <w:trPr>
          <w:trHeight w:val="387"/>
        </w:trPr>
        <w:tc>
          <w:tcPr>
            <w:tcW w:w="6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(in thousands, except share and per share data)</w:t>
            </w:r>
          </w:p>
        </w:tc>
      </w:tr>
      <w:tr>
        <w:trPr>
          <w:trHeight w:val="232"/>
        </w:trPr>
        <w:tc>
          <w:tcPr>
            <w:tcW w:w="6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172,468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102,812</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55,420</w:t>
            </w: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(45,038)</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10,725</w:t>
            </w:r>
          </w:p>
        </w:tc>
        <w:tc>
          <w:tcPr>
            <w:tcW w:w="4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4,494</w:t>
            </w: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 on long-term funding</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9,806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Tax on currency impact of long term funding</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Unrealized capital gain/(loss) – investments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Actuarial (loss)/gain on defined benefit pension plan</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1,383</w:t>
            </w:r>
          </w:p>
        </w:tc>
        <w:tc>
          <w:tcPr>
            <w:tcW w:w="4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r>
      <w:tr>
        <w:trPr>
          <w:trHeight w:val="219"/>
        </w:trPr>
        <w:tc>
          <w:tcPr>
            <w:tcW w:w="68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132,953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113,548</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63,090</w:t>
            </w:r>
          </w:p>
        </w:tc>
      </w:tr>
      <w:tr>
        <w:trPr>
          <w:trHeight w:val="417"/>
        </w:trPr>
        <w:tc>
          <w:tcPr>
            <w:tcW w:w="6820" w:type="dxa"/>
            <w:vAlign w:val="bottom"/>
          </w:tcPr>
          <w:p>
            <w:pPr>
              <w:spacing w:after="0"/>
              <w:rPr>
                <w:sz w:val="20"/>
                <w:szCs w:val="20"/>
                <w:color w:val="auto"/>
              </w:rPr>
            </w:pPr>
            <w:r>
              <w:rPr>
                <w:rFonts w:ascii="Arial" w:cs="Arial" w:eastAsia="Arial" w:hAnsi="Arial"/>
                <w:sz w:val="18"/>
                <w:szCs w:val="18"/>
                <w:color w:val="auto"/>
                <w:w w:val="96"/>
              </w:rPr>
              <w:t>The accompanying notes are an integral part of these consolidated financial statements.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98"/>
        </w:trPr>
        <w:tc>
          <w:tcPr>
            <w:tcW w:w="6820" w:type="dxa"/>
            <w:vAlign w:val="bottom"/>
          </w:tcPr>
          <w:p>
            <w:pPr>
              <w:ind w:left="5620"/>
              <w:spacing w:after="0"/>
              <w:rPr>
                <w:sz w:val="20"/>
                <w:szCs w:val="20"/>
                <w:color w:val="auto"/>
              </w:rPr>
            </w:pPr>
            <w:r>
              <w:rPr>
                <w:rFonts w:ascii="Arial" w:cs="Arial" w:eastAsia="Arial" w:hAnsi="Arial"/>
                <w:sz w:val="18"/>
                <w:szCs w:val="18"/>
                <w:color w:val="auto"/>
              </w:rPr>
              <w:t>79</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7"/>
        </w:trPr>
        <w:tc>
          <w:tcPr>
            <w:tcW w:w="68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4520" w:type="dxa"/>
            <w:vAlign w:val="bottom"/>
            <w:gridSpan w:val="7"/>
          </w:tcPr>
          <w:p>
            <w:pPr>
              <w:jc w:val="right"/>
              <w:ind w:right="551"/>
              <w:spacing w:after="0"/>
              <w:rPr>
                <w:sz w:val="20"/>
                <w:szCs w:val="20"/>
                <w:color w:val="auto"/>
              </w:rPr>
            </w:pPr>
            <w:r>
              <w:rPr>
                <w:rFonts w:ascii="Arial" w:cs="Arial" w:eastAsia="Arial" w:hAnsi="Arial"/>
                <w:sz w:val="18"/>
                <w:szCs w:val="18"/>
                <w:b w:val="1"/>
                <w:bCs w:val="1"/>
                <w:color w:val="auto"/>
                <w:w w:val="94"/>
              </w:rPr>
              <w:t>(in thousands, except share and per share data)</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7"/>
        </w:trPr>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3"/>
        </w:trPr>
        <w:tc>
          <w:tcPr>
            <w:tcW w:w="3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Additional</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3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Paid-in</w:t>
            </w: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Redemption</w:t>
            </w: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Comprehensive</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3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Capital</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Reserve</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Income</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19"/>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60,135,603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211,549</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481,342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681,544</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Comprehensive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55,420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55,420</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4,494</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4,494</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 on long-term funding</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1,982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Tax on currency impact of long term funding</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Unrealized capital loss - investments</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r>
      <w:tr>
        <w:trPr>
          <w:trHeight w:val="219"/>
        </w:trPr>
        <w:tc>
          <w:tcPr>
            <w:tcW w:w="3620" w:type="dxa"/>
            <w:vAlign w:val="bottom"/>
          </w:tcPr>
          <w:p>
            <w:pPr>
              <w:spacing w:after="0"/>
              <w:rPr>
                <w:sz w:val="20"/>
                <w:szCs w:val="20"/>
                <w:color w:val="auto"/>
              </w:rPr>
            </w:pPr>
            <w:r>
              <w:rPr>
                <w:rFonts w:ascii="Arial" w:cs="Arial" w:eastAsia="Arial" w:hAnsi="Arial"/>
                <w:sz w:val="18"/>
                <w:szCs w:val="18"/>
                <w:color w:val="auto"/>
                <w:w w:val="98"/>
              </w:rPr>
              <w:t>Actuarial gain on defined benefit pension plan</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63,090</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890,236</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12,947</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13,015</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11,521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11,521</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Share issue costs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(738,341)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(15,605)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(15,605)</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9"/>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Excess tax benefit on exercise of options</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1,274</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1,274</w:t>
            </w:r>
          </w:p>
        </w:tc>
      </w:tr>
      <w:tr>
        <w:trPr>
          <w:trHeight w:val="21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2012</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60,287,498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237,217</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520,967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754,575</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102,812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102,812</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10,725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10,725</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Currency impact on long-term funding</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of long term funding</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Unrealized capital gain - investments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9"/>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Actuarial gain on defined benefit pension plan</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1,383</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113,548</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1,249,759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26,888</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26,989</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1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13,882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13,882</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Share issue costs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0"/>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on exercise of equity</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2"/>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1,651</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1,651</w:t>
            </w:r>
          </w:p>
        </w:tc>
      </w:tr>
      <w:tr>
        <w:trPr>
          <w:trHeight w:val="213"/>
        </w:trPr>
        <w:tc>
          <w:tcPr>
            <w:tcW w:w="3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3"/>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61,587,257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5,168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279,572</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623,779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910,579</w:t>
            </w:r>
          </w:p>
        </w:tc>
      </w:tr>
      <w:tr>
        <w:trPr>
          <w:trHeight w:val="590"/>
        </w:trPr>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7"/>
        </w:trPr>
        <w:tc>
          <w:tcPr>
            <w:tcW w:w="36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w w:val="90"/>
              </w:rPr>
              <w:t>Additional</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Paid-in</w:t>
            </w: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Redemption</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w w:val="89"/>
              </w:rPr>
              <w:t>Retained</w:t>
            </w:r>
          </w:p>
        </w:tc>
        <w:tc>
          <w:tcPr>
            <w:tcW w:w="840" w:type="dxa"/>
            <w:vAlign w:val="bottom"/>
          </w:tcPr>
          <w:p>
            <w:pPr>
              <w:spacing w:after="0"/>
              <w:rPr>
                <w:sz w:val="18"/>
                <w:szCs w:val="18"/>
                <w:color w:val="auto"/>
              </w:rPr>
            </w:pPr>
          </w:p>
        </w:tc>
      </w:tr>
      <w:tr>
        <w:trPr>
          <w:trHeight w:val="238"/>
        </w:trPr>
        <w:tc>
          <w:tcPr>
            <w:tcW w:w="3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Reserve</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Income</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8"/>
              </w:rPr>
              <w:t>Earnings</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19"/>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61,587,257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279,572</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623,779</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$ 910,579</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172,468</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$ 172,468</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(45,038)</w:t>
            </w:r>
          </w:p>
        </w:tc>
        <w:tc>
          <w:tcPr>
            <w:tcW w:w="1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(45,038)</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 on long-term funding</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9,806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9,806</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Tax on currency impact of long term funding</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Unrealized capital gain - investments</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19"/>
        </w:trPr>
        <w:tc>
          <w:tcPr>
            <w:tcW w:w="3600" w:type="dxa"/>
            <w:vAlign w:val="bottom"/>
          </w:tcPr>
          <w:p>
            <w:pPr>
              <w:spacing w:after="0"/>
              <w:rPr>
                <w:sz w:val="20"/>
                <w:szCs w:val="20"/>
                <w:color w:val="auto"/>
              </w:rPr>
            </w:pPr>
            <w:r>
              <w:rPr>
                <w:rFonts w:ascii="Arial" w:cs="Arial" w:eastAsia="Arial" w:hAnsi="Arial"/>
                <w:sz w:val="18"/>
                <w:szCs w:val="18"/>
                <w:color w:val="auto"/>
                <w:w w:val="98"/>
              </w:rPr>
              <w:t>Actuarial loss on defined benefit pension plan</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(4,125)</w:t>
            </w:r>
          </w:p>
        </w:tc>
        <w:tc>
          <w:tcPr>
            <w:tcW w:w="1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132,953</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926,407</w:t>
            </w:r>
          </w:p>
        </w:tc>
        <w:tc>
          <w:tcPr>
            <w:tcW w:w="2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22,182</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22,256</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Issue of restricted share units</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233,726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Share based compensation expense</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23,078</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23,078</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360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(2,640,610)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5"/>
              </w:rPr>
              <w:t>(140,030)</w:t>
            </w:r>
          </w:p>
        </w:tc>
        <w:tc>
          <w:tcPr>
            <w:tcW w:w="840" w:type="dxa"/>
            <w:vAlign w:val="bottom"/>
          </w:tcPr>
          <w:p>
            <w:pPr>
              <w:jc w:val="right"/>
              <w:spacing w:after="0"/>
              <w:rPr>
                <w:sz w:val="20"/>
                <w:szCs w:val="20"/>
                <w:color w:val="auto"/>
              </w:rPr>
            </w:pPr>
            <w:r>
              <w:rPr>
                <w:rFonts w:ascii="Arial" w:cs="Arial" w:eastAsia="Arial" w:hAnsi="Arial"/>
                <w:sz w:val="18"/>
                <w:szCs w:val="18"/>
                <w:color w:val="auto"/>
              </w:rPr>
              <w:t>(140,030)</w:t>
            </w: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00"/>
        </w:trPr>
        <w:tc>
          <w:tcPr>
            <w:tcW w:w="3600" w:type="dxa"/>
            <w:vAlign w:val="bottom"/>
          </w:tcPr>
          <w:p>
            <w:pPr>
              <w:spacing w:after="0" w:line="201" w:lineRule="exact"/>
              <w:rPr>
                <w:sz w:val="20"/>
                <w:szCs w:val="20"/>
                <w:color w:val="auto"/>
              </w:rPr>
            </w:pPr>
            <w:r>
              <w:rPr>
                <w:rFonts w:ascii="Arial" w:cs="Arial" w:eastAsia="Arial" w:hAnsi="Arial"/>
                <w:sz w:val="18"/>
                <w:szCs w:val="18"/>
                <w:color w:val="auto"/>
              </w:rPr>
              <w:t>Excess tax benefit on exercise of equity</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compensation</w:t>
            </w: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2,404</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2,404</w:t>
            </w:r>
          </w:p>
        </w:tc>
      </w:tr>
      <w:tr>
        <w:trPr>
          <w:trHeight w:val="213"/>
        </w:trPr>
        <w:tc>
          <w:tcPr>
            <w:tcW w:w="3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2014</w:t>
            </w: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60,106,780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327,234</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655,185</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$ 950,206</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Year Ended</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ind w:right="351"/>
              <w:spacing w:after="0"/>
              <w:rPr>
                <w:sz w:val="20"/>
                <w:szCs w:val="20"/>
                <w:color w:val="auto"/>
              </w:rPr>
            </w:pPr>
            <w:r>
              <w:rPr>
                <w:rFonts w:ascii="Arial" w:cs="Arial" w:eastAsia="Arial" w:hAnsi="Arial"/>
                <w:sz w:val="18"/>
                <w:szCs w:val="18"/>
                <w:b w:val="1"/>
                <w:bCs w:val="1"/>
                <w:color w:val="auto"/>
                <w:w w:val="90"/>
              </w:rPr>
              <w:t>(in thousands)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172,468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102,812</w:t>
            </w:r>
          </w:p>
        </w:tc>
        <w:tc>
          <w:tcPr>
            <w:tcW w:w="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55,420</w:t>
            </w:r>
          </w:p>
        </w:tc>
        <w:tc>
          <w:tcPr>
            <w:tcW w:w="0" w:type="dxa"/>
            <w:vAlign w:val="bottom"/>
          </w:tcPr>
          <w:p>
            <w:pPr>
              <w:spacing w:after="0"/>
              <w:rPr>
                <w:sz w:val="1"/>
                <w:szCs w:val="1"/>
                <w:color w:val="auto"/>
              </w:rPr>
            </w:pPr>
          </w:p>
        </w:tc>
      </w:tr>
      <w:tr>
        <w:trPr>
          <w:trHeight w:val="200"/>
        </w:trPr>
        <w:tc>
          <w:tcPr>
            <w:tcW w:w="508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provided by operating activities:</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662</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42,200</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38,975</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35,210</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10,342</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7,539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Amortization of government grants</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(349)</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compensation expense</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22,742</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14,220</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(7,900)</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(10,583)</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(10,430)</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Increase in accounts receivable</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(7,032)</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(37,538)</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(79,155)</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(Increase)/decrease in unbilled revenue</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(Increase)/decrease in other receivables</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(4,259)</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(1,638)</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(Increase)/decrease in prepayments and other current assets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Increase in other non current assets</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(2,264)</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(1,146)</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(Decrease)/increase in payments on account</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(47,548)</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76,066</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68,654</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Increase in other current liabilities</w:t>
            </w: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15,111</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43,291</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17,035</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non current liabilities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Increase /(decrease) in income taxes payable</w:t>
            </w: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3,021</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(5,013)</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(Decrease)/increase in accounts payable</w:t>
            </w:r>
          </w:p>
        </w:tc>
        <w:tc>
          <w:tcPr>
            <w:tcW w:w="1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169,948</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221,227</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113,431</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Purchase of property, plant and equipment</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(32,779)</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(29,488)</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(30,791)</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subsidiary undertakings and acquisition costs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(124,301)</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(93,553)</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Cash acquired with subsidiary undertaking</w:t>
            </w: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3,527</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1,039</w:t>
            </w:r>
          </w:p>
        </w:tc>
        <w:tc>
          <w:tcPr>
            <w:tcW w:w="4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of short term investments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102,565</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109,795</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82,193</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Purchase of short term investments</w:t>
            </w:r>
          </w:p>
        </w:tc>
        <w:tc>
          <w:tcPr>
            <w:tcW w:w="1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(61,328)</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(172,168)</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(102,575)</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(112,316)</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(184,375)</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(121,109)</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Drawdown of credit lines and facilities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Repayment of credit lines and facilities</w:t>
            </w:r>
          </w:p>
        </w:tc>
        <w:tc>
          <w:tcPr>
            <w:tcW w:w="1320" w:type="dxa"/>
            <w:vAlign w:val="bottom"/>
          </w:tcPr>
          <w:p>
            <w:pPr>
              <w:spacing w:after="0"/>
              <w:rPr>
                <w:sz w:val="18"/>
                <w:szCs w:val="18"/>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equity compensation</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22,274</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26,993</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Share issuance costs</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tax benefit on exercise of equity compensation</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2,404</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1,651</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3"/>
        </w:trPr>
        <w:tc>
          <w:tcPr>
            <w:tcW w:w="5080" w:type="dxa"/>
            <w:vAlign w:val="bottom"/>
          </w:tcPr>
          <w:p>
            <w:pPr>
              <w:ind w:left="320"/>
              <w:spacing w:after="0"/>
              <w:rPr>
                <w:sz w:val="20"/>
                <w:szCs w:val="20"/>
                <w:color w:val="auto"/>
              </w:rPr>
            </w:pPr>
            <w:r>
              <w:rPr>
                <w:rFonts w:ascii="Arial" w:cs="Arial" w:eastAsia="Arial" w:hAnsi="Arial"/>
                <w:sz w:val="18"/>
                <w:szCs w:val="18"/>
                <w:color w:val="auto"/>
              </w:rPr>
              <w:t>Repurchase of ordinary shares</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(140,030)</w:t>
            </w:r>
          </w:p>
        </w:tc>
        <w:tc>
          <w:tcPr>
            <w:tcW w:w="26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repurchase costs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Receipt of government grant</w:t>
            </w:r>
          </w:p>
        </w:tc>
        <w:tc>
          <w:tcPr>
            <w:tcW w:w="1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225</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(116,404)</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28,799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1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2,821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(63,619)</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68,472</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182,519</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114,047</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118,900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182,519</w:t>
            </w: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114,047</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080" w:type="dxa"/>
            <w:vAlign w:val="bottom"/>
          </w:tcPr>
          <w:p>
            <w:pPr>
              <w:spacing w:after="0"/>
              <w:rPr>
                <w:sz w:val="24"/>
                <w:szCs w:val="24"/>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82</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ICON plc and its subsidiaries (“the Company” or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in drug development by delivering best in class information, solutions and performance in clinical and outcomes research.</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2014 we had approximately 10,600 employees, in 81 locations in 38 countries. During the year ended December 31, 2014, we derived approximately 40.3%, 48.8% and 10.9% of our net revenue in the United States, Europe and Rest of World, respectively.</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011- 353-1- 291-2000.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206" w:lineRule="exact"/>
        <w:rPr>
          <w:sz w:val="20"/>
          <w:szCs w:val="20"/>
          <w:color w:val="auto"/>
        </w:rPr>
      </w:pPr>
    </w:p>
    <w:p>
      <w:pPr>
        <w:ind w:left="700" w:hanging="69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15" w:lineRule="exact"/>
        <w:rPr>
          <w:sz w:val="20"/>
          <w:szCs w:val="20"/>
          <w:color w:val="auto"/>
        </w:rPr>
      </w:pPr>
    </w:p>
    <w:p>
      <w:pPr>
        <w:ind w:left="700" w:hanging="69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principle management estimates and judgements used in preparing the financial statements relate to revenue recognition, taxation, goodwill and business combinations.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85" w:name="page86"/>
    <w:bookmarkEnd w:id="85"/>
    <w:p>
      <w:pPr>
        <w:ind w:left="700" w:hanging="69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primarily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Contracts range in duration from a number of months to several years. Revenue for services, as rendered, is recognized only after persuasive evidence of an arrangement exists, the sales price is fixed or determinable and collectability is reasonably assured.</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Biometrics revenue is recognized on a fee-for-service method as each unit of data is prepared on the basis of the number of units completed in a period as a percentage of the total number of contracted units. Imaging revenue is recognized on a fee-for-service basis recognizing revenue for each image completed. Consulting revenue is recognized on a fee-for-service basis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recognized as revenue by revision to the total contract value arising as a result of an authorised customer change order.</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difference between the amount of revenue recognized and the amount billed on a particular contract is included in the balance sheet as unbilled revenue or payments on account. Normally, amounts become billable upon the achievement of certain milestones, for example, target patient enrollment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6" w:name="page87"/>
    <w:bookmarkEnd w:id="86"/>
    <w:p>
      <w:pPr>
        <w:spacing w:after="0" w:line="266" w:lineRule="auto"/>
        <w:rPr>
          <w:sz w:val="20"/>
          <w:szCs w:val="20"/>
          <w:color w:val="auto"/>
        </w:rPr>
      </w:pPr>
      <w:r>
        <w:rPr>
          <w:rFonts w:ascii="Arial" w:cs="Arial" w:eastAsia="Arial" w:hAnsi="Arial"/>
          <w:sz w:val="18"/>
          <w:szCs w:val="18"/>
          <w:color w:val="auto"/>
        </w:rPr>
        <w:t>In the event of contract termination, if the value of work performed and recognized as revenue is greater than aggregate milestone billings at the date of termination, cancellation clauses usually ensure that the Company is paid for all work performed to the termination date.</w:t>
      </w:r>
    </w:p>
    <w:p>
      <w:pPr>
        <w:spacing w:after="0" w:line="206" w:lineRule="exact"/>
        <w:rPr>
          <w:sz w:val="20"/>
          <w:szCs w:val="20"/>
          <w:color w:val="auto"/>
        </w:rPr>
      </w:pPr>
    </w:p>
    <w:p>
      <w:pPr>
        <w:ind w:left="700" w:hanging="69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Reimbursable expenses</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w:t>
      </w:r>
    </w:p>
    <w:p>
      <w:pPr>
        <w:spacing w:after="0" w:line="198" w:lineRule="exact"/>
        <w:rPr>
          <w:sz w:val="20"/>
          <w:szCs w:val="20"/>
          <w:color w:val="auto"/>
        </w:rPr>
      </w:pPr>
    </w:p>
    <w:p>
      <w:pPr>
        <w:ind w:left="700" w:hanging="69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206" w:lineRule="exact"/>
        <w:rPr>
          <w:sz w:val="20"/>
          <w:szCs w:val="20"/>
          <w:color w:val="auto"/>
        </w:rPr>
      </w:pPr>
    </w:p>
    <w:p>
      <w:pPr>
        <w:ind w:left="660" w:hanging="65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4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expense was $3,563,900, $5,195,120 and $3,679,000 for the years ended December 31, 2014, December 31, 2013 and December 31, 2012 respectively.</w:t>
      </w:r>
    </w:p>
    <w:p>
      <w:pPr>
        <w:spacing w:after="0" w:line="206" w:lineRule="exact"/>
        <w:rPr>
          <w:sz w:val="20"/>
          <w:szCs w:val="20"/>
          <w:color w:val="auto"/>
        </w:rPr>
      </w:pPr>
    </w:p>
    <w:p>
      <w:pPr>
        <w:ind w:left="700" w:hanging="69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Amounts credited or charged to the statement of operations for the years ended December 31, 2014, December 31, 2013 and December 31, 2012 were as follows:</w:t>
      </w:r>
    </w:p>
    <w:p>
      <w:pPr>
        <w:spacing w:after="0" w:line="182"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3"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December 31,</w:t>
      </w:r>
    </w:p>
    <w:p>
      <w:pPr>
        <w:spacing w:after="0" w:line="6"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ind w:left="8240"/>
        <w:spacing w:after="0"/>
        <w:tabs>
          <w:tab w:leader="none" w:pos="9600" w:val="left"/>
          <w:tab w:leader="none" w:pos="1094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7" w:lineRule="exact"/>
        <w:rPr>
          <w:sz w:val="20"/>
          <w:szCs w:val="20"/>
          <w:color w:val="auto"/>
        </w:rPr>
      </w:pPr>
    </w:p>
    <w:p>
      <w:pPr>
        <w:spacing w:after="0"/>
        <w:tabs>
          <w:tab w:leader="none" w:pos="7420" w:val="left"/>
          <w:tab w:leader="none" w:pos="8120" w:val="left"/>
          <w:tab w:leader="none" w:pos="8820" w:val="left"/>
          <w:tab w:leader="none" w:pos="9500" w:val="left"/>
          <w:tab w:leader="none" w:pos="10160" w:val="left"/>
          <w:tab w:leader="none" w:pos="10840" w:val="left"/>
        </w:tabs>
        <w:rPr>
          <w:sz w:val="20"/>
          <w:szCs w:val="20"/>
          <w:color w:val="auto"/>
        </w:rPr>
      </w:pPr>
      <w:r>
        <w:rPr>
          <w:rFonts w:ascii="Arial" w:cs="Arial" w:eastAsia="Arial" w:hAnsi="Arial"/>
          <w:sz w:val="18"/>
          <w:szCs w:val="18"/>
          <w:color w:val="auto"/>
        </w:rPr>
        <w:t>Amounts (credited)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(5,942)</w:t>
        <w:tab/>
        <w:t>$</w:t>
      </w:r>
      <w:r>
        <w:rPr>
          <w:sz w:val="20"/>
          <w:szCs w:val="20"/>
          <w:color w:val="auto"/>
        </w:rPr>
        <w:tab/>
      </w:r>
      <w:r>
        <w:rPr>
          <w:rFonts w:ascii="Arial" w:cs="Arial" w:eastAsia="Arial" w:hAnsi="Arial"/>
          <w:sz w:val="18"/>
          <w:szCs w:val="18"/>
          <w:color w:val="auto"/>
        </w:rPr>
        <w:t>(1,233)</w:t>
        <w:tab/>
        <w:t>$</w:t>
      </w:r>
      <w:r>
        <w:rPr>
          <w:sz w:val="20"/>
          <w:szCs w:val="20"/>
          <w:color w:val="auto"/>
        </w:rPr>
        <w:tab/>
      </w:r>
      <w:r>
        <w:rPr>
          <w:rFonts w:ascii="Arial" w:cs="Arial" w:eastAsia="Arial" w:hAnsi="Arial"/>
          <w:sz w:val="16"/>
          <w:szCs w:val="16"/>
          <w:color w:val="auto"/>
        </w:rPr>
        <w:t>(1,231)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8525" cy="168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8525" cy="168910"/>
                    </a:xfrm>
                    <a:prstGeom prst="rect">
                      <a:avLst/>
                    </a:prstGeom>
                    <a:noFill/>
                  </pic:spPr>
                </pic:pic>
              </a:graphicData>
            </a:graphic>
          </wp:anchor>
        </w:drawing>
      </w:r>
    </w:p>
    <w:p>
      <w:pPr>
        <w:spacing w:after="0" w:line="27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statement of operations. Translation gains and losses arising are reported as a movement on accumulated other comprehensive income.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7" w:name="page88"/>
    <w:bookmarkEnd w:id="87"/>
    <w:p>
      <w:pPr>
        <w:ind w:left="700" w:hanging="69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on account, accrued liabilities, accrued bonuses and income taxes payable have carrying amounts that approximate fair value due to the short term maturities of these instruments. Other liabilities’ carrying amounts approximate fair value based on net present value of estimated future cash flows.</w:t>
      </w:r>
    </w:p>
    <w:p>
      <w:pPr>
        <w:spacing w:after="0" w:line="217" w:lineRule="exact"/>
        <w:rPr>
          <w:sz w:val="20"/>
          <w:szCs w:val="20"/>
          <w:color w:val="auto"/>
        </w:rPr>
      </w:pPr>
    </w:p>
    <w:p>
      <w:pPr>
        <w:ind w:left="660" w:hanging="65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this contingent consideration.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w:t>
      </w:r>
    </w:p>
    <w:p>
      <w:pPr>
        <w:spacing w:after="0" w:line="220" w:lineRule="exact"/>
        <w:rPr>
          <w:sz w:val="20"/>
          <w:szCs w:val="20"/>
          <w:color w:val="auto"/>
        </w:rPr>
      </w:pPr>
    </w:p>
    <w:p>
      <w:pPr>
        <w:ind w:left="660" w:hanging="65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for the years ended December 31, 2014, December 31, 2013 and December 31, 2012.</w:t>
      </w:r>
    </w:p>
    <w:p>
      <w:pPr>
        <w:spacing w:after="0" w:line="211" w:lineRule="exact"/>
        <w:rPr>
          <w:sz w:val="20"/>
          <w:szCs w:val="20"/>
          <w:color w:val="auto"/>
        </w:rPr>
      </w:pPr>
    </w:p>
    <w:p>
      <w:pPr>
        <w:ind w:left="700" w:hanging="69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45" w:lineRule="exact"/>
        <w:rPr>
          <w:sz w:val="20"/>
          <w:szCs w:val="20"/>
          <w:color w:val="auto"/>
        </w:rPr>
      </w:pPr>
    </w:p>
    <w:p>
      <w:pPr>
        <w:ind w:left="660" w:hanging="65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8" w:name="page89"/>
    <w:bookmarkEnd w:id="88"/>
    <w:p>
      <w:pPr>
        <w:ind w:left="740" w:hanging="734"/>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Company classifies short-term investments as available for sale in accordance with the terms of FASB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Realized gains and losses are determined using specific identification. The investments are reported at fair value, with unrealized gains or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a separate component of shareholders’ equity. Any differences between the cost and fair value of the investments are represented by accrued interest.</w:t>
      </w:r>
    </w:p>
    <w:p>
      <w:pPr>
        <w:spacing w:after="0" w:line="180" w:lineRule="exact"/>
        <w:rPr>
          <w:sz w:val="20"/>
          <w:szCs w:val="20"/>
          <w:color w:val="auto"/>
        </w:rPr>
      </w:pPr>
    </w:p>
    <w:p>
      <w:pPr>
        <w:ind w:left="700" w:hanging="69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Inventory</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of inventories comprises the purchase price and attributable costs, less trade discounts. At December 31, 2014 the carrying value of inventory, included within prepayments and other current assets on the balance sheet, was $1.7 million (2013: $2.2 million).</w:t>
      </w:r>
    </w:p>
    <w:p>
      <w:pPr>
        <w:spacing w:after="0" w:line="215" w:lineRule="exact"/>
        <w:rPr>
          <w:sz w:val="20"/>
          <w:szCs w:val="20"/>
          <w:color w:val="auto"/>
        </w:rPr>
      </w:pPr>
    </w:p>
    <w:p>
      <w:pPr>
        <w:ind w:left="700" w:hanging="69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3900" w:type="dxa"/>
            <w:vAlign w:val="bottom"/>
            <w:gridSpan w:val="3"/>
          </w:tcPr>
          <w:p>
            <w:pPr>
              <w:ind w:left="2800"/>
              <w:spacing w:after="0"/>
              <w:rPr>
                <w:sz w:val="20"/>
                <w:szCs w:val="20"/>
                <w:color w:val="auto"/>
              </w:rPr>
            </w:pPr>
            <w:r>
              <w:rPr>
                <w:rFonts w:ascii="Arial" w:cs="Arial" w:eastAsia="Arial" w:hAnsi="Arial"/>
                <w:sz w:val="18"/>
                <w:szCs w:val="18"/>
                <w:color w:val="auto"/>
              </w:rPr>
              <w:t>Years</w:t>
            </w:r>
          </w:p>
        </w:tc>
      </w:tr>
      <w:tr>
        <w:trPr>
          <w:trHeight w:val="22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28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720" w:type="dxa"/>
            <w:vAlign w:val="bottom"/>
            <w:shd w:val="clear" w:color="auto" w:fill="CCEEFF"/>
          </w:tcPr>
          <w:p>
            <w:pPr>
              <w:spacing w:after="0"/>
              <w:rPr>
                <w:sz w:val="19"/>
                <w:szCs w:val="19"/>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180" w:type="dxa"/>
            <w:vAlign w:val="bottom"/>
            <w:gridSpan w:val="2"/>
          </w:tcPr>
          <w:p>
            <w:pPr>
              <w:jc w:val="center"/>
              <w:ind w:left="2711"/>
              <w:spacing w:after="0"/>
              <w:rPr>
                <w:sz w:val="20"/>
                <w:szCs w:val="20"/>
                <w:color w:val="auto"/>
              </w:rPr>
            </w:pPr>
            <w:r>
              <w:rPr>
                <w:rFonts w:ascii="Arial" w:cs="Arial" w:eastAsia="Arial" w:hAnsi="Arial"/>
                <w:sz w:val="18"/>
                <w:szCs w:val="18"/>
                <w:color w:val="auto"/>
                <w:w w:val="84"/>
              </w:rPr>
              <w:t>2-8</w:t>
            </w:r>
          </w:p>
        </w:tc>
        <w:tc>
          <w:tcPr>
            <w:tcW w:w="72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3180" w:type="dxa"/>
            <w:vAlign w:val="bottom"/>
            <w:gridSpan w:val="2"/>
            <w:shd w:val="clear" w:color="auto" w:fill="CCEEFF"/>
          </w:tcPr>
          <w:p>
            <w:pPr>
              <w:jc w:val="center"/>
              <w:ind w:left="2711"/>
              <w:spacing w:after="0"/>
              <w:rPr>
                <w:sz w:val="20"/>
                <w:szCs w:val="20"/>
                <w:color w:val="auto"/>
              </w:rPr>
            </w:pPr>
            <w:r>
              <w:rPr>
                <w:rFonts w:ascii="Arial" w:cs="Arial" w:eastAsia="Arial" w:hAnsi="Arial"/>
                <w:sz w:val="18"/>
                <w:szCs w:val="18"/>
                <w:color w:val="auto"/>
                <w:w w:val="99"/>
              </w:rPr>
              <w:t>8</w:t>
            </w:r>
          </w:p>
        </w:tc>
        <w:tc>
          <w:tcPr>
            <w:tcW w:w="720" w:type="dxa"/>
            <w:vAlign w:val="bottom"/>
            <w:shd w:val="clear" w:color="auto" w:fill="CCEEFF"/>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8"/>
                <w:szCs w:val="18"/>
                <w:color w:val="auto"/>
              </w:rPr>
              <w:t>Laboratory equipment</w:t>
            </w:r>
          </w:p>
        </w:tc>
        <w:tc>
          <w:tcPr>
            <w:tcW w:w="3180" w:type="dxa"/>
            <w:vAlign w:val="bottom"/>
            <w:gridSpan w:val="2"/>
          </w:tcPr>
          <w:p>
            <w:pPr>
              <w:jc w:val="center"/>
              <w:ind w:left="2711"/>
              <w:spacing w:after="0"/>
              <w:rPr>
                <w:sz w:val="20"/>
                <w:szCs w:val="20"/>
                <w:color w:val="auto"/>
              </w:rPr>
            </w:pPr>
            <w:r>
              <w:rPr>
                <w:rFonts w:ascii="Arial" w:cs="Arial" w:eastAsia="Arial" w:hAnsi="Arial"/>
                <w:sz w:val="18"/>
                <w:szCs w:val="18"/>
                <w:color w:val="auto"/>
                <w:w w:val="99"/>
              </w:rPr>
              <w:t>5</w:t>
            </w:r>
          </w:p>
        </w:tc>
        <w:tc>
          <w:tcPr>
            <w:tcW w:w="72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3180" w:type="dxa"/>
            <w:vAlign w:val="bottom"/>
            <w:gridSpan w:val="2"/>
            <w:shd w:val="clear" w:color="auto" w:fill="CCEEFF"/>
          </w:tcPr>
          <w:p>
            <w:pPr>
              <w:jc w:val="center"/>
              <w:ind w:left="2711"/>
              <w:spacing w:after="0"/>
              <w:rPr>
                <w:sz w:val="20"/>
                <w:szCs w:val="20"/>
                <w:color w:val="auto"/>
              </w:rPr>
            </w:pPr>
            <w:r>
              <w:rPr>
                <w:rFonts w:ascii="Arial" w:cs="Arial" w:eastAsia="Arial" w:hAnsi="Arial"/>
                <w:sz w:val="18"/>
                <w:szCs w:val="18"/>
                <w:color w:val="auto"/>
                <w:w w:val="99"/>
              </w:rPr>
              <w:t>5</w:t>
            </w:r>
          </w:p>
        </w:tc>
        <w:tc>
          <w:tcPr>
            <w:tcW w:w="72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56" w:lineRule="exact"/>
        <w:rPr>
          <w:sz w:val="20"/>
          <w:szCs w:val="20"/>
          <w:color w:val="auto"/>
        </w:rPr>
      </w:pPr>
    </w:p>
    <w:p>
      <w:pPr>
        <w:ind w:left="700" w:hanging="694"/>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15" w:lineRule="exact"/>
        <w:rPr>
          <w:sz w:val="20"/>
          <w:szCs w:val="20"/>
          <w:color w:val="auto"/>
        </w:rPr>
      </w:pPr>
    </w:p>
    <w:p>
      <w:pPr>
        <w:ind w:left="700" w:hanging="69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of tax benefit that is greater than 50 percent likely of being realized upon settlement.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9" w:name="page90"/>
    <w:bookmarkEnd w:id="89"/>
    <w:p>
      <w:pPr>
        <w:ind w:left="680" w:hanging="67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Government grants received relating to capital expenditures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98" w:lineRule="exact"/>
        <w:rPr>
          <w:sz w:val="20"/>
          <w:szCs w:val="20"/>
          <w:color w:val="auto"/>
        </w:rPr>
      </w:pPr>
    </w:p>
    <w:p>
      <w:pPr>
        <w:ind w:left="680" w:hanging="67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Research and development credits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188" w:lineRule="exact"/>
        <w:rPr>
          <w:sz w:val="20"/>
          <w:szCs w:val="20"/>
          <w:color w:val="auto"/>
        </w:rPr>
      </w:pPr>
    </w:p>
    <w:p>
      <w:pPr>
        <w:ind w:left="660" w:hanging="65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operates, through a subsidiary, a defined benefit plan for certain of its United Kingdom employees. The Company accounts for the costs of this plan using actuarial models required by FASB ASC 715-30 and the plan is presented in accordance with the requirements of FASB ASC 715-60 </w:t>
      </w:r>
      <w:r>
        <w:rPr>
          <w:rFonts w:ascii="Arial" w:cs="Arial" w:eastAsia="Arial" w:hAnsi="Arial"/>
          <w:sz w:val="18"/>
          <w:szCs w:val="18"/>
          <w:i w:val="1"/>
          <w:iCs w:val="1"/>
          <w:color w:val="auto"/>
        </w:rPr>
        <w:t>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 – Other Post retirement</w:t>
      </w:r>
      <w:r>
        <w:rPr>
          <w:rFonts w:ascii="Arial" w:cs="Arial" w:eastAsia="Arial" w:hAnsi="Arial"/>
          <w:sz w:val="18"/>
          <w:szCs w:val="18"/>
          <w:color w:val="auto"/>
        </w:rPr>
        <w:t>.</w:t>
      </w:r>
    </w:p>
    <w:p>
      <w:pPr>
        <w:spacing w:after="0" w:line="215" w:lineRule="exact"/>
        <w:rPr>
          <w:sz w:val="20"/>
          <w:szCs w:val="20"/>
          <w:color w:val="auto"/>
        </w:rPr>
      </w:pPr>
    </w:p>
    <w:p>
      <w:pPr>
        <w:ind w:left="700" w:hanging="694"/>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18"/>
                <w:szCs w:val="18"/>
                <w:color w:val="auto"/>
              </w:rPr>
            </w:pPr>
          </w:p>
        </w:tc>
      </w:tr>
      <w:tr>
        <w:trPr>
          <w:trHeight w:val="230"/>
        </w:trPr>
        <w:tc>
          <w:tcPr>
            <w:tcW w:w="7400" w:type="dxa"/>
            <w:vAlign w:val="bottom"/>
          </w:tcPr>
          <w:p>
            <w:pPr>
              <w:spacing w:after="0"/>
              <w:rPr>
                <w:sz w:val="20"/>
                <w:szCs w:val="20"/>
                <w:color w:val="auto"/>
              </w:rPr>
            </w:pPr>
          </w:p>
        </w:tc>
        <w:tc>
          <w:tcPr>
            <w:tcW w:w="1480" w:type="dxa"/>
            <w:vAlign w:val="bottom"/>
          </w:tcPr>
          <w:p>
            <w:pPr>
              <w:jc w:val="right"/>
              <w:ind w:right="191"/>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371"/>
              <w:spacing w:after="0"/>
              <w:rPr>
                <w:sz w:val="20"/>
                <w:szCs w:val="20"/>
                <w:color w:val="auto"/>
              </w:rPr>
            </w:pPr>
            <w:r>
              <w:rPr>
                <w:rFonts w:ascii="Arial" w:cs="Arial" w:eastAsia="Arial" w:hAnsi="Arial"/>
                <w:sz w:val="18"/>
                <w:szCs w:val="18"/>
                <w:b w:val="1"/>
                <w:bCs w:val="1"/>
                <w:color w:val="auto"/>
              </w:rPr>
              <w:t>2013</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ordinary shares outstanding for basic net income per ordinary share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61,496,115</w:t>
            </w:r>
          </w:p>
        </w:tc>
        <w:tc>
          <w:tcPr>
            <w:tcW w:w="1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60,907,274</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59,968,174</w:t>
            </w:r>
          </w:p>
        </w:tc>
      </w:tr>
      <w:tr>
        <w:trPr>
          <w:trHeight w:val="219"/>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1,635,302</w:t>
            </w:r>
          </w:p>
        </w:tc>
        <w:tc>
          <w:tcPr>
            <w:tcW w:w="1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1,345,977</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482,532</w:t>
            </w:r>
          </w:p>
        </w:tc>
      </w:tr>
      <w:tr>
        <w:trPr>
          <w:trHeight w:val="253"/>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Weighted average number of ordinary shares outstanding for diluted net income per ordinary share</w:t>
            </w:r>
          </w:p>
        </w:tc>
        <w:tc>
          <w:tcPr>
            <w:tcW w:w="14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63,131,417</w:t>
            </w:r>
          </w:p>
        </w:tc>
        <w:tc>
          <w:tcPr>
            <w:tcW w:w="1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62,253,251</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60,450,706</w:t>
            </w:r>
          </w:p>
        </w:tc>
      </w:tr>
      <w:tr>
        <w:trPr>
          <w:trHeight w:val="590"/>
        </w:trPr>
        <w:tc>
          <w:tcPr>
            <w:tcW w:w="7400" w:type="dxa"/>
            <w:vAlign w:val="bottom"/>
          </w:tcPr>
          <w:p>
            <w:pPr>
              <w:jc w:val="right"/>
              <w:ind w:right="1511"/>
              <w:spacing w:after="0"/>
              <w:rPr>
                <w:sz w:val="20"/>
                <w:szCs w:val="20"/>
                <w:color w:val="auto"/>
              </w:rPr>
            </w:pPr>
            <w:r>
              <w:rPr>
                <w:rFonts w:ascii="Arial" w:cs="Arial" w:eastAsia="Arial" w:hAnsi="Arial"/>
                <w:sz w:val="18"/>
                <w:szCs w:val="18"/>
                <w:color w:val="auto"/>
              </w:rPr>
              <w:t>88</w:t>
            </w: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7"/>
        </w:trPr>
        <w:tc>
          <w:tcPr>
            <w:tcW w:w="74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0" w:name="page91"/>
    <w:bookmarkEnd w:id="90"/>
    <w:p>
      <w:pPr>
        <w:ind w:left="700" w:hanging="69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Company accounts for its share options , restricted share units (“RSU’s”) and performance share units (“PSU’s”) in accordance with the provisions of FASB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15" w:lineRule="exact"/>
        <w:rPr>
          <w:sz w:val="20"/>
          <w:szCs w:val="20"/>
          <w:color w:val="auto"/>
        </w:rPr>
      </w:pPr>
    </w:p>
    <w:p>
      <w:pPr>
        <w:ind w:left="740" w:hanging="73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of the asset or fair value less selling costs.</w:t>
      </w:r>
    </w:p>
    <w:p>
      <w:pPr>
        <w:spacing w:after="0" w:line="220" w:lineRule="exact"/>
        <w:rPr>
          <w:sz w:val="20"/>
          <w:szCs w:val="20"/>
          <w:color w:val="auto"/>
        </w:rPr>
      </w:pPr>
    </w:p>
    <w:p>
      <w:pPr>
        <w:ind w:left="740" w:hanging="689"/>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3. Short term investments - available for sale</w:t>
            </w:r>
          </w:p>
        </w:tc>
        <w:tc>
          <w:tcPr>
            <w:tcW w:w="2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5"/>
        </w:trPr>
        <w:tc>
          <w:tcPr>
            <w:tcW w:w="5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w w:val="97"/>
              </w:rPr>
              <w:t>December 31,</w:t>
            </w:r>
          </w:p>
        </w:tc>
      </w:tr>
      <w:tr>
        <w:trPr>
          <w:trHeight w:val="213"/>
        </w:trPr>
        <w:tc>
          <w:tcPr>
            <w:tcW w:w="5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5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40" w:type="dxa"/>
            <w:vAlign w:val="bottom"/>
            <w:gridSpan w:val="3"/>
          </w:tcPr>
          <w:p>
            <w:pPr>
              <w:jc w:val="right"/>
              <w:ind w:right="95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5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At start of year</w:t>
            </w:r>
          </w:p>
        </w:tc>
        <w:tc>
          <w:tcPr>
            <w:tcW w:w="2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138,317</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76,183</w:t>
            </w: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Additions</w:t>
            </w:r>
          </w:p>
        </w:tc>
        <w:tc>
          <w:tcPr>
            <w:tcW w:w="272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61,328</w:t>
            </w:r>
          </w:p>
        </w:tc>
        <w:tc>
          <w:tcPr>
            <w:tcW w:w="28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172,168</w:t>
            </w: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7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(102,565)</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(109,795)</w:t>
            </w:r>
          </w:p>
        </w:tc>
      </w:tr>
      <w:tr>
        <w:trPr>
          <w:trHeight w:val="219"/>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gain/(loss) - investments</w:t>
            </w:r>
          </w:p>
        </w:tc>
        <w:tc>
          <w:tcPr>
            <w:tcW w:w="2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13"/>
        </w:trPr>
        <w:tc>
          <w:tcPr>
            <w:tcW w:w="58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year</w:t>
            </w:r>
          </w:p>
        </w:tc>
        <w:tc>
          <w:tcPr>
            <w:tcW w:w="2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97,100</w:t>
            </w:r>
          </w:p>
        </w:tc>
        <w:tc>
          <w:tcPr>
            <w:tcW w:w="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138,317</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classifies its short term investments as available for sale. Short term investments comprise highly liquid investments with maturities of greater than three months and minimum “A-” rated fixed and floating rate securities. Short term investments at December 31, 2014 have an average maturity of 1.7 years compared to 1.6 years at December 31, 2013. The investments are reported at fair value with unrealized gains or losses reported in a separate component of shareholders’ equity. Any differences between the cost and fair value of investments are represented by accrued interest. The fair value of short term investments are represented by level 1 fair value measurements – quoted prices in active markets for identical assets.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b w:val="1"/>
                <w:bCs w:val="1"/>
                <w:color w:val="auto"/>
              </w:rPr>
              <w:t>4. Goodwill</w:t>
            </w:r>
          </w:p>
        </w:tc>
        <w:tc>
          <w:tcPr>
            <w:tcW w:w="3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5"/>
        </w:trPr>
        <w:tc>
          <w:tcPr>
            <w:tcW w:w="5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w w:val="97"/>
              </w:rPr>
              <w:t>December 31,</w:t>
            </w:r>
          </w:p>
        </w:tc>
      </w:tr>
      <w:tr>
        <w:trPr>
          <w:trHeight w:val="213"/>
        </w:trPr>
        <w:tc>
          <w:tcPr>
            <w:tcW w:w="52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5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40" w:type="dxa"/>
            <w:vAlign w:val="bottom"/>
            <w:gridSpan w:val="3"/>
          </w:tcPr>
          <w:p>
            <w:pPr>
              <w:jc w:val="right"/>
              <w:ind w:right="95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33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357,523</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315,441</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Current year acquisitions</w:t>
            </w:r>
          </w:p>
        </w:tc>
        <w:tc>
          <w:tcPr>
            <w:tcW w:w="3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121,209</w:t>
            </w:r>
          </w:p>
        </w:tc>
        <w:tc>
          <w:tcPr>
            <w:tcW w:w="28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36,922</w:t>
            </w:r>
          </w:p>
        </w:tc>
      </w:tr>
      <w:tr>
        <w:trPr>
          <w:trHeight w:val="219"/>
        </w:trPr>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5,160</w:t>
            </w:r>
          </w:p>
        </w:tc>
      </w:tr>
      <w:tr>
        <w:trPr>
          <w:trHeight w:val="213"/>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goodwill</w:t>
            </w:r>
          </w:p>
        </w:tc>
        <w:tc>
          <w:tcPr>
            <w:tcW w:w="3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463,324</w:t>
            </w:r>
          </w:p>
        </w:tc>
        <w:tc>
          <w:tcPr>
            <w:tcW w:w="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357,523</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The Company has made a number of strategic acquisitions since its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acquired workforce in place which does not qualify for recognition as an asset apart from goodwill.</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tests goodwill annually for impairment or whenever events occur which may indicate impairment. The results of the Company’s goodwill impairment testing during the year ended December 31, 2014 provided no evidence of impairment and indicated the existence of sufficient headroom such that a reasonably possible change to the key assumptions used would be unlikely to result in an impairment of the related goodwill.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Acquisitions of Aptiv Solutions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May 7,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Aptiv offers full-service clinical trial consulting and regulatory support for drugs, medical devices and diagnostics with a specific focus on strategies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acquisition of Aptiv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preliminary estimated fair values of the assets acquired and the liabilities assumed: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May 7</w:t>
            </w:r>
          </w:p>
        </w:tc>
      </w:tr>
      <w:tr>
        <w:trPr>
          <w:trHeight w:val="213"/>
        </w:trPr>
        <w:tc>
          <w:tcPr>
            <w:tcW w:w="4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4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Goodwill*</w:t>
            </w:r>
          </w:p>
        </w:tc>
        <w:tc>
          <w:tcPr>
            <w:tcW w:w="57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121,209</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5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30,037</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7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3,527</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25,091</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Unbilled revenue</w:t>
            </w:r>
          </w:p>
        </w:tc>
        <w:tc>
          <w:tcPr>
            <w:tcW w:w="57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21,154</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5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5,254</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Non-current assets</w:t>
            </w:r>
          </w:p>
        </w:tc>
        <w:tc>
          <w:tcPr>
            <w:tcW w:w="57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2,911</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Other liabilities</w:t>
            </w:r>
          </w:p>
        </w:tc>
        <w:tc>
          <w:tcPr>
            <w:tcW w:w="57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(29,903)</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5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w:t>
            </w:r>
          </w:p>
        </w:tc>
      </w:tr>
      <w:tr>
        <w:trPr>
          <w:trHeight w:val="219"/>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5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(24,444)</w:t>
            </w:r>
          </w:p>
        </w:tc>
      </w:tr>
      <w:tr>
        <w:trPr>
          <w:trHeight w:val="213"/>
        </w:trPr>
        <w:tc>
          <w:tcPr>
            <w:tcW w:w="4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3"/>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7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121,101</w:t>
            </w:r>
          </w:p>
        </w:tc>
      </w:tr>
      <w:tr>
        <w:trPr>
          <w:trHeight w:val="590"/>
        </w:trPr>
        <w:tc>
          <w:tcPr>
            <w:tcW w:w="4260" w:type="dxa"/>
            <w:vAlign w:val="bottom"/>
          </w:tcPr>
          <w:p>
            <w:pPr>
              <w:spacing w:after="0"/>
              <w:rPr>
                <w:sz w:val="24"/>
                <w:szCs w:val="24"/>
                <w:color w:val="auto"/>
              </w:rPr>
            </w:pPr>
          </w:p>
        </w:tc>
        <w:tc>
          <w:tcPr>
            <w:tcW w:w="5760" w:type="dxa"/>
            <w:vAlign w:val="bottom"/>
          </w:tcPr>
          <w:p>
            <w:pPr>
              <w:jc w:val="right"/>
              <w:ind w:right="4131"/>
              <w:spacing w:after="0"/>
              <w:rPr>
                <w:sz w:val="20"/>
                <w:szCs w:val="20"/>
                <w:color w:val="auto"/>
              </w:rPr>
            </w:pPr>
            <w:r>
              <w:rPr>
                <w:rFonts w:ascii="Arial" w:cs="Arial" w:eastAsia="Arial" w:hAnsi="Arial"/>
                <w:sz w:val="18"/>
                <w:szCs w:val="18"/>
                <w:color w:val="auto"/>
              </w:rPr>
              <w:t>90</w:t>
            </w:r>
          </w:p>
        </w:tc>
        <w:tc>
          <w:tcPr>
            <w:tcW w:w="1400" w:type="dxa"/>
            <w:vAlign w:val="bottom"/>
          </w:tcPr>
          <w:p>
            <w:pPr>
              <w:spacing w:after="0"/>
              <w:rPr>
                <w:sz w:val="24"/>
                <w:szCs w:val="24"/>
                <w:color w:val="auto"/>
              </w:rPr>
            </w:pPr>
          </w:p>
        </w:tc>
      </w:tr>
      <w:tr>
        <w:trPr>
          <w:trHeight w:val="117"/>
        </w:trPr>
        <w:tc>
          <w:tcPr>
            <w:tcW w:w="4260" w:type="dxa"/>
            <w:vAlign w:val="bottom"/>
            <w:tcBorders>
              <w:bottom w:val="single" w:sz="8" w:color="808080"/>
            </w:tcBorders>
          </w:tcPr>
          <w:p>
            <w:pPr>
              <w:spacing w:after="0"/>
              <w:rPr>
                <w:sz w:val="10"/>
                <w:szCs w:val="10"/>
                <w:color w:val="auto"/>
              </w:rPr>
            </w:pPr>
          </w:p>
        </w:tc>
        <w:tc>
          <w:tcPr>
            <w:tcW w:w="57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9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143,500</w:t>
            </w:r>
          </w:p>
        </w:tc>
      </w:tr>
      <w:tr>
        <w:trPr>
          <w:trHeight w:val="219"/>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 to cash consideration*****</w:t>
            </w:r>
          </w:p>
        </w:tc>
        <w:tc>
          <w:tcPr>
            <w:tcW w:w="3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(22,399)</w:t>
            </w:r>
          </w:p>
        </w:tc>
      </w:tr>
      <w:tr>
        <w:trPr>
          <w:trHeight w:val="253"/>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9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121,101</w:t>
            </w:r>
          </w:p>
        </w:tc>
      </w:tr>
    </w:tbl>
    <w:p>
      <w:pPr>
        <w:spacing w:after="0" w:line="227" w:lineRule="exact"/>
        <w:rPr>
          <w:sz w:val="20"/>
          <w:szCs w:val="20"/>
          <w:color w:val="auto"/>
        </w:rPr>
      </w:pPr>
    </w:p>
    <w:p>
      <w:pPr>
        <w:jc w:val="both"/>
        <w:ind w:firstLine="6"/>
        <w:spacing w:after="0" w:line="250" w:lineRule="auto"/>
        <w:tabs>
          <w:tab w:leader="none" w:pos="1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spacing w:after="0" w:line="2" w:lineRule="exact"/>
        <w:rPr>
          <w:rFonts w:ascii="Arial" w:cs="Arial" w:eastAsia="Arial" w:hAnsi="Arial"/>
          <w:sz w:val="18"/>
          <w:szCs w:val="18"/>
          <w:color w:val="auto"/>
        </w:rPr>
      </w:pPr>
    </w:p>
    <w:p>
      <w:pPr>
        <w:spacing w:after="0" w:line="246" w:lineRule="auto"/>
        <w:rPr>
          <w:rFonts w:ascii="Arial" w:cs="Arial" w:eastAsia="Arial" w:hAnsi="Arial"/>
          <w:sz w:val="18"/>
          <w:szCs w:val="18"/>
          <w:color w:val="auto"/>
        </w:rPr>
      </w:pPr>
      <w:r>
        <w:rPr>
          <w:rFonts w:ascii="Arial" w:cs="Arial" w:eastAsia="Arial" w:hAnsi="Arial"/>
          <w:sz w:val="18"/>
          <w:szCs w:val="18"/>
          <w:color w:val="auto"/>
        </w:rPr>
        <w:t>** The Company have assumed a 20% valuation of Intangible asset. This is currently under review and will be finalized within the 12 month period from the date of acquisition.</w:t>
      </w:r>
    </w:p>
    <w:p>
      <w:pPr>
        <w:spacing w:after="0" w:line="246" w:lineRule="auto"/>
        <w:rPr>
          <w:rFonts w:ascii="Arial" w:cs="Arial" w:eastAsia="Arial" w:hAnsi="Arial"/>
          <w:sz w:val="18"/>
          <w:szCs w:val="18"/>
          <w:color w:val="auto"/>
        </w:rPr>
      </w:pPr>
      <w:r>
        <w:rPr>
          <w:rFonts w:ascii="Arial" w:cs="Arial" w:eastAsia="Arial" w:hAnsi="Arial"/>
          <w:sz w:val="18"/>
          <w:szCs w:val="18"/>
          <w:color w:val="auto"/>
        </w:rPr>
        <w:t>*** The Company has included a provisional assessment of uncertain tax benefits relating to certain historic net operating losses carryforwards. This is currently under review and will be finalized within the 12 month period from the date of acquisition.</w:t>
      </w:r>
    </w:p>
    <w:p>
      <w:pPr>
        <w:jc w:val="both"/>
        <w:spacing w:after="0" w:line="261" w:lineRule="auto"/>
        <w:rPr>
          <w:rFonts w:ascii="Arial" w:cs="Arial" w:eastAsia="Arial" w:hAnsi="Arial"/>
          <w:sz w:val="18"/>
          <w:szCs w:val="18"/>
          <w:color w:val="auto"/>
        </w:rPr>
      </w:pPr>
      <w:r>
        <w:rPr>
          <w:rFonts w:ascii="Arial" w:cs="Arial" w:eastAsia="Arial" w:hAnsi="Arial"/>
          <w:sz w:val="17"/>
          <w:szCs w:val="17"/>
          <w:color w:val="auto"/>
        </w:rPr>
        <w:t>****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An estimate of the liability at the date of acquisition is included within non-current other liabilities.</w:t>
      </w:r>
    </w:p>
    <w:p>
      <w:pPr>
        <w:spacing w:after="0"/>
        <w:rPr>
          <w:rFonts w:ascii="Arial" w:cs="Arial" w:eastAsia="Arial" w:hAnsi="Arial"/>
          <w:sz w:val="18"/>
          <w:szCs w:val="18"/>
          <w:color w:val="auto"/>
        </w:rPr>
      </w:pPr>
      <w:r>
        <w:rPr>
          <w:rFonts w:ascii="Arial" w:cs="Arial" w:eastAsia="Arial" w:hAnsi="Arial"/>
          <w:sz w:val="18"/>
          <w:szCs w:val="18"/>
          <w:color w:val="auto"/>
        </w:rPr>
        <w:t>***** Adjustments to cash consideration represent certain one-time liabilities identified at the acquisition date.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proforma effect of the Aptiv Solutions acquisition if completed on January 1, 2013 would have resulted in net revenue, net income and earnings per share for the fiscal years ended December 31, 2013 and December 31, 2014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gridSpan w:val="2"/>
          </w:tcPr>
          <w:p>
            <w:pPr>
              <w:jc w:val="center"/>
              <w:ind w:left="351"/>
              <w:spacing w:after="0"/>
              <w:rPr>
                <w:sz w:val="20"/>
                <w:szCs w:val="20"/>
                <w:color w:val="auto"/>
              </w:rPr>
            </w:pPr>
            <w:r>
              <w:rPr>
                <w:rFonts w:ascii="Arial" w:cs="Arial" w:eastAsia="Arial" w:hAnsi="Arial"/>
                <w:sz w:val="18"/>
                <w:szCs w:val="18"/>
                <w:b w:val="1"/>
                <w:bCs w:val="1"/>
                <w:color w:val="auto"/>
                <w:w w:val="90"/>
              </w:rPr>
              <w:t>Year Ended</w:t>
            </w:r>
          </w:p>
        </w:tc>
        <w:tc>
          <w:tcPr>
            <w:tcW w:w="860" w:type="dxa"/>
            <w:vAlign w:val="bottom"/>
          </w:tcPr>
          <w:p>
            <w:pPr>
              <w:spacing w:after="0"/>
              <w:rPr>
                <w:sz w:val="18"/>
                <w:szCs w:val="18"/>
                <w:color w:val="auto"/>
              </w:rPr>
            </w:pPr>
          </w:p>
        </w:tc>
      </w:t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gridSpan w:val="2"/>
          </w:tcPr>
          <w:p>
            <w:pPr>
              <w:jc w:val="center"/>
              <w:ind w:left="351"/>
              <w:spacing w:after="0"/>
              <w:rPr>
                <w:sz w:val="20"/>
                <w:szCs w:val="20"/>
                <w:color w:val="auto"/>
              </w:rPr>
            </w:pPr>
            <w:r>
              <w:rPr>
                <w:rFonts w:ascii="Arial" w:cs="Arial" w:eastAsia="Arial" w:hAnsi="Arial"/>
                <w:sz w:val="18"/>
                <w:szCs w:val="18"/>
                <w:b w:val="1"/>
                <w:bCs w:val="1"/>
                <w:color w:val="auto"/>
                <w:w w:val="87"/>
              </w:rPr>
              <w:t>December 31,</w:t>
            </w:r>
          </w:p>
        </w:tc>
        <w:tc>
          <w:tcPr>
            <w:tcW w:w="860" w:type="dxa"/>
            <w:vAlign w:val="bottom"/>
          </w:tcPr>
          <w:p>
            <w:pPr>
              <w:spacing w:after="0"/>
              <w:rPr>
                <w:sz w:val="18"/>
                <w:szCs w:val="18"/>
                <w:color w:val="auto"/>
              </w:rPr>
            </w:pPr>
          </w:p>
        </w:tc>
      </w:t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r>
      <w:tr>
        <w:trPr>
          <w:trHeight w:val="230"/>
        </w:trPr>
        <w:tc>
          <w:tcPr>
            <w:tcW w:w="4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20" w:type="dxa"/>
            <w:vAlign w:val="bottom"/>
            <w:gridSpan w:val="2"/>
          </w:tcPr>
          <w:p>
            <w:pPr>
              <w:jc w:val="center"/>
              <w:ind w:left="331"/>
              <w:spacing w:after="0"/>
              <w:rPr>
                <w:sz w:val="20"/>
                <w:szCs w:val="20"/>
                <w:color w:val="auto"/>
              </w:rPr>
            </w:pPr>
            <w:r>
              <w:rPr>
                <w:rFonts w:ascii="Arial" w:cs="Arial" w:eastAsia="Arial" w:hAnsi="Arial"/>
                <w:sz w:val="18"/>
                <w:szCs w:val="18"/>
                <w:b w:val="1"/>
                <w:bCs w:val="1"/>
                <w:color w:val="auto"/>
                <w:w w:val="87"/>
              </w:rPr>
              <w:t>(in thousands)</w:t>
            </w:r>
          </w:p>
        </w:tc>
        <w:tc>
          <w:tcPr>
            <w:tcW w:w="860" w:type="dxa"/>
            <w:vAlign w:val="bottom"/>
          </w:tcPr>
          <w:p>
            <w:pPr>
              <w:spacing w:after="0"/>
              <w:rPr>
                <w:sz w:val="20"/>
                <w:szCs w:val="20"/>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1,543,820</w:t>
            </w:r>
          </w:p>
        </w:tc>
        <w:tc>
          <w:tcPr>
            <w:tcW w:w="5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1,451,682</w:t>
            </w:r>
          </w:p>
        </w:tc>
      </w:tr>
      <w:tr>
        <w:trPr>
          <w:trHeight w:val="213"/>
        </w:trPr>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5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172,508</w:t>
            </w:r>
          </w:p>
        </w:tc>
        <w:tc>
          <w:tcPr>
            <w:tcW w:w="5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101,857</w:t>
            </w: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5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 of Clinical Trial Services Division of Cross Country Healthcare, Inc.</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15, 2013 the Company acquired the clinical trial services division of Cross Country Healthcare Inc. for an initial cash consideration of $51.9 million.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have been combined with ICON’s functional service provision (“FSP”) division, DOCS, creating a leader in global resourcing and FSP, while AKOS has enhanced the services offered by ICON’s medical and safety services team.</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the clinical trial services division of Cross Country Healthcare, Inc has been accounted for as a business combination in accordance with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following table summarizes the estimated fair values of the assets acquired and the liabilities assumed: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February 15</w:t>
            </w:r>
          </w:p>
        </w:tc>
      </w:tr>
      <w:tr>
        <w:trPr>
          <w:trHeight w:val="213"/>
        </w:trPr>
        <w:tc>
          <w:tcPr>
            <w:tcW w:w="6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13"/>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37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36,922</w:t>
            </w: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3,300</w:t>
            </w:r>
          </w:p>
        </w:tc>
      </w:tr>
      <w:tr>
        <w:trPr>
          <w:trHeight w:val="213"/>
        </w:trPr>
        <w:tc>
          <w:tcPr>
            <w:tcW w:w="630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7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r>
      <w:tr>
        <w:trPr>
          <w:trHeight w:val="213"/>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7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9,200</w:t>
            </w: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2,128</w:t>
            </w:r>
          </w:p>
        </w:tc>
      </w:tr>
      <w:tr>
        <w:trPr>
          <w:trHeight w:val="213"/>
        </w:trPr>
        <w:tc>
          <w:tcPr>
            <w:tcW w:w="63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7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13"/>
        </w:trPr>
        <w:tc>
          <w:tcPr>
            <w:tcW w:w="6300" w:type="dxa"/>
            <w:vAlign w:val="bottom"/>
          </w:tcPr>
          <w:p>
            <w:pPr>
              <w:spacing w:after="0"/>
              <w:rPr>
                <w:sz w:val="20"/>
                <w:szCs w:val="20"/>
                <w:color w:val="auto"/>
              </w:rPr>
            </w:pPr>
            <w:r>
              <w:rPr>
                <w:rFonts w:ascii="Arial" w:cs="Arial" w:eastAsia="Arial" w:hAnsi="Arial"/>
                <w:sz w:val="18"/>
                <w:szCs w:val="18"/>
                <w:color w:val="auto"/>
              </w:rPr>
              <w:t>Other liabilities</w:t>
            </w:r>
          </w:p>
        </w:tc>
        <w:tc>
          <w:tcPr>
            <w:tcW w:w="37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19"/>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7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6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3"/>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7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51,698</w:t>
            </w:r>
          </w:p>
        </w:tc>
      </w:tr>
      <w:tr>
        <w:trPr>
          <w:trHeight w:val="232"/>
        </w:trPr>
        <w:tc>
          <w:tcPr>
            <w:tcW w:w="6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51,897</w:t>
            </w:r>
          </w:p>
        </w:tc>
      </w:tr>
      <w:tr>
        <w:trPr>
          <w:trHeight w:val="219"/>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53"/>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7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51,698</w:t>
            </w:r>
          </w:p>
        </w:tc>
      </w:tr>
    </w:tbl>
    <w:p>
      <w:pPr>
        <w:spacing w:after="0" w:line="227" w:lineRule="exact"/>
        <w:rPr>
          <w:sz w:val="20"/>
          <w:szCs w:val="20"/>
          <w:color w:val="auto"/>
        </w:rPr>
      </w:pPr>
    </w:p>
    <w:p>
      <w:pPr>
        <w:ind w:firstLine="6"/>
        <w:spacing w:after="0" w:line="329" w:lineRule="auto"/>
        <w:tabs>
          <w:tab w:leader="none" w:pos="1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proforma effect of the clinical trial services division of Cross Country Healthcare, Inc acquisition if completed on January 1, 2012 would have resulted in net revenue, net income and earnings per share for the fiscal years ended December 31, 2012 and December 31, 2013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gridSpan w:val="2"/>
          </w:tcPr>
          <w:p>
            <w:pPr>
              <w:jc w:val="center"/>
              <w:ind w:left="351"/>
              <w:spacing w:after="0"/>
              <w:rPr>
                <w:sz w:val="20"/>
                <w:szCs w:val="20"/>
                <w:color w:val="auto"/>
              </w:rPr>
            </w:pPr>
            <w:r>
              <w:rPr>
                <w:rFonts w:ascii="Arial" w:cs="Arial" w:eastAsia="Arial" w:hAnsi="Arial"/>
                <w:sz w:val="18"/>
                <w:szCs w:val="18"/>
                <w:b w:val="1"/>
                <w:bCs w:val="1"/>
                <w:color w:val="auto"/>
                <w:w w:val="90"/>
              </w:rPr>
              <w:t>Year Ended</w:t>
            </w:r>
          </w:p>
        </w:tc>
        <w:tc>
          <w:tcPr>
            <w:tcW w:w="860" w:type="dxa"/>
            <w:vAlign w:val="bottom"/>
          </w:tcPr>
          <w:p>
            <w:pPr>
              <w:spacing w:after="0"/>
              <w:rPr>
                <w:sz w:val="18"/>
                <w:szCs w:val="18"/>
                <w:color w:val="auto"/>
              </w:rPr>
            </w:pPr>
          </w:p>
        </w:tc>
      </w:t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gridSpan w:val="2"/>
          </w:tcPr>
          <w:p>
            <w:pPr>
              <w:jc w:val="center"/>
              <w:ind w:left="351"/>
              <w:spacing w:after="0"/>
              <w:rPr>
                <w:sz w:val="20"/>
                <w:szCs w:val="20"/>
                <w:color w:val="auto"/>
              </w:rPr>
            </w:pPr>
            <w:r>
              <w:rPr>
                <w:rFonts w:ascii="Arial" w:cs="Arial" w:eastAsia="Arial" w:hAnsi="Arial"/>
                <w:sz w:val="18"/>
                <w:szCs w:val="18"/>
                <w:b w:val="1"/>
                <w:bCs w:val="1"/>
                <w:color w:val="auto"/>
                <w:w w:val="87"/>
              </w:rPr>
              <w:t>December 31,</w:t>
            </w:r>
          </w:p>
        </w:tc>
        <w:tc>
          <w:tcPr>
            <w:tcW w:w="860" w:type="dxa"/>
            <w:vAlign w:val="bottom"/>
          </w:tcPr>
          <w:p>
            <w:pPr>
              <w:spacing w:after="0"/>
              <w:rPr>
                <w:sz w:val="18"/>
                <w:szCs w:val="18"/>
                <w:color w:val="auto"/>
              </w:rPr>
            </w:pPr>
          </w:p>
        </w:tc>
      </w:t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r>
      <w:tr>
        <w:trPr>
          <w:trHeight w:val="230"/>
        </w:trPr>
        <w:tc>
          <w:tcPr>
            <w:tcW w:w="4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20" w:type="dxa"/>
            <w:vAlign w:val="bottom"/>
            <w:gridSpan w:val="2"/>
          </w:tcPr>
          <w:p>
            <w:pPr>
              <w:jc w:val="center"/>
              <w:ind w:left="331"/>
              <w:spacing w:after="0"/>
              <w:rPr>
                <w:sz w:val="20"/>
                <w:szCs w:val="20"/>
                <w:color w:val="auto"/>
              </w:rPr>
            </w:pPr>
            <w:r>
              <w:rPr>
                <w:rFonts w:ascii="Arial" w:cs="Arial" w:eastAsia="Arial" w:hAnsi="Arial"/>
                <w:sz w:val="18"/>
                <w:szCs w:val="18"/>
                <w:b w:val="1"/>
                <w:bCs w:val="1"/>
                <w:color w:val="auto"/>
                <w:w w:val="87"/>
              </w:rPr>
              <w:t>(in thousands)</w:t>
            </w:r>
          </w:p>
        </w:tc>
        <w:tc>
          <w:tcPr>
            <w:tcW w:w="860" w:type="dxa"/>
            <w:vAlign w:val="bottom"/>
          </w:tcPr>
          <w:p>
            <w:pPr>
              <w:spacing w:after="0"/>
              <w:rPr>
                <w:sz w:val="20"/>
                <w:szCs w:val="20"/>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1,343,996</w:t>
            </w:r>
          </w:p>
        </w:tc>
        <w:tc>
          <w:tcPr>
            <w:tcW w:w="5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1,182,734</w:t>
            </w:r>
          </w:p>
        </w:tc>
      </w:tr>
      <w:tr>
        <w:trPr>
          <w:trHeight w:val="213"/>
        </w:trPr>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5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103,133</w:t>
            </w:r>
          </w:p>
        </w:tc>
        <w:tc>
          <w:tcPr>
            <w:tcW w:w="5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58,944</w:t>
            </w: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1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5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Acquisition of PriceSpective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February 28,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December 31, 2012. On August 13, 2012 the Company paid $5.0 million in relation to performance milestones for the year ended December 31, 2011. On May 29, 2013 the Company paid $10.0 million in relation to the remaining performance milestones for the year ended December 31, 2012.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4"/>
        </w:trPr>
        <w:tc>
          <w:tcPr>
            <w:tcW w:w="9160" w:type="dxa"/>
            <w:vAlign w:val="bottom"/>
          </w:tcPr>
          <w:p>
            <w:pPr>
              <w:spacing w:after="0"/>
              <w:rPr>
                <w:sz w:val="20"/>
                <w:szCs w:val="20"/>
                <w:color w:val="auto"/>
              </w:rPr>
            </w:pPr>
            <w:r>
              <w:rPr>
                <w:rFonts w:ascii="Arial" w:cs="Arial" w:eastAsia="Arial" w:hAnsi="Arial"/>
                <w:sz w:val="18"/>
                <w:szCs w:val="18"/>
                <w:color w:val="auto"/>
                <w:w w:val="94"/>
              </w:rPr>
              <w:t>The following table summarizes the Company’s estimates of the fair values of assets acquired and the liabilities assumed:</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5"/>
        </w:trPr>
        <w:tc>
          <w:tcPr>
            <w:tcW w:w="9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February 28</w:t>
            </w:r>
          </w:p>
        </w:tc>
      </w:tr>
      <w:tr>
        <w:trPr>
          <w:trHeight w:val="213"/>
        </w:trPr>
        <w:tc>
          <w:tcPr>
            <w:tcW w:w="9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9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42,247</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10,237</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2,311</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Unbilled revenue</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1,140</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(7,788)</w:t>
            </w:r>
          </w:p>
        </w:tc>
      </w:tr>
      <w:tr>
        <w:trPr>
          <w:trHeight w:val="219"/>
        </w:trPr>
        <w:tc>
          <w:tcPr>
            <w:tcW w:w="9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3"/>
        </w:trPr>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37,098</w:t>
            </w:r>
          </w:p>
        </w:tc>
      </w:tr>
      <w:tr>
        <w:trPr>
          <w:trHeight w:val="20"/>
        </w:trPr>
        <w:tc>
          <w:tcPr>
            <w:tcW w:w="9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2"/>
        </w:trPr>
        <w:tc>
          <w:tcPr>
            <w:tcW w:w="9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37,199</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8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9"/>
        </w:trPr>
        <w:tc>
          <w:tcPr>
            <w:tcW w:w="9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Amount of total consideration</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52,098</w:t>
            </w:r>
          </w:p>
        </w:tc>
      </w:tr>
      <w:tr>
        <w:trPr>
          <w:trHeight w:val="219"/>
        </w:trPr>
        <w:tc>
          <w:tcPr>
            <w:tcW w:w="9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 included in preliminary purchase price allocation re contingent consideration</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3"/>
        </w:trPr>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purchase consideration</w:t>
            </w: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37,098</w:t>
            </w:r>
          </w:p>
        </w:tc>
      </w:tr>
      <w:tr>
        <w:trPr>
          <w:trHeight w:val="20"/>
        </w:trPr>
        <w:tc>
          <w:tcPr>
            <w:tcW w:w="9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220" w:firstLine="6"/>
        <w:spacing w:after="0" w:line="266" w:lineRule="auto"/>
        <w:tabs>
          <w:tab w:leader="none" w:pos="1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20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proforma effect of the PriceSpective acquisition if completed on January 1, 2011 would have resulted in net revenue, net income and earnings per share for the fiscal years ended December 31, 2011 and December 31, 2012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00" w:type="dxa"/>
            <w:vAlign w:val="bottom"/>
            <w:gridSpan w:val="2"/>
          </w:tcPr>
          <w:p>
            <w:pPr>
              <w:jc w:val="center"/>
              <w:ind w:left="271"/>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00" w:type="dxa"/>
            <w:vAlign w:val="bottom"/>
            <w:gridSpan w:val="2"/>
          </w:tcPr>
          <w:p>
            <w:pPr>
              <w:jc w:val="center"/>
              <w:ind w:left="271"/>
              <w:spacing w:after="0"/>
              <w:rPr>
                <w:sz w:val="20"/>
                <w:szCs w:val="20"/>
                <w:color w:val="auto"/>
              </w:rPr>
            </w:pPr>
            <w:r>
              <w:rPr>
                <w:rFonts w:ascii="Arial" w:cs="Arial" w:eastAsia="Arial" w:hAnsi="Arial"/>
                <w:sz w:val="18"/>
                <w:szCs w:val="18"/>
                <w:b w:val="1"/>
                <w:bCs w:val="1"/>
                <w:color w:val="auto"/>
                <w:w w:val="87"/>
              </w:rPr>
              <w:t>December 31,</w:t>
            </w:r>
          </w:p>
        </w:tc>
        <w:tc>
          <w:tcPr>
            <w:tcW w:w="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28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0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9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1,118,410</w:t>
            </w:r>
          </w:p>
        </w:tc>
        <w:tc>
          <w:tcPr>
            <w:tcW w:w="6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964,388</w:t>
            </w:r>
          </w:p>
        </w:tc>
        <w:tc>
          <w:tcPr>
            <w:tcW w:w="2280" w:type="dxa"/>
            <w:vAlign w:val="bottom"/>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2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55,931</w:t>
            </w:r>
          </w:p>
        </w:tc>
        <w:tc>
          <w:tcPr>
            <w:tcW w:w="66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25,363</w:t>
            </w:r>
          </w:p>
        </w:tc>
        <w:tc>
          <w:tcPr>
            <w:tcW w:w="228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9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6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80" w:type="dxa"/>
            <w:vAlign w:val="bottom"/>
          </w:tcPr>
          <w:p>
            <w:pPr>
              <w:spacing w:after="0"/>
              <w:rPr>
                <w:sz w:val="18"/>
                <w:szCs w:val="18"/>
                <w:color w:val="auto"/>
              </w:rPr>
            </w:pPr>
          </w:p>
        </w:tc>
      </w:tr>
      <w:tr>
        <w:trPr>
          <w:trHeight w:val="21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6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280" w:type="dxa"/>
            <w:vAlign w:val="bottom"/>
          </w:tcPr>
          <w:p>
            <w:pPr>
              <w:spacing w:after="0"/>
              <w:rPr>
                <w:sz w:val="18"/>
                <w:szCs w:val="18"/>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590"/>
        </w:trPr>
        <w:tc>
          <w:tcPr>
            <w:tcW w:w="3740" w:type="dxa"/>
            <w:vAlign w:val="bottom"/>
          </w:tcPr>
          <w:p>
            <w:pPr>
              <w:spacing w:after="0"/>
              <w:rPr>
                <w:sz w:val="24"/>
                <w:szCs w:val="24"/>
                <w:color w:val="auto"/>
              </w:rPr>
            </w:pPr>
          </w:p>
        </w:tc>
        <w:tc>
          <w:tcPr>
            <w:tcW w:w="2920" w:type="dxa"/>
            <w:vAlign w:val="bottom"/>
          </w:tcPr>
          <w:p>
            <w:pPr>
              <w:jc w:val="right"/>
              <w:ind w:right="771"/>
              <w:spacing w:after="0"/>
              <w:rPr>
                <w:sz w:val="20"/>
                <w:szCs w:val="20"/>
                <w:color w:val="auto"/>
              </w:rPr>
            </w:pPr>
            <w:r>
              <w:rPr>
                <w:rFonts w:ascii="Arial" w:cs="Arial" w:eastAsia="Arial" w:hAnsi="Arial"/>
                <w:sz w:val="18"/>
                <w:szCs w:val="18"/>
                <w:color w:val="auto"/>
              </w:rPr>
              <w:t>93</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7"/>
        </w:trPr>
        <w:tc>
          <w:tcPr>
            <w:tcW w:w="374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(d) Acquisition of BeijingWits Medical</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February 15,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Harmonization Good Clinical Practise (“ICH GCP”) in China. In addition to boosting the Company’s service capabilities in the region, BeijingWits Medical has strengthened the Company’s presence in China through the addition of over 100 highly qualified and experienced professionals in Beijing, Shanghai, Chengdu, Guangzhou, Wuhan and Hong Kong. Further consideration of up to $7.0 million may become payable if certain performance milestones were achieved in respect of periods up to December 31, 2013. On June 13, 2013 the Company paid $3.8 million in relation to the remaining performance milestones for the year ended December 31, 2012. On November 7, 2014 the Company paid $3.2 million in relation to the remaining performance milestones for the year ended December 31, 2013. No further amounts remain due.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60" w:type="dxa"/>
            <w:vAlign w:val="bottom"/>
          </w:tcPr>
          <w:p>
            <w:pPr>
              <w:spacing w:after="0"/>
              <w:rPr>
                <w:sz w:val="20"/>
                <w:szCs w:val="20"/>
                <w:color w:val="auto"/>
              </w:rPr>
            </w:pPr>
            <w:r>
              <w:rPr>
                <w:rFonts w:ascii="Arial" w:cs="Arial" w:eastAsia="Arial" w:hAnsi="Arial"/>
                <w:sz w:val="18"/>
                <w:szCs w:val="18"/>
                <w:color w:val="auto"/>
                <w:w w:val="94"/>
              </w:rPr>
              <w:t>The following table summarizes the Company’s estimates of the fair values of assets acquired and the liabilities assumed:</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5"/>
        </w:trPr>
        <w:tc>
          <w:tcPr>
            <w:tcW w:w="9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February 15</w:t>
            </w:r>
          </w:p>
        </w:tc>
      </w:tr>
      <w:tr>
        <w:trPr>
          <w:trHeight w:val="213"/>
        </w:trPr>
        <w:tc>
          <w:tcPr>
            <w:tcW w:w="9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9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13,512</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1,761</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587</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Unbilled revenue</w:t>
            </w:r>
          </w:p>
        </w:tc>
        <w:tc>
          <w:tcPr>
            <w:tcW w:w="86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176</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19"/>
        </w:trPr>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r>
      <w:tr>
        <w:trPr>
          <w:trHeight w:val="253"/>
        </w:trPr>
        <w:tc>
          <w:tcPr>
            <w:tcW w:w="9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32"/>
        </w:trPr>
        <w:tc>
          <w:tcPr>
            <w:tcW w:w="9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19"/>
        </w:trPr>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7,000</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16,000</w:t>
            </w:r>
          </w:p>
        </w:tc>
      </w:tr>
      <w:tr>
        <w:trPr>
          <w:trHeight w:val="219"/>
        </w:trPr>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Liabilities included in preliminary purchase price allocation re contingent consideration</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r>
      <w:tr>
        <w:trPr>
          <w:trHeight w:val="253"/>
        </w:trPr>
        <w:tc>
          <w:tcPr>
            <w:tcW w:w="9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bl>
    <w:p>
      <w:pPr>
        <w:ind w:right="340" w:firstLine="6"/>
        <w:spacing w:after="0" w:line="251" w:lineRule="auto"/>
        <w:tabs>
          <w:tab w:leader="none" w:pos="1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execution and regulatory processes in China and is not tax deductible.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6" w:name="page97"/>
    <w:bookmarkEnd w:id="96"/>
    <w:p>
      <w:pPr>
        <w:ind w:right="240"/>
        <w:spacing w:after="0" w:line="266" w:lineRule="auto"/>
        <w:rPr>
          <w:sz w:val="20"/>
          <w:szCs w:val="20"/>
          <w:color w:val="auto"/>
        </w:rPr>
      </w:pPr>
      <w:r>
        <w:rPr>
          <w:rFonts w:ascii="Arial" w:cs="Arial" w:eastAsia="Arial" w:hAnsi="Arial"/>
          <w:sz w:val="18"/>
          <w:szCs w:val="18"/>
          <w:color w:val="auto"/>
        </w:rPr>
        <w:t>The proforma effect of the BeijingWits acquisition if completed on January 1, 2011 would have resulted in net revenue, net income and earnings per share for the fiscal years ended December 31, 2011 and December 31, 2012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00" w:type="dxa"/>
            <w:vAlign w:val="bottom"/>
            <w:gridSpan w:val="2"/>
          </w:tcPr>
          <w:p>
            <w:pPr>
              <w:jc w:val="center"/>
              <w:ind w:left="271"/>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00" w:type="dxa"/>
            <w:vAlign w:val="bottom"/>
            <w:gridSpan w:val="2"/>
          </w:tcPr>
          <w:p>
            <w:pPr>
              <w:jc w:val="center"/>
              <w:ind w:left="271"/>
              <w:spacing w:after="0"/>
              <w:rPr>
                <w:sz w:val="20"/>
                <w:szCs w:val="20"/>
                <w:color w:val="auto"/>
              </w:rPr>
            </w:pPr>
            <w:r>
              <w:rPr>
                <w:rFonts w:ascii="Arial" w:cs="Arial" w:eastAsia="Arial" w:hAnsi="Arial"/>
                <w:sz w:val="18"/>
                <w:szCs w:val="18"/>
                <w:b w:val="1"/>
                <w:bCs w:val="1"/>
                <w:color w:val="auto"/>
                <w:w w:val="87"/>
              </w:rPr>
              <w:t>December 31,</w:t>
            </w:r>
          </w:p>
        </w:tc>
        <w:tc>
          <w:tcPr>
            <w:tcW w:w="780" w:type="dxa"/>
            <w:vAlign w:val="bottom"/>
          </w:tcPr>
          <w:p>
            <w:pPr>
              <w:spacing w:after="0"/>
              <w:rPr>
                <w:sz w:val="18"/>
                <w:szCs w:val="18"/>
                <w:color w:val="auto"/>
              </w:rPr>
            </w:pPr>
          </w:p>
        </w:tc>
      </w:tr>
      <w:tr>
        <w:trPr>
          <w:trHeight w:val="213"/>
        </w:trPr>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30"/>
        </w:trPr>
        <w:tc>
          <w:tcPr>
            <w:tcW w:w="4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70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Pr>
          <w:p>
            <w:pPr>
              <w:spacing w:after="0"/>
              <w:rPr>
                <w:sz w:val="20"/>
                <w:szCs w:val="20"/>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1,115,355</w:t>
            </w:r>
          </w:p>
        </w:tc>
        <w:tc>
          <w:tcPr>
            <w:tcW w:w="6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989,942</w:t>
            </w:r>
          </w:p>
        </w:tc>
      </w:tr>
      <w:tr>
        <w:trPr>
          <w:trHeight w:val="213"/>
        </w:trPr>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5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55,349</w:t>
            </w:r>
          </w:p>
        </w:tc>
        <w:tc>
          <w:tcPr>
            <w:tcW w:w="66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22,549</w:t>
            </w: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6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1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6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5. Intangible Assets</w:t>
            </w:r>
          </w:p>
        </w:tc>
        <w:tc>
          <w:tcPr>
            <w:tcW w:w="3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35"/>
        </w:trPr>
        <w:tc>
          <w:tcPr>
            <w:tcW w:w="5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24"/>
                <w:szCs w:val="24"/>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90"/>
              </w:rPr>
              <w:t>December 31,</w:t>
            </w:r>
          </w:p>
        </w:tc>
      </w:tr>
      <w:tr>
        <w:trPr>
          <w:trHeight w:val="213"/>
        </w:trPr>
        <w:tc>
          <w:tcPr>
            <w:tcW w:w="5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314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spacing w:after="0"/>
              <w:rPr>
                <w:sz w:val="20"/>
                <w:szCs w:val="20"/>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acquired</w:t>
            </w:r>
          </w:p>
        </w:tc>
        <w:tc>
          <w:tcPr>
            <w:tcW w:w="3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36,130</w:t>
            </w:r>
          </w:p>
        </w:tc>
        <w:tc>
          <w:tcPr>
            <w:tcW w:w="5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36,900</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Technology asset acquired</w:t>
            </w:r>
          </w:p>
        </w:tc>
        <w:tc>
          <w:tcPr>
            <w:tcW w:w="314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11,169</w:t>
            </w:r>
          </w:p>
        </w:tc>
        <w:tc>
          <w:tcPr>
            <w:tcW w:w="5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11,169</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3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3,171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3,171</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Tradenames acquired</w:t>
            </w:r>
          </w:p>
        </w:tc>
        <w:tc>
          <w:tcPr>
            <w:tcW w:w="314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1,357</w:t>
            </w:r>
          </w:p>
        </w:tc>
        <w:tc>
          <w:tcPr>
            <w:tcW w:w="5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Volunteer list acquired</w:t>
            </w:r>
          </w:p>
        </w:tc>
        <w:tc>
          <w:tcPr>
            <w:tcW w:w="3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1,325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Non-compete arrangements</w:t>
            </w:r>
          </w:p>
        </w:tc>
        <w:tc>
          <w:tcPr>
            <w:tcW w:w="314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489</w:t>
            </w:r>
          </w:p>
        </w:tc>
        <w:tc>
          <w:tcPr>
            <w:tcW w:w="5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489</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Aptiv intangible asset</w:t>
            </w:r>
          </w:p>
        </w:tc>
        <w:tc>
          <w:tcPr>
            <w:tcW w:w="3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30,037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(2,769)</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80,909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54,349</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14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(32,120)</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(22,550)</w:t>
            </w:r>
          </w:p>
        </w:tc>
      </w:tr>
      <w:tr>
        <w:trPr>
          <w:trHeight w:val="219"/>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930</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13"/>
        </w:trPr>
        <w:tc>
          <w:tcPr>
            <w:tcW w:w="5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3"/>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3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49,719</w:t>
            </w:r>
          </w:p>
        </w:tc>
        <w:tc>
          <w:tcPr>
            <w:tcW w:w="5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31,354</w:t>
            </w: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May 7, 2014 the Company acquired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The intangible asset split and estimated useful life is currently under review by the Company and will be finalized within 12 months from the date of acquisition. $3,313,000 has been amortized in the period since the date of acquisition.</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15, 2013 the Company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value of certain customer relationships and order backlog identified of $3.3 million and $0.6 million respectively are being amortized over approximately 3 years and 1 year, the estimated period of benefit. $2,663,000 has been amortized in the period since the date of acquisition.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28, 2012 the Company acquired PriceSpective, a strategy consulting company. The value of certain customer relationships identified of $10.2 million is being amortized over approximately 10 years, the estimated period of benefit. The value of order backlog and certain non-compete arrangements identified of $0.4 million and $0.4 million respectively are being amortized over approximately 0.8 and 3 years, the estimated period of benefit. $3,675,000 has been amortized in the period since the date of acquisition.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18"/>
          <w:szCs w:val="18"/>
          <w:color w:val="auto"/>
        </w:rPr>
        <w:t>On February 15, 2012 the Company acquired BeijingWits Medical, a Chinese CRO. The value of certain customer relationships and order backlog identified of $1.8 million and $0.4 million respectively are being amortized over approximately 10 and 4 years, the estimated period of benefit. The value of certain non-compete arrangements identified of $0.01 million are being amortized over approximately 5 years, the estimated period of benefit. $845,000 has been amortized in the period since the date of acquisition.</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14, 2011 the Company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tradename and order backlog identified of $1.4 million and $1.2 million respectively are being amortized over approximately 4.5 and 1.2 years, the estimated period of benefit. $9,152,000 has been amortized in the period since the date of acquisition.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14, 2011 the Company acquired Oxford Outcomes Limited, an international health outcomes consultancy business. The value of certain customer relationships and order backlog identified of $6.6 million and $0.6 million respectively are being amortized over approximately 6.5 and 2 years, the estimated period of benefit. $4,791,000 has been amortized in the period since the date of acquisition.</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14, 2008 the Company acquired Prevalere Life Sciences, a US provider of bioanalytical and immunoassay laboratory services. The value of certain customer relationships identified of $7.4 million is being amortized over periods ranging from approximately 7 to 11 years, the estimated period of the benefit. $4,977,000 has been amortized in the period since the date of acquisition.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11, 2008 the Company acquired Healthcare Discoveries, a US provider of Phase I clinical trial services. The value of certain client relationships identified of $1.6 million is being amortized over periods ranging from approximately 2 to 9 years, the estimated periods of benefit. The value of certain volunteer lists identified of $1.3 million is being amortized over approximately 6 years, the estimated period of benefit. $2,704,000 has been amortized in the period since the date of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Future intangible asset amortization expense for the years ended December 31, 2015 to December 31, 2019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Year ended</w:t>
            </w:r>
          </w:p>
        </w:tc>
      </w:tr>
      <w:tr>
        <w:trPr>
          <w:trHeight w:val="213"/>
        </w:trPr>
        <w:tc>
          <w:tcPr>
            <w:tcW w:w="30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30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3000" w:type="dxa"/>
            <w:vAlign w:val="bottom"/>
            <w:shd w:val="clear" w:color="auto" w:fill="CCEEFF"/>
          </w:tcPr>
          <w:p>
            <w:pPr>
              <w:jc w:val="right"/>
              <w:ind w:right="2551"/>
              <w:spacing w:after="0"/>
              <w:rPr>
                <w:sz w:val="20"/>
                <w:szCs w:val="20"/>
                <w:color w:val="auto"/>
              </w:rPr>
            </w:pPr>
            <w:r>
              <w:rPr>
                <w:rFonts w:ascii="Arial" w:cs="Arial" w:eastAsia="Arial" w:hAnsi="Arial"/>
                <w:sz w:val="18"/>
                <w:szCs w:val="18"/>
                <w:color w:val="auto"/>
                <w:w w:val="84"/>
              </w:rPr>
              <w:t>2015</w:t>
            </w:r>
          </w:p>
        </w:tc>
        <w:tc>
          <w:tcPr>
            <w:tcW w:w="7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6,506</w:t>
            </w:r>
          </w:p>
        </w:tc>
      </w:tr>
      <w:tr>
        <w:trPr>
          <w:trHeight w:val="213"/>
        </w:trPr>
        <w:tc>
          <w:tcPr>
            <w:tcW w:w="3000" w:type="dxa"/>
            <w:vAlign w:val="bottom"/>
          </w:tcPr>
          <w:p>
            <w:pPr>
              <w:jc w:val="right"/>
              <w:ind w:right="2551"/>
              <w:spacing w:after="0"/>
              <w:rPr>
                <w:sz w:val="20"/>
                <w:szCs w:val="20"/>
                <w:color w:val="auto"/>
              </w:rPr>
            </w:pPr>
            <w:r>
              <w:rPr>
                <w:rFonts w:ascii="Arial" w:cs="Arial" w:eastAsia="Arial" w:hAnsi="Arial"/>
                <w:sz w:val="18"/>
                <w:szCs w:val="18"/>
                <w:color w:val="auto"/>
                <w:w w:val="84"/>
              </w:rPr>
              <w:t>2016</w:t>
            </w:r>
          </w:p>
        </w:tc>
        <w:tc>
          <w:tcPr>
            <w:tcW w:w="70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4,972</w:t>
            </w:r>
          </w:p>
        </w:tc>
      </w:tr>
      <w:tr>
        <w:trPr>
          <w:trHeight w:val="213"/>
        </w:trPr>
        <w:tc>
          <w:tcPr>
            <w:tcW w:w="3000" w:type="dxa"/>
            <w:vAlign w:val="bottom"/>
            <w:shd w:val="clear" w:color="auto" w:fill="CCEEFF"/>
          </w:tcPr>
          <w:p>
            <w:pPr>
              <w:jc w:val="right"/>
              <w:ind w:right="2551"/>
              <w:spacing w:after="0"/>
              <w:rPr>
                <w:sz w:val="20"/>
                <w:szCs w:val="20"/>
                <w:color w:val="auto"/>
              </w:rPr>
            </w:pPr>
            <w:r>
              <w:rPr>
                <w:rFonts w:ascii="Arial" w:cs="Arial" w:eastAsia="Arial" w:hAnsi="Arial"/>
                <w:sz w:val="18"/>
                <w:szCs w:val="18"/>
                <w:color w:val="auto"/>
                <w:w w:val="84"/>
              </w:rPr>
              <w:t>2017</w:t>
            </w:r>
          </w:p>
        </w:tc>
        <w:tc>
          <w:tcPr>
            <w:tcW w:w="70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3,990</w:t>
            </w:r>
          </w:p>
        </w:tc>
      </w:tr>
      <w:tr>
        <w:trPr>
          <w:trHeight w:val="213"/>
        </w:trPr>
        <w:tc>
          <w:tcPr>
            <w:tcW w:w="3000" w:type="dxa"/>
            <w:vAlign w:val="bottom"/>
          </w:tcPr>
          <w:p>
            <w:pPr>
              <w:jc w:val="right"/>
              <w:ind w:right="2551"/>
              <w:spacing w:after="0"/>
              <w:rPr>
                <w:sz w:val="20"/>
                <w:szCs w:val="20"/>
                <w:color w:val="auto"/>
              </w:rPr>
            </w:pPr>
            <w:r>
              <w:rPr>
                <w:rFonts w:ascii="Arial" w:cs="Arial" w:eastAsia="Arial" w:hAnsi="Arial"/>
                <w:sz w:val="18"/>
                <w:szCs w:val="18"/>
                <w:color w:val="auto"/>
                <w:w w:val="84"/>
              </w:rPr>
              <w:t>2018</w:t>
            </w:r>
          </w:p>
        </w:tc>
        <w:tc>
          <w:tcPr>
            <w:tcW w:w="70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3,434</w:t>
            </w:r>
          </w:p>
        </w:tc>
      </w:tr>
      <w:tr>
        <w:trPr>
          <w:trHeight w:val="219"/>
        </w:trPr>
        <w:tc>
          <w:tcPr>
            <w:tcW w:w="3000" w:type="dxa"/>
            <w:vAlign w:val="bottom"/>
            <w:tcBorders>
              <w:bottom w:val="single" w:sz="8" w:color="auto"/>
            </w:tcBorders>
            <w:shd w:val="clear" w:color="auto" w:fill="CCEEFF"/>
          </w:tcPr>
          <w:p>
            <w:pPr>
              <w:jc w:val="right"/>
              <w:ind w:right="2551"/>
              <w:spacing w:after="0"/>
              <w:rPr>
                <w:sz w:val="20"/>
                <w:szCs w:val="20"/>
                <w:color w:val="auto"/>
              </w:rPr>
            </w:pPr>
            <w:r>
              <w:rPr>
                <w:rFonts w:ascii="Arial" w:cs="Arial" w:eastAsia="Arial" w:hAnsi="Arial"/>
                <w:sz w:val="18"/>
                <w:szCs w:val="18"/>
                <w:color w:val="auto"/>
                <w:w w:val="84"/>
              </w:rPr>
              <w:t>2019</w:t>
            </w:r>
          </w:p>
        </w:tc>
        <w:tc>
          <w:tcPr>
            <w:tcW w:w="7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1,491</w:t>
            </w:r>
          </w:p>
        </w:tc>
      </w:tr>
      <w:tr>
        <w:trPr>
          <w:trHeight w:val="213"/>
        </w:trPr>
        <w:tc>
          <w:tcPr>
            <w:tcW w:w="30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3"/>
        </w:trPr>
        <w:tc>
          <w:tcPr>
            <w:tcW w:w="3000" w:type="dxa"/>
            <w:vAlign w:val="bottom"/>
            <w:tcBorders>
              <w:bottom w:val="single" w:sz="8" w:color="auto"/>
            </w:tcBorders>
            <w:shd w:val="clear" w:color="auto" w:fill="CCEEFF"/>
          </w:tcPr>
          <w:p>
            <w:pPr>
              <w:spacing w:after="0"/>
              <w:rPr>
                <w:sz w:val="21"/>
                <w:szCs w:val="21"/>
                <w:color w:val="auto"/>
              </w:rPr>
            </w:pPr>
          </w:p>
        </w:tc>
        <w:tc>
          <w:tcPr>
            <w:tcW w:w="7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20,393</w:t>
            </w:r>
          </w:p>
        </w:tc>
      </w:tr>
      <w:tr>
        <w:trPr>
          <w:trHeight w:val="590"/>
        </w:trPr>
        <w:tc>
          <w:tcPr>
            <w:tcW w:w="3000" w:type="dxa"/>
            <w:vAlign w:val="bottom"/>
          </w:tcPr>
          <w:p>
            <w:pPr>
              <w:spacing w:after="0"/>
              <w:rPr>
                <w:sz w:val="24"/>
                <w:szCs w:val="24"/>
                <w:color w:val="auto"/>
              </w:rPr>
            </w:pPr>
          </w:p>
        </w:tc>
        <w:tc>
          <w:tcPr>
            <w:tcW w:w="7020" w:type="dxa"/>
            <w:vAlign w:val="bottom"/>
          </w:tcPr>
          <w:p>
            <w:pPr>
              <w:jc w:val="right"/>
              <w:ind w:right="4131"/>
              <w:spacing w:after="0"/>
              <w:rPr>
                <w:sz w:val="20"/>
                <w:szCs w:val="20"/>
                <w:color w:val="auto"/>
              </w:rPr>
            </w:pPr>
            <w:r>
              <w:rPr>
                <w:rFonts w:ascii="Arial" w:cs="Arial" w:eastAsia="Arial" w:hAnsi="Arial"/>
                <w:sz w:val="18"/>
                <w:szCs w:val="18"/>
                <w:color w:val="auto"/>
              </w:rPr>
              <w:t>96</w:t>
            </w:r>
          </w:p>
        </w:tc>
        <w:tc>
          <w:tcPr>
            <w:tcW w:w="1400" w:type="dxa"/>
            <w:vAlign w:val="bottom"/>
          </w:tcPr>
          <w:p>
            <w:pPr>
              <w:spacing w:after="0"/>
              <w:rPr>
                <w:sz w:val="24"/>
                <w:szCs w:val="24"/>
                <w:color w:val="auto"/>
              </w:rPr>
            </w:pPr>
          </w:p>
        </w:tc>
      </w:tr>
      <w:tr>
        <w:trPr>
          <w:trHeight w:val="117"/>
        </w:trPr>
        <w:tc>
          <w:tcPr>
            <w:tcW w:w="3000" w:type="dxa"/>
            <w:vAlign w:val="bottom"/>
            <w:tcBorders>
              <w:bottom w:val="single" w:sz="8" w:color="808080"/>
            </w:tcBorders>
          </w:tcPr>
          <w:p>
            <w:pPr>
              <w:spacing w:after="0"/>
              <w:rPr>
                <w:sz w:val="10"/>
                <w:szCs w:val="10"/>
                <w:color w:val="auto"/>
              </w:rPr>
            </w:pPr>
          </w:p>
        </w:tc>
        <w:tc>
          <w:tcPr>
            <w:tcW w:w="70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3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3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00" w:type="dxa"/>
            <w:vAlign w:val="bottom"/>
            <w:gridSpan w:val="4"/>
          </w:tcPr>
          <w:p>
            <w:pPr>
              <w:ind w:left="2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3"/>
        </w:trPr>
        <w:tc>
          <w:tcPr>
            <w:tcW w:w="4680" w:type="dxa"/>
            <w:vAlign w:val="bottom"/>
            <w:gridSpan w:val="2"/>
            <w:vMerge w:val="continue"/>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88,580</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96,450</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247,980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212,019</w:t>
            </w: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8"/>
                <w:szCs w:val="18"/>
                <w:color w:val="auto"/>
              </w:rPr>
              <w:t>Office furniture and fixtures</w:t>
            </w: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64,690</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68,268</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29,678</w:t>
            </w: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19,516</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15,304</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3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447,876</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425,239</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asset write off</w:t>
            </w:r>
          </w:p>
        </w:tc>
        <w:tc>
          <w:tcPr>
            <w:tcW w:w="3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71"/>
              <w:spacing w:after="0"/>
              <w:rPr>
                <w:sz w:val="20"/>
                <w:szCs w:val="20"/>
                <w:color w:val="auto"/>
              </w:rPr>
            </w:pPr>
            <w:r>
              <w:rPr>
                <w:rFonts w:ascii="Arial" w:cs="Arial" w:eastAsia="Arial" w:hAnsi="Arial"/>
                <w:sz w:val="18"/>
                <w:szCs w:val="18"/>
                <w:color w:val="auto"/>
                <w:w w:val="88"/>
              </w:rPr>
              <w:t>(299,691)</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(264,409)</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148,185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160,830</w:t>
            </w:r>
          </w:p>
        </w:tc>
        <w:tc>
          <w:tcPr>
            <w:tcW w:w="0" w:type="dxa"/>
            <w:vAlign w:val="bottom"/>
          </w:tcPr>
          <w:p>
            <w:pPr>
              <w:spacing w:after="0"/>
              <w:rPr>
                <w:sz w:val="1"/>
                <w:szCs w:val="1"/>
                <w:color w:val="auto"/>
              </w:rPr>
            </w:pPr>
          </w:p>
        </w:tc>
      </w:tr>
      <w:tr>
        <w:trPr>
          <w:trHeight w:val="44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7. Other Liabilities</w:t>
            </w:r>
          </w:p>
        </w:tc>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34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167,362</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138,639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Facility related liabilities</w:t>
            </w:r>
          </w:p>
        </w:tc>
        <w:tc>
          <w:tcPr>
            <w:tcW w:w="3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19,862</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16,205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31,034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liabilities</w:t>
            </w:r>
          </w:p>
        </w:tc>
        <w:tc>
          <w:tcPr>
            <w:tcW w:w="3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26,631</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 (note 11)</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Restructuring and other items (note 14)</w:t>
            </w:r>
          </w:p>
        </w:tc>
        <w:tc>
          <w:tcPr>
            <w:tcW w:w="3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consideration payable</w:t>
            </w:r>
          </w:p>
        </w:tc>
        <w:tc>
          <w:tcPr>
            <w:tcW w:w="3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0" w:type="dxa"/>
            <w:vAlign w:val="bottom"/>
          </w:tcPr>
          <w:p>
            <w:pPr>
              <w:spacing w:after="0"/>
              <w:rPr>
                <w:sz w:val="21"/>
                <w:szCs w:val="21"/>
                <w:color w:val="auto"/>
              </w:rPr>
            </w:pPr>
          </w:p>
        </w:tc>
        <w:tc>
          <w:tcPr>
            <w:tcW w:w="438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251,091</w:t>
            </w:r>
          </w:p>
        </w:tc>
        <w:tc>
          <w:tcPr>
            <w:tcW w:w="6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194,812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8. Other Non-Current Liabilities</w:t>
            </w:r>
          </w:p>
        </w:tc>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Defined benefit pension obligations, net (note 9)</w:t>
            </w:r>
          </w:p>
        </w:tc>
        <w:tc>
          <w:tcPr>
            <w:tcW w:w="3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6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3,384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0" w:type="dxa"/>
            <w:vAlign w:val="bottom"/>
          </w:tcPr>
          <w:p>
            <w:pPr>
              <w:spacing w:after="0"/>
              <w:rPr>
                <w:sz w:val="21"/>
                <w:szCs w:val="21"/>
                <w:color w:val="auto"/>
              </w:rPr>
            </w:pPr>
          </w:p>
        </w:tc>
        <w:tc>
          <w:tcPr>
            <w:tcW w:w="438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6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11,198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0" w:type="dxa"/>
            <w:vAlign w:val="bottom"/>
          </w:tcPr>
          <w:p>
            <w:pPr>
              <w:jc w:val="right"/>
              <w:ind w:right="2191"/>
              <w:spacing w:after="0"/>
              <w:rPr>
                <w:sz w:val="20"/>
                <w:szCs w:val="20"/>
                <w:color w:val="auto"/>
              </w:rPr>
            </w:pPr>
            <w:r>
              <w:rPr>
                <w:rFonts w:ascii="Arial" w:cs="Arial" w:eastAsia="Arial" w:hAnsi="Arial"/>
                <w:sz w:val="18"/>
                <w:szCs w:val="18"/>
                <w:color w:val="auto"/>
              </w:rPr>
              <w:t>97</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9. Employee Benefits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the plan are recorded, as an expense in the Consolidated Statement of Operations. Contributions for the years ended December 31, 2012, December 31, 2013 and December 31, 2014 were $18,187,000, $20,293,000 and $22,582,000 respectively.</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2012, December 31, 2013 and December 31, 2014 were $8,442,000, $9,816,000 and $10,514,000 respectively.</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One of the Company’s subsidiaries which was acquired during the 2003 fiscal year,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2014, December 31, 2013 and December 31, 2012,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 The plan has been closed to new entrants with effect from July 1, 2003.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23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December 31,</w:t>
            </w:r>
          </w:p>
        </w:tc>
      </w:tr>
      <w:tr>
        <w:trPr>
          <w:trHeight w:val="213"/>
        </w:trPr>
        <w:tc>
          <w:tcPr>
            <w:tcW w:w="4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20" w:type="dxa"/>
            <w:vAlign w:val="bottom"/>
            <w:gridSpan w:val="3"/>
          </w:tcPr>
          <w:p>
            <w:pPr>
              <w:jc w:val="right"/>
              <w:ind w:right="10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2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24,958</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22,527</w:t>
            </w: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Service cost</w:t>
            </w:r>
          </w:p>
        </w:tc>
        <w:tc>
          <w:tcPr>
            <w:tcW w:w="23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251</w:t>
            </w: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3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Plan curtailments</w:t>
            </w:r>
          </w:p>
        </w:tc>
        <w:tc>
          <w:tcPr>
            <w:tcW w:w="2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Benefits paid</w:t>
            </w:r>
          </w:p>
        </w:tc>
        <w:tc>
          <w:tcPr>
            <w:tcW w:w="2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8,270</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r>
      <w:tr>
        <w:trPr>
          <w:trHeight w:val="219"/>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2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525</w:t>
            </w:r>
          </w:p>
        </w:tc>
      </w:tr>
      <w:tr>
        <w:trPr>
          <w:trHeight w:val="213"/>
        </w:trPr>
        <w:tc>
          <w:tcPr>
            <w:tcW w:w="49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2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32,875</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24,958</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2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December 31,</w:t>
            </w:r>
          </w:p>
        </w:tc>
      </w:tr>
      <w:tr>
        <w:trPr>
          <w:trHeight w:val="213"/>
        </w:trPr>
        <w:tc>
          <w:tcPr>
            <w:tcW w:w="5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5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20" w:type="dxa"/>
            <w:vAlign w:val="bottom"/>
            <w:gridSpan w:val="3"/>
          </w:tcPr>
          <w:p>
            <w:pPr>
              <w:jc w:val="right"/>
              <w:ind w:right="10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21,422</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17,807</w:t>
            </w:r>
          </w:p>
        </w:tc>
      </w:tr>
      <w:tr>
        <w:trPr>
          <w:trHeight w:val="213"/>
        </w:trPr>
        <w:tc>
          <w:tcPr>
            <w:tcW w:w="51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5,424</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2,916</w:t>
            </w: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13"/>
        </w:trPr>
        <w:tc>
          <w:tcPr>
            <w:tcW w:w="51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2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9"/>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2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505</w:t>
            </w:r>
          </w:p>
        </w:tc>
      </w:tr>
      <w:tr>
        <w:trPr>
          <w:trHeight w:val="213"/>
        </w:trPr>
        <w:tc>
          <w:tcPr>
            <w:tcW w:w="51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25,409</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21,422</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20"/>
                <w:szCs w:val="20"/>
                <w:color w:val="auto"/>
              </w:rPr>
            </w:pPr>
            <w:r>
              <w:rPr>
                <w:rFonts w:ascii="Arial" w:cs="Arial" w:eastAsia="Arial" w:hAnsi="Arial"/>
                <w:sz w:val="18"/>
                <w:szCs w:val="18"/>
                <w:b w:val="1"/>
                <w:bCs w:val="1"/>
                <w:color w:val="auto"/>
              </w:rPr>
              <w:t>Funded status</w:t>
            </w:r>
          </w:p>
        </w:tc>
        <w:tc>
          <w:tcPr>
            <w:tcW w:w="28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December 31,</w:t>
            </w:r>
          </w:p>
        </w:tc>
      </w:tr>
      <w:tr>
        <w:trPr>
          <w:trHeight w:val="213"/>
        </w:trPr>
        <w:tc>
          <w:tcPr>
            <w:tcW w:w="45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920" w:type="dxa"/>
            <w:vAlign w:val="bottom"/>
            <w:gridSpan w:val="3"/>
          </w:tcPr>
          <w:p>
            <w:pPr>
              <w:jc w:val="right"/>
              <w:ind w:right="10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(32,875)</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(24,958)</w:t>
            </w:r>
          </w:p>
        </w:tc>
      </w:tr>
      <w:tr>
        <w:trPr>
          <w:trHeight w:val="219"/>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2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25,409</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21,422</w:t>
            </w:r>
          </w:p>
        </w:tc>
      </w:tr>
      <w:tr>
        <w:trPr>
          <w:trHeight w:val="213"/>
        </w:trPr>
        <w:tc>
          <w:tcPr>
            <w:tcW w:w="45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w:t>
            </w:r>
          </w:p>
        </w:tc>
        <w:tc>
          <w:tcPr>
            <w:tcW w:w="2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6"/>
        </w:trPr>
        <w:tc>
          <w:tcPr>
            <w:tcW w:w="45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2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in the consolidated statement of operations as components of the net periodic benefit cost: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December 31,</w:t>
            </w:r>
          </w:p>
        </w:tc>
      </w:tr>
      <w:tr>
        <w:trPr>
          <w:trHeight w:val="213"/>
        </w:trPr>
        <w:tc>
          <w:tcPr>
            <w:tcW w:w="3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3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251"/>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Interest cost</w:t>
            </w:r>
          </w:p>
        </w:tc>
        <w:tc>
          <w:tcPr>
            <w:tcW w:w="190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1,005</w:t>
            </w:r>
          </w:p>
        </w:tc>
        <w:tc>
          <w:tcPr>
            <w:tcW w:w="30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964</w:t>
            </w: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90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19"/>
        </w:trPr>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Curtailment loss</w:t>
            </w:r>
          </w:p>
        </w:tc>
        <w:tc>
          <w:tcPr>
            <w:tcW w:w="1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359</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3"/>
        </w:trPr>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1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403</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bl>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assumptions were used at the commencement of the year in determining the net periodic pension benefit cost for the years ended December 31, 2012, December 31, 2013 and December 31,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2960" w:type="dxa"/>
            <w:vAlign w:val="bottom"/>
          </w:tcPr>
          <w:p>
            <w:pPr>
              <w:jc w:val="right"/>
              <w:ind w:right="291"/>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right"/>
              <w:ind w:right="311"/>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4200" w:type="dxa"/>
            <w:vAlign w:val="bottom"/>
          </w:tcPr>
          <w:p>
            <w:pPr>
              <w:spacing w:after="0"/>
              <w:rPr>
                <w:sz w:val="20"/>
                <w:szCs w:val="20"/>
                <w:color w:val="auto"/>
              </w:rPr>
            </w:pPr>
          </w:p>
        </w:tc>
        <w:tc>
          <w:tcPr>
            <w:tcW w:w="2960" w:type="dxa"/>
            <w:vAlign w:val="bottom"/>
          </w:tcPr>
          <w:p>
            <w:pPr>
              <w:jc w:val="right"/>
              <w:ind w:right="291"/>
              <w:spacing w:after="0"/>
              <w:rPr>
                <w:sz w:val="20"/>
                <w:szCs w:val="20"/>
                <w:color w:val="auto"/>
              </w:rPr>
            </w:pPr>
            <w:r>
              <w:rPr>
                <w:rFonts w:ascii="Arial" w:cs="Arial" w:eastAsia="Arial" w:hAnsi="Arial"/>
                <w:sz w:val="18"/>
                <w:szCs w:val="18"/>
                <w:b w:val="1"/>
                <w:bCs w:val="1"/>
                <w:color w:val="auto"/>
              </w:rPr>
              <w:t>2014</w:t>
            </w:r>
          </w:p>
        </w:tc>
        <w:tc>
          <w:tcPr>
            <w:tcW w:w="16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2013</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2012</w:t>
            </w:r>
          </w:p>
        </w:tc>
      </w:tr>
      <w:tr>
        <w:trPr>
          <w:trHeight w:val="213"/>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42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96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3"/>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2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1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08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December 31,</w:t>
            </w:r>
          </w:p>
        </w:tc>
      </w:tr>
      <w:tr>
        <w:trPr>
          <w:trHeight w:val="213"/>
        </w:trPr>
        <w:tc>
          <w:tcPr>
            <w:tcW w:w="4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4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251"/>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 benefit obligation</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Actuarial gain – plan assets</w:t>
            </w:r>
          </w:p>
        </w:tc>
        <w:tc>
          <w:tcPr>
            <w:tcW w:w="10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(4,125)</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(1,933)</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19"/>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Actuarial gain recognized in net periodic benefit cost</w:t>
            </w:r>
          </w:p>
        </w:tc>
        <w:tc>
          <w:tcPr>
            <w:tcW w:w="10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3"/>
        </w:trPr>
        <w:tc>
          <w:tcPr>
            <w:tcW w:w="4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3"/>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4,125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bl>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$268,000 and $nil respectively.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Amounts recognized in accumulated other comprehensive income that have not yet been recognized as components of net periodic benefit cost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 31,</w:t>
            </w:r>
          </w:p>
        </w:tc>
      </w:tr>
      <w:tr>
        <w:trPr>
          <w:trHeight w:val="213"/>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3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211"/>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r>
      <w:tr>
        <w:trPr>
          <w:trHeight w:val="213"/>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3"/>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r>
      <w:tr>
        <w:trPr>
          <w:trHeight w:val="444"/>
        </w:trPr>
        <w:tc>
          <w:tcPr>
            <w:tcW w:w="3820" w:type="dxa"/>
            <w:vAlign w:val="bottom"/>
          </w:tcPr>
          <w:p>
            <w:pPr>
              <w:spacing w:after="0"/>
              <w:rPr>
                <w:sz w:val="20"/>
                <w:szCs w:val="20"/>
                <w:color w:val="auto"/>
              </w:rPr>
            </w:pPr>
            <w:r>
              <w:rPr>
                <w:rFonts w:ascii="Arial" w:cs="Arial" w:eastAsia="Arial" w:hAnsi="Arial"/>
                <w:sz w:val="18"/>
                <w:szCs w:val="18"/>
                <w:b w:val="1"/>
                <w:bCs w:val="1"/>
                <w:color w:val="auto"/>
              </w:rPr>
              <w:t>Benefit Obligation</w:t>
            </w: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2"/>
        </w:trPr>
        <w:tc>
          <w:tcPr>
            <w:tcW w:w="7060" w:type="dxa"/>
            <w:vAlign w:val="bottom"/>
            <w:gridSpan w:val="3"/>
          </w:tcPr>
          <w:p>
            <w:pPr>
              <w:spacing w:after="0"/>
              <w:rPr>
                <w:sz w:val="20"/>
                <w:szCs w:val="20"/>
                <w:color w:val="auto"/>
              </w:rPr>
            </w:pPr>
            <w:r>
              <w:rPr>
                <w:rFonts w:ascii="Arial" w:cs="Arial" w:eastAsia="Arial" w:hAnsi="Arial"/>
                <w:sz w:val="18"/>
                <w:szCs w:val="18"/>
                <w:color w:val="auto"/>
                <w:w w:val="90"/>
              </w:rPr>
              <w:t>The following assumptions were used in determining the benefit obligation at December 31, 2014:</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5"/>
        </w:trPr>
        <w:tc>
          <w:tcPr>
            <w:tcW w:w="3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b w:val="1"/>
                <w:bCs w:val="1"/>
                <w:color w:val="auto"/>
                <w:w w:val="99"/>
              </w:rPr>
              <w:t>December 31,</w:t>
            </w:r>
          </w:p>
        </w:tc>
        <w:tc>
          <w:tcPr>
            <w:tcW w:w="280" w:type="dxa"/>
            <w:vAlign w:val="bottom"/>
          </w:tcPr>
          <w:p>
            <w:pPr>
              <w:spacing w:after="0"/>
              <w:rPr>
                <w:sz w:val="24"/>
                <w:szCs w:val="24"/>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b w:val="1"/>
                <w:bCs w:val="1"/>
                <w:color w:val="auto"/>
                <w:w w:val="97"/>
              </w:rPr>
              <w:t>December 31,</w:t>
            </w:r>
          </w:p>
        </w:tc>
      </w:tr>
      <w:tr>
        <w:trPr>
          <w:trHeight w:val="230"/>
        </w:trPr>
        <w:tc>
          <w:tcPr>
            <w:tcW w:w="3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b w:val="1"/>
                <w:bCs w:val="1"/>
                <w:color w:val="auto"/>
              </w:rPr>
              <w:t>2013</w:t>
            </w:r>
          </w:p>
        </w:tc>
      </w:tr>
      <w:tr>
        <w:trPr>
          <w:trHeight w:val="213"/>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1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corporate bond over 15 year index plus 20 basis points.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assets of the scheme are invested with Legal and General and held in a combination of the Active Corporate Bond Over 10 Year fund, Gilt, and Index Linked Gilt funds. The overall investment strategy is that approximately 70% of investments are in government bonds (both fixed interest and index linked) and approximately 30% of investments held in corporate bonds. This results in a concentration of investments in bond type assets, though invested in a number of different bond funds are currently invested in. There is no self investment in employer related assets. The expected long-term rate of return on assets at December 31, 2014 of 2.7% was calculated as the value of the fund after application of a market value reduction factor. The expected long term rates of return on different asset classes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5240" w:type="dxa"/>
            <w:vAlign w:val="bottom"/>
          </w:tcPr>
          <w:p>
            <w:pPr>
              <w:jc w:val="right"/>
              <w:ind w:right="111"/>
              <w:spacing w:after="0"/>
              <w:rPr>
                <w:sz w:val="20"/>
                <w:szCs w:val="20"/>
                <w:color w:val="auto"/>
              </w:rPr>
            </w:pPr>
            <w:r>
              <w:rPr>
                <w:rFonts w:ascii="Arial" w:cs="Arial" w:eastAsia="Arial" w:hAnsi="Arial"/>
                <w:sz w:val="18"/>
                <w:szCs w:val="18"/>
                <w:b w:val="1"/>
                <w:bCs w:val="1"/>
                <w:color w:val="auto"/>
              </w:rPr>
              <w:t>Expected long-</w:t>
            </w:r>
          </w:p>
        </w:tc>
      </w:tr>
      <w:tr>
        <w:trPr>
          <w:trHeight w:val="213"/>
        </w:trPr>
        <w:tc>
          <w:tcPr>
            <w:tcW w:w="5040" w:type="dxa"/>
            <w:vAlign w:val="bottom"/>
          </w:tcPr>
          <w:p>
            <w:pPr>
              <w:spacing w:after="0"/>
              <w:rPr>
                <w:sz w:val="18"/>
                <w:szCs w:val="18"/>
                <w:color w:val="auto"/>
              </w:rPr>
            </w:pPr>
          </w:p>
        </w:tc>
        <w:tc>
          <w:tcPr>
            <w:tcW w:w="5240" w:type="dxa"/>
            <w:vAlign w:val="bottom"/>
          </w:tcPr>
          <w:p>
            <w:pPr>
              <w:jc w:val="right"/>
              <w:ind w:right="111"/>
              <w:spacing w:after="0"/>
              <w:rPr>
                <w:sz w:val="20"/>
                <w:szCs w:val="20"/>
                <w:color w:val="auto"/>
              </w:rPr>
            </w:pPr>
            <w:r>
              <w:rPr>
                <w:rFonts w:ascii="Arial" w:cs="Arial" w:eastAsia="Arial" w:hAnsi="Arial"/>
                <w:sz w:val="18"/>
                <w:szCs w:val="18"/>
                <w:b w:val="1"/>
                <w:bCs w:val="1"/>
                <w:color w:val="auto"/>
              </w:rPr>
              <w:t>term return per</w:t>
            </w:r>
          </w:p>
        </w:tc>
      </w:tr>
      <w:tr>
        <w:trPr>
          <w:trHeight w:val="230"/>
        </w:trPr>
        <w:tc>
          <w:tcPr>
            <w:tcW w:w="5040" w:type="dxa"/>
            <w:vAlign w:val="bottom"/>
          </w:tcPr>
          <w:p>
            <w:pPr>
              <w:spacing w:after="0"/>
              <w:rPr>
                <w:sz w:val="20"/>
                <w:szCs w:val="20"/>
                <w:color w:val="auto"/>
              </w:rPr>
            </w:pPr>
          </w:p>
        </w:tc>
        <w:tc>
          <w:tcPr>
            <w:tcW w:w="5240" w:type="dxa"/>
            <w:vAlign w:val="bottom"/>
          </w:tcPr>
          <w:p>
            <w:pPr>
              <w:jc w:val="right"/>
              <w:ind w:right="111"/>
              <w:spacing w:after="0"/>
              <w:rPr>
                <w:sz w:val="20"/>
                <w:szCs w:val="20"/>
                <w:color w:val="auto"/>
              </w:rPr>
            </w:pPr>
            <w:r>
              <w:rPr>
                <w:rFonts w:ascii="Arial" w:cs="Arial" w:eastAsia="Arial" w:hAnsi="Arial"/>
                <w:sz w:val="18"/>
                <w:szCs w:val="18"/>
                <w:b w:val="1"/>
                <w:bCs w:val="1"/>
                <w:color w:val="auto"/>
              </w:rPr>
              <w:t>annum</w:t>
            </w: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5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Gilts</w:t>
            </w:r>
          </w:p>
        </w:tc>
        <w:tc>
          <w:tcPr>
            <w:tcW w:w="5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1"/>
        </w:trPr>
        <w:tc>
          <w:tcPr>
            <w:tcW w:w="504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long-term expected return on corporate bonds and gilts (fixed interest and index linked) is determined by reference to bond yields and gilt yields at the balance sheet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3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5"/>
        </w:trPr>
        <w:tc>
          <w:tcPr>
            <w:tcW w:w="560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3220" w:type="dxa"/>
            <w:vAlign w:val="bottom"/>
          </w:tcPr>
          <w:p>
            <w:pPr>
              <w:jc w:val="right"/>
              <w:ind w:right="331"/>
              <w:spacing w:after="0"/>
              <w:rPr>
                <w:sz w:val="20"/>
                <w:szCs w:val="20"/>
                <w:color w:val="auto"/>
              </w:rPr>
            </w:pPr>
            <w:r>
              <w:rPr>
                <w:rFonts w:ascii="Arial" w:cs="Arial" w:eastAsia="Arial" w:hAnsi="Arial"/>
                <w:sz w:val="18"/>
                <w:szCs w:val="18"/>
                <w:b w:val="1"/>
                <w:bCs w:val="1"/>
                <w:color w:val="auto"/>
              </w:rPr>
              <w:t>December 31,</w:t>
            </w:r>
          </w:p>
        </w:tc>
        <w:tc>
          <w:tcPr>
            <w:tcW w:w="146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5600" w:type="dxa"/>
            <w:vAlign w:val="bottom"/>
          </w:tcPr>
          <w:p>
            <w:pPr>
              <w:spacing w:after="0"/>
              <w:rPr>
                <w:sz w:val="20"/>
                <w:szCs w:val="20"/>
                <w:color w:val="auto"/>
              </w:rPr>
            </w:pPr>
          </w:p>
        </w:tc>
        <w:tc>
          <w:tcPr>
            <w:tcW w:w="3220" w:type="dxa"/>
            <w:vAlign w:val="bottom"/>
          </w:tcPr>
          <w:p>
            <w:pPr>
              <w:jc w:val="right"/>
              <w:ind w:right="331"/>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71"/>
              <w:spacing w:after="0"/>
              <w:rPr>
                <w:sz w:val="20"/>
                <w:szCs w:val="20"/>
                <w:color w:val="auto"/>
              </w:rPr>
            </w:pPr>
            <w:r>
              <w:rPr>
                <w:rFonts w:ascii="Arial" w:cs="Arial" w:eastAsia="Arial" w:hAnsi="Arial"/>
                <w:sz w:val="18"/>
                <w:szCs w:val="18"/>
                <w:b w:val="1"/>
                <w:bCs w:val="1"/>
                <w:color w:val="auto"/>
              </w:rPr>
              <w:t>2013</w:t>
            </w: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2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Corporate Bonds</w:t>
            </w:r>
          </w:p>
        </w:tc>
        <w:tc>
          <w:tcPr>
            <w:tcW w:w="3220" w:type="dxa"/>
            <w:vAlign w:val="bottom"/>
          </w:tcPr>
          <w:p>
            <w:pPr>
              <w:jc w:val="right"/>
              <w:ind w:right="171"/>
              <w:spacing w:after="0"/>
              <w:rPr>
                <w:sz w:val="20"/>
                <w:szCs w:val="20"/>
                <w:color w:val="auto"/>
              </w:rPr>
            </w:pPr>
            <w:r>
              <w:rPr>
                <w:rFonts w:ascii="Arial" w:cs="Arial" w:eastAsia="Arial" w:hAnsi="Arial"/>
                <w:sz w:val="18"/>
                <w:szCs w:val="18"/>
                <w:color w:val="auto"/>
              </w:rPr>
              <w:t>26%</w:t>
            </w: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9"/>
        </w:trPr>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Gilts</w:t>
            </w:r>
          </w:p>
        </w:tc>
        <w:tc>
          <w:tcPr>
            <w:tcW w:w="32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74%</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13"/>
        </w:trPr>
        <w:tc>
          <w:tcPr>
            <w:tcW w:w="56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1" w:lineRule="auto"/>
        <w:rPr>
          <w:sz w:val="20"/>
          <w:szCs w:val="20"/>
          <w:color w:val="auto"/>
        </w:rPr>
      </w:pPr>
      <w:r>
        <w:rPr>
          <w:rFonts w:ascii="Arial" w:cs="Arial" w:eastAsia="Arial" w:hAnsi="Arial"/>
          <w:sz w:val="18"/>
          <w:szCs w:val="18"/>
          <w:color w:val="auto"/>
        </w:rPr>
        <w:t>Applying the above expected long term rates of return to the asset distribution at December 31, 2014, gives rise to an expected overall rate of return of scheme assets of approximately 2.7% per annum.</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6020" w:type="dxa"/>
            <w:vAlign w:val="bottom"/>
            <w:gridSpan w:val="4"/>
          </w:tcPr>
          <w:p>
            <w:pPr>
              <w:spacing w:after="0"/>
              <w:rPr>
                <w:sz w:val="20"/>
                <w:szCs w:val="20"/>
                <w:color w:val="auto"/>
              </w:rPr>
            </w:pPr>
            <w:r>
              <w:rPr>
                <w:rFonts w:ascii="Arial" w:cs="Arial" w:eastAsia="Arial" w:hAnsi="Arial"/>
                <w:sz w:val="18"/>
                <w:szCs w:val="18"/>
                <w:b w:val="1"/>
                <w:bCs w:val="1"/>
                <w:color w:val="auto"/>
              </w:rPr>
              <w:t>Plan Asset Fair Value Measurements</w:t>
            </w:r>
          </w:p>
        </w:tc>
        <w:tc>
          <w:tcPr>
            <w:tcW w:w="2020" w:type="dxa"/>
            <w:vAlign w:val="bottom"/>
          </w:tcPr>
          <w:p>
            <w:pPr>
              <w:spacing w:after="0"/>
              <w:rPr>
                <w:sz w:val="19"/>
                <w:szCs w:val="19"/>
                <w:color w:val="auto"/>
              </w:rPr>
            </w:pPr>
          </w:p>
        </w:tc>
        <w:tc>
          <w:tcPr>
            <w:tcW w:w="3380" w:type="dxa"/>
            <w:vAlign w:val="bottom"/>
            <w:gridSpan w:val="3"/>
            <w:vMerge w:val="restart"/>
          </w:tcPr>
          <w:p>
            <w:pPr>
              <w:jc w:val="center"/>
              <w:ind w:right="151"/>
              <w:spacing w:after="0"/>
              <w:rPr>
                <w:sz w:val="20"/>
                <w:szCs w:val="20"/>
                <w:color w:val="auto"/>
              </w:rPr>
            </w:pPr>
            <w:r>
              <w:rPr>
                <w:rFonts w:ascii="Arial" w:cs="Arial" w:eastAsia="Arial" w:hAnsi="Arial"/>
                <w:sz w:val="18"/>
                <w:szCs w:val="18"/>
                <w:b w:val="1"/>
                <w:bCs w:val="1"/>
                <w:color w:val="auto"/>
                <w:w w:val="90"/>
              </w:rPr>
              <w:t>Quoted Prices in Active Markets for</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80" w:type="dxa"/>
            <w:vAlign w:val="bottom"/>
            <w:gridSpan w:val="3"/>
          </w:tcPr>
          <w:p>
            <w:pPr>
              <w:jc w:val="center"/>
              <w:ind w:right="151"/>
              <w:spacing w:after="0"/>
              <w:rPr>
                <w:sz w:val="20"/>
                <w:szCs w:val="20"/>
                <w:color w:val="auto"/>
              </w:rPr>
            </w:pPr>
            <w:r>
              <w:rPr>
                <w:rFonts w:ascii="Arial" w:cs="Arial" w:eastAsia="Arial" w:hAnsi="Arial"/>
                <w:sz w:val="18"/>
                <w:szCs w:val="18"/>
                <w:b w:val="1"/>
                <w:bCs w:val="1"/>
                <w:color w:val="auto"/>
                <w:w w:val="90"/>
              </w:rPr>
              <w:t>Identical</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40" w:type="dxa"/>
            <w:vAlign w:val="bottom"/>
            <w:gridSpan w:val="2"/>
          </w:tcPr>
          <w:p>
            <w:pPr>
              <w:jc w:val="center"/>
              <w:ind w:left="1211"/>
              <w:spacing w:after="0"/>
              <w:rPr>
                <w:sz w:val="20"/>
                <w:szCs w:val="20"/>
                <w:color w:val="auto"/>
              </w:rPr>
            </w:pPr>
            <w:r>
              <w:rPr>
                <w:rFonts w:ascii="Arial" w:cs="Arial" w:eastAsia="Arial" w:hAnsi="Arial"/>
                <w:sz w:val="18"/>
                <w:szCs w:val="18"/>
                <w:b w:val="1"/>
                <w:bCs w:val="1"/>
                <w:color w:val="auto"/>
                <w:w w:val="77"/>
              </w:rPr>
              <w:t>Assets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40" w:type="dxa"/>
            <w:vAlign w:val="bottom"/>
            <w:gridSpan w:val="2"/>
          </w:tcPr>
          <w:p>
            <w:pPr>
              <w:jc w:val="center"/>
              <w:ind w:left="1211"/>
              <w:spacing w:after="0"/>
              <w:rPr>
                <w:sz w:val="20"/>
                <w:szCs w:val="20"/>
                <w:color w:val="auto"/>
              </w:rPr>
            </w:pPr>
            <w:r>
              <w:rPr>
                <w:rFonts w:ascii="Arial" w:cs="Arial" w:eastAsia="Arial" w:hAnsi="Arial"/>
                <w:sz w:val="18"/>
                <w:szCs w:val="18"/>
                <w:b w:val="1"/>
                <w:bCs w:val="1"/>
                <w:color w:val="auto"/>
                <w:w w:val="88"/>
              </w:rPr>
              <w:t>Level 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80" w:type="dxa"/>
            <w:vAlign w:val="bottom"/>
            <w:gridSpan w:val="3"/>
          </w:tcPr>
          <w:p>
            <w:pPr>
              <w:jc w:val="center"/>
              <w:ind w:right="171"/>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 2014</w:t>
            </w: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 2013</w:t>
            </w:r>
          </w:p>
        </w:tc>
        <w:tc>
          <w:tcPr>
            <w:tcW w:w="0" w:type="dxa"/>
            <w:vAlign w:val="bottom"/>
          </w:tcPr>
          <w:p>
            <w:pPr>
              <w:spacing w:after="0"/>
              <w:rPr>
                <w:sz w:val="1"/>
                <w:szCs w:val="1"/>
                <w:color w:val="auto"/>
              </w:rPr>
            </w:pPr>
          </w:p>
        </w:tc>
      </w:tr>
      <w:tr>
        <w:trPr>
          <w:trHeight w:val="193"/>
        </w:trPr>
        <w:tc>
          <w:tcPr>
            <w:tcW w:w="602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color w:val="auto"/>
              </w:rPr>
              <w:t>Cash</w:t>
            </w:r>
          </w:p>
        </w:tc>
        <w:tc>
          <w:tcPr>
            <w:tcW w:w="202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1"/>
              <w:spacing w:after="0" w:line="173" w:lineRule="exact"/>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
              <w:spacing w:after="0" w:line="17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3"/>
        </w:trPr>
        <w:tc>
          <w:tcPr>
            <w:tcW w:w="360" w:type="dxa"/>
            <w:vAlign w:val="bottom"/>
            <w:tcBorders>
              <w:top w:val="single" w:sz="8" w:color="auto"/>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2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color w:val="auto"/>
              </w:rPr>
              <w:t>Fixed Income Securities</w:t>
            </w:r>
          </w:p>
        </w:tc>
        <w:tc>
          <w:tcPr>
            <w:tcW w:w="20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60" w:type="dxa"/>
            <w:vAlign w:val="bottom"/>
            <w:shd w:val="clear" w:color="auto" w:fill="000000"/>
          </w:tcPr>
          <w:p>
            <w:pPr>
              <w:spacing w:after="0"/>
              <w:rPr>
                <w:sz w:val="3"/>
                <w:szCs w:val="3"/>
                <w:color w:val="auto"/>
              </w:rPr>
            </w:pPr>
          </w:p>
        </w:tc>
        <w:tc>
          <w:tcPr>
            <w:tcW w:w="136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20" w:type="dxa"/>
            <w:vAlign w:val="bottom"/>
            <w:gridSpan w:val="4"/>
          </w:tcPr>
          <w:p>
            <w:pPr>
              <w:spacing w:after="0"/>
              <w:rPr>
                <w:sz w:val="20"/>
                <w:szCs w:val="20"/>
                <w:color w:val="auto"/>
              </w:rPr>
            </w:pPr>
            <w:r>
              <w:rPr>
                <w:rFonts w:ascii="Arial" w:cs="Arial" w:eastAsia="Arial" w:hAnsi="Arial"/>
                <w:sz w:val="18"/>
                <w:szCs w:val="18"/>
                <w:color w:val="auto"/>
              </w:rPr>
              <w:t>Legal and General Active Corporate Bond – Over 10 Year</w:t>
            </w:r>
          </w:p>
        </w:tc>
        <w:tc>
          <w:tcPr>
            <w:tcW w:w="2020" w:type="dxa"/>
            <w:vAlign w:val="bottom"/>
          </w:tcPr>
          <w:p>
            <w:pPr>
              <w:spacing w:after="0"/>
              <w:rPr>
                <w:sz w:val="18"/>
                <w:szCs w:val="18"/>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6,560</w:t>
            </w:r>
          </w:p>
        </w:tc>
        <w:tc>
          <w:tcPr>
            <w:tcW w:w="2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3"/>
        </w:trPr>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Gilt Funds</w:t>
            </w:r>
          </w:p>
        </w:tc>
        <w:tc>
          <w:tcPr>
            <w:tcW w:w="2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6,977</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020" w:type="dxa"/>
            <w:vAlign w:val="bottom"/>
            <w:gridSpan w:val="4"/>
          </w:tcPr>
          <w:p>
            <w:pPr>
              <w:spacing w:after="0"/>
              <w:rPr>
                <w:sz w:val="20"/>
                <w:szCs w:val="20"/>
                <w:color w:val="auto"/>
              </w:rPr>
            </w:pPr>
            <w:r>
              <w:rPr>
                <w:rFonts w:ascii="Arial" w:cs="Arial" w:eastAsia="Arial" w:hAnsi="Arial"/>
                <w:sz w:val="18"/>
                <w:szCs w:val="18"/>
                <w:color w:val="auto"/>
              </w:rPr>
              <w:t>Legal and General Index Linked Gilt Funds</w:t>
            </w:r>
          </w:p>
        </w:tc>
        <w:tc>
          <w:tcPr>
            <w:tcW w:w="2020" w:type="dxa"/>
            <w:vAlign w:val="bottom"/>
          </w:tcPr>
          <w:p>
            <w:pPr>
              <w:spacing w:after="0"/>
              <w:rPr>
                <w:sz w:val="18"/>
                <w:szCs w:val="18"/>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11,856</w:t>
            </w:r>
          </w:p>
        </w:tc>
        <w:tc>
          <w:tcPr>
            <w:tcW w:w="2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602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color w:val="auto"/>
              </w:rPr>
              <w:t>Other Types of Investments</w:t>
            </w:r>
          </w:p>
        </w:tc>
        <w:tc>
          <w:tcPr>
            <w:tcW w:w="20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60" w:type="dxa"/>
            <w:vAlign w:val="bottom"/>
            <w:shd w:val="clear" w:color="auto" w:fill="000000"/>
          </w:tcPr>
          <w:p>
            <w:pPr>
              <w:spacing w:after="0"/>
              <w:rPr>
                <w:sz w:val="3"/>
                <w:szCs w:val="3"/>
                <w:color w:val="auto"/>
              </w:rPr>
            </w:pPr>
          </w:p>
        </w:tc>
        <w:tc>
          <w:tcPr>
            <w:tcW w:w="13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20" w:type="dxa"/>
            <w:vAlign w:val="bottom"/>
            <w:gridSpan w:val="4"/>
          </w:tcPr>
          <w:p>
            <w:pPr>
              <w:spacing w:after="0"/>
              <w:rPr>
                <w:sz w:val="20"/>
                <w:szCs w:val="20"/>
                <w:color w:val="auto"/>
              </w:rPr>
            </w:pPr>
            <w:r>
              <w:rPr>
                <w:rFonts w:ascii="Arial" w:cs="Arial" w:eastAsia="Arial" w:hAnsi="Arial"/>
                <w:sz w:val="18"/>
                <w:szCs w:val="18"/>
                <w:color w:val="auto"/>
              </w:rPr>
              <w:t>Baillie Gifford Diversified Growth Fund</w:t>
            </w:r>
          </w:p>
        </w:tc>
        <w:tc>
          <w:tcPr>
            <w:tcW w:w="2020" w:type="dxa"/>
            <w:vAlign w:val="bottom"/>
          </w:tcPr>
          <w:p>
            <w:pPr>
              <w:spacing w:after="0"/>
              <w:rPr>
                <w:sz w:val="18"/>
                <w:szCs w:val="18"/>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13"/>
        </w:trPr>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Standard Life Global Absolute Return Strategies</w:t>
            </w:r>
          </w:p>
        </w:tc>
        <w:tc>
          <w:tcPr>
            <w:tcW w:w="2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19"/>
        </w:trPr>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0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25,409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21,422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$0.1 million to its pension fund in the year ending December 31,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annual benefit payments, which reflect expected future service as appropriate, are expected to be paid.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0"/>
              </w:rPr>
              <w:t>(in thousands)</w:t>
            </w:r>
          </w:p>
        </w:tc>
      </w:tr>
      <w:tr>
        <w:trPr>
          <w:trHeight w:val="214"/>
        </w:trPr>
        <w:tc>
          <w:tcPr>
            <w:tcW w:w="45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3"/>
        </w:trPr>
        <w:tc>
          <w:tcPr>
            <w:tcW w:w="454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3"/>
        </w:trPr>
        <w:tc>
          <w:tcPr>
            <w:tcW w:w="4540" w:type="dxa"/>
            <w:vAlign w:val="bottom"/>
          </w:tcPr>
          <w:p>
            <w:pPr>
              <w:spacing w:after="0"/>
              <w:rPr>
                <w:sz w:val="20"/>
                <w:szCs w:val="20"/>
                <w:color w:val="auto"/>
              </w:rPr>
            </w:pPr>
            <w:r>
              <w:rPr>
                <w:rFonts w:ascii="Arial" w:cs="Arial" w:eastAsia="Arial" w:hAnsi="Arial"/>
                <w:sz w:val="18"/>
                <w:szCs w:val="18"/>
                <w:color w:val="auto"/>
              </w:rPr>
              <w:t>2018</w:t>
            </w:r>
          </w:p>
        </w:tc>
        <w:tc>
          <w:tcPr>
            <w:tcW w:w="3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2020 - 2024</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10. Equity Incentive Schemes and Stock Compensation Charges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2014 is eight years.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2014, December 31, 2013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4760" w:type="dxa"/>
            <w:vAlign w:val="bottom"/>
          </w:tcPr>
          <w:p>
            <w:pPr>
              <w:spacing w:after="0"/>
              <w:rPr>
                <w:sz w:val="18"/>
                <w:szCs w:val="18"/>
                <w:color w:val="auto"/>
              </w:rPr>
            </w:pPr>
          </w:p>
        </w:tc>
        <w:tc>
          <w:tcPr>
            <w:tcW w:w="2780" w:type="dxa"/>
            <w:vAlign w:val="bottom"/>
          </w:tcPr>
          <w:p>
            <w:pPr>
              <w:jc w:val="right"/>
              <w:ind w:right="231"/>
              <w:spacing w:after="0"/>
              <w:rPr>
                <w:sz w:val="20"/>
                <w:szCs w:val="20"/>
                <w:color w:val="auto"/>
              </w:rPr>
            </w:pPr>
            <w:r>
              <w:rPr>
                <w:rFonts w:ascii="Arial" w:cs="Arial" w:eastAsia="Arial" w:hAnsi="Arial"/>
                <w:sz w:val="18"/>
                <w:szCs w:val="18"/>
                <w:b w:val="1"/>
                <w:bCs w:val="1"/>
                <w:color w:val="auto"/>
              </w:rPr>
              <w:t>Options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Average Grant</w:t>
            </w:r>
          </w:p>
        </w:tc>
      </w:tr>
      <w:tr>
        <w:trPr>
          <w:trHeight w:val="213"/>
        </w:trPr>
        <w:tc>
          <w:tcPr>
            <w:tcW w:w="4760" w:type="dxa"/>
            <w:vAlign w:val="bottom"/>
          </w:tcPr>
          <w:p>
            <w:pPr>
              <w:spacing w:after="0"/>
              <w:rPr>
                <w:sz w:val="18"/>
                <w:szCs w:val="18"/>
                <w:color w:val="auto"/>
              </w:rPr>
            </w:pPr>
          </w:p>
        </w:tc>
        <w:tc>
          <w:tcPr>
            <w:tcW w:w="2780" w:type="dxa"/>
            <w:vAlign w:val="bottom"/>
          </w:tcPr>
          <w:p>
            <w:pPr>
              <w:jc w:val="right"/>
              <w:ind w:right="231"/>
              <w:spacing w:after="0"/>
              <w:rPr>
                <w:sz w:val="20"/>
                <w:szCs w:val="20"/>
                <w:color w:val="auto"/>
              </w:rPr>
            </w:pPr>
            <w:r>
              <w:rPr>
                <w:rFonts w:ascii="Arial" w:cs="Arial" w:eastAsia="Arial" w:hAnsi="Arial"/>
                <w:sz w:val="18"/>
                <w:szCs w:val="18"/>
                <w:b w:val="1"/>
                <w:bCs w:val="1"/>
                <w:color w:val="auto"/>
              </w:rPr>
              <w:t>Granted</w:t>
            </w: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Date Fair</w:t>
            </w:r>
          </w:p>
        </w:tc>
      </w:tr>
      <w:tr>
        <w:trPr>
          <w:trHeight w:val="238"/>
        </w:trPr>
        <w:tc>
          <w:tcPr>
            <w:tcW w:w="47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Under Plans</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13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7"/>
              </w:rPr>
              <w:t>Exercise Price</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Value</w:t>
            </w:r>
          </w:p>
        </w:tc>
      </w:tr>
      <w:tr>
        <w:trPr>
          <w:trHeight w:val="253"/>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2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4,902,818</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4,902,818</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r>
      <w:tr>
        <w:trPr>
          <w:trHeight w:val="206"/>
        </w:trPr>
        <w:tc>
          <w:tcPr>
            <w:tcW w:w="476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80" w:type="dxa"/>
            <w:vAlign w:val="bottom"/>
          </w:tcPr>
          <w:p>
            <w:pPr>
              <w:jc w:val="right"/>
              <w:ind w:right="231"/>
              <w:spacing w:after="0" w:line="206" w:lineRule="exact"/>
              <w:rPr>
                <w:sz w:val="20"/>
                <w:szCs w:val="20"/>
                <w:color w:val="auto"/>
              </w:rPr>
            </w:pPr>
            <w:r>
              <w:rPr>
                <w:rFonts w:ascii="Arial" w:cs="Arial" w:eastAsia="Arial" w:hAnsi="Arial"/>
                <w:sz w:val="18"/>
                <w:szCs w:val="18"/>
                <w:color w:val="auto"/>
              </w:rPr>
              <w:t>842,273</w:t>
            </w:r>
          </w:p>
        </w:tc>
        <w:tc>
          <w:tcPr>
            <w:tcW w:w="1220" w:type="dxa"/>
            <w:vAlign w:val="bottom"/>
          </w:tcPr>
          <w:p>
            <w:pPr>
              <w:jc w:val="right"/>
              <w:ind w:right="51"/>
              <w:spacing w:after="0" w:line="206" w:lineRule="exact"/>
              <w:rPr>
                <w:sz w:val="20"/>
                <w:szCs w:val="20"/>
                <w:color w:val="auto"/>
              </w:rPr>
            </w:pPr>
            <w:r>
              <w:rPr>
                <w:rFonts w:ascii="Arial" w:cs="Arial" w:eastAsia="Arial" w:hAnsi="Arial"/>
                <w:sz w:val="18"/>
                <w:szCs w:val="18"/>
                <w:color w:val="auto"/>
              </w:rPr>
              <w:t>842,273</w:t>
            </w:r>
          </w:p>
        </w:tc>
        <w:tc>
          <w:tcPr>
            <w:tcW w:w="340" w:type="dxa"/>
            <w:vAlign w:val="bottom"/>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22.01</w:t>
            </w:r>
          </w:p>
        </w:tc>
        <w:tc>
          <w:tcPr>
            <w:tcW w:w="360" w:type="dxa"/>
            <w:vAlign w:val="bottom"/>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9.59</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(890,236)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(890,236)</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(504,224)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(504,224)</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25.14</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9.76</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6"/>
        </w:trPr>
        <w:tc>
          <w:tcPr>
            <w:tcW w:w="47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2012</w:t>
            </w:r>
          </w:p>
        </w:tc>
        <w:tc>
          <w:tcPr>
            <w:tcW w:w="2780" w:type="dxa"/>
            <w:vAlign w:val="bottom"/>
            <w:tcBorders>
              <w:bottom w:val="single" w:sz="8" w:color="auto"/>
            </w:tcBorders>
            <w:shd w:val="clear" w:color="auto" w:fill="CCEEFF"/>
          </w:tcPr>
          <w:p>
            <w:pPr>
              <w:jc w:val="right"/>
              <w:ind w:right="231"/>
              <w:spacing w:after="0" w:line="206" w:lineRule="exact"/>
              <w:rPr>
                <w:sz w:val="20"/>
                <w:szCs w:val="20"/>
                <w:color w:val="auto"/>
              </w:rPr>
            </w:pPr>
            <w:r>
              <w:rPr>
                <w:rFonts w:ascii="Arial" w:cs="Arial" w:eastAsia="Arial" w:hAnsi="Arial"/>
                <w:sz w:val="18"/>
                <w:szCs w:val="18"/>
                <w:color w:val="auto"/>
              </w:rPr>
              <w:t>4,350,631</w:t>
            </w:r>
          </w:p>
        </w:tc>
        <w:tc>
          <w:tcPr>
            <w:tcW w:w="12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4,350,631</w:t>
            </w:r>
          </w:p>
        </w:tc>
        <w:tc>
          <w:tcPr>
            <w:tcW w:w="34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23.01</w:t>
            </w:r>
          </w:p>
        </w:tc>
        <w:tc>
          <w:tcPr>
            <w:tcW w:w="360" w:type="dxa"/>
            <w:vAlign w:val="bottom"/>
            <w:tcBorders>
              <w:bottom w:val="single" w:sz="8" w:color="auto"/>
            </w:tcBorders>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9.17</w:t>
            </w:r>
          </w:p>
        </w:tc>
      </w:tr>
      <w:tr>
        <w:trPr>
          <w:trHeight w:val="206"/>
        </w:trPr>
        <w:tc>
          <w:tcPr>
            <w:tcW w:w="476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80" w:type="dxa"/>
            <w:vAlign w:val="bottom"/>
          </w:tcPr>
          <w:p>
            <w:pPr>
              <w:jc w:val="right"/>
              <w:ind w:right="231"/>
              <w:spacing w:after="0" w:line="206" w:lineRule="exact"/>
              <w:rPr>
                <w:sz w:val="20"/>
                <w:szCs w:val="20"/>
                <w:color w:val="auto"/>
              </w:rPr>
            </w:pPr>
            <w:r>
              <w:rPr>
                <w:rFonts w:ascii="Arial" w:cs="Arial" w:eastAsia="Arial" w:hAnsi="Arial"/>
                <w:sz w:val="18"/>
                <w:szCs w:val="18"/>
                <w:color w:val="auto"/>
              </w:rPr>
              <w:t>264,950</w:t>
            </w:r>
          </w:p>
        </w:tc>
        <w:tc>
          <w:tcPr>
            <w:tcW w:w="1220" w:type="dxa"/>
            <w:vAlign w:val="bottom"/>
          </w:tcPr>
          <w:p>
            <w:pPr>
              <w:jc w:val="right"/>
              <w:ind w:right="51"/>
              <w:spacing w:after="0" w:line="206" w:lineRule="exact"/>
              <w:rPr>
                <w:sz w:val="20"/>
                <w:szCs w:val="20"/>
                <w:color w:val="auto"/>
              </w:rPr>
            </w:pPr>
            <w:r>
              <w:rPr>
                <w:rFonts w:ascii="Arial" w:cs="Arial" w:eastAsia="Arial" w:hAnsi="Arial"/>
                <w:sz w:val="18"/>
                <w:szCs w:val="18"/>
                <w:color w:val="auto"/>
              </w:rPr>
              <w:t>264,950</w:t>
            </w:r>
          </w:p>
        </w:tc>
        <w:tc>
          <w:tcPr>
            <w:tcW w:w="340" w:type="dxa"/>
            <w:vAlign w:val="bottom"/>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33.09</w:t>
            </w:r>
          </w:p>
        </w:tc>
        <w:tc>
          <w:tcPr>
            <w:tcW w:w="360" w:type="dxa"/>
            <w:vAlign w:val="bottom"/>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12.05</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(1,249,759)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(1,249,759)</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(392,034)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(392,034)</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25.27</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10.02</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6"/>
        </w:trPr>
        <w:tc>
          <w:tcPr>
            <w:tcW w:w="47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2013</w:t>
            </w:r>
          </w:p>
        </w:tc>
        <w:tc>
          <w:tcPr>
            <w:tcW w:w="2780" w:type="dxa"/>
            <w:vAlign w:val="bottom"/>
            <w:tcBorders>
              <w:bottom w:val="single" w:sz="8" w:color="auto"/>
            </w:tcBorders>
            <w:shd w:val="clear" w:color="auto" w:fill="CCEEFF"/>
          </w:tcPr>
          <w:p>
            <w:pPr>
              <w:jc w:val="right"/>
              <w:ind w:right="231"/>
              <w:spacing w:after="0" w:line="206" w:lineRule="exact"/>
              <w:rPr>
                <w:sz w:val="20"/>
                <w:szCs w:val="20"/>
                <w:color w:val="auto"/>
              </w:rPr>
            </w:pPr>
            <w:r>
              <w:rPr>
                <w:rFonts w:ascii="Arial" w:cs="Arial" w:eastAsia="Arial" w:hAnsi="Arial"/>
                <w:sz w:val="18"/>
                <w:szCs w:val="18"/>
                <w:color w:val="auto"/>
              </w:rPr>
              <w:t>2,973,788</w:t>
            </w:r>
          </w:p>
        </w:tc>
        <w:tc>
          <w:tcPr>
            <w:tcW w:w="12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2,973,788</w:t>
            </w:r>
          </w:p>
        </w:tc>
        <w:tc>
          <w:tcPr>
            <w:tcW w:w="34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24.20</w:t>
            </w:r>
          </w:p>
        </w:tc>
        <w:tc>
          <w:tcPr>
            <w:tcW w:w="360" w:type="dxa"/>
            <w:vAlign w:val="bottom"/>
            <w:tcBorders>
              <w:bottom w:val="single" w:sz="8" w:color="auto"/>
            </w:tcBorders>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9.57</w:t>
            </w:r>
          </w:p>
        </w:tc>
      </w:tr>
      <w:tr>
        <w:trPr>
          <w:trHeight w:val="206"/>
        </w:trPr>
        <w:tc>
          <w:tcPr>
            <w:tcW w:w="476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80" w:type="dxa"/>
            <w:vAlign w:val="bottom"/>
          </w:tcPr>
          <w:p>
            <w:pPr>
              <w:jc w:val="right"/>
              <w:ind w:right="231"/>
              <w:spacing w:after="0" w:line="206" w:lineRule="exact"/>
              <w:rPr>
                <w:sz w:val="20"/>
                <w:szCs w:val="20"/>
                <w:color w:val="auto"/>
              </w:rPr>
            </w:pPr>
            <w:r>
              <w:rPr>
                <w:rFonts w:ascii="Arial" w:cs="Arial" w:eastAsia="Arial" w:hAnsi="Arial"/>
                <w:sz w:val="18"/>
                <w:szCs w:val="18"/>
                <w:color w:val="auto"/>
              </w:rPr>
              <w:t>366,985</w:t>
            </w:r>
          </w:p>
        </w:tc>
        <w:tc>
          <w:tcPr>
            <w:tcW w:w="1220" w:type="dxa"/>
            <w:vAlign w:val="bottom"/>
          </w:tcPr>
          <w:p>
            <w:pPr>
              <w:jc w:val="right"/>
              <w:ind w:right="51"/>
              <w:spacing w:after="0" w:line="206" w:lineRule="exact"/>
              <w:rPr>
                <w:sz w:val="20"/>
                <w:szCs w:val="20"/>
                <w:color w:val="auto"/>
              </w:rPr>
            </w:pPr>
            <w:r>
              <w:rPr>
                <w:rFonts w:ascii="Arial" w:cs="Arial" w:eastAsia="Arial" w:hAnsi="Arial"/>
                <w:sz w:val="18"/>
                <w:szCs w:val="18"/>
                <w:color w:val="auto"/>
              </w:rPr>
              <w:t>366,985</w:t>
            </w:r>
          </w:p>
        </w:tc>
        <w:tc>
          <w:tcPr>
            <w:tcW w:w="340" w:type="dxa"/>
            <w:vAlign w:val="bottom"/>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45.82</w:t>
            </w:r>
          </w:p>
        </w:tc>
        <w:tc>
          <w:tcPr>
            <w:tcW w:w="360" w:type="dxa"/>
            <w:vAlign w:val="bottom"/>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14.09</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(926,407)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(926,407)</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24.02</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(186,666)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(186,666)</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22.17</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9.01</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6"/>
        </w:trPr>
        <w:tc>
          <w:tcPr>
            <w:tcW w:w="47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2014</w:t>
            </w:r>
          </w:p>
        </w:tc>
        <w:tc>
          <w:tcPr>
            <w:tcW w:w="2780" w:type="dxa"/>
            <w:vAlign w:val="bottom"/>
            <w:tcBorders>
              <w:bottom w:val="single" w:sz="8" w:color="auto"/>
            </w:tcBorders>
            <w:shd w:val="clear" w:color="auto" w:fill="CCEEFF"/>
          </w:tcPr>
          <w:p>
            <w:pPr>
              <w:jc w:val="right"/>
              <w:ind w:right="231"/>
              <w:spacing w:after="0" w:line="206" w:lineRule="exact"/>
              <w:rPr>
                <w:sz w:val="20"/>
                <w:szCs w:val="20"/>
                <w:color w:val="auto"/>
              </w:rPr>
            </w:pPr>
            <w:r>
              <w:rPr>
                <w:rFonts w:ascii="Arial" w:cs="Arial" w:eastAsia="Arial" w:hAnsi="Arial"/>
                <w:sz w:val="18"/>
                <w:szCs w:val="18"/>
                <w:color w:val="auto"/>
              </w:rPr>
              <w:t>2,227,700</w:t>
            </w:r>
          </w:p>
        </w:tc>
        <w:tc>
          <w:tcPr>
            <w:tcW w:w="12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2,227,700</w:t>
            </w:r>
          </w:p>
        </w:tc>
        <w:tc>
          <w:tcPr>
            <w:tcW w:w="34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28.00</w:t>
            </w:r>
          </w:p>
        </w:tc>
        <w:tc>
          <w:tcPr>
            <w:tcW w:w="360" w:type="dxa"/>
            <w:vAlign w:val="bottom"/>
            <w:tcBorders>
              <w:bottom w:val="single" w:sz="8" w:color="auto"/>
            </w:tcBorders>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10.40</w:t>
            </w:r>
          </w:p>
        </w:tc>
      </w:tr>
      <w:tr>
        <w:trPr>
          <w:trHeight w:val="206"/>
        </w:trPr>
        <w:tc>
          <w:tcPr>
            <w:tcW w:w="4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3"/>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exercisable at December 31, 2014</w:t>
            </w:r>
          </w:p>
        </w:tc>
        <w:tc>
          <w:tcPr>
            <w:tcW w:w="2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1,024,550</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1,024,550</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2014, was 4.58 years and 3.22 years respectively (2013: 4.52 years and 3.29 years respectively). 494,951 options are expected to vest during the year ended December 31, 2015 (655,224 options were expected to vest during the year ended December 31, 2014).</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intrinsic value of options exercised during the year ended December 31, 2014 amounted to $23.0 million. The intrinsic value of options outstanding and options exercisable at December 31, 2014 amounted to $51.2 million and $26.6 million respectively. Intrinsic value is calculated based on the market value versus strike price of the Company’s shares at the date of exercise.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w w:val="98"/>
              </w:rPr>
              <w:t>Non-vested shares outstanding as at December 31, 2014 are as follows:</w:t>
            </w: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5"/>
        </w:trPr>
        <w:tc>
          <w:tcPr>
            <w:tcW w:w="5680" w:type="dxa"/>
            <w:vAlign w:val="bottom"/>
          </w:tcPr>
          <w:p>
            <w:pPr>
              <w:spacing w:after="0"/>
              <w:rPr>
                <w:sz w:val="24"/>
                <w:szCs w:val="24"/>
                <w:color w:val="auto"/>
              </w:rPr>
            </w:pPr>
          </w:p>
        </w:tc>
        <w:tc>
          <w:tcPr>
            <w:tcW w:w="2140" w:type="dxa"/>
            <w:vAlign w:val="bottom"/>
          </w:tcPr>
          <w:p>
            <w:pPr>
              <w:jc w:val="right"/>
              <w:ind w:right="51"/>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3"/>
        </w:trPr>
        <w:tc>
          <w:tcPr>
            <w:tcW w:w="5680" w:type="dxa"/>
            <w:vAlign w:val="bottom"/>
          </w:tcPr>
          <w:p>
            <w:pPr>
              <w:spacing w:after="0"/>
              <w:rPr>
                <w:sz w:val="18"/>
                <w:szCs w:val="18"/>
                <w:color w:val="auto"/>
              </w:rPr>
            </w:pPr>
          </w:p>
        </w:tc>
        <w:tc>
          <w:tcPr>
            <w:tcW w:w="2140" w:type="dxa"/>
            <w:vAlign w:val="bottom"/>
          </w:tcPr>
          <w:p>
            <w:pPr>
              <w:jc w:val="right"/>
              <w:ind w:right="51"/>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b w:val="1"/>
                <w:bCs w:val="1"/>
                <w:color w:val="auto"/>
                <w:w w:val="90"/>
              </w:rPr>
              <w:t>Weighted Average</w:t>
            </w:r>
          </w:p>
        </w:tc>
        <w:tc>
          <w:tcPr>
            <w:tcW w:w="2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5680" w:type="dxa"/>
            <w:vAlign w:val="bottom"/>
          </w:tcPr>
          <w:p>
            <w:pPr>
              <w:spacing w:after="0"/>
              <w:rPr>
                <w:sz w:val="19"/>
                <w:szCs w:val="19"/>
                <w:color w:val="auto"/>
              </w:rPr>
            </w:pPr>
          </w:p>
        </w:tc>
        <w:tc>
          <w:tcPr>
            <w:tcW w:w="214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 Shares</w:t>
            </w:r>
          </w:p>
        </w:tc>
        <w:tc>
          <w:tcPr>
            <w:tcW w:w="2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b w:val="1"/>
                <w:bCs w:val="1"/>
                <w:color w:val="auto"/>
              </w:rPr>
              <w:t>Exercise Price</w:t>
            </w:r>
          </w:p>
        </w:tc>
        <w:tc>
          <w:tcPr>
            <w:tcW w:w="2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b w:val="1"/>
                <w:bCs w:val="1"/>
                <w:color w:val="auto"/>
              </w:rPr>
              <w:t>Fair Value</w:t>
            </w:r>
          </w:p>
        </w:tc>
      </w:tr>
      <w:tr>
        <w:trPr>
          <w:trHeight w:val="214"/>
        </w:trPr>
        <w:tc>
          <w:tcPr>
            <w:tcW w:w="5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December 31, 2013</w:t>
            </w:r>
          </w:p>
        </w:tc>
        <w:tc>
          <w:tcPr>
            <w:tcW w:w="2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1,468,081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r>
      <w:tr>
        <w:trPr>
          <w:trHeight w:val="213"/>
        </w:trPr>
        <w:tc>
          <w:tcPr>
            <w:tcW w:w="5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366,985</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45.82</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13"/>
        </w:trPr>
        <w:tc>
          <w:tcPr>
            <w:tcW w:w="5680" w:type="dxa"/>
            <w:vAlign w:val="bottom"/>
          </w:tcPr>
          <w:p>
            <w:pPr>
              <w:spacing w:after="0"/>
              <w:rPr>
                <w:sz w:val="20"/>
                <w:szCs w:val="20"/>
                <w:color w:val="auto"/>
              </w:rPr>
            </w:pPr>
            <w:r>
              <w:rPr>
                <w:rFonts w:ascii="Arial" w:cs="Arial" w:eastAsia="Arial" w:hAnsi="Arial"/>
                <w:sz w:val="18"/>
                <w:szCs w:val="18"/>
                <w:color w:val="auto"/>
              </w:rPr>
              <w:t>Vested</w:t>
            </w:r>
          </w:p>
        </w:tc>
        <w:tc>
          <w:tcPr>
            <w:tcW w:w="2140" w:type="dxa"/>
            <w:vAlign w:val="bottom"/>
          </w:tcPr>
          <w:p>
            <w:pPr>
              <w:jc w:val="right"/>
              <w:spacing w:after="0"/>
              <w:rPr>
                <w:sz w:val="20"/>
                <w:szCs w:val="20"/>
                <w:color w:val="auto"/>
              </w:rPr>
            </w:pPr>
            <w:r>
              <w:rPr>
                <w:rFonts w:ascii="Arial" w:cs="Arial" w:eastAsia="Arial" w:hAnsi="Arial"/>
                <w:sz w:val="18"/>
                <w:szCs w:val="18"/>
                <w:color w:val="auto"/>
              </w:rPr>
              <w:t>(496,775)</w:t>
            </w:r>
          </w:p>
        </w:tc>
        <w:tc>
          <w:tcPr>
            <w:tcW w:w="2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22.85</w:t>
            </w:r>
          </w:p>
        </w:tc>
        <w:tc>
          <w:tcPr>
            <w:tcW w:w="2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19"/>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(135,141)</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23.36</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r>
      <w:tr>
        <w:trPr>
          <w:trHeight w:val="213"/>
        </w:trPr>
        <w:tc>
          <w:tcPr>
            <w:tcW w:w="5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3"/>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December 31, 2014</w:t>
            </w:r>
          </w:p>
        </w:tc>
        <w:tc>
          <w:tcPr>
            <w:tcW w:w="2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1,203,150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and exercisable share options: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2014:</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3360" w:type="dxa"/>
            <w:vAlign w:val="bottom"/>
            <w:gridSpan w:val="2"/>
          </w:tcPr>
          <w:p>
            <w:pPr>
              <w:jc w:val="right"/>
              <w:ind w:right="1211"/>
              <w:spacing w:after="0"/>
              <w:rPr>
                <w:sz w:val="20"/>
                <w:szCs w:val="20"/>
                <w:color w:val="auto"/>
              </w:rPr>
            </w:pPr>
            <w:r>
              <w:rPr>
                <w:rFonts w:ascii="Arial" w:cs="Arial" w:eastAsia="Arial" w:hAnsi="Arial"/>
                <w:sz w:val="18"/>
                <w:szCs w:val="18"/>
                <w:b w:val="1"/>
                <w:bCs w:val="1"/>
                <w:color w:val="auto"/>
              </w:rPr>
              <w:t>Options Outstanding</w:t>
            </w:r>
          </w:p>
        </w:tc>
        <w:tc>
          <w:tcPr>
            <w:tcW w:w="2180" w:type="dxa"/>
            <w:vAlign w:val="bottom"/>
          </w:tcPr>
          <w:p>
            <w:pPr>
              <w:spacing w:after="0"/>
              <w:rPr>
                <w:sz w:val="19"/>
                <w:szCs w:val="19"/>
                <w:color w:val="auto"/>
              </w:rPr>
            </w:pP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b w:val="1"/>
                <w:bCs w:val="1"/>
                <w:color w:val="auto"/>
              </w:rPr>
              <w:t>Options Exercisable</w:t>
            </w:r>
          </w:p>
        </w:tc>
      </w:tr>
      <w:tr>
        <w:trPr>
          <w:trHeight w:val="408"/>
        </w:trPr>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80" w:type="dxa"/>
            <w:vAlign w:val="bottom"/>
          </w:tcPr>
          <w:p>
            <w:pPr>
              <w:jc w:val="right"/>
              <w:ind w:right="291"/>
              <w:spacing w:after="0"/>
              <w:rPr>
                <w:sz w:val="20"/>
                <w:szCs w:val="20"/>
                <w:color w:val="auto"/>
              </w:rPr>
            </w:pPr>
            <w:r>
              <w:rPr>
                <w:rFonts w:ascii="Arial" w:cs="Arial" w:eastAsia="Arial" w:hAnsi="Arial"/>
                <w:sz w:val="18"/>
                <w:szCs w:val="18"/>
                <w:b w:val="1"/>
                <w:bCs w:val="1"/>
                <w:color w:val="auto"/>
              </w:rPr>
              <w:t>Weighted</w:t>
            </w:r>
          </w:p>
        </w:tc>
        <w:tc>
          <w:tcPr>
            <w:tcW w:w="2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Pr>
          <w:p>
            <w:pPr>
              <w:jc w:val="right"/>
              <w:ind w:right="291"/>
              <w:spacing w:after="0"/>
              <w:rPr>
                <w:sz w:val="20"/>
                <w:szCs w:val="20"/>
                <w:color w:val="auto"/>
              </w:rPr>
            </w:pPr>
            <w:r>
              <w:rPr>
                <w:rFonts w:ascii="Arial" w:cs="Arial" w:eastAsia="Arial" w:hAnsi="Arial"/>
                <w:sz w:val="18"/>
                <w:szCs w:val="18"/>
                <w:b w:val="1"/>
                <w:bCs w:val="1"/>
                <w:color w:val="auto"/>
              </w:rPr>
              <w:t>Average</w:t>
            </w:r>
          </w:p>
        </w:tc>
        <w:tc>
          <w:tcPr>
            <w:tcW w:w="2180" w:type="dxa"/>
            <w:vAlign w:val="bottom"/>
          </w:tcPr>
          <w:p>
            <w:pPr>
              <w:jc w:val="right"/>
              <w:ind w:right="411"/>
              <w:spacing w:after="0"/>
              <w:rPr>
                <w:sz w:val="20"/>
                <w:szCs w:val="20"/>
                <w:color w:val="auto"/>
              </w:rPr>
            </w:pPr>
            <w:r>
              <w:rPr>
                <w:rFonts w:ascii="Arial" w:cs="Arial" w:eastAsia="Arial" w:hAnsi="Arial"/>
                <w:sz w:val="18"/>
                <w:szCs w:val="18"/>
                <w:b w:val="1"/>
                <w:bCs w:val="1"/>
                <w:color w:val="auto"/>
              </w:rPr>
              <w:t>Weighted</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b w:val="1"/>
                <w:bCs w:val="1"/>
                <w:color w:val="auto"/>
              </w:rPr>
              <w:t>Range Exercise</w:t>
            </w:r>
          </w:p>
        </w:tc>
        <w:tc>
          <w:tcPr>
            <w:tcW w:w="1480" w:type="dxa"/>
            <w:vAlign w:val="bottom"/>
          </w:tcPr>
          <w:p>
            <w:pPr>
              <w:jc w:val="right"/>
              <w:ind w:right="131"/>
              <w:spacing w:after="0"/>
              <w:rPr>
                <w:sz w:val="20"/>
                <w:szCs w:val="20"/>
                <w:color w:val="auto"/>
              </w:rPr>
            </w:pPr>
            <w:r>
              <w:rPr>
                <w:rFonts w:ascii="Arial" w:cs="Arial" w:eastAsia="Arial" w:hAnsi="Arial"/>
                <w:sz w:val="18"/>
                <w:szCs w:val="18"/>
                <w:b w:val="1"/>
                <w:bCs w:val="1"/>
                <w:color w:val="auto"/>
              </w:rPr>
              <w:t>Number of</w:t>
            </w:r>
          </w:p>
        </w:tc>
        <w:tc>
          <w:tcPr>
            <w:tcW w:w="1880" w:type="dxa"/>
            <w:vAlign w:val="bottom"/>
          </w:tcPr>
          <w:p>
            <w:pPr>
              <w:jc w:val="right"/>
              <w:ind w:right="291"/>
              <w:spacing w:after="0"/>
              <w:rPr>
                <w:sz w:val="20"/>
                <w:szCs w:val="20"/>
                <w:color w:val="auto"/>
              </w:rPr>
            </w:pPr>
            <w:r>
              <w:rPr>
                <w:rFonts w:ascii="Arial" w:cs="Arial" w:eastAsia="Arial" w:hAnsi="Arial"/>
                <w:sz w:val="18"/>
                <w:szCs w:val="18"/>
                <w:b w:val="1"/>
                <w:bCs w:val="1"/>
                <w:color w:val="auto"/>
              </w:rPr>
              <w:t>Remaining</w:t>
            </w:r>
          </w:p>
        </w:tc>
        <w:tc>
          <w:tcPr>
            <w:tcW w:w="2180" w:type="dxa"/>
            <w:vAlign w:val="bottom"/>
          </w:tcPr>
          <w:p>
            <w:pPr>
              <w:jc w:val="right"/>
              <w:ind w:right="411"/>
              <w:spacing w:after="0"/>
              <w:rPr>
                <w:sz w:val="20"/>
                <w:szCs w:val="20"/>
                <w:color w:val="auto"/>
              </w:rPr>
            </w:pPr>
            <w:r>
              <w:rPr>
                <w:rFonts w:ascii="Arial" w:cs="Arial" w:eastAsia="Arial" w:hAnsi="Arial"/>
                <w:sz w:val="18"/>
                <w:szCs w:val="18"/>
                <w:b w:val="1"/>
                <w:bCs w:val="1"/>
                <w:color w:val="auto"/>
              </w:rPr>
              <w:t>Average Exercise</w:t>
            </w:r>
          </w:p>
        </w:tc>
        <w:tc>
          <w:tcPr>
            <w:tcW w:w="1640" w:type="dxa"/>
            <w:vAlign w:val="bottom"/>
          </w:tcPr>
          <w:p>
            <w:pPr>
              <w:jc w:val="right"/>
              <w:ind w:right="231"/>
              <w:spacing w:after="0"/>
              <w:rPr>
                <w:sz w:val="20"/>
                <w:szCs w:val="20"/>
                <w:color w:val="auto"/>
              </w:rPr>
            </w:pPr>
            <w:r>
              <w:rPr>
                <w:rFonts w:ascii="Arial" w:cs="Arial" w:eastAsia="Arial" w:hAnsi="Arial"/>
                <w:sz w:val="18"/>
                <w:szCs w:val="18"/>
                <w:b w:val="1"/>
                <w:bCs w:val="1"/>
                <w:color w:val="auto"/>
              </w:rPr>
              <w:t>Number of</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 Average</w:t>
            </w:r>
          </w:p>
        </w:tc>
      </w:tr>
      <w:tr>
        <w:trPr>
          <w:trHeight w:val="230"/>
        </w:trPr>
        <w:tc>
          <w:tcPr>
            <w:tcW w:w="2520" w:type="dxa"/>
            <w:vAlign w:val="bottom"/>
          </w:tcPr>
          <w:p>
            <w:pPr>
              <w:jc w:val="right"/>
              <w:ind w:right="371"/>
              <w:spacing w:after="0"/>
              <w:rPr>
                <w:sz w:val="20"/>
                <w:szCs w:val="20"/>
                <w:color w:val="auto"/>
              </w:rPr>
            </w:pPr>
            <w:r>
              <w:rPr>
                <w:rFonts w:ascii="Arial" w:cs="Arial" w:eastAsia="Arial" w:hAnsi="Arial"/>
                <w:sz w:val="18"/>
                <w:szCs w:val="18"/>
                <w:b w:val="1"/>
                <w:bCs w:val="1"/>
                <w:color w:val="auto"/>
              </w:rPr>
              <w:t>Price</w:t>
            </w:r>
          </w:p>
        </w:tc>
        <w:tc>
          <w:tcPr>
            <w:tcW w:w="1480" w:type="dxa"/>
            <w:vAlign w:val="bottom"/>
          </w:tcPr>
          <w:p>
            <w:pPr>
              <w:jc w:val="right"/>
              <w:ind w:right="131"/>
              <w:spacing w:after="0"/>
              <w:rPr>
                <w:sz w:val="20"/>
                <w:szCs w:val="20"/>
                <w:color w:val="auto"/>
              </w:rPr>
            </w:pPr>
            <w:r>
              <w:rPr>
                <w:rFonts w:ascii="Arial" w:cs="Arial" w:eastAsia="Arial" w:hAnsi="Arial"/>
                <w:sz w:val="18"/>
                <w:szCs w:val="18"/>
                <w:b w:val="1"/>
                <w:bCs w:val="1"/>
                <w:color w:val="auto"/>
              </w:rPr>
              <w:t>Shares</w:t>
            </w:r>
          </w:p>
        </w:tc>
        <w:tc>
          <w:tcPr>
            <w:tcW w:w="1880" w:type="dxa"/>
            <w:vAlign w:val="bottom"/>
          </w:tcPr>
          <w:p>
            <w:pPr>
              <w:jc w:val="right"/>
              <w:ind w:right="291"/>
              <w:spacing w:after="0"/>
              <w:rPr>
                <w:sz w:val="20"/>
                <w:szCs w:val="20"/>
                <w:color w:val="auto"/>
              </w:rPr>
            </w:pPr>
            <w:r>
              <w:rPr>
                <w:rFonts w:ascii="Arial" w:cs="Arial" w:eastAsia="Arial" w:hAnsi="Arial"/>
                <w:sz w:val="18"/>
                <w:szCs w:val="18"/>
                <w:b w:val="1"/>
                <w:bCs w:val="1"/>
                <w:color w:val="auto"/>
              </w:rPr>
              <w:t>Contractual Life</w:t>
            </w:r>
          </w:p>
        </w:tc>
        <w:tc>
          <w:tcPr>
            <w:tcW w:w="2180" w:type="dxa"/>
            <w:vAlign w:val="bottom"/>
          </w:tcPr>
          <w:p>
            <w:pPr>
              <w:jc w:val="right"/>
              <w:ind w:right="411"/>
              <w:spacing w:after="0"/>
              <w:rPr>
                <w:sz w:val="20"/>
                <w:szCs w:val="20"/>
                <w:color w:val="auto"/>
              </w:rPr>
            </w:pPr>
            <w:r>
              <w:rPr>
                <w:rFonts w:ascii="Arial" w:cs="Arial" w:eastAsia="Arial" w:hAnsi="Arial"/>
                <w:sz w:val="18"/>
                <w:szCs w:val="18"/>
                <w:b w:val="1"/>
                <w:bCs w:val="1"/>
                <w:color w:val="auto"/>
              </w:rPr>
              <w:t>Price</w:t>
            </w:r>
          </w:p>
        </w:tc>
        <w:tc>
          <w:tcPr>
            <w:tcW w:w="1640" w:type="dxa"/>
            <w:vAlign w:val="bottom"/>
          </w:tcPr>
          <w:p>
            <w:pPr>
              <w:jc w:val="right"/>
              <w:ind w:right="231"/>
              <w:spacing w:after="0"/>
              <w:rPr>
                <w:sz w:val="20"/>
                <w:szCs w:val="20"/>
                <w:color w:val="auto"/>
              </w:rPr>
            </w:pPr>
            <w:r>
              <w:rPr>
                <w:rFonts w:ascii="Arial" w:cs="Arial" w:eastAsia="Arial" w:hAnsi="Arial"/>
                <w:sz w:val="18"/>
                <w:szCs w:val="18"/>
                <w:b w:val="1"/>
                <w:bCs w:val="1"/>
                <w:color w:val="auto"/>
              </w:rPr>
              <w:t>Shares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 Price</w:t>
            </w:r>
          </w:p>
        </w:tc>
      </w:tr>
      <w:tr>
        <w:trPr>
          <w:trHeight w:val="214"/>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$15.84</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50,000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2.33</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$15.84</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$16.80</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90,000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4.83</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$16.80</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30,000</w:t>
            </w:r>
          </w:p>
        </w:tc>
        <w:tc>
          <w:tcPr>
            <w:tcW w:w="1720" w:type="dxa"/>
            <w:vAlign w:val="bottom"/>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$17.17</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18,000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4.85</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$17.17</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$18.98</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600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1.87</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$18.98</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600</w:t>
            </w:r>
          </w:p>
        </w:tc>
        <w:tc>
          <w:tcPr>
            <w:tcW w:w="1720" w:type="dxa"/>
            <w:vAlign w:val="bottom"/>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$19.45</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3.82</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$19.45</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$20.16</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600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3.87</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$20.16</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$20.28</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344,811</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4.17</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$20.28</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187,539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$20.59</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115,200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5.14</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$20.59</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23,400</w:t>
            </w:r>
          </w:p>
        </w:tc>
        <w:tc>
          <w:tcPr>
            <w:tcW w:w="1720" w:type="dxa"/>
            <w:vAlign w:val="bottom"/>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$21.25</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19,741</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0.12</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$21.25</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19,741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$22.26</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125,637</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2.15</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$22.26</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125,637</w:t>
            </w:r>
          </w:p>
        </w:tc>
        <w:tc>
          <w:tcPr>
            <w:tcW w:w="1720" w:type="dxa"/>
            <w:vAlign w:val="bottom"/>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$22.30</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352,793</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5.32</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$22.30</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113,729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$23.66</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8,720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5.57</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$23.66</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3,380</w:t>
            </w:r>
          </w:p>
        </w:tc>
        <w:tc>
          <w:tcPr>
            <w:tcW w:w="1720" w:type="dxa"/>
            <w:vAlign w:val="bottom"/>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$24.25</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50,000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3.18</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$24.25</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$24.46</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217,907</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3.17</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$24.46</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145,419</w:t>
            </w:r>
          </w:p>
        </w:tc>
        <w:tc>
          <w:tcPr>
            <w:tcW w:w="172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$26.20</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3.38</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$26.20</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$26.71</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4,450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5.70</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$26.71</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1,780</w:t>
            </w:r>
          </w:p>
        </w:tc>
        <w:tc>
          <w:tcPr>
            <w:tcW w:w="1720" w:type="dxa"/>
            <w:vAlign w:val="bottom"/>
          </w:tcPr>
          <w:p>
            <w:pPr>
              <w:jc w:val="right"/>
              <w:spacing w:after="0"/>
              <w:rPr>
                <w:sz w:val="20"/>
                <w:szCs w:val="20"/>
                <w:color w:val="auto"/>
              </w:rPr>
            </w:pPr>
            <w:r>
              <w:rPr>
                <w:rFonts w:ascii="Arial" w:cs="Arial" w:eastAsia="Arial" w:hAnsi="Arial"/>
                <w:sz w:val="18"/>
                <w:szCs w:val="18"/>
                <w:color w:val="auto"/>
              </w:rPr>
              <w:t>$26.71</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$29.45</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3,000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3.32</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$29.45</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$31.49</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11,650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6.16</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$31.49</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1,690</w:t>
            </w:r>
          </w:p>
        </w:tc>
        <w:tc>
          <w:tcPr>
            <w:tcW w:w="1720" w:type="dxa"/>
            <w:vAlign w:val="bottom"/>
          </w:tcPr>
          <w:p>
            <w:pPr>
              <w:jc w:val="right"/>
              <w:spacing w:after="0"/>
              <w:rPr>
                <w:sz w:val="20"/>
                <w:szCs w:val="20"/>
                <w:color w:val="auto"/>
              </w:rPr>
            </w:pPr>
            <w:r>
              <w:rPr>
                <w:rFonts w:ascii="Arial" w:cs="Arial" w:eastAsia="Arial" w:hAnsi="Arial"/>
                <w:sz w:val="18"/>
                <w:szCs w:val="18"/>
                <w:color w:val="auto"/>
              </w:rPr>
              <w:t>$31.49</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$32.37</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187,498</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6.33</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$32.37</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38,698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$35.33</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211,756</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1.15</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$35.33</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211,756</w:t>
            </w:r>
          </w:p>
        </w:tc>
        <w:tc>
          <w:tcPr>
            <w:tcW w:w="1720" w:type="dxa"/>
            <w:vAlign w:val="bottom"/>
          </w:tcPr>
          <w:p>
            <w:pPr>
              <w:jc w:val="right"/>
              <w:spacing w:after="0"/>
              <w:rPr>
                <w:sz w:val="20"/>
                <w:szCs w:val="20"/>
                <w:color w:val="auto"/>
              </w:rPr>
            </w:pPr>
            <w:r>
              <w:rPr>
                <w:rFonts w:ascii="Arial" w:cs="Arial" w:eastAsia="Arial" w:hAnsi="Arial"/>
                <w:sz w:val="18"/>
                <w:szCs w:val="18"/>
                <w:color w:val="auto"/>
              </w:rPr>
              <w:t>$35.33</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$36.22</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34,630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6.46</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$36.22</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6,921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$37.90</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10,300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6.93</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$37.90</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2,060</w:t>
            </w:r>
          </w:p>
        </w:tc>
        <w:tc>
          <w:tcPr>
            <w:tcW w:w="1720" w:type="dxa"/>
            <w:vAlign w:val="bottom"/>
          </w:tcPr>
          <w:p>
            <w:pPr>
              <w:jc w:val="right"/>
              <w:spacing w:after="0"/>
              <w:rPr>
                <w:sz w:val="20"/>
                <w:szCs w:val="20"/>
                <w:color w:val="auto"/>
              </w:rPr>
            </w:pPr>
            <w:r>
              <w:rPr>
                <w:rFonts w:ascii="Arial" w:cs="Arial" w:eastAsia="Arial" w:hAnsi="Arial"/>
                <w:sz w:val="18"/>
                <w:szCs w:val="18"/>
                <w:color w:val="auto"/>
              </w:rPr>
              <w:t>$37.90</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$40.83</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111,463</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7.39</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$40.83</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680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$41.25</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1.67</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$41.25</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1,000</w:t>
            </w:r>
          </w:p>
        </w:tc>
        <w:tc>
          <w:tcPr>
            <w:tcW w:w="1720" w:type="dxa"/>
            <w:vAlign w:val="bottom"/>
          </w:tcPr>
          <w:p>
            <w:pPr>
              <w:jc w:val="right"/>
              <w:spacing w:after="0"/>
              <w:rPr>
                <w:sz w:val="20"/>
                <w:szCs w:val="20"/>
                <w:color w:val="auto"/>
              </w:rPr>
            </w:pPr>
            <w:r>
              <w:rPr>
                <w:rFonts w:ascii="Arial" w:cs="Arial" w:eastAsia="Arial" w:hAnsi="Arial"/>
                <w:sz w:val="18"/>
                <w:szCs w:val="18"/>
                <w:color w:val="auto"/>
              </w:rPr>
              <w:t>$41.25</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$47.03</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82,147</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7.17</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$47.03</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20" w:type="dxa"/>
            <w:vAlign w:val="bottom"/>
          </w:tcPr>
          <w:p>
            <w:pPr>
              <w:spacing w:after="0"/>
              <w:rPr>
                <w:sz w:val="18"/>
                <w:szCs w:val="18"/>
                <w:color w:val="auto"/>
              </w:rPr>
            </w:pPr>
          </w:p>
        </w:tc>
      </w:tr>
      <w:tr>
        <w:trPr>
          <w:trHeight w:val="213"/>
        </w:trPr>
        <w:tc>
          <w:tcPr>
            <w:tcW w:w="2520" w:type="dxa"/>
            <w:vAlign w:val="bottom"/>
          </w:tcPr>
          <w:p>
            <w:pPr>
              <w:jc w:val="right"/>
              <w:ind w:right="371"/>
              <w:spacing w:after="0"/>
              <w:rPr>
                <w:sz w:val="20"/>
                <w:szCs w:val="20"/>
                <w:color w:val="auto"/>
              </w:rPr>
            </w:pPr>
            <w:r>
              <w:rPr>
                <w:rFonts w:ascii="Arial" w:cs="Arial" w:eastAsia="Arial" w:hAnsi="Arial"/>
                <w:sz w:val="18"/>
                <w:szCs w:val="18"/>
                <w:color w:val="auto"/>
              </w:rPr>
              <w:t>$48.67</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163,367</w:t>
            </w:r>
          </w:p>
        </w:tc>
        <w:tc>
          <w:tcPr>
            <w:tcW w:w="1880" w:type="dxa"/>
            <w:vAlign w:val="bottom"/>
          </w:tcPr>
          <w:p>
            <w:pPr>
              <w:jc w:val="right"/>
              <w:ind w:right="291"/>
              <w:spacing w:after="0"/>
              <w:rPr>
                <w:sz w:val="20"/>
                <w:szCs w:val="20"/>
                <w:color w:val="auto"/>
              </w:rPr>
            </w:pPr>
            <w:r>
              <w:rPr>
                <w:rFonts w:ascii="Arial" w:cs="Arial" w:eastAsia="Arial" w:hAnsi="Arial"/>
                <w:sz w:val="18"/>
                <w:szCs w:val="18"/>
                <w:color w:val="auto"/>
              </w:rPr>
              <w:t>7.21</w:t>
            </w:r>
          </w:p>
        </w:tc>
        <w:tc>
          <w:tcPr>
            <w:tcW w:w="2180" w:type="dxa"/>
            <w:vAlign w:val="bottom"/>
          </w:tcPr>
          <w:p>
            <w:pPr>
              <w:jc w:val="right"/>
              <w:ind w:right="411"/>
              <w:spacing w:after="0"/>
              <w:rPr>
                <w:sz w:val="20"/>
                <w:szCs w:val="20"/>
                <w:color w:val="auto"/>
              </w:rPr>
            </w:pPr>
            <w:r>
              <w:rPr>
                <w:rFonts w:ascii="Arial" w:cs="Arial" w:eastAsia="Arial" w:hAnsi="Arial"/>
                <w:sz w:val="18"/>
                <w:szCs w:val="18"/>
                <w:color w:val="auto"/>
              </w:rPr>
              <w:t>$48.67</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$48.67</w:t>
            </w:r>
          </w:p>
        </w:tc>
        <w:tc>
          <w:tcPr>
            <w:tcW w:w="20" w:type="dxa"/>
            <w:vAlign w:val="bottom"/>
          </w:tcPr>
          <w:p>
            <w:pPr>
              <w:spacing w:after="0"/>
              <w:rPr>
                <w:sz w:val="18"/>
                <w:szCs w:val="18"/>
                <w:color w:val="auto"/>
              </w:rPr>
            </w:pPr>
          </w:p>
        </w:tc>
      </w:tr>
      <w:tr>
        <w:trPr>
          <w:trHeight w:val="213"/>
        </w:trPr>
        <w:tc>
          <w:tcPr>
            <w:tcW w:w="25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$51.35</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4,030</w:t>
            </w:r>
          </w:p>
        </w:tc>
        <w:tc>
          <w:tcPr>
            <w:tcW w:w="18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7.60</w:t>
            </w:r>
          </w:p>
        </w:tc>
        <w:tc>
          <w:tcPr>
            <w:tcW w:w="2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$51.35</w:t>
            </w:r>
          </w:p>
        </w:tc>
        <w:tc>
          <w:tcPr>
            <w:tcW w:w="16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0" w:type="dxa"/>
            <w:vAlign w:val="bottom"/>
          </w:tcPr>
          <w:p>
            <w:pPr>
              <w:spacing w:after="0"/>
              <w:rPr>
                <w:sz w:val="18"/>
                <w:szCs w:val="18"/>
                <w:color w:val="auto"/>
              </w:rPr>
            </w:pPr>
          </w:p>
        </w:tc>
      </w:tr>
      <w:tr>
        <w:trPr>
          <w:trHeight w:val="219"/>
        </w:trPr>
        <w:tc>
          <w:tcPr>
            <w:tcW w:w="2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52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$15.84 - $51.35</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2,227,700</w:t>
            </w:r>
          </w:p>
        </w:tc>
        <w:tc>
          <w:tcPr>
            <w:tcW w:w="18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4.58</w:t>
            </w:r>
          </w:p>
        </w:tc>
        <w:tc>
          <w:tcPr>
            <w:tcW w:w="21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$28.00</w:t>
            </w:r>
          </w:p>
        </w:tc>
        <w:tc>
          <w:tcPr>
            <w:tcW w:w="16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1,024,550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w:t>
            </w:r>
          </w:p>
        </w:tc>
        <w:tc>
          <w:tcPr>
            <w:tcW w:w="20" w:type="dxa"/>
            <w:vAlign w:val="bottom"/>
          </w:tcPr>
          <w:p>
            <w:pPr>
              <w:spacing w:after="0"/>
              <w:rPr>
                <w:sz w:val="19"/>
                <w:szCs w:val="19"/>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Options outstanding include both vested and unvested options as at December 31, 2014. Options exercisable represent options which have vested at December 31, 2014. From the date of grant, substantially all options vest over a five year period at 20% per annum.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weighted average fair value of options granted during the years ended December 31, 2014, December 31, 2013 and December 31, 2012 was calculated using the Black-Scholes option pricing model. The weighted average fair values and assumptions were as follows: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3"/>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w w:val="88"/>
              </w:rPr>
              <w:t>Year Ended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8"/>
                <w:szCs w:val="18"/>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w w:val="85"/>
              </w:rPr>
              <w:t>December 31,</w:t>
            </w:r>
          </w:p>
        </w:tc>
        <w:tc>
          <w:tcPr>
            <w:tcW w:w="14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w w:val="87"/>
              </w:rPr>
              <w:t>December 31,</w:t>
            </w:r>
          </w:p>
        </w:tc>
      </w:tr>
      <w:tr>
        <w:trPr>
          <w:trHeight w:val="230"/>
        </w:trPr>
        <w:tc>
          <w:tcPr>
            <w:tcW w:w="9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2012</w:t>
            </w:r>
          </w:p>
        </w:tc>
      </w:tr>
      <w:tr>
        <w:trPr>
          <w:trHeight w:val="214"/>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9.59</w:t>
            </w:r>
          </w:p>
        </w:tc>
      </w:tr>
      <w:tr>
        <w:trPr>
          <w:trHeight w:val="206"/>
        </w:trPr>
        <w:tc>
          <w:tcPr>
            <w:tcW w:w="9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3"/>
        </w:trPr>
        <w:tc>
          <w:tcPr>
            <w:tcW w:w="466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color w:val="auto"/>
              </w:rPr>
              <w:t>Assumptions:</w:t>
            </w:r>
          </w:p>
        </w:tc>
        <w:tc>
          <w:tcPr>
            <w:tcW w:w="27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46"/>
        </w:trPr>
        <w:tc>
          <w:tcPr>
            <w:tcW w:w="980" w:type="dxa"/>
            <w:vAlign w:val="bottom"/>
            <w:tcBorders>
              <w:top w:val="single" w:sz="8" w:color="auto"/>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3"/>
        </w:trPr>
        <w:tc>
          <w:tcPr>
            <w:tcW w:w="46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53"/>
        </w:trPr>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7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r>
    </w:tbl>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year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RSU</w:t>
            </w:r>
          </w:p>
        </w:tc>
      </w:tr>
      <w:tr>
        <w:trPr>
          <w:trHeight w:val="213"/>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PSU</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302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PSU</w:t>
            </w:r>
          </w:p>
        </w:tc>
        <w:tc>
          <w:tcPr>
            <w:tcW w:w="3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r>
      <w:tr>
        <w:trPr>
          <w:trHeight w:val="213"/>
        </w:trPr>
        <w:tc>
          <w:tcPr>
            <w:tcW w:w="302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Remaining</w:t>
            </w:r>
          </w:p>
        </w:tc>
      </w:tr>
      <w:tr>
        <w:trPr>
          <w:trHeight w:val="213"/>
        </w:trPr>
        <w:tc>
          <w:tcPr>
            <w:tcW w:w="302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Fair</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Contractual</w:t>
            </w:r>
          </w:p>
        </w:tc>
      </w:tr>
      <w:tr>
        <w:trPr>
          <w:trHeight w:val="230"/>
        </w:trPr>
        <w:tc>
          <w:tcPr>
            <w:tcW w:w="302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Value</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Life</w:t>
            </w:r>
          </w:p>
        </w:tc>
      </w:tr>
      <w:tr>
        <w:trPr>
          <w:trHeight w:val="214"/>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353,244</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33.04</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2.35</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846,459</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27.05</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13"/>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346,108</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46.34</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521,926</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41.84</w:t>
            </w:r>
          </w:p>
        </w:tc>
        <w:tc>
          <w:tcPr>
            <w:tcW w:w="1240" w:type="dxa"/>
            <w:vAlign w:val="bottom"/>
            <w:shd w:val="clear" w:color="auto" w:fill="CCEEFF"/>
          </w:tcPr>
          <w:p>
            <w:pPr>
              <w:spacing w:after="0"/>
              <w:rPr>
                <w:sz w:val="18"/>
                <w:szCs w:val="18"/>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(233,726)</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21.11</w:t>
            </w:r>
          </w:p>
        </w:tc>
        <w:tc>
          <w:tcPr>
            <w:tcW w:w="1240" w:type="dxa"/>
            <w:vAlign w:val="bottom"/>
          </w:tcPr>
          <w:p>
            <w:pPr>
              <w:spacing w:after="0"/>
              <w:rPr>
                <w:sz w:val="18"/>
                <w:szCs w:val="18"/>
                <w:color w:val="auto"/>
              </w:rPr>
            </w:pPr>
          </w:p>
        </w:tc>
      </w:tr>
      <w:tr>
        <w:trPr>
          <w:trHeight w:val="219"/>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(30,181)</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34.62</w:t>
            </w:r>
          </w:p>
        </w:tc>
        <w:tc>
          <w:tcPr>
            <w:tcW w:w="1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(95,663)</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32.68</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13"/>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669,171</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39.78</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1.77</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1,038,996</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35.19</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590"/>
        </w:trPr>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105</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7"/>
        </w:trPr>
        <w:tc>
          <w:tcPr>
            <w:tcW w:w="30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The fair value of RSU’s vested for the year ended December 31, 2014 totaled $4.9 million (2013: $1.1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during 2014 or 2013.</w:t>
      </w:r>
    </w:p>
    <w:p>
      <w:pPr>
        <w:spacing w:after="0" w:line="245" w:lineRule="exact"/>
        <w:rPr>
          <w:sz w:val="20"/>
          <w:szCs w:val="20"/>
          <w:color w:val="auto"/>
        </w:rPr>
      </w:pPr>
    </w:p>
    <w:p>
      <w:pPr>
        <w:ind w:right="260"/>
        <w:spacing w:after="0" w:line="295" w:lineRule="auto"/>
        <w:rPr>
          <w:sz w:val="20"/>
          <w:szCs w:val="20"/>
          <w:color w:val="auto"/>
        </w:rPr>
      </w:pPr>
      <w:r>
        <w:rPr>
          <w:rFonts w:ascii="Arial" w:cs="Arial" w:eastAsia="Arial" w:hAnsi="Arial"/>
          <w:sz w:val="17"/>
          <w:szCs w:val="17"/>
          <w:color w:val="auto"/>
        </w:rPr>
        <w:t>The PSUs vest based on service and specified EPS targets over the periods 2014 – 2016 and 2015 – 2017. Since 2013, 337,738 PSUs (net of forfeitures) have been granted. Depending on the actual amount of EPS from 2013 to 2017, up to an additional 331,433 PSUs may also be granted.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Income from operations for the year ended December 31, 2014 is stated after charging $22.7 million in respect of non-cash stock compensation expense. Non-cash stock compensation expense for the year ended December 31, 2014 has been allocated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5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12,531</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6,007</w:t>
            </w:r>
          </w:p>
        </w:tc>
      </w:tr>
      <w:tr>
        <w:trPr>
          <w:trHeight w:val="213"/>
        </w:trPr>
        <w:tc>
          <w:tcPr>
            <w:tcW w:w="5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10,211</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4,894</w:t>
            </w:r>
          </w:p>
        </w:tc>
      </w:tr>
      <w:tr>
        <w:trPr>
          <w:trHeight w:val="219"/>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and other non-recurring items (note 14)</w:t>
            </w:r>
          </w:p>
        </w:tc>
        <w:tc>
          <w:tcPr>
            <w:tcW w:w="19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5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22,742</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11,521</w:t>
            </w: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non-cash stock compensation expense not yet recognized at December 31, 2014 amounted to $51.6 million. The weighted average period over which this is expected to be recognized is 2.28 years. Total tax benefit recognized in additional paid in capital related to the non-cash compensation expense amounted to $2.4 million for the year ended December 31, 2014 (2013: $1.7 million, 2012: $1.3 million).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11. Government Grants</w:t>
            </w: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5"/>
        </w:trPr>
        <w:tc>
          <w:tcPr>
            <w:tcW w:w="1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December 31,</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11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r>
      <w:tr>
        <w:trPr>
          <w:trHeight w:val="230"/>
        </w:trPr>
        <w:tc>
          <w:tcPr>
            <w:tcW w:w="11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40" w:type="dxa"/>
            <w:vAlign w:val="bottom"/>
            <w:gridSpan w:val="3"/>
          </w:tcPr>
          <w:p>
            <w:pPr>
              <w:jc w:val="right"/>
              <w:ind w:right="8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11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13"/>
        </w:trPr>
        <w:tc>
          <w:tcPr>
            <w:tcW w:w="1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219"/>
        </w:trPr>
        <w:tc>
          <w:tcPr>
            <w:tcW w:w="1140" w:type="dxa"/>
            <w:vAlign w:val="bottom"/>
          </w:tcPr>
          <w:p>
            <w:pPr>
              <w:spacing w:after="0"/>
              <w:rPr>
                <w:sz w:val="19"/>
                <w:szCs w:val="19"/>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19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3"/>
        </w:trPr>
        <w:tc>
          <w:tcPr>
            <w:tcW w:w="1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Total government grants</w:t>
            </w:r>
          </w:p>
        </w:tc>
        <w:tc>
          <w:tcPr>
            <w:tcW w:w="19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19"/>
        </w:trPr>
        <w:tc>
          <w:tcPr>
            <w:tcW w:w="1140" w:type="dxa"/>
            <w:vAlign w:val="bottom"/>
          </w:tcPr>
          <w:p>
            <w:pPr>
              <w:spacing w:after="0"/>
              <w:rPr>
                <w:sz w:val="19"/>
                <w:szCs w:val="19"/>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3"/>
        </w:trPr>
        <w:tc>
          <w:tcPr>
            <w:tcW w:w="114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government grants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r>
        <w:trPr>
          <w:trHeight w:val="20"/>
        </w:trPr>
        <w:tc>
          <w:tcPr>
            <w:tcW w:w="114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$213,000 and $349,000 for the years ended December 31, 2014 and December 31, 2013 respectively. As at December 31, 2014 the Company had $0.7 million in restricted retained earnings, pursuant to the terms of grant agreements.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12. Share Capital</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During the year ended December 31, 2014, 926,407 options were exercised by employees at an average exercise price of $24.02 per share for total proceeds of $22.3 million. During the year ended December 31, 2014, 233,726 ordinary shares were issued in respect of certain RSU’s previously awarded by the Company.</w:t>
      </w:r>
    </w:p>
    <w:p>
      <w:pPr>
        <w:spacing w:after="0" w:line="160" w:lineRule="exact"/>
        <w:rPr>
          <w:sz w:val="20"/>
          <w:szCs w:val="20"/>
          <w:color w:val="auto"/>
        </w:rPr>
      </w:pPr>
    </w:p>
    <w:p>
      <w:pPr>
        <w:jc w:val="both"/>
        <w:spacing w:after="0" w:line="410" w:lineRule="auto"/>
        <w:rPr>
          <w:sz w:val="20"/>
          <w:szCs w:val="20"/>
          <w:color w:val="auto"/>
        </w:rPr>
      </w:pPr>
      <w:r>
        <w:rPr>
          <w:rFonts w:ascii="Arial" w:cs="Arial" w:eastAsia="Arial" w:hAnsi="Arial"/>
          <w:sz w:val="14"/>
          <w:szCs w:val="14"/>
          <w:color w:val="auto"/>
        </w:rPr>
        <w:t>During the year ended December 31, 2013, 1,249,759 options were exercised by employees at an average exercise price of $21.60 per share for total proceeds of $27.0 million. During the year ended December 31, 2013, 50,000 ordinary shares were issued in respect of certain RSU’s previously awarded by the Company.</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the year ended December 31, 2012, 890,236 options were exercised by employees at an average exercise price of $14.62 per share for total proceeds of $13.0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Share Repurchase Program</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October 27, 2011 the Company announced its intention to commence a share repurchase program of up to $50 million. On November 22, 2011 the Company entered into two separate share repurchase plans of up to $10 million each, covering the periods November 23, 2011 to December 31, 2011 and January 1, 2012 to February 20, 2012 respectively. On February 21, 2012 the Company entered into a further share repurchase plan of up to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 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2014 2,640,610 ordinary shares were repurchased by the Company for a total consideration of $140.0 million. There were no share repurchases completed during 2013. During the year ended December 31, 2012 738,341 ordinary shares were repurchased by the Company for a total consideration of $15.6 million. All ordinary shares repurchased by the Company were cancelled, and the nominal value of these shares transferred to a capital redemption reserve fund as required under Irish Company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13. Income Taxes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60" w:type="dxa"/>
            <w:vAlign w:val="bottom"/>
            <w:gridSpan w:val="2"/>
          </w:tcPr>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19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143,889</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80,914</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12,157</w:t>
            </w:r>
          </w:p>
        </w:tc>
        <w:tc>
          <w:tcPr>
            <w:tcW w:w="0" w:type="dxa"/>
            <w:vAlign w:val="bottom"/>
          </w:tcPr>
          <w:p>
            <w:pPr>
              <w:spacing w:after="0"/>
              <w:rPr>
                <w:sz w:val="1"/>
                <w:szCs w:val="1"/>
                <w:color w:val="auto"/>
              </w:rPr>
            </w:pP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7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6,966</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16,218</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19"/>
        </w:trPr>
        <w:tc>
          <w:tcPr>
            <w:tcW w:w="6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51,861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23,733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43,693</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202,716</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120,865</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67,221</w:t>
            </w:r>
          </w:p>
        </w:tc>
        <w:tc>
          <w:tcPr>
            <w:tcW w:w="0" w:type="dxa"/>
            <w:vAlign w:val="bottom"/>
          </w:tcPr>
          <w:p>
            <w:pPr>
              <w:spacing w:after="0"/>
              <w:rPr>
                <w:sz w:val="1"/>
                <w:szCs w:val="1"/>
                <w:color w:val="auto"/>
              </w:rPr>
            </w:pPr>
          </w:p>
        </w:tc>
      </w:tr>
      <w:tr>
        <w:trPr>
          <w:trHeight w:val="444"/>
        </w:trPr>
        <w:tc>
          <w:tcPr>
            <w:tcW w:w="6960" w:type="dxa"/>
            <w:vAlign w:val="bottom"/>
            <w:gridSpan w:val="2"/>
          </w:tcPr>
          <w:p>
            <w:pPr>
              <w:spacing w:after="0"/>
              <w:rPr>
                <w:sz w:val="20"/>
                <w:szCs w:val="20"/>
                <w:color w:val="auto"/>
              </w:rPr>
            </w:pPr>
            <w:r>
              <w:rPr>
                <w:rFonts w:ascii="Arial" w:cs="Arial" w:eastAsia="Arial" w:hAnsi="Arial"/>
                <w:sz w:val="18"/>
                <w:szCs w:val="18"/>
                <w:color w:val="auto"/>
              </w:rPr>
              <w:t>The components of total income tax expense are as follows:</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9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0"/>
        </w:trPr>
        <w:tc>
          <w:tcPr>
            <w:tcW w:w="1960" w:type="dxa"/>
            <w:vAlign w:val="bottom"/>
            <w:vMerge w:val="restart"/>
          </w:tcPr>
          <w:p>
            <w:pPr>
              <w:spacing w:after="0"/>
              <w:rPr>
                <w:sz w:val="20"/>
                <w:szCs w:val="20"/>
                <w:color w:val="auto"/>
              </w:rPr>
            </w:pPr>
            <w:r>
              <w:rPr>
                <w:rFonts w:ascii="Arial" w:cs="Arial" w:eastAsia="Arial" w:hAnsi="Arial"/>
                <w:sz w:val="18"/>
                <w:szCs w:val="18"/>
                <w:color w:val="auto"/>
                <w:w w:val="89"/>
              </w:rPr>
              <w:t>Provision for income taxes:</w:t>
            </w:r>
          </w:p>
        </w:tc>
        <w:tc>
          <w:tcPr>
            <w:tcW w:w="5000" w:type="dxa"/>
            <w:vAlign w:val="bottom"/>
            <w:vMerge w:val="restart"/>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9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19,562</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9,158</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7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7,891</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14,492</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219"/>
        </w:trPr>
        <w:tc>
          <w:tcPr>
            <w:tcW w:w="6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10,695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4,876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8,257</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tax</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38,148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28,526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22,231</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expense/(benefit):</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1,914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19"/>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deferred tax expense/(benefit)</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(10,430)</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30,248</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18,053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96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w w:val="94"/>
              </w:rPr>
              <w:t>Impact on shareholders equity and other comprehensive income of the tax consequence of :</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 on stock compensation</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9"/>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impact on long term funding</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28,022</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16,489</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960" w:type="dxa"/>
            <w:vAlign w:val="bottom"/>
            <w:gridSpan w:val="2"/>
          </w:tcPr>
          <w:p>
            <w:pPr>
              <w:ind w:left="5580"/>
              <w:spacing w:after="0"/>
              <w:rPr>
                <w:sz w:val="20"/>
                <w:szCs w:val="20"/>
                <w:color w:val="auto"/>
              </w:rPr>
            </w:pPr>
            <w:r>
              <w:rPr>
                <w:rFonts w:ascii="Arial" w:cs="Arial" w:eastAsia="Arial" w:hAnsi="Arial"/>
                <w:sz w:val="18"/>
                <w:szCs w:val="18"/>
                <w:color w:val="auto"/>
              </w:rPr>
              <w:t>108</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96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Ireland’s statutory income tax rate is 12.5%. The Company’s consolidated effective tax rate differed from the statutory rate as set forth 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3"/>
        </w:trPr>
        <w:tc>
          <w:tcPr>
            <w:tcW w:w="5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5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1"/>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Taxes at Irish statutory rate of 12.5% (2013:12.5%;</w:t>
            </w:r>
          </w:p>
        </w:tc>
        <w:tc>
          <w:tcPr>
            <w:tcW w:w="2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2012:12.5%)</w:t>
            </w:r>
          </w:p>
        </w:tc>
        <w:tc>
          <w:tcPr>
            <w:tcW w:w="2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25,340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15,108</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8,401</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Foreign and other income taxed at higher rates</w:t>
            </w:r>
          </w:p>
        </w:tc>
        <w:tc>
          <w:tcPr>
            <w:tcW w:w="21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1,981</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4,085</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6,360</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incentives</w:t>
            </w:r>
          </w:p>
        </w:tc>
        <w:tc>
          <w:tcPr>
            <w:tcW w:w="2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2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(1,965)</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2,389</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1,557</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Effects of change in tax rates</w:t>
            </w:r>
          </w:p>
        </w:tc>
        <w:tc>
          <w:tcPr>
            <w:tcW w:w="2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Increase in unrecognized tax benefits</w:t>
            </w:r>
          </w:p>
        </w:tc>
        <w:tc>
          <w:tcPr>
            <w:tcW w:w="21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2,869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646</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Prior year over provision</w:t>
            </w:r>
          </w:p>
        </w:tc>
        <w:tc>
          <w:tcPr>
            <w:tcW w:w="2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13"/>
        </w:trPr>
        <w:tc>
          <w:tcPr>
            <w:tcW w:w="5540" w:type="dxa"/>
            <w:vAlign w:val="bottom"/>
          </w:tcPr>
          <w:p>
            <w:pPr>
              <w:spacing w:after="0"/>
              <w:rPr>
                <w:sz w:val="20"/>
                <w:szCs w:val="20"/>
                <w:color w:val="auto"/>
              </w:rPr>
            </w:pPr>
            <w:r>
              <w:rPr>
                <w:rFonts w:ascii="Arial" w:cs="Arial" w:eastAsia="Arial" w:hAnsi="Arial"/>
                <w:sz w:val="18"/>
                <w:szCs w:val="18"/>
                <w:color w:val="auto"/>
              </w:rPr>
              <w:t>Effects of permanent items</w:t>
            </w:r>
          </w:p>
        </w:tc>
        <w:tc>
          <w:tcPr>
            <w:tcW w:w="21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3,219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9"/>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623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425"/>
        </w:trPr>
        <w:tc>
          <w:tcPr>
            <w:tcW w:w="55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30,248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18,053</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11,801</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3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4,270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6,501</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Goodwill attributable to intangibles</w:t>
            </w: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18,645</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3,657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Accruals</w:t>
            </w: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FX</w:t>
            </w:r>
          </w:p>
        </w:tc>
        <w:tc>
          <w:tcPr>
            <w:tcW w:w="3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1,709</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Total deferred tax liabilities recognized</w:t>
            </w: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28,519</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22,595</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Deferred tax assets:</w:t>
            </w: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and tax credits carryforwards</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30,586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29,696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26,545</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2,739</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37,620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20,326</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Stock compensation</w:t>
            </w: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8,717</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6,291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expense</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1,853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FX</w:t>
            </w:r>
          </w:p>
        </w:tc>
        <w:tc>
          <w:tcPr>
            <w:tcW w:w="30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30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84,022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70,141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56,036</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30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 recognized</w:t>
            </w:r>
          </w:p>
        </w:tc>
        <w:tc>
          <w:tcPr>
            <w:tcW w:w="3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60,877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45,793</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34,846</w:t>
            </w:r>
          </w:p>
        </w:tc>
        <w:tc>
          <w:tcPr>
            <w:tcW w:w="0" w:type="dxa"/>
            <w:vAlign w:val="bottom"/>
          </w:tcPr>
          <w:p>
            <w:pPr>
              <w:spacing w:after="0"/>
              <w:rPr>
                <w:sz w:val="1"/>
                <w:szCs w:val="1"/>
                <w:color w:val="auto"/>
              </w:rPr>
            </w:pPr>
          </w:p>
        </w:tc>
      </w:tr>
      <w:tr>
        <w:trPr>
          <w:trHeight w:val="253"/>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 net of unrecognized tax benefits</w:t>
            </w:r>
          </w:p>
        </w:tc>
        <w:tc>
          <w:tcPr>
            <w:tcW w:w="30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60,877</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45,793</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34,846</w:t>
            </w:r>
          </w:p>
        </w:tc>
        <w:tc>
          <w:tcPr>
            <w:tcW w:w="0" w:type="dxa"/>
            <w:vAlign w:val="bottom"/>
          </w:tcPr>
          <w:p>
            <w:pPr>
              <w:spacing w:after="0"/>
              <w:rPr>
                <w:sz w:val="1"/>
                <w:szCs w:val="1"/>
                <w:color w:val="auto"/>
              </w:rPr>
            </w:pPr>
          </w:p>
        </w:tc>
      </w:tr>
      <w:tr>
        <w:trPr>
          <w:trHeight w:val="206"/>
        </w:trPr>
        <w:tc>
          <w:tcPr>
            <w:tcW w:w="462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Overall Net deferred tax asset</w:t>
            </w:r>
          </w:p>
        </w:tc>
        <w:tc>
          <w:tcPr>
            <w:tcW w:w="30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32,358</w:t>
            </w:r>
          </w:p>
        </w:tc>
        <w:tc>
          <w:tcPr>
            <w:tcW w:w="200" w:type="dxa"/>
            <w:vAlign w:val="bottom"/>
            <w:tcBorders>
              <w:bottom w:val="single" w:sz="8" w:color="auto"/>
            </w:tcBorders>
          </w:tcPr>
          <w:p>
            <w:pPr>
              <w:ind w:left="100"/>
              <w:spacing w:after="0" w:line="20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23,198</w:t>
            </w:r>
          </w:p>
        </w:tc>
        <w:tc>
          <w:tcPr>
            <w:tcW w:w="32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line="206" w:lineRule="exact"/>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620" w:type="dxa"/>
            <w:vAlign w:val="bottom"/>
          </w:tcPr>
          <w:p>
            <w:pPr>
              <w:spacing w:after="0"/>
              <w:rPr>
                <w:sz w:val="24"/>
                <w:szCs w:val="24"/>
                <w:color w:val="auto"/>
              </w:rPr>
            </w:pPr>
          </w:p>
        </w:tc>
        <w:tc>
          <w:tcPr>
            <w:tcW w:w="3060" w:type="dxa"/>
            <w:vAlign w:val="bottom"/>
          </w:tcPr>
          <w:p>
            <w:pPr>
              <w:jc w:val="right"/>
              <w:ind w:right="1751"/>
              <w:spacing w:after="0"/>
              <w:rPr>
                <w:sz w:val="20"/>
                <w:szCs w:val="20"/>
                <w:color w:val="auto"/>
              </w:rPr>
            </w:pPr>
            <w:r>
              <w:rPr>
                <w:rFonts w:ascii="Arial" w:cs="Arial" w:eastAsia="Arial" w:hAnsi="Arial"/>
                <w:sz w:val="18"/>
                <w:szCs w:val="18"/>
                <w:color w:val="auto"/>
              </w:rPr>
              <w:t>109</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1" w:name="page112"/>
    <w:bookmarkEnd w:id="111"/>
    <w:p>
      <w:pPr>
        <w:jc w:val="both"/>
        <w:spacing w:after="0" w:line="251" w:lineRule="auto"/>
        <w:rPr>
          <w:sz w:val="20"/>
          <w:szCs w:val="20"/>
          <w:color w:val="auto"/>
        </w:rPr>
      </w:pPr>
      <w:r>
        <w:rPr>
          <w:rFonts w:ascii="Arial" w:cs="Arial" w:eastAsia="Arial" w:hAnsi="Arial"/>
          <w:sz w:val="18"/>
          <w:szCs w:val="18"/>
          <w:color w:val="auto"/>
        </w:rPr>
        <w:t>At December 31, 2014 non-U.S subsidiaries had operating loss carryforwards for income tax purposes that may be carried forward indefinitely, available to offset against future taxable income, if any, of approximately $95.6 million (2013: $96.2 million). In addition at December 31, 2014 non-U.S subsidiaries had tax credit carryforwards for income tax purposes, that may be carried forward indefinitely, available to offset against future tax liabilities, if any, of approximately $3.6 million (2013: $2.4 million). At December 31, 2014 non-U.S. subsidiaries also had additional operating loss carry forwards of $5.8 million which are due to expire between 2015 and 2017.</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December 31, 2014 U.S. subsidiaries had U.S. federal and state net operating loss (“NOL”) carry forwards of approximately $36.9 million and $65.1 million, respectively. These net operating losses are available for offset against future taxable income and expire between 2015 and 2033. Of the $36.9 million U.S. federal net operating losses, approximately $11.8 million is currently available for offset against future U.S. federal taxable income. The subsidiary’s ability to use the U.S. federal and state net operating loss carry forwards is limited on an annual basis due to change of ownership in 2000, 2010 and 2014, as defined by Section 382 of the Internal Revenue Code of 1986, as amended.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expected expiry dates of these losses are as follows:</w:t>
      </w:r>
    </w:p>
    <w:p>
      <w:pPr>
        <w:spacing w:after="0" w:line="200" w:lineRule="exact"/>
        <w:rPr>
          <w:sz w:val="20"/>
          <w:szCs w:val="20"/>
          <w:color w:val="auto"/>
        </w:rPr>
      </w:pPr>
    </w:p>
    <w:p>
      <w:pPr>
        <w:spacing w:after="0" w:line="278" w:lineRule="exact"/>
        <w:rPr>
          <w:sz w:val="20"/>
          <w:szCs w:val="20"/>
          <w:color w:val="auto"/>
        </w:rPr>
      </w:pPr>
    </w:p>
    <w:p>
      <w:pPr>
        <w:ind w:left="9380"/>
        <w:spacing w:after="0"/>
        <w:tabs>
          <w:tab w:leader="none" w:pos="10920" w:val="left"/>
        </w:tabs>
        <w:rPr>
          <w:sz w:val="20"/>
          <w:szCs w:val="20"/>
          <w:color w:val="auto"/>
        </w:rPr>
      </w:pPr>
      <w:r>
        <w:rPr>
          <w:rFonts w:ascii="Arial" w:cs="Arial" w:eastAsia="Arial" w:hAnsi="Arial"/>
          <w:sz w:val="18"/>
          <w:szCs w:val="18"/>
          <w:b w:val="1"/>
          <w:bCs w:val="1"/>
          <w:color w:val="auto"/>
        </w:rPr>
        <w:t>Federal</w:t>
      </w:r>
      <w:r>
        <w:rPr>
          <w:sz w:val="20"/>
          <w:szCs w:val="20"/>
          <w:color w:val="auto"/>
        </w:rPr>
        <w:tab/>
      </w:r>
      <w:r>
        <w:rPr>
          <w:rFonts w:ascii="Arial" w:cs="Arial" w:eastAsia="Arial" w:hAnsi="Arial"/>
          <w:sz w:val="18"/>
          <w:szCs w:val="18"/>
          <w:b w:val="1"/>
          <w:bCs w:val="1"/>
          <w:color w:val="auto"/>
        </w:rPr>
        <w:t>State</w:t>
      </w:r>
    </w:p>
    <w:p>
      <w:pPr>
        <w:spacing w:after="0" w:line="23" w:lineRule="exact"/>
        <w:rPr>
          <w:sz w:val="20"/>
          <w:szCs w:val="20"/>
          <w:color w:val="auto"/>
        </w:rPr>
      </w:pPr>
    </w:p>
    <w:p>
      <w:pPr>
        <w:ind w:left="9480"/>
        <w:spacing w:after="0"/>
        <w:tabs>
          <w:tab w:leader="none" w:pos="10800" w:val="left"/>
        </w:tabs>
        <w:rPr>
          <w:sz w:val="20"/>
          <w:szCs w:val="20"/>
          <w:color w:val="auto"/>
        </w:rPr>
      </w:pPr>
      <w:r>
        <w:rPr>
          <w:rFonts w:ascii="Arial" w:cs="Arial" w:eastAsia="Arial" w:hAnsi="Arial"/>
          <w:sz w:val="18"/>
          <w:szCs w:val="18"/>
          <w:b w:val="1"/>
          <w:bCs w:val="1"/>
          <w:color w:val="auto"/>
        </w:rPr>
        <w:t>NOL’s</w:t>
      </w:r>
      <w:r>
        <w:rPr>
          <w:sz w:val="20"/>
          <w:szCs w:val="20"/>
          <w:color w:val="auto"/>
        </w:rPr>
        <w:tab/>
      </w:r>
      <w:r>
        <w:rPr>
          <w:rFonts w:ascii="Arial" w:cs="Arial" w:eastAsia="Arial" w:hAnsi="Arial"/>
          <w:sz w:val="18"/>
          <w:szCs w:val="18"/>
          <w:b w:val="1"/>
          <w:bCs w:val="1"/>
          <w:color w:val="auto"/>
        </w:rPr>
        <w:t>NOL’s</w:t>
      </w:r>
    </w:p>
    <w:p>
      <w:pPr>
        <w:spacing w:after="0" w:line="6"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80" w:type="dxa"/>
            <w:vAlign w:val="bottom"/>
            <w:shd w:val="clear" w:color="auto" w:fill="CCEEFF"/>
          </w:tcPr>
          <w:p>
            <w:pPr>
              <w:jc w:val="right"/>
              <w:ind w:right="8271"/>
              <w:spacing w:after="0"/>
              <w:rPr>
                <w:sz w:val="20"/>
                <w:szCs w:val="20"/>
                <w:color w:val="auto"/>
              </w:rPr>
            </w:pPr>
            <w:r>
              <w:rPr>
                <w:rFonts w:ascii="Arial" w:cs="Arial" w:eastAsia="Arial" w:hAnsi="Arial"/>
                <w:sz w:val="18"/>
                <w:szCs w:val="18"/>
                <w:color w:val="auto"/>
                <w:w w:val="87"/>
              </w:rPr>
              <w:t>2015- 2020</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r>
      <w:tr>
        <w:trPr>
          <w:trHeight w:val="213"/>
        </w:trPr>
        <w:tc>
          <w:tcPr>
            <w:tcW w:w="9180" w:type="dxa"/>
            <w:vAlign w:val="bottom"/>
          </w:tcPr>
          <w:p>
            <w:pPr>
              <w:jc w:val="right"/>
              <w:ind w:right="8271"/>
              <w:spacing w:after="0"/>
              <w:rPr>
                <w:sz w:val="20"/>
                <w:szCs w:val="20"/>
                <w:color w:val="auto"/>
              </w:rPr>
            </w:pPr>
            <w:r>
              <w:rPr>
                <w:rFonts w:ascii="Arial" w:cs="Arial" w:eastAsia="Arial" w:hAnsi="Arial"/>
                <w:sz w:val="18"/>
                <w:szCs w:val="18"/>
                <w:color w:val="auto"/>
                <w:w w:val="87"/>
              </w:rPr>
              <w:t>2021- 2025</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4,031</w:t>
            </w:r>
          </w:p>
        </w:tc>
        <w:tc>
          <w:tcPr>
            <w:tcW w:w="48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12,705</w:t>
            </w:r>
          </w:p>
        </w:tc>
      </w:tr>
      <w:tr>
        <w:trPr>
          <w:trHeight w:val="219"/>
        </w:trPr>
        <w:tc>
          <w:tcPr>
            <w:tcW w:w="9180" w:type="dxa"/>
            <w:vAlign w:val="bottom"/>
            <w:tcBorders>
              <w:bottom w:val="single" w:sz="8" w:color="auto"/>
            </w:tcBorders>
            <w:shd w:val="clear" w:color="auto" w:fill="CCEEFF"/>
          </w:tcPr>
          <w:p>
            <w:pPr>
              <w:jc w:val="right"/>
              <w:ind w:right="8271"/>
              <w:spacing w:after="0"/>
              <w:rPr>
                <w:sz w:val="20"/>
                <w:szCs w:val="20"/>
                <w:color w:val="auto"/>
              </w:rPr>
            </w:pPr>
            <w:r>
              <w:rPr>
                <w:rFonts w:ascii="Arial" w:cs="Arial" w:eastAsia="Arial" w:hAnsi="Arial"/>
                <w:sz w:val="18"/>
                <w:szCs w:val="18"/>
                <w:color w:val="auto"/>
                <w:w w:val="87"/>
              </w:rPr>
              <w:t>2026- 2033</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32,170</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50,542</w:t>
            </w:r>
          </w:p>
        </w:tc>
      </w:tr>
      <w:tr>
        <w:trPr>
          <w:trHeight w:val="213"/>
        </w:trPr>
        <w:tc>
          <w:tcPr>
            <w:tcW w:w="9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36,879</w:t>
            </w:r>
          </w:p>
        </w:tc>
        <w:tc>
          <w:tcPr>
            <w:tcW w:w="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65,140</w:t>
            </w: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US subsidiaries have alternative minimum tax credit carry forwards of approximately $0.3 million that are available to reduce future U.S. federal regular income taxes, over an indefinite period. They also have general business credit carry forwards of approximately $0.3 million that are available to offset future U.S. federal income taxes.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valuation allowance at December 31, 2014 was approximately $23.1 million. The valuation allowance for deferred tax assets as of December 31, 2013 and December 31, 2012 was $24.3 million and $21.2 million respectively. The net change in the total valuation allowance was a decrease of $1.2 million during 2014 and an increase of $3.1 million during 2013.</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valuation allowances at December 31, 2014 and December 31, 2013 were primarily related to tax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In the UK, a change in commercial circumstances led to a change in judgment concerning the need for a valuation allowance on certain limited loss carryforwards; the release of the beginning of year valuation allowance resulted in a tax benefit of $3.1 million.</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has not recognized a deferred tax liability for the undistributed earnings of foreign subsidiaries that arose in 2014 and prior years as the Company considers these earnings to be indefinitely reinvested. It is not practicable to calculate the unrecognized deferred tax liability.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24"/>
        </w:trPr>
        <w:tc>
          <w:tcPr>
            <w:tcW w:w="7300" w:type="dxa"/>
            <w:vAlign w:val="bottom"/>
          </w:tcPr>
          <w:p>
            <w:pPr>
              <w:spacing w:after="0"/>
              <w:rPr>
                <w:sz w:val="20"/>
                <w:szCs w:val="20"/>
                <w:color w:val="auto"/>
              </w:rPr>
            </w:pPr>
            <w:r>
              <w:rPr>
                <w:rFonts w:ascii="Arial" w:cs="Arial" w:eastAsia="Arial" w:hAnsi="Arial"/>
                <w:sz w:val="18"/>
                <w:szCs w:val="18"/>
                <w:color w:val="auto"/>
                <w:w w:val="92"/>
              </w:rPr>
              <w:t>A reconciliation of the beginning and ending amount of total unrecognized tax benefits is as follows: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start of year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5,780</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6,543</w:t>
            </w:r>
          </w:p>
        </w:tc>
      </w:tr>
      <w:tr>
        <w:trPr>
          <w:trHeight w:val="213"/>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acquired tax positions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14,552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730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1,167</w:t>
            </w: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Decrease related to prior year tax positions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730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3,709</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2,269</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1,473</w:t>
            </w: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9"/>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r>
      <w:tr>
        <w:trPr>
          <w:trHeight w:val="253"/>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end of year</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23,201</w:t>
            </w:r>
          </w:p>
        </w:tc>
        <w:tc>
          <w:tcPr>
            <w:tcW w:w="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7,189</w:t>
            </w: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relevant statute of limitations for gross unrealized tax benefits totaling $2.3 million could potentially expire during 2015. $14.5 million of the increase during the year ended December 31, 2014 reflects pre-acquisition tax positions taken by companies acquired during the period.</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the balance of total unrecognized tax benefits at December 31, 2014 there were net potential benefits of $23.2 million which, if recognized, would affect the effective rate on income tax from continuing operations. The balance of total unrecognized tax benefits at December 31, 2013 and December 31, 2012 included net potential benefits which, if recognized, would affect the effective rate of income tax from continuing operations of $5.8 million and $7.2 million respectively.</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Interest and penalties recognized as a net expense during the year ended December 31, 2014 amounted to $0.2 million (2013: net benefit of $0.2 million, 2012: net benefit of $0.1 million) and are included within the provision for income taxes. Total accrued interest and penalties as of December 31, 2014 and December 31, 2013 were $2.4 million and $0.9 million respectively and are included in the closing income tax liabilities at those dates.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major tax jurisdictions are the United States and Ireland. We may potentially be subjected to tax audits in both our major jurisdictions. In the United States tax periods open to audit include the years ended December 31, 2011, December 31, 2012, December 31, 2013 and December 31, 2014. In Ireland tax periods open to audit include the years ended December 31, 2010, December 31, 2011, December 31, 2012, December 31, 2013 and December 31, 2014. During such audits, local tax authorities may challenge the positions taken by us in tax returns.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b w:val="1"/>
                <w:bCs w:val="1"/>
                <w:color w:val="auto"/>
              </w:rPr>
              <w:t>14. Restructuring and other items</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2"/>
        </w:trPr>
        <w:tc>
          <w:tcPr>
            <w:tcW w:w="7060" w:type="dxa"/>
            <w:vAlign w:val="bottom"/>
          </w:tcPr>
          <w:p>
            <w:pPr>
              <w:spacing w:after="0"/>
              <w:rPr>
                <w:sz w:val="20"/>
                <w:szCs w:val="20"/>
                <w:color w:val="auto"/>
              </w:rPr>
            </w:pPr>
            <w:r>
              <w:rPr>
                <w:rFonts w:ascii="Arial" w:cs="Arial" w:eastAsia="Arial" w:hAnsi="Arial"/>
                <w:sz w:val="18"/>
                <w:szCs w:val="18"/>
                <w:color w:val="auto"/>
                <w:w w:val="93"/>
              </w:rPr>
              <w:t>Restructuring and other items recognized during the year ended December 31, 2014 comprise:</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7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7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8,796</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4,525</w:t>
            </w:r>
          </w:p>
        </w:tc>
      </w:tr>
      <w:tr>
        <w:trPr>
          <w:trHeight w:val="219"/>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items</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1,111</w:t>
            </w:r>
          </w:p>
        </w:tc>
      </w:tr>
      <w:tr>
        <w:trPr>
          <w:trHeight w:val="253"/>
        </w:trPr>
        <w:tc>
          <w:tcPr>
            <w:tcW w:w="7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charge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8,796</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5,636</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Onerous</w:t>
            </w:r>
          </w:p>
        </w:tc>
        <w:tc>
          <w:tcPr>
            <w:tcW w:w="2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Asset</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4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Lease</w:t>
            </w:r>
          </w:p>
        </w:tc>
        <w:tc>
          <w:tcPr>
            <w:tcW w:w="2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w w:val="98"/>
              </w:rPr>
              <w:t>Impairment</w:t>
            </w:r>
          </w:p>
        </w:tc>
        <w:tc>
          <w:tcPr>
            <w:tcW w:w="48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0"/>
        </w:trPr>
        <w:tc>
          <w:tcPr>
            <w:tcW w:w="48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w w:val="96"/>
              </w:rPr>
              <w:t>(in thousands)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4"/>
        </w:trPr>
        <w:tc>
          <w:tcPr>
            <w:tcW w:w="4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5,629</w:t>
            </w:r>
          </w:p>
        </w:tc>
        <w:tc>
          <w:tcPr>
            <w:tcW w:w="4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8,796</w:t>
            </w:r>
          </w:p>
        </w:tc>
      </w:tr>
      <w:tr>
        <w:trPr>
          <w:trHeight w:val="219"/>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write-off</w:t>
            </w:r>
          </w:p>
        </w:tc>
        <w:tc>
          <w:tcPr>
            <w:tcW w:w="2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r>
      <w:tr>
        <w:trPr>
          <w:trHeight w:val="253"/>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2014</w:t>
            </w:r>
          </w:p>
        </w:tc>
        <w:tc>
          <w:tcPr>
            <w:tcW w:w="2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Restructuring and other items of $9.0 million were recorded during the year ended December 31,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Details of the movement in this restructuring plan are as follows: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rPr>
              <w:t xml:space="preserve">14. Restructuring and other items </w:t>
            </w:r>
            <w:r>
              <w:rPr>
                <w:rFonts w:ascii="Arial" w:cs="Arial" w:eastAsia="Arial" w:hAnsi="Arial"/>
                <w:sz w:val="18"/>
                <w:szCs w:val="18"/>
                <w:b w:val="1"/>
                <w:bCs w:val="1"/>
                <w:i w:val="1"/>
                <w:iCs w:val="1"/>
                <w:color w:val="auto"/>
              </w:rPr>
              <w:t>(continued)</w:t>
            </w: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5"/>
        </w:trPr>
        <w:tc>
          <w:tcPr>
            <w:tcW w:w="5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Workforce</w:t>
            </w:r>
          </w:p>
        </w:tc>
        <w:tc>
          <w:tcPr>
            <w:tcW w:w="48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5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Consolidations</w:t>
            </w:r>
          </w:p>
        </w:tc>
        <w:tc>
          <w:tcPr>
            <w:tcW w:w="4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0"/>
        </w:trPr>
        <w:tc>
          <w:tcPr>
            <w:tcW w:w="5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4"/>
        </w:trPr>
        <w:tc>
          <w:tcPr>
            <w:tcW w:w="5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2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3,903</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4,412</w:t>
            </w: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Q2 Plan - Initial provision recognized</w:t>
            </w:r>
          </w:p>
        </w:tc>
        <w:tc>
          <w:tcPr>
            <w:tcW w:w="22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4,228</w:t>
            </w:r>
          </w:p>
        </w:tc>
        <w:tc>
          <w:tcPr>
            <w:tcW w:w="4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4,621</w:t>
            </w: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8,131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9,033</w:t>
            </w: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Cash payments</w:t>
            </w:r>
          </w:p>
        </w:tc>
        <w:tc>
          <w:tcPr>
            <w:tcW w:w="2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(6,544)</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(6,743)</w:t>
            </w: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2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2013</w:t>
            </w:r>
          </w:p>
        </w:tc>
        <w:tc>
          <w:tcPr>
            <w:tcW w:w="2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1,491</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703</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2,194</w:t>
            </w: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Cash payments</w:t>
            </w:r>
          </w:p>
        </w:tc>
        <w:tc>
          <w:tcPr>
            <w:tcW w:w="2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(1,319)</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2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2014</w:t>
            </w:r>
          </w:p>
        </w:tc>
        <w:tc>
          <w:tcPr>
            <w:tcW w:w="2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171</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30, 2011 Mr. Peter Gray retired as Chief Executive Officer (“CEO”) of the Company, in accordance with the provisions of his service agreement, which was terminable on twelve months notice by either party. On October 1, 2011 Mr. Gray was appointed Vice Chairman of the Board. On June 11, 2012 the Company entered into an agreement with Mr. Gray whereby Mr. Gray’s employment and directorship of ICON plc and other ICON group companies would terminate on July 19, 2012. Under the terms of this agreement Mr. Gray would be entitled to be paid €160,000 ($220,000) in lieu of the balance of his notice period and to receive a discretionary bonus of €194,000 ($271,000) in respect of 2012. In addition, under the agreement Mr. Gray’s unvested share options would vest on the date of termination of his employment. The Company recognized a share-based compensation charge of $738,000 in respect of these options during the year ended December 31, 2012, $620,000 of which was recognized within restructuring and other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Provision for Doubtful Debts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business with most major international pharmaceutical companies. Provision for doubtful debts at December 31, 2014 comprises: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40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0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Opening provision</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5,047</w:t>
            </w:r>
          </w:p>
        </w:tc>
      </w:tr>
      <w:tr>
        <w:trPr>
          <w:trHeight w:val="213"/>
        </w:trPr>
        <w:tc>
          <w:tcPr>
            <w:tcW w:w="402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48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Amounts provided during the year</w:t>
            </w:r>
          </w:p>
        </w:tc>
        <w:tc>
          <w:tcPr>
            <w:tcW w:w="4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2,874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r>
      <w:tr>
        <w:trPr>
          <w:trHeight w:val="219"/>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 during the year</w:t>
            </w:r>
          </w:p>
        </w:tc>
        <w:tc>
          <w:tcPr>
            <w:tcW w:w="4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53"/>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provision</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r>
      <w:tr>
        <w:trPr>
          <w:trHeight w:val="590"/>
        </w:trPr>
        <w:tc>
          <w:tcPr>
            <w:tcW w:w="4020" w:type="dxa"/>
            <w:vAlign w:val="bottom"/>
          </w:tcPr>
          <w:p>
            <w:pPr>
              <w:spacing w:after="0"/>
              <w:rPr>
                <w:sz w:val="24"/>
                <w:szCs w:val="24"/>
                <w:color w:val="auto"/>
              </w:rPr>
            </w:pPr>
          </w:p>
        </w:tc>
        <w:tc>
          <w:tcPr>
            <w:tcW w:w="4880" w:type="dxa"/>
            <w:vAlign w:val="bottom"/>
          </w:tcPr>
          <w:p>
            <w:pPr>
              <w:jc w:val="right"/>
              <w:ind w:right="2971"/>
              <w:spacing w:after="0"/>
              <w:rPr>
                <w:sz w:val="20"/>
                <w:szCs w:val="20"/>
                <w:color w:val="auto"/>
              </w:rPr>
            </w:pPr>
            <w:r>
              <w:rPr>
                <w:rFonts w:ascii="Arial" w:cs="Arial" w:eastAsia="Arial" w:hAnsi="Arial"/>
                <w:sz w:val="18"/>
                <w:szCs w:val="18"/>
                <w:color w:val="auto"/>
              </w:rPr>
              <w:t>113</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402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$54.3 million, $54.9 million and $52.5 million in rental expense, including rates, for the years ended December 31, 2014, December 31, 2013 and December 31, 2012 respectively. Future minimum rental commitments for operating leases with non-cancelable terms in excess of one year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9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Minimum rental payments</w:t>
            </w:r>
          </w:p>
        </w:tc>
        <w:tc>
          <w:tcPr>
            <w:tcW w:w="84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9"/>
                <w:szCs w:val="19"/>
                <w:color w:val="auto"/>
              </w:rPr>
            </w:pPr>
          </w:p>
        </w:tc>
      </w:tr>
      <w:tr>
        <w:trPr>
          <w:trHeight w:val="214"/>
        </w:trPr>
        <w:tc>
          <w:tcPr>
            <w:tcW w:w="8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43,122</w:t>
            </w:r>
          </w:p>
        </w:tc>
        <w:tc>
          <w:tcPr>
            <w:tcW w:w="840" w:type="dxa"/>
            <w:vAlign w:val="bottom"/>
          </w:tcPr>
          <w:p>
            <w:pPr>
              <w:spacing w:after="0"/>
              <w:rPr>
                <w:sz w:val="18"/>
                <w:szCs w:val="18"/>
                <w:color w:val="auto"/>
              </w:rPr>
            </w:pPr>
          </w:p>
        </w:tc>
      </w:tr>
      <w:tr>
        <w:trPr>
          <w:trHeight w:val="213"/>
        </w:trPr>
        <w:tc>
          <w:tcPr>
            <w:tcW w:w="8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2016</w:t>
            </w:r>
          </w:p>
        </w:tc>
        <w:tc>
          <w:tcPr>
            <w:tcW w:w="5360" w:type="dxa"/>
            <w:vAlign w:val="bottom"/>
          </w:tcPr>
          <w:p>
            <w:pPr>
              <w:spacing w:after="0"/>
              <w:rPr>
                <w:sz w:val="18"/>
                <w:szCs w:val="18"/>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34,733</w:t>
            </w:r>
          </w:p>
        </w:tc>
        <w:tc>
          <w:tcPr>
            <w:tcW w:w="840" w:type="dxa"/>
            <w:vAlign w:val="bottom"/>
          </w:tcPr>
          <w:p>
            <w:pPr>
              <w:spacing w:after="0"/>
              <w:rPr>
                <w:sz w:val="18"/>
                <w:szCs w:val="18"/>
                <w:color w:val="auto"/>
              </w:rPr>
            </w:pPr>
          </w:p>
        </w:tc>
      </w:tr>
      <w:tr>
        <w:trPr>
          <w:trHeight w:val="213"/>
        </w:trPr>
        <w:tc>
          <w:tcPr>
            <w:tcW w:w="8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24,096</w:t>
            </w:r>
          </w:p>
        </w:tc>
        <w:tc>
          <w:tcPr>
            <w:tcW w:w="840" w:type="dxa"/>
            <w:vAlign w:val="bottom"/>
          </w:tcPr>
          <w:p>
            <w:pPr>
              <w:spacing w:after="0"/>
              <w:rPr>
                <w:sz w:val="18"/>
                <w:szCs w:val="18"/>
                <w:color w:val="auto"/>
              </w:rPr>
            </w:pPr>
          </w:p>
        </w:tc>
      </w:tr>
      <w:tr>
        <w:trPr>
          <w:trHeight w:val="213"/>
        </w:trPr>
        <w:tc>
          <w:tcPr>
            <w:tcW w:w="8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2018</w:t>
            </w:r>
          </w:p>
        </w:tc>
        <w:tc>
          <w:tcPr>
            <w:tcW w:w="5360" w:type="dxa"/>
            <w:vAlign w:val="bottom"/>
          </w:tcPr>
          <w:p>
            <w:pPr>
              <w:spacing w:after="0"/>
              <w:rPr>
                <w:sz w:val="18"/>
                <w:szCs w:val="18"/>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19,049</w:t>
            </w:r>
          </w:p>
        </w:tc>
        <w:tc>
          <w:tcPr>
            <w:tcW w:w="840" w:type="dxa"/>
            <w:vAlign w:val="bottom"/>
          </w:tcPr>
          <w:p>
            <w:pPr>
              <w:spacing w:after="0"/>
              <w:rPr>
                <w:sz w:val="18"/>
                <w:szCs w:val="18"/>
                <w:color w:val="auto"/>
              </w:rPr>
            </w:pPr>
          </w:p>
        </w:tc>
      </w:tr>
      <w:tr>
        <w:trPr>
          <w:trHeight w:val="213"/>
        </w:trPr>
        <w:tc>
          <w:tcPr>
            <w:tcW w:w="8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14,000</w:t>
            </w:r>
          </w:p>
        </w:tc>
        <w:tc>
          <w:tcPr>
            <w:tcW w:w="840" w:type="dxa"/>
            <w:vAlign w:val="bottom"/>
          </w:tcPr>
          <w:p>
            <w:pPr>
              <w:spacing w:after="0"/>
              <w:rPr>
                <w:sz w:val="18"/>
                <w:szCs w:val="18"/>
                <w:color w:val="auto"/>
              </w:rPr>
            </w:pPr>
          </w:p>
        </w:tc>
      </w:tr>
      <w:tr>
        <w:trPr>
          <w:trHeight w:val="219"/>
        </w:trPr>
        <w:tc>
          <w:tcPr>
            <w:tcW w:w="880" w:type="dxa"/>
            <w:vAlign w:val="bottom"/>
          </w:tcPr>
          <w:p>
            <w:pPr>
              <w:spacing w:after="0"/>
              <w:rPr>
                <w:sz w:val="19"/>
                <w:szCs w:val="19"/>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5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54,824</w:t>
            </w:r>
          </w:p>
        </w:tc>
        <w:tc>
          <w:tcPr>
            <w:tcW w:w="840" w:type="dxa"/>
            <w:vAlign w:val="bottom"/>
          </w:tcPr>
          <w:p>
            <w:pPr>
              <w:spacing w:after="0"/>
              <w:rPr>
                <w:sz w:val="19"/>
                <w:szCs w:val="19"/>
                <w:color w:val="auto"/>
              </w:rPr>
            </w:pPr>
          </w:p>
        </w:tc>
      </w:tr>
      <w:tr>
        <w:trPr>
          <w:trHeight w:val="253"/>
        </w:trPr>
        <w:tc>
          <w:tcPr>
            <w:tcW w:w="880" w:type="dxa"/>
            <w:vAlign w:val="bottom"/>
          </w:tcPr>
          <w:p>
            <w:pPr>
              <w:spacing w:after="0"/>
              <w:rPr>
                <w:sz w:val="21"/>
                <w:szCs w:val="21"/>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3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189,824</w:t>
            </w:r>
          </w:p>
        </w:tc>
        <w:tc>
          <w:tcPr>
            <w:tcW w:w="840" w:type="dxa"/>
            <w:vAlign w:val="bottom"/>
          </w:tcPr>
          <w:p>
            <w:pPr>
              <w:spacing w:after="0"/>
              <w:rPr>
                <w:sz w:val="21"/>
                <w:szCs w:val="21"/>
                <w:color w:val="auto"/>
              </w:rPr>
            </w:pPr>
          </w:p>
        </w:tc>
      </w:tr>
      <w:tr>
        <w:trPr>
          <w:trHeight w:val="829"/>
        </w:trPr>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360" w:type="dxa"/>
            <w:vAlign w:val="bottom"/>
          </w:tcPr>
          <w:p>
            <w:pPr>
              <w:jc w:val="right"/>
              <w:ind w:right="3031"/>
              <w:spacing w:after="0"/>
              <w:rPr>
                <w:sz w:val="20"/>
                <w:szCs w:val="20"/>
                <w:color w:val="auto"/>
              </w:rPr>
            </w:pPr>
            <w:r>
              <w:rPr>
                <w:rFonts w:ascii="Arial" w:cs="Arial" w:eastAsia="Arial" w:hAnsi="Arial"/>
                <w:sz w:val="18"/>
                <w:szCs w:val="18"/>
                <w:color w:val="auto"/>
              </w:rPr>
              <w:t>114</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7"/>
        </w:trPr>
        <w:tc>
          <w:tcPr>
            <w:tcW w:w="88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17. Business Segment and Geographical Information</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Financial Officer and Chief Operating Officer, who together are considered the Company’s chief operating decision maker,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Revenues are allocated to individual entities based on where the work is performed in accordance with the Company’s global transfer pricing model. Revenues and income from operations in Ireland are a function of this transfer pricing model.</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Given ICON Clinical Research Limited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22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this method, the residual operating profits (or losses) of the group, once the cost plus service providers have been paid their respective intercompany service fee, generally fall to be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Company's areas of operation outside of Ireland include the United States, United Kingdom, France, Germany, Italy, Spain, The Netherlands, Sweden, Turkey, Poland, Czech Republic, Lithuania, Latvia, Russia, Ukraine, Hungary, Israel, Romania, Switzerland, Canada, Mexico, Brazil, Colombia, Argentina, Chile, Peru, India, China, South Korea, Japan, Thailand, Taiwan, Singapore, The Philippines, Australia, New Zealand, and South Africa.</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Business segment and geographical information as at December 31, 2014 and December 31, 2013 and for the years ended December 31, 2014, December 31, 2013 and December 31, 2012 is as follows: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4"/>
        </w:trPr>
        <w:tc>
          <w:tcPr>
            <w:tcW w:w="6260" w:type="dxa"/>
            <w:vAlign w:val="bottom"/>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88"/>
              </w:rPr>
              <w:t>Year ended</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3"/>
        </w:trPr>
        <w:tc>
          <w:tcPr>
            <w:tcW w:w="6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6"/>
              </w:rPr>
              <w:t>(in thousands)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360,376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272,683</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171,977</w:t>
            </w:r>
          </w:p>
        </w:tc>
        <w:tc>
          <w:tcPr>
            <w:tcW w:w="0" w:type="dxa"/>
            <w:vAlign w:val="bottom"/>
          </w:tcPr>
          <w:p>
            <w:pPr>
              <w:spacing w:after="0"/>
              <w:rPr>
                <w:sz w:val="1"/>
                <w:szCs w:val="1"/>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8"/>
                <w:szCs w:val="18"/>
                <w:color w:val="auto"/>
              </w:rPr>
              <w:t>Rest of Europe</w:t>
            </w:r>
          </w:p>
        </w:tc>
        <w:tc>
          <w:tcPr>
            <w:tcW w:w="1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372,634</w:t>
            </w:r>
          </w:p>
        </w:tc>
        <w:tc>
          <w:tcPr>
            <w:tcW w:w="24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333,543</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338,537</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605,815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582,250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471,700</w:t>
            </w:r>
          </w:p>
        </w:tc>
        <w:tc>
          <w:tcPr>
            <w:tcW w:w="0" w:type="dxa"/>
            <w:vAlign w:val="bottom"/>
          </w:tcPr>
          <w:p>
            <w:pPr>
              <w:spacing w:after="0"/>
              <w:rPr>
                <w:sz w:val="1"/>
                <w:szCs w:val="1"/>
                <w:color w:val="auto"/>
              </w:rPr>
            </w:pPr>
          </w:p>
        </w:tc>
      </w:tr>
      <w:tr>
        <w:trPr>
          <w:trHeight w:val="219"/>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164,491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147,582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132,792</w:t>
            </w:r>
          </w:p>
        </w:tc>
        <w:tc>
          <w:tcPr>
            <w:tcW w:w="0" w:type="dxa"/>
            <w:vAlign w:val="bottom"/>
          </w:tcPr>
          <w:p>
            <w:pPr>
              <w:spacing w:after="0"/>
              <w:rPr>
                <w:sz w:val="1"/>
                <w:szCs w:val="1"/>
                <w:color w:val="auto"/>
              </w:rPr>
            </w:pPr>
          </w:p>
        </w:tc>
      </w:tr>
      <w:tr>
        <w:trPr>
          <w:trHeight w:val="253"/>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1,503,316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1,336,058</w:t>
            </w:r>
          </w:p>
        </w:tc>
        <w:tc>
          <w:tcPr>
            <w:tcW w:w="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1,115,006</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 The distribution of income from operations, including restructuring and other items, by geographical area was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b w:val="1"/>
                <w:bCs w:val="1"/>
                <w:color w:val="auto"/>
                <w:w w:val="86"/>
              </w:rPr>
              <w:t>Year ended</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3"/>
        </w:trPr>
        <w:tc>
          <w:tcPr>
            <w:tcW w:w="4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4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42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6"/>
              </w:rPr>
              <w:t>(in thousands)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138,185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81,811</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9,659</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Rest of Europe</w:t>
            </w:r>
          </w:p>
        </w:tc>
        <w:tc>
          <w:tcPr>
            <w:tcW w:w="3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14,481</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2,831</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29,240</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39,058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29,472</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21,036</w:t>
            </w:r>
          </w:p>
        </w:tc>
      </w:tr>
      <w:tr>
        <w:trPr>
          <w:trHeight w:val="219"/>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10,626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7,053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8,082</w:t>
            </w:r>
          </w:p>
        </w:tc>
      </w:tr>
      <w:tr>
        <w:trPr>
          <w:trHeight w:val="253"/>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202,350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121,167</w:t>
            </w:r>
          </w:p>
        </w:tc>
        <w:tc>
          <w:tcPr>
            <w:tcW w:w="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68,017</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7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7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138,185</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82,867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11,733</w:t>
            </w:r>
          </w:p>
        </w:tc>
      </w:tr>
      <w:tr>
        <w:trPr>
          <w:trHeight w:val="213"/>
        </w:trPr>
        <w:tc>
          <w:tcPr>
            <w:tcW w:w="7060" w:type="dxa"/>
            <w:vAlign w:val="bottom"/>
          </w:tcPr>
          <w:p>
            <w:pPr>
              <w:spacing w:after="0"/>
              <w:rPr>
                <w:sz w:val="20"/>
                <w:szCs w:val="20"/>
                <w:color w:val="auto"/>
              </w:rPr>
            </w:pPr>
            <w:r>
              <w:rPr>
                <w:rFonts w:ascii="Arial" w:cs="Arial" w:eastAsia="Arial" w:hAnsi="Arial"/>
                <w:sz w:val="18"/>
                <w:szCs w:val="18"/>
                <w:color w:val="auto"/>
              </w:rPr>
              <w:t>Rest of Europe</w:t>
            </w:r>
          </w:p>
        </w:tc>
        <w:tc>
          <w:tcPr>
            <w:tcW w:w="6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23,277</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6,269</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29,786</w:t>
            </w: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39,058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33,564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23,687</w:t>
            </w:r>
          </w:p>
        </w:tc>
      </w:tr>
      <w:tr>
        <w:trPr>
          <w:trHeight w:val="219"/>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10,626</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7,500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8,447</w:t>
            </w:r>
          </w:p>
        </w:tc>
      </w:tr>
      <w:tr>
        <w:trPr>
          <w:trHeight w:val="253"/>
        </w:trPr>
        <w:tc>
          <w:tcPr>
            <w:tcW w:w="7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211,146</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130,200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73,653</w:t>
            </w:r>
          </w:p>
        </w:tc>
      </w:tr>
      <w:tr>
        <w:trPr>
          <w:trHeight w:val="444"/>
        </w:trPr>
        <w:tc>
          <w:tcPr>
            <w:tcW w:w="7060" w:type="dxa"/>
            <w:vAlign w:val="bottom"/>
          </w:tcPr>
          <w:p>
            <w:pPr>
              <w:spacing w:after="0"/>
              <w:rPr>
                <w:sz w:val="20"/>
                <w:szCs w:val="20"/>
                <w:color w:val="auto"/>
              </w:rPr>
            </w:pPr>
            <w:r>
              <w:rPr>
                <w:rFonts w:ascii="Arial" w:cs="Arial" w:eastAsia="Arial" w:hAnsi="Arial"/>
                <w:sz w:val="18"/>
                <w:szCs w:val="18"/>
                <w:color w:val="auto"/>
                <w:w w:val="94"/>
              </w:rPr>
              <w:t>d) The distribution of property, plant and equipment, net, by geographical area was as follows:</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7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w w:val="87"/>
              </w:rPr>
              <w:t>December 31,</w:t>
            </w:r>
          </w:p>
        </w:tc>
        <w:tc>
          <w:tcPr>
            <w:tcW w:w="2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7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7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95,574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103,868</w:t>
            </w:r>
          </w:p>
        </w:tc>
      </w:tr>
      <w:tr>
        <w:trPr>
          <w:trHeight w:val="213"/>
        </w:trPr>
        <w:tc>
          <w:tcPr>
            <w:tcW w:w="7060" w:type="dxa"/>
            <w:vAlign w:val="bottom"/>
          </w:tcPr>
          <w:p>
            <w:pPr>
              <w:spacing w:after="0"/>
              <w:rPr>
                <w:sz w:val="20"/>
                <w:szCs w:val="20"/>
                <w:color w:val="auto"/>
              </w:rPr>
            </w:pPr>
            <w:r>
              <w:rPr>
                <w:rFonts w:ascii="Arial" w:cs="Arial" w:eastAsia="Arial" w:hAnsi="Arial"/>
                <w:sz w:val="18"/>
                <w:szCs w:val="18"/>
                <w:color w:val="auto"/>
              </w:rPr>
              <w:t>Rest of Europe</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10,419</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14,630</w:t>
            </w: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33,978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33,947</w:t>
            </w:r>
          </w:p>
        </w:tc>
      </w:tr>
      <w:tr>
        <w:trPr>
          <w:trHeight w:val="219"/>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8,214</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8,385</w:t>
            </w:r>
          </w:p>
        </w:tc>
      </w:tr>
      <w:tr>
        <w:trPr>
          <w:trHeight w:val="253"/>
        </w:trPr>
        <w:tc>
          <w:tcPr>
            <w:tcW w:w="7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148,185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160,830</w:t>
            </w:r>
          </w:p>
        </w:tc>
      </w:tr>
      <w:tr>
        <w:trPr>
          <w:trHeight w:val="803"/>
        </w:trPr>
        <w:tc>
          <w:tcPr>
            <w:tcW w:w="7060" w:type="dxa"/>
            <w:vAlign w:val="bottom"/>
          </w:tcPr>
          <w:p>
            <w:pPr>
              <w:ind w:left="5580"/>
              <w:spacing w:after="0"/>
              <w:rPr>
                <w:sz w:val="20"/>
                <w:szCs w:val="20"/>
                <w:color w:val="auto"/>
              </w:rPr>
            </w:pPr>
            <w:r>
              <w:rPr>
                <w:rFonts w:ascii="Arial" w:cs="Arial" w:eastAsia="Arial" w:hAnsi="Arial"/>
                <w:sz w:val="18"/>
                <w:szCs w:val="18"/>
                <w:color w:val="auto"/>
              </w:rPr>
              <w:t>116</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70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4"/>
        </w:trPr>
        <w:tc>
          <w:tcPr>
            <w:tcW w:w="6880" w:type="dxa"/>
            <w:vAlign w:val="bottom"/>
          </w:tcPr>
          <w:p>
            <w:pPr>
              <w:spacing w:after="0"/>
              <w:rPr>
                <w:sz w:val="20"/>
                <w:szCs w:val="20"/>
                <w:color w:val="auto"/>
              </w:rPr>
            </w:pPr>
            <w:r>
              <w:rPr>
                <w:rFonts w:ascii="Arial" w:cs="Arial" w:eastAsia="Arial" w:hAnsi="Arial"/>
                <w:sz w:val="18"/>
                <w:szCs w:val="18"/>
                <w:color w:val="auto"/>
                <w:w w:val="97"/>
              </w:rPr>
              <w:t>e) The distribution of depreciation and amortization by geographical area was as follows:</w:t>
            </w: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6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6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6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20,731</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17,885</w:t>
            </w:r>
          </w:p>
        </w:tc>
      </w:tr>
      <w:tr>
        <w:trPr>
          <w:trHeight w:val="213"/>
        </w:trPr>
        <w:tc>
          <w:tcPr>
            <w:tcW w:w="6880" w:type="dxa"/>
            <w:vAlign w:val="bottom"/>
          </w:tcPr>
          <w:p>
            <w:pPr>
              <w:spacing w:after="0"/>
              <w:rPr>
                <w:sz w:val="20"/>
                <w:szCs w:val="20"/>
                <w:color w:val="auto"/>
              </w:rPr>
            </w:pPr>
            <w:r>
              <w:rPr>
                <w:rFonts w:ascii="Arial" w:cs="Arial" w:eastAsia="Arial" w:hAnsi="Arial"/>
                <w:sz w:val="18"/>
                <w:szCs w:val="18"/>
                <w:color w:val="auto"/>
              </w:rPr>
              <w:t>Rest of Europe</w:t>
            </w:r>
          </w:p>
        </w:tc>
        <w:tc>
          <w:tcPr>
            <w:tcW w:w="8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7,478</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6,595</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7,211</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20,491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16,233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13,865</w:t>
            </w:r>
          </w:p>
        </w:tc>
      </w:tr>
      <w:tr>
        <w:trPr>
          <w:trHeight w:val="21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3,842</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3,862</w:t>
            </w:r>
          </w:p>
        </w:tc>
      </w:tr>
      <w:tr>
        <w:trPr>
          <w:trHeight w:val="253"/>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52,542</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42,823</w:t>
            </w:r>
          </w:p>
        </w:tc>
      </w:tr>
      <w:tr>
        <w:trPr>
          <w:trHeight w:val="444"/>
        </w:trPr>
        <w:tc>
          <w:tcPr>
            <w:tcW w:w="6880" w:type="dxa"/>
            <w:vAlign w:val="bottom"/>
          </w:tcPr>
          <w:p>
            <w:pPr>
              <w:spacing w:after="0"/>
              <w:rPr>
                <w:sz w:val="20"/>
                <w:szCs w:val="20"/>
                <w:color w:val="auto"/>
              </w:rPr>
            </w:pPr>
            <w:r>
              <w:rPr>
                <w:rFonts w:ascii="Arial" w:cs="Arial" w:eastAsia="Arial" w:hAnsi="Arial"/>
                <w:sz w:val="18"/>
                <w:szCs w:val="18"/>
                <w:color w:val="auto"/>
              </w:rPr>
              <w:t>f)  The distribution of total assets by geographical area was as follows:</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w w:val="87"/>
              </w:rPr>
              <w:t>December 31,</w:t>
            </w:r>
          </w:p>
        </w:tc>
        <w:tc>
          <w:tcPr>
            <w:tcW w:w="2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495,747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581,568</w:t>
            </w:r>
          </w:p>
        </w:tc>
      </w:tr>
      <w:tr>
        <w:trPr>
          <w:trHeight w:val="213"/>
        </w:trPr>
        <w:tc>
          <w:tcPr>
            <w:tcW w:w="6880" w:type="dxa"/>
            <w:vAlign w:val="bottom"/>
          </w:tcPr>
          <w:p>
            <w:pPr>
              <w:spacing w:after="0"/>
              <w:rPr>
                <w:sz w:val="20"/>
                <w:szCs w:val="20"/>
                <w:color w:val="auto"/>
              </w:rPr>
            </w:pPr>
            <w:r>
              <w:rPr>
                <w:rFonts w:ascii="Arial" w:cs="Arial" w:eastAsia="Arial" w:hAnsi="Arial"/>
                <w:sz w:val="18"/>
                <w:szCs w:val="18"/>
                <w:color w:val="auto"/>
              </w:rPr>
              <w:t>Rest of Europe</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324,086</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321,661</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648,559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486,232</w:t>
            </w:r>
          </w:p>
        </w:tc>
      </w:tr>
      <w:tr>
        <w:trPr>
          <w:trHeight w:val="21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60,458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52,999</w:t>
            </w:r>
          </w:p>
        </w:tc>
      </w:tr>
      <w:tr>
        <w:trPr>
          <w:trHeight w:val="253"/>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1,528,850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1,442,460</w:t>
            </w:r>
          </w:p>
        </w:tc>
      </w:tr>
      <w:tr>
        <w:trPr>
          <w:trHeight w:val="444"/>
        </w:trPr>
        <w:tc>
          <w:tcPr>
            <w:tcW w:w="6880" w:type="dxa"/>
            <w:vAlign w:val="bottom"/>
          </w:tcPr>
          <w:p>
            <w:pPr>
              <w:spacing w:after="0"/>
              <w:rPr>
                <w:sz w:val="20"/>
                <w:szCs w:val="20"/>
                <w:color w:val="auto"/>
              </w:rPr>
            </w:pPr>
            <w:r>
              <w:rPr>
                <w:rFonts w:ascii="Arial" w:cs="Arial" w:eastAsia="Arial" w:hAnsi="Arial"/>
                <w:sz w:val="18"/>
                <w:szCs w:val="18"/>
                <w:color w:val="auto"/>
              </w:rPr>
              <w:t>g) The distribution of capital expenditures by geographical area was as follows:</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6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6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15,117</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12,406</w:t>
            </w:r>
          </w:p>
        </w:tc>
      </w:tr>
      <w:tr>
        <w:trPr>
          <w:trHeight w:val="213"/>
        </w:trPr>
        <w:tc>
          <w:tcPr>
            <w:tcW w:w="6880" w:type="dxa"/>
            <w:vAlign w:val="bottom"/>
          </w:tcPr>
          <w:p>
            <w:pPr>
              <w:spacing w:after="0"/>
              <w:rPr>
                <w:sz w:val="20"/>
                <w:szCs w:val="20"/>
                <w:color w:val="auto"/>
              </w:rPr>
            </w:pPr>
            <w:r>
              <w:rPr>
                <w:rFonts w:ascii="Arial" w:cs="Arial" w:eastAsia="Arial" w:hAnsi="Arial"/>
                <w:sz w:val="18"/>
                <w:szCs w:val="18"/>
                <w:color w:val="auto"/>
              </w:rPr>
              <w:t>Rest of Europe</w:t>
            </w:r>
          </w:p>
        </w:tc>
        <w:tc>
          <w:tcPr>
            <w:tcW w:w="8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2,278</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1,887</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2,506</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12,224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20,842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13,389</w:t>
            </w:r>
          </w:p>
        </w:tc>
      </w:tr>
      <w:tr>
        <w:trPr>
          <w:trHeight w:val="21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3,160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2,783</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4,725</w:t>
            </w:r>
          </w:p>
        </w:tc>
      </w:tr>
      <w:tr>
        <w:trPr>
          <w:trHeight w:val="253"/>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32,779</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33,026</w:t>
            </w:r>
          </w:p>
        </w:tc>
      </w:tr>
    </w:tbl>
    <w:p>
      <w:pPr>
        <w:spacing w:after="0" w:line="227" w:lineRule="exact"/>
        <w:rPr>
          <w:sz w:val="20"/>
          <w:szCs w:val="20"/>
          <w:color w:val="auto"/>
        </w:rPr>
      </w:pPr>
    </w:p>
    <w:p>
      <w:pPr>
        <w:ind w:left="200" w:hanging="194"/>
        <w:spacing w:after="0"/>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table sets forth the clients which represented 10% or more of the Company's net revenue in each of the periods set out below.</w:t>
      </w:r>
    </w:p>
    <w:p>
      <w:pPr>
        <w:spacing w:after="0" w:line="16" w:lineRule="exact"/>
        <w:rPr>
          <w:rFonts w:ascii="Arial" w:cs="Arial" w:eastAsia="Arial" w:hAnsi="Arial"/>
          <w:sz w:val="18"/>
          <w:szCs w:val="18"/>
          <w:color w:val="auto"/>
        </w:rPr>
      </w:pPr>
    </w:p>
    <w:p>
      <w:pPr>
        <w:ind w:left="8880"/>
        <w:spacing w:after="0"/>
        <w:rPr>
          <w:rFonts w:ascii="Arial" w:cs="Arial" w:eastAsia="Arial" w:hAnsi="Arial"/>
          <w:sz w:val="18"/>
          <w:szCs w:val="18"/>
          <w:color w:val="auto"/>
        </w:rPr>
      </w:pPr>
      <w:r>
        <w:rPr>
          <w:rFonts w:ascii="Arial" w:cs="Arial" w:eastAsia="Arial" w:hAnsi="Arial"/>
          <w:sz w:val="18"/>
          <w:szCs w:val="18"/>
          <w:b w:val="1"/>
          <w:bCs w:val="1"/>
          <w:color w:val="auto"/>
        </w:rPr>
        <w:t>Year ended</w:t>
      </w: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4700" w:type="dxa"/>
            <w:vAlign w:val="bottom"/>
          </w:tcPr>
          <w:p>
            <w:pPr>
              <w:jc w:val="right"/>
              <w:ind w:right="291"/>
              <w:spacing w:after="0" w:line="201" w:lineRule="exact"/>
              <w:rPr>
                <w:sz w:val="20"/>
                <w:szCs w:val="20"/>
                <w:color w:val="auto"/>
              </w:rPr>
            </w:pPr>
            <w:r>
              <w:rPr>
                <w:rFonts w:ascii="Arial" w:cs="Arial" w:eastAsia="Arial" w:hAnsi="Arial"/>
                <w:sz w:val="18"/>
                <w:szCs w:val="18"/>
                <w:b w:val="1"/>
                <w:bCs w:val="1"/>
                <w:color w:val="auto"/>
              </w:rPr>
              <w:t>December</w:t>
            </w:r>
          </w:p>
        </w:tc>
        <w:tc>
          <w:tcPr>
            <w:tcW w:w="1400" w:type="dxa"/>
            <w:vAlign w:val="bottom"/>
          </w:tcPr>
          <w:p>
            <w:pPr>
              <w:jc w:val="right"/>
              <w:ind w:right="311"/>
              <w:spacing w:after="0" w:line="201" w:lineRule="exact"/>
              <w:rPr>
                <w:sz w:val="20"/>
                <w:szCs w:val="20"/>
                <w:color w:val="auto"/>
              </w:rPr>
            </w:pPr>
            <w:r>
              <w:rPr>
                <w:rFonts w:ascii="Arial" w:cs="Arial" w:eastAsia="Arial" w:hAnsi="Arial"/>
                <w:sz w:val="18"/>
                <w:szCs w:val="18"/>
                <w:b w:val="1"/>
                <w:bCs w:val="1"/>
                <w:color w:val="auto"/>
              </w:rPr>
              <w:t>December</w:t>
            </w:r>
          </w:p>
        </w:tc>
        <w:tc>
          <w:tcPr>
            <w:tcW w:w="116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December</w:t>
            </w:r>
          </w:p>
        </w:tc>
      </w:tr>
      <w:tr>
        <w:trPr>
          <w:trHeight w:val="230"/>
        </w:trPr>
        <w:tc>
          <w:tcPr>
            <w:tcW w:w="4160" w:type="dxa"/>
            <w:vAlign w:val="bottom"/>
          </w:tcPr>
          <w:p>
            <w:pPr>
              <w:spacing w:after="0"/>
              <w:rPr>
                <w:sz w:val="19"/>
                <w:szCs w:val="19"/>
                <w:color w:val="auto"/>
              </w:rPr>
            </w:pPr>
          </w:p>
        </w:tc>
        <w:tc>
          <w:tcPr>
            <w:tcW w:w="4700" w:type="dxa"/>
            <w:vAlign w:val="bottom"/>
          </w:tcPr>
          <w:p>
            <w:pPr>
              <w:jc w:val="right"/>
              <w:ind w:right="291"/>
              <w:spacing w:after="0"/>
              <w:rPr>
                <w:sz w:val="20"/>
                <w:szCs w:val="20"/>
                <w:color w:val="auto"/>
              </w:rPr>
            </w:pPr>
            <w:r>
              <w:rPr>
                <w:rFonts w:ascii="Arial" w:cs="Arial" w:eastAsia="Arial" w:hAnsi="Arial"/>
                <w:sz w:val="18"/>
                <w:szCs w:val="18"/>
                <w:b w:val="1"/>
                <w:bCs w:val="1"/>
                <w:color w:val="auto"/>
              </w:rPr>
              <w:t>2014</w:t>
            </w:r>
          </w:p>
        </w:tc>
        <w:tc>
          <w:tcPr>
            <w:tcW w:w="1400" w:type="dxa"/>
            <w:vAlign w:val="bottom"/>
          </w:tcPr>
          <w:p>
            <w:pPr>
              <w:jc w:val="right"/>
              <w:ind w:right="311"/>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2012</w:t>
            </w:r>
          </w:p>
        </w:tc>
      </w:tr>
      <w:tr>
        <w:trPr>
          <w:trHeight w:val="214"/>
        </w:trPr>
        <w:tc>
          <w:tcPr>
            <w:tcW w:w="41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A</w:t>
            </w:r>
          </w:p>
        </w:tc>
        <w:tc>
          <w:tcPr>
            <w:tcW w:w="4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4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Client B</w:t>
            </w:r>
          </w:p>
        </w:tc>
        <w:tc>
          <w:tcPr>
            <w:tcW w:w="4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Net revenue did not exceed 10%.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w w:val="92"/>
              </w:rPr>
              <w:t>i) The distribution of interest income by geographical area was as follows:</w:t>
            </w:r>
          </w:p>
        </w:tc>
        <w:tc>
          <w:tcPr>
            <w:tcW w:w="2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5"/>
        </w:trPr>
        <w:tc>
          <w:tcPr>
            <w:tcW w:w="5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5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Rest of Europe</w:t>
            </w: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661</w:t>
            </w: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19"/>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53"/>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986</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r>
      <w:tr>
        <w:trPr>
          <w:trHeight w:val="417"/>
        </w:trPr>
        <w:tc>
          <w:tcPr>
            <w:tcW w:w="5420" w:type="dxa"/>
            <w:vAlign w:val="bottom"/>
          </w:tcPr>
          <w:p>
            <w:pPr>
              <w:spacing w:after="0"/>
              <w:rPr>
                <w:sz w:val="20"/>
                <w:szCs w:val="20"/>
                <w:color w:val="auto"/>
              </w:rPr>
            </w:pPr>
            <w:r>
              <w:rPr>
                <w:rFonts w:ascii="Arial" w:cs="Arial" w:eastAsia="Arial" w:hAnsi="Arial"/>
                <w:sz w:val="18"/>
                <w:szCs w:val="18"/>
                <w:color w:val="auto"/>
                <w:w w:val="93"/>
              </w:rPr>
              <w:t>j) The distribution of the tax charge by geographical area was as follows:</w:t>
            </w: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5"/>
        </w:trPr>
        <w:tc>
          <w:tcPr>
            <w:tcW w:w="5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5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18,384</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11,073</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1,216</w:t>
            </w: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Rest of Europe</w:t>
            </w: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2,855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3,298</w:t>
            </w: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4,860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5,072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3,669</w:t>
            </w:r>
          </w:p>
        </w:tc>
      </w:tr>
      <w:tr>
        <w:trPr>
          <w:trHeight w:val="219"/>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4,149</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3,618</w:t>
            </w:r>
          </w:p>
        </w:tc>
      </w:tr>
      <w:tr>
        <w:trPr>
          <w:trHeight w:val="253"/>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30,248</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18,053</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11,801</w:t>
            </w:r>
          </w:p>
        </w:tc>
      </w:tr>
      <w:tr>
        <w:trPr>
          <w:trHeight w:val="683"/>
        </w:trPr>
        <w:tc>
          <w:tcPr>
            <w:tcW w:w="5420" w:type="dxa"/>
            <w:vAlign w:val="bottom"/>
          </w:tcPr>
          <w:p>
            <w:pPr>
              <w:spacing w:after="0"/>
              <w:rPr>
                <w:sz w:val="20"/>
                <w:szCs w:val="20"/>
                <w:color w:val="auto"/>
              </w:rPr>
            </w:pPr>
            <w:r>
              <w:rPr>
                <w:rFonts w:ascii="Arial" w:cs="Arial" w:eastAsia="Arial" w:hAnsi="Arial"/>
                <w:sz w:val="18"/>
                <w:szCs w:val="18"/>
                <w:b w:val="1"/>
                <w:bCs w:val="1"/>
                <w:color w:val="auto"/>
              </w:rPr>
              <w:t>18. Supplemental Disclosure of Cash Flow Information</w:t>
            </w: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5"/>
        </w:trPr>
        <w:tc>
          <w:tcPr>
            <w:tcW w:w="5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5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4"/>
        </w:trPr>
        <w:tc>
          <w:tcPr>
            <w:tcW w:w="5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3"/>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Non-cash interest on acquisition consideration payable*</w:t>
            </w:r>
          </w:p>
        </w:tc>
        <w:tc>
          <w:tcPr>
            <w:tcW w:w="2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940</w:t>
            </w:r>
          </w:p>
        </w:tc>
      </w:tr>
      <w:tr>
        <w:trPr>
          <w:trHeight w:val="206"/>
        </w:trPr>
        <w:tc>
          <w:tcPr>
            <w:tcW w:w="542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Cash paid for interest</w:t>
            </w:r>
          </w:p>
        </w:tc>
        <w:tc>
          <w:tcPr>
            <w:tcW w:w="2260" w:type="dxa"/>
            <w:vAlign w:val="bottom"/>
            <w:tcBorders>
              <w:bottom w:val="single" w:sz="8" w:color="auto"/>
            </w:tcBorders>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533</w:t>
            </w:r>
          </w:p>
        </w:tc>
        <w:tc>
          <w:tcPr>
            <w:tcW w:w="220" w:type="dxa"/>
            <w:vAlign w:val="bottom"/>
            <w:tcBorders>
              <w:bottom w:val="single" w:sz="8" w:color="auto"/>
            </w:tcBorders>
          </w:tcPr>
          <w:p>
            <w:pPr>
              <w:ind w:left="120"/>
              <w:spacing w:after="0" w:line="20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548</w:t>
            </w:r>
          </w:p>
        </w:tc>
        <w:tc>
          <w:tcPr>
            <w:tcW w:w="32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line="206" w:lineRule="exact"/>
              <w:rPr>
                <w:sz w:val="20"/>
                <w:szCs w:val="20"/>
                <w:color w:val="auto"/>
              </w:rPr>
            </w:pPr>
            <w:r>
              <w:rPr>
                <w:rFonts w:ascii="Arial" w:cs="Arial" w:eastAsia="Arial" w:hAnsi="Arial"/>
                <w:sz w:val="18"/>
                <w:szCs w:val="18"/>
                <w:color w:val="auto"/>
              </w:rPr>
              <w:t>602</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6"/>
        </w:trPr>
        <w:tc>
          <w:tcPr>
            <w:tcW w:w="542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Cash paid for income taxes</w:t>
            </w:r>
          </w:p>
        </w:tc>
        <w:tc>
          <w:tcPr>
            <w:tcW w:w="226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17,829</w:t>
            </w:r>
          </w:p>
        </w:tc>
        <w:tc>
          <w:tcPr>
            <w:tcW w:w="220" w:type="dxa"/>
            <w:vAlign w:val="bottom"/>
            <w:tcBorders>
              <w:bottom w:val="single" w:sz="8" w:color="auto"/>
            </w:tcBorders>
            <w:shd w:val="clear" w:color="auto" w:fill="CCEEFF"/>
          </w:tcPr>
          <w:p>
            <w:pPr>
              <w:ind w:left="120"/>
              <w:spacing w:after="0" w:line="20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14,103</w:t>
            </w:r>
          </w:p>
        </w:tc>
        <w:tc>
          <w:tcPr>
            <w:tcW w:w="3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18,475</w:t>
            </w:r>
          </w:p>
        </w:tc>
      </w:tr>
      <w:tr>
        <w:trPr>
          <w:trHeight w:val="217"/>
        </w:trPr>
        <w:tc>
          <w:tcPr>
            <w:tcW w:w="5420" w:type="dxa"/>
            <w:vAlign w:val="bottom"/>
          </w:tcPr>
          <w:p>
            <w:pPr>
              <w:spacing w:after="0"/>
              <w:rPr>
                <w:sz w:val="20"/>
                <w:szCs w:val="20"/>
                <w:color w:val="auto"/>
              </w:rPr>
            </w:pPr>
            <w:r>
              <w:rPr>
                <w:rFonts w:ascii="Arial" w:cs="Arial" w:eastAsia="Arial" w:hAnsi="Arial"/>
                <w:sz w:val="18"/>
                <w:szCs w:val="18"/>
                <w:color w:val="auto"/>
              </w:rPr>
              <w:t>* recorded within interest expense</w:t>
            </w:r>
          </w:p>
        </w:tc>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586"/>
        </w:trPr>
        <w:tc>
          <w:tcPr>
            <w:tcW w:w="5420" w:type="dxa"/>
            <w:vAlign w:val="bottom"/>
          </w:tcPr>
          <w:p>
            <w:pPr>
              <w:spacing w:after="0"/>
              <w:rPr>
                <w:sz w:val="24"/>
                <w:szCs w:val="24"/>
                <w:color w:val="auto"/>
              </w:rPr>
            </w:pPr>
          </w:p>
        </w:tc>
        <w:tc>
          <w:tcPr>
            <w:tcW w:w="2260" w:type="dxa"/>
            <w:vAlign w:val="bottom"/>
          </w:tcPr>
          <w:p>
            <w:pPr>
              <w:jc w:val="right"/>
              <w:ind w:right="1751"/>
              <w:spacing w:after="0"/>
              <w:rPr>
                <w:sz w:val="20"/>
                <w:szCs w:val="20"/>
                <w:color w:val="auto"/>
              </w:rPr>
            </w:pPr>
            <w:r>
              <w:rPr>
                <w:rFonts w:ascii="Arial" w:cs="Arial" w:eastAsia="Arial" w:hAnsi="Arial"/>
                <w:sz w:val="18"/>
                <w:szCs w:val="18"/>
                <w:color w:val="auto"/>
              </w:rPr>
              <w:t>118</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54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b w:val="1"/>
                <w:bCs w:val="1"/>
                <w:color w:val="auto"/>
              </w:rPr>
              <w:t>19. Accumulated Other Comprehensive Income</w:t>
            </w:r>
          </w:p>
        </w:tc>
        <w:tc>
          <w:tcPr>
            <w:tcW w:w="2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6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22,828</w:t>
            </w: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Currency impact on long term funding (Net of tax)</w:t>
            </w:r>
          </w:p>
        </w:tc>
        <w:tc>
          <w:tcPr>
            <w:tcW w:w="2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(18,880)</w:t>
            </w: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on defined benefit pension plan (note 9)</w:t>
            </w:r>
          </w:p>
        </w:tc>
        <w:tc>
          <w:tcPr>
            <w:tcW w:w="2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19"/>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Unrealised capital gain/(loss) – investments (note 3)</w:t>
            </w:r>
          </w:p>
        </w:tc>
        <w:tc>
          <w:tcPr>
            <w:tcW w:w="2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3"/>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Impact of New Accounting Pronouncements</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Income Statement - Extraordinary and Unusual Items (Subtopic 225-20): Simplifying Income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by Eliminating the Concept of Extraordinary Items. </w:t>
      </w:r>
      <w:r>
        <w:rPr>
          <w:rFonts w:ascii="Arial" w:cs="Arial" w:eastAsia="Arial" w:hAnsi="Arial"/>
          <w:sz w:val="17"/>
          <w:szCs w:val="17"/>
          <w:color w:val="auto"/>
        </w:rPr>
        <w:t>ASU 2015-01 eliminates the separate presentation of extraordinary items, net of tax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earnings per share, but does not affect the requirement to disclose material items that are unusual in nature or infrequently occurring. The amendments in ASU 2015-01 are effective for fiscal years, and interim periods within those years, beginning after December 15, 2015. The Company does not expect the adoption of ASU 2015-01 to have a material impact on the financial statements.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Compensation—Stock Compensation (Topic 718): Accounting for Share-Based Payments When the Terms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Award Provide That a Performance Target Could Be Achieved after the Requisite Service Period (a consensus of the FASB Emerging Issues Task Force). </w:t>
      </w:r>
      <w:r>
        <w:rPr>
          <w:rFonts w:ascii="Arial" w:cs="Arial" w:eastAsia="Arial" w:hAnsi="Arial"/>
          <w:sz w:val="16"/>
          <w:szCs w:val="16"/>
          <w:color w:val="auto"/>
        </w:rPr>
        <w:t xml:space="preserve">ASU 2014-12 requires a reporting entity to treat a performance target that affects vesting and that could be achieved after the requisite service period as a performance condition. A reporting entity should apply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to awards with performance conditions that affect vesting. ASU 2014-12 requires a reporting entity to treat a performance target that affects vesting and that could be achieved after the requisite service period as a performance condition. A reporting entity should apply FASB ASC Topic 718, Compensation—Stock Compensation, to awards with performance conditions that affect vesting. The amendments in ASU 2014-12 are effective for fiscal years, and interim periods within those years, beginning after December 15, 2015. The Company does not expect the adoption of ASU 2014-18 to have a material impact on the financial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provides a five-step analysis of transactions to determine when and how revenue is recognized. The ASU will require many companies to use more judgment than under current U.S. GAAP. The amendments in ASU 2014-09 are effective for fiscal years, and interim periods within those years, beginning after December 15, 2016. The Company does not expect the adoption of ASU 2014-09 to have a material impact on the financial statements.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July 2013, the FASB issued ASU No. 2013-11, Income Taxes (Topic 740): </w:t>
      </w:r>
      <w:r>
        <w:rPr>
          <w:rFonts w:ascii="Arial" w:cs="Arial" w:eastAsia="Arial" w:hAnsi="Arial"/>
          <w:sz w:val="17"/>
          <w:szCs w:val="17"/>
          <w:i w:val="1"/>
          <w:iCs w:val="1"/>
          <w:color w:val="auto"/>
        </w:rPr>
        <w:t>Presentation of an Unrecognized Tax Benefit When a Net Operating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Carryforward, a Similar Tax Loss, or a Tax Credit Carryforward Exists. </w:t>
      </w:r>
      <w:r>
        <w:rPr>
          <w:rFonts w:ascii="Arial" w:cs="Arial" w:eastAsia="Arial" w:hAnsi="Arial"/>
          <w:sz w:val="17"/>
          <w:szCs w:val="17"/>
          <w:color w:val="auto"/>
        </w:rPr>
        <w:t>ASU 2013-11 requires an entity to present an unrecognized tax benefit, or a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ASU 2013-11 are effective for fiscal years, and interim periods within those years, beginning after December 15, 2013. The adoption of ASU 2013-11 did not have a material impact on the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 xml:space="preserve">20. Impact of New Accounting Pronouncements </w:t>
      </w:r>
      <w:r>
        <w:rPr>
          <w:rFonts w:ascii="Arial" w:cs="Arial" w:eastAsia="Arial" w:hAnsi="Arial"/>
          <w:sz w:val="18"/>
          <w:szCs w:val="18"/>
          <w:b w:val="1"/>
          <w:bCs w:val="1"/>
          <w:i w:val="1"/>
          <w:iCs w:val="1"/>
          <w:color w:val="auto"/>
        </w:rPr>
        <w:t>(continued)</w:t>
      </w:r>
    </w:p>
    <w:p>
      <w:pPr>
        <w:spacing w:after="0" w:line="25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March 2013, the FASB issued ASU No. 2013-05, Foreign Currency Matters (Topic 830): </w:t>
      </w:r>
      <w:r>
        <w:rPr>
          <w:rFonts w:ascii="Arial" w:cs="Arial" w:eastAsia="Arial" w:hAnsi="Arial"/>
          <w:sz w:val="16"/>
          <w:szCs w:val="16"/>
          <w:i w:val="1"/>
          <w:iCs w:val="1"/>
          <w:color w:val="auto"/>
        </w:rPr>
        <w:t>Parent’s Accounting for the Cumulative Translation Adjustment</w:t>
      </w:r>
      <w:r>
        <w:rPr>
          <w:rFonts w:ascii="Arial" w:cs="Arial" w:eastAsia="Arial" w:hAnsi="Arial"/>
          <w:sz w:val="16"/>
          <w:szCs w:val="16"/>
          <w:color w:val="auto"/>
        </w:rPr>
        <w:t xml:space="preserve"> </w:t>
      </w:r>
      <w:r>
        <w:rPr>
          <w:rFonts w:ascii="Arial" w:cs="Arial" w:eastAsia="Arial" w:hAnsi="Arial"/>
          <w:sz w:val="16"/>
          <w:szCs w:val="16"/>
          <w:i w:val="1"/>
          <w:iCs w:val="1"/>
          <w:color w:val="auto"/>
        </w:rPr>
        <w:t>upon Derecognition of Certain Subsidiaries or Groups of Assets within a Foreign Entity or of an Investment in a Foreign Entity</w:t>
      </w:r>
      <w:r>
        <w:rPr>
          <w:rFonts w:ascii="Arial" w:cs="Arial" w:eastAsia="Arial" w:hAnsi="Arial"/>
          <w:sz w:val="16"/>
          <w:szCs w:val="16"/>
          <w:color w:val="auto"/>
        </w:rPr>
        <w:t>. When a reporting entity</w:t>
      </w:r>
      <w:r>
        <w:rPr>
          <w:rFonts w:ascii="Arial" w:cs="Arial" w:eastAsia="Arial" w:hAnsi="Arial"/>
          <w:sz w:val="16"/>
          <w:szCs w:val="16"/>
          <w:i w:val="1"/>
          <w:iCs w:val="1"/>
          <w:color w:val="auto"/>
        </w:rPr>
        <w:t xml:space="preserve"> </w:t>
      </w:r>
      <w:r>
        <w:rPr>
          <w:rFonts w:ascii="Arial" w:cs="Arial" w:eastAsia="Arial" w:hAnsi="Arial"/>
          <w:sz w:val="16"/>
          <w:szCs w:val="16"/>
          <w:color w:val="auto"/>
        </w:rPr>
        <w:t>(parent) ceases to have a controlling financial interest in a subsidiary or group of assets that is a nonprofit activity or a business (other than a sale of in substance real estate or conveyance of oil and gas mineral rights) within a foreign entity, the parent is required to apply the guidance in Subtopic 830-30 to release any related cumulative translation adjustment into net income. Accordingly, the cumulative translation adjustment should be released into net income only if the sale or transfer results in the complete or substantially complete liquidation of the foreign entity in which the subsidiary or group of assets had resided. For an equity method investment that is a foreign entity, a pro rata portion of the cumulative translation adjustment should be released into net income upon a partial sale of such an equity method investment. However, this treatment does not apply to an equity method investment that is not a foreign entity. In those instances, the cumulative translation adjustment is released into net income only if the partial sale represents a complete or substantially complete liquidation of the foreign entity that contains the equity method investment. The amendments in ASU 2013-05 are effective prospectively for fiscal years, and interim periods within those years, beginning after December 15, 2013. The adoption of ASU 2013-05 did not have a material impact on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w:t>
      </w:r>
    </w:p>
    <w:p>
      <w:pPr>
        <w:spacing w:after="0" w:line="21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December 31, 2009, Dr. John Climax retired as Chairman of the Board of the Company. From January 2010 he has held the position as an outside director of the Company. The Company entered into an agreement with Rotrua Limited, a company controlled by Dr. Climax for the provision of consultancy services for a period of three years from January 1, 2010, at an agreed fee of €262,500 ($346,000) per annum. The consultancy agreement expired in December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Acquisition of MediMedia Pharma Solotions.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27, 2015 the Company acquired MediMedia Pharma Solutions for a total cash consideration of $120.0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folowing table summarizes the Company’s provisional estimates of the fair values of the assets acquired and liabilities assumed: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b w:val="1"/>
                <w:bCs w:val="1"/>
                <w:color w:val="auto"/>
              </w:rPr>
              <w:t xml:space="preserve">22. Subsequent Events </w:t>
            </w:r>
            <w:r>
              <w:rPr>
                <w:rFonts w:ascii="Arial" w:cs="Arial" w:eastAsia="Arial" w:hAnsi="Arial"/>
                <w:sz w:val="18"/>
                <w:szCs w:val="18"/>
                <w:b w:val="1"/>
                <w:bCs w:val="1"/>
                <w:i w:val="1"/>
                <w:iCs w:val="1"/>
                <w:color w:val="auto"/>
              </w:rPr>
              <w:t>(continued)</w:t>
            </w:r>
          </w:p>
        </w:tc>
        <w:tc>
          <w:tcPr>
            <w:tcW w:w="38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5"/>
        </w:trPr>
        <w:tc>
          <w:tcPr>
            <w:tcW w:w="6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b w:val="1"/>
                <w:bCs w:val="1"/>
                <w:color w:val="auto"/>
              </w:rPr>
              <w:t>February 27,</w:t>
            </w:r>
          </w:p>
        </w:tc>
      </w:tr>
      <w:tr>
        <w:trPr>
          <w:trHeight w:val="213"/>
        </w:trPr>
        <w:tc>
          <w:tcPr>
            <w:tcW w:w="61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r>
      <w:tr>
        <w:trPr>
          <w:trHeight w:val="230"/>
        </w:trPr>
        <w:tc>
          <w:tcPr>
            <w:tcW w:w="6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Accounts receivable</w:t>
            </w:r>
          </w:p>
        </w:tc>
        <w:tc>
          <w:tcPr>
            <w:tcW w:w="3840" w:type="dxa"/>
            <w:vAlign w:val="bottom"/>
          </w:tcPr>
          <w:p>
            <w:pPr>
              <w:spacing w:after="0"/>
              <w:rPr>
                <w:sz w:val="18"/>
                <w:szCs w:val="18"/>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4,877</w:t>
            </w: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8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4,826</w:t>
            </w: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840" w:type="dxa"/>
            <w:vAlign w:val="bottom"/>
          </w:tcPr>
          <w:p>
            <w:pPr>
              <w:spacing w:after="0"/>
              <w:rPr>
                <w:sz w:val="18"/>
                <w:szCs w:val="18"/>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721</w:t>
            </w: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Other liabilities</w:t>
            </w:r>
          </w:p>
        </w:tc>
        <w:tc>
          <w:tcPr>
            <w:tcW w:w="38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(4,763)</w:t>
            </w:r>
          </w:p>
        </w:tc>
      </w:tr>
      <w:tr>
        <w:trPr>
          <w:trHeight w:val="219"/>
        </w:trPr>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r>
      <w:tr>
        <w:trPr>
          <w:trHeight w:val="213"/>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1,410</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anticipated that goodwill arising from the acquisition of the MediMedia Managed Markets will comprise an established workforce with experience in the provision of strategic payer-validated market access solutions while the acquisition of Complete Healthcare Communications will comprise an established workforce with significant communication experience working with medical affairs, commercial and brand development teams within the life science industry. Other intangible assets are expected to comprise customer relationships.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Brendan Brennan</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12700</wp:posOffset>
            </wp:positionV>
            <wp:extent cx="27508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50820" cy="1714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Brendan Brennan</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507" w:right="259" w:bottom="1440" w:gutter="0" w:footer="0" w:header="0"/>
        </w:sectPr>
      </w:pPr>
    </w:p>
    <w:bookmarkStart w:id="124" w:name="page125"/>
    <w:bookmarkEnd w:id="124"/>
    <w:tbl>
      <w:tblPr>
        <w:tblLayout w:type="fixed"/>
        <w:tblInd w:w="114"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040" w:type="dxa"/>
            <w:vAlign w:val="bottom"/>
          </w:tcPr>
          <w:p>
            <w:pPr>
              <w:spacing w:after="0"/>
              <w:rPr>
                <w:sz w:val="20"/>
                <w:szCs w:val="20"/>
                <w:color w:val="auto"/>
              </w:rPr>
            </w:pPr>
            <w:r>
              <w:rPr>
                <w:rFonts w:ascii="Arial" w:cs="Arial" w:eastAsia="Arial" w:hAnsi="Arial"/>
                <w:sz w:val="18"/>
                <w:szCs w:val="18"/>
                <w:color w:val="auto"/>
              </w:rPr>
              <w:t>Exhibit</w:t>
            </w:r>
          </w:p>
        </w:tc>
        <w:tc>
          <w:tcPr>
            <w:tcW w:w="10040" w:type="dxa"/>
            <w:vAlign w:val="bottom"/>
          </w:tcPr>
          <w:p>
            <w:pPr>
              <w:spacing w:after="0"/>
              <w:rPr>
                <w:sz w:val="24"/>
                <w:szCs w:val="24"/>
                <w:color w:val="auto"/>
              </w:rPr>
            </w:pPr>
          </w:p>
        </w:tc>
      </w:tr>
      <w:tr>
        <w:trPr>
          <w:trHeight w:val="224"/>
        </w:trPr>
        <w:tc>
          <w:tcPr>
            <w:tcW w:w="1040" w:type="dxa"/>
            <w:vAlign w:val="bottom"/>
          </w:tcPr>
          <w:p>
            <w:pPr>
              <w:spacing w:after="0"/>
              <w:rPr>
                <w:sz w:val="20"/>
                <w:szCs w:val="20"/>
                <w:color w:val="auto"/>
              </w:rPr>
            </w:pPr>
            <w:r>
              <w:rPr>
                <w:rFonts w:ascii="Arial" w:cs="Arial" w:eastAsia="Arial" w:hAnsi="Arial"/>
                <w:sz w:val="18"/>
                <w:szCs w:val="18"/>
                <w:color w:val="auto"/>
              </w:rPr>
              <w:t>Number</w:t>
            </w:r>
          </w:p>
        </w:tc>
        <w:tc>
          <w:tcPr>
            <w:tcW w:w="10040" w:type="dxa"/>
            <w:vAlign w:val="bottom"/>
          </w:tcPr>
          <w:p>
            <w:pPr>
              <w:ind w:left="620"/>
              <w:spacing w:after="0"/>
              <w:rPr>
                <w:sz w:val="20"/>
                <w:szCs w:val="20"/>
                <w:color w:val="auto"/>
              </w:rPr>
            </w:pPr>
            <w:r>
              <w:rPr>
                <w:rFonts w:ascii="Arial" w:cs="Arial" w:eastAsia="Arial" w:hAnsi="Arial"/>
                <w:sz w:val="18"/>
                <w:szCs w:val="18"/>
                <w:color w:val="auto"/>
              </w:rPr>
              <w:t>Title</w:t>
            </w:r>
          </w:p>
        </w:tc>
      </w:tr>
      <w:tr>
        <w:trPr>
          <w:trHeight w:val="414"/>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0040" w:type="dxa"/>
            <w:vAlign w:val="bottom"/>
          </w:tcPr>
          <w:p>
            <w:pPr>
              <w:ind w:left="460"/>
              <w:spacing w:after="0"/>
              <w:rPr>
                <w:sz w:val="20"/>
                <w:szCs w:val="20"/>
                <w:color w:val="auto"/>
              </w:rPr>
            </w:pPr>
            <w:r>
              <w:rPr>
                <w:rFonts w:ascii="Arial" w:cs="Arial" w:eastAsia="Arial" w:hAnsi="Arial"/>
                <w:sz w:val="18"/>
                <w:szCs w:val="18"/>
                <w:color w:val="auto"/>
                <w:w w:val="90"/>
              </w:rPr>
              <w:t>Description of the Memorandum and Articles of Association of the Company (incorporated by reference to exhibit 3.1 to the Form 20F</w:t>
            </w:r>
          </w:p>
        </w:tc>
      </w:tr>
      <w:tr>
        <w:trPr>
          <w:trHeight w:val="224"/>
        </w:trPr>
        <w:tc>
          <w:tcPr>
            <w:tcW w:w="1040" w:type="dxa"/>
            <w:vAlign w:val="bottom"/>
          </w:tcPr>
          <w:p>
            <w:pPr>
              <w:spacing w:after="0"/>
              <w:rPr>
                <w:sz w:val="19"/>
                <w:szCs w:val="19"/>
                <w:color w:val="auto"/>
              </w:rPr>
            </w:pPr>
          </w:p>
        </w:tc>
        <w:tc>
          <w:tcPr>
            <w:tcW w:w="10040" w:type="dxa"/>
            <w:vAlign w:val="bottom"/>
          </w:tcPr>
          <w:p>
            <w:pPr>
              <w:ind w:left="460"/>
              <w:spacing w:after="0"/>
              <w:rPr>
                <w:sz w:val="20"/>
                <w:szCs w:val="20"/>
                <w:color w:val="auto"/>
              </w:rPr>
            </w:pPr>
            <w:r>
              <w:rPr>
                <w:rFonts w:ascii="Arial" w:cs="Arial" w:eastAsia="Arial" w:hAnsi="Arial"/>
                <w:sz w:val="18"/>
                <w:szCs w:val="18"/>
                <w:color w:val="auto"/>
              </w:rPr>
              <w:t>(File No. 333-08704) filed on March 6, 2013).</w:t>
            </w:r>
          </w:p>
        </w:tc>
      </w:tr>
      <w:tr>
        <w:trPr>
          <w:trHeight w:val="425"/>
        </w:trPr>
        <w:tc>
          <w:tcPr>
            <w:tcW w:w="1040" w:type="dxa"/>
            <w:vAlign w:val="bottom"/>
          </w:tcPr>
          <w:p>
            <w:pPr>
              <w:spacing w:after="0"/>
              <w:rPr>
                <w:sz w:val="20"/>
                <w:szCs w:val="20"/>
                <w:color w:val="auto"/>
              </w:rPr>
            </w:pPr>
            <w:r>
              <w:rPr>
                <w:rFonts w:ascii="Arial" w:cs="Arial" w:eastAsia="Arial" w:hAnsi="Arial"/>
                <w:sz w:val="18"/>
                <w:szCs w:val="18"/>
                <w:color w:val="auto"/>
              </w:rPr>
              <w:t>12.1*</w:t>
            </w:r>
          </w:p>
        </w:tc>
        <w:tc>
          <w:tcPr>
            <w:tcW w:w="10040" w:type="dxa"/>
            <w:vAlign w:val="bottom"/>
          </w:tcPr>
          <w:p>
            <w:pPr>
              <w:ind w:left="460"/>
              <w:spacing w:after="0"/>
              <w:rPr>
                <w:sz w:val="20"/>
                <w:szCs w:val="20"/>
                <w:color w:val="auto"/>
              </w:rPr>
            </w:pPr>
            <w:r>
              <w:rPr>
                <w:rFonts w:ascii="Arial" w:cs="Arial" w:eastAsia="Arial" w:hAnsi="Arial"/>
                <w:sz w:val="18"/>
                <w:szCs w:val="18"/>
                <w:color w:val="auto"/>
              </w:rPr>
              <w:t>Section 302 certifications.</w:t>
            </w:r>
          </w:p>
        </w:tc>
      </w:tr>
      <w:tr>
        <w:trPr>
          <w:trHeight w:val="425"/>
        </w:trPr>
        <w:tc>
          <w:tcPr>
            <w:tcW w:w="1040" w:type="dxa"/>
            <w:vAlign w:val="bottom"/>
          </w:tcPr>
          <w:p>
            <w:pPr>
              <w:spacing w:after="0"/>
              <w:rPr>
                <w:sz w:val="20"/>
                <w:szCs w:val="20"/>
                <w:color w:val="auto"/>
              </w:rPr>
            </w:pPr>
            <w:r>
              <w:rPr>
                <w:rFonts w:ascii="Arial" w:cs="Arial" w:eastAsia="Arial" w:hAnsi="Arial"/>
                <w:sz w:val="18"/>
                <w:szCs w:val="18"/>
                <w:color w:val="auto"/>
              </w:rPr>
              <w:t>12.2*</w:t>
            </w:r>
          </w:p>
        </w:tc>
        <w:tc>
          <w:tcPr>
            <w:tcW w:w="10040" w:type="dxa"/>
            <w:vAlign w:val="bottom"/>
          </w:tcPr>
          <w:p>
            <w:pPr>
              <w:ind w:left="460"/>
              <w:spacing w:after="0"/>
              <w:rPr>
                <w:sz w:val="20"/>
                <w:szCs w:val="20"/>
                <w:color w:val="auto"/>
              </w:rPr>
            </w:pPr>
            <w:r>
              <w:rPr>
                <w:rFonts w:ascii="Arial" w:cs="Arial" w:eastAsia="Arial" w:hAnsi="Arial"/>
                <w:sz w:val="18"/>
                <w:szCs w:val="18"/>
                <w:color w:val="auto"/>
              </w:rPr>
              <w:t>Section 906 certifications.</w:t>
            </w:r>
          </w:p>
        </w:tc>
      </w:tr>
      <w:tr>
        <w:trPr>
          <w:trHeight w:val="425"/>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0040" w:type="dxa"/>
            <w:vAlign w:val="bottom"/>
          </w:tcPr>
          <w:p>
            <w:pPr>
              <w:ind w:left="46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25"/>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tcPr>
          <w:p>
            <w:pPr>
              <w:ind w:left="46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25"/>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040" w:type="dxa"/>
            <w:vAlign w:val="bottom"/>
          </w:tcPr>
          <w:p>
            <w:pPr>
              <w:ind w:left="460"/>
              <w:spacing w:after="0"/>
              <w:rPr>
                <w:sz w:val="20"/>
                <w:szCs w:val="20"/>
                <w:color w:val="auto"/>
              </w:rPr>
            </w:pPr>
            <w:r>
              <w:rPr>
                <w:rFonts w:ascii="Arial" w:cs="Arial" w:eastAsia="Arial" w:hAnsi="Arial"/>
                <w:sz w:val="18"/>
                <w:szCs w:val="18"/>
                <w:color w:val="auto"/>
              </w:rPr>
              <w:t>Interactive Data Files (XBRL – Related Documents)</w:t>
            </w:r>
          </w:p>
        </w:tc>
      </w:tr>
    </w:tbl>
    <w:p>
      <w:pPr>
        <w:ind w:left="614" w:hanging="614"/>
        <w:spacing w:after="0"/>
        <w:tabs>
          <w:tab w:leader="none" w:pos="614"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213"/>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1194"/>
          </w:cols>
          <w:pgMar w:left="246" w:top="507" w:right="4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Brendan Brennan, certify that:</w:t>
      </w:r>
    </w:p>
    <w:p>
      <w:pPr>
        <w:spacing w:after="0" w:line="245" w:lineRule="exact"/>
        <w:rPr>
          <w:sz w:val="20"/>
          <w:szCs w:val="20"/>
          <w:color w:val="auto"/>
        </w:rPr>
      </w:pPr>
    </w:p>
    <w:p>
      <w:pPr>
        <w:ind w:left="180" w:hanging="174"/>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44" w:lineRule="exact"/>
        <w:rPr>
          <w:rFonts w:ascii="Arial" w:cs="Arial" w:eastAsia="Arial" w:hAnsi="Arial"/>
          <w:sz w:val="18"/>
          <w:szCs w:val="18"/>
          <w:color w:val="auto"/>
        </w:rPr>
      </w:pPr>
    </w:p>
    <w:p>
      <w:pPr>
        <w:ind w:right="140" w:firstLine="6"/>
        <w:spacing w:after="0" w:line="329" w:lineRule="auto"/>
        <w:tabs>
          <w:tab w:leader="none" w:pos="177"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right="240" w:firstLine="6"/>
        <w:spacing w:after="0" w:line="266" w:lineRule="auto"/>
        <w:tabs>
          <w:tab w:leader="none" w:pos="1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ind w:right="100" w:firstLine="6"/>
        <w:spacing w:after="0" w:line="256" w:lineRule="auto"/>
        <w:tabs>
          <w:tab w:leader="none" w:pos="1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640" w:right="40" w:firstLine="4"/>
        <w:spacing w:after="0" w:line="256" w:lineRule="auto"/>
        <w:tabs>
          <w:tab w:leader="none" w:pos="822"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640" w:right="20" w:firstLine="4"/>
        <w:spacing w:after="0" w:line="256" w:lineRule="auto"/>
        <w:tabs>
          <w:tab w:leader="none" w:pos="8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right="100" w:firstLine="4"/>
        <w:spacing w:after="0" w:line="295" w:lineRule="auto"/>
        <w:tabs>
          <w:tab w:leader="none" w:pos="822"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ind w:left="640" w:right="140" w:firstLine="4"/>
        <w:spacing w:after="0" w:line="295" w:lineRule="auto"/>
        <w:tabs>
          <w:tab w:leader="none" w:pos="832" w:val="left"/>
        </w:tabs>
        <w:numPr>
          <w:ilvl w:val="1"/>
          <w:numId w:val="6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83" w:lineRule="exact"/>
        <w:rPr>
          <w:rFonts w:ascii="Arial" w:cs="Arial" w:eastAsia="Arial" w:hAnsi="Arial"/>
          <w:sz w:val="17"/>
          <w:szCs w:val="17"/>
          <w:color w:val="auto"/>
        </w:rPr>
      </w:pPr>
    </w:p>
    <w:p>
      <w:pPr>
        <w:ind w:right="20" w:firstLine="6"/>
        <w:spacing w:after="0" w:line="266" w:lineRule="auto"/>
        <w:tabs>
          <w:tab w:leader="none" w:pos="1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right="460" w:firstLine="6"/>
        <w:spacing w:after="0" w:line="266" w:lineRule="auto"/>
        <w:tabs>
          <w:tab w:leader="none" w:pos="1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right="40" w:firstLine="6"/>
        <w:spacing w:after="0" w:line="266" w:lineRule="auto"/>
        <w:tabs>
          <w:tab w:leader="none" w:pos="1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45" w:lineRule="exact"/>
        <w:rPr>
          <w:sz w:val="20"/>
          <w:szCs w:val="20"/>
          <w:color w:val="auto"/>
        </w:rPr>
      </w:pPr>
    </w:p>
    <w:p>
      <w:pPr>
        <w:ind w:left="180" w:hanging="174"/>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44" w:lineRule="exact"/>
        <w:rPr>
          <w:rFonts w:ascii="Arial" w:cs="Arial" w:eastAsia="Arial" w:hAnsi="Arial"/>
          <w:sz w:val="18"/>
          <w:szCs w:val="18"/>
          <w:color w:val="auto"/>
        </w:rPr>
      </w:pPr>
    </w:p>
    <w:p>
      <w:pPr>
        <w:ind w:right="120" w:firstLine="6"/>
        <w:spacing w:after="0" w:line="329" w:lineRule="auto"/>
        <w:tabs>
          <w:tab w:leader="none" w:pos="177"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right="220" w:firstLine="6"/>
        <w:spacing w:after="0" w:line="266" w:lineRule="auto"/>
        <w:tabs>
          <w:tab w:leader="none" w:pos="1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ind w:right="80" w:firstLine="6"/>
        <w:spacing w:after="0" w:line="256" w:lineRule="auto"/>
        <w:tabs>
          <w:tab w:leader="none" w:pos="1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640" w:right="20" w:firstLine="4"/>
        <w:spacing w:after="0" w:line="256" w:lineRule="auto"/>
        <w:tabs>
          <w:tab w:leader="none" w:pos="8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640" w:firstLine="4"/>
        <w:spacing w:after="0" w:line="256" w:lineRule="auto"/>
        <w:tabs>
          <w:tab w:leader="none" w:pos="83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right="80" w:firstLine="4"/>
        <w:spacing w:after="0" w:line="295" w:lineRule="auto"/>
        <w:tabs>
          <w:tab w:leader="none" w:pos="822"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ind w:left="640" w:right="120" w:firstLine="4"/>
        <w:spacing w:after="0" w:line="295" w:lineRule="auto"/>
        <w:tabs>
          <w:tab w:leader="none" w:pos="832"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83" w:lineRule="exact"/>
        <w:rPr>
          <w:rFonts w:ascii="Arial" w:cs="Arial" w:eastAsia="Arial" w:hAnsi="Arial"/>
          <w:sz w:val="17"/>
          <w:szCs w:val="17"/>
          <w:color w:val="auto"/>
        </w:rPr>
      </w:pPr>
    </w:p>
    <w:p>
      <w:pPr>
        <w:ind w:firstLine="6"/>
        <w:spacing w:after="0" w:line="266" w:lineRule="auto"/>
        <w:tabs>
          <w:tab w:leader="none" w:pos="1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right="440" w:firstLine="6"/>
        <w:spacing w:after="0" w:line="266" w:lineRule="auto"/>
        <w:tabs>
          <w:tab w:leader="none" w:pos="1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right="20" w:firstLine="6"/>
        <w:spacing w:after="0" w:line="266" w:lineRule="auto"/>
        <w:tabs>
          <w:tab w:leader="none" w:pos="1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400"/>
          </w:cols>
          <w:pgMar w:left="240" w:top="480" w:right="2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2014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15" w:lineRule="exact"/>
        <w:rPr>
          <w:sz w:val="20"/>
          <w:szCs w:val="20"/>
          <w:color w:val="auto"/>
        </w:rPr>
      </w:pPr>
    </w:p>
    <w:p>
      <w:pPr>
        <w:ind w:left="260" w:hanging="254"/>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4" w:lineRule="exact"/>
        <w:rPr>
          <w:rFonts w:ascii="Arial" w:cs="Arial" w:eastAsia="Arial" w:hAnsi="Arial"/>
          <w:sz w:val="18"/>
          <w:szCs w:val="18"/>
          <w:color w:val="auto"/>
        </w:rPr>
      </w:pPr>
    </w:p>
    <w:p>
      <w:pPr>
        <w:ind w:left="260" w:hanging="254"/>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12, 2015</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Brendan Brennan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2014 as filed with the Securities and Exchange Commission on the date hereof (the “Report”), I, Ciaran Murray, Chief Executive Officer of the Company, certify, pursuant to 18 U.S.C. § 1350, as adopted pursuant to § 906 of the Sarbanes-Oxley Act of 2002, that to my knowledge:</w:t>
      </w:r>
    </w:p>
    <w:p>
      <w:pPr>
        <w:spacing w:after="0" w:line="215" w:lineRule="exact"/>
        <w:rPr>
          <w:sz w:val="20"/>
          <w:szCs w:val="20"/>
          <w:color w:val="auto"/>
        </w:rPr>
      </w:pPr>
    </w:p>
    <w:p>
      <w:pPr>
        <w:ind w:left="260" w:hanging="254"/>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4" w:lineRule="exact"/>
        <w:rPr>
          <w:rFonts w:ascii="Arial" w:cs="Arial" w:eastAsia="Arial" w:hAnsi="Arial"/>
          <w:sz w:val="18"/>
          <w:szCs w:val="18"/>
          <w:color w:val="auto"/>
        </w:rPr>
      </w:pPr>
    </w:p>
    <w:p>
      <w:pPr>
        <w:ind w:left="260" w:hanging="254"/>
        <w:spacing w:after="0"/>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12,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/s/Ciaran Murray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on Form S-8 (No. 333-190068) of ICON plc of our reports dated March 12, 2015, with respect to the consolidated balance sheets of ICON plc as of December 31, 2014 and 2013 and the related consolidated statements of operations, shareholders’ equity and comprehensive income, and cash flows for each of the years in the three-year period ended December 31, 2014, and the effectiveness of internal control over financial reporting as of December 31, 2014, which reports appear in the December 31, 2014 Annual Report on Form 20-F of ICON plc.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o"/>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lowerRoman"/>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2"/>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lowerLetter"/>
      <w:start w:val="5"/>
    </w:lvl>
  </w:abstractNum>
  <w:abstractNum w:abstractNumId="36">
    <w:nsid w:val="75C6C33A"/>
    <w:multiLevelType w:val="hybridMultilevel"/>
    <w:lvl w:ilvl="0">
      <w:lvlJc w:val="left"/>
      <w:lvlText w:val="(%1)"/>
      <w:numFmt w:val="lowerLetter"/>
      <w:start w:val="6"/>
    </w:lvl>
  </w:abstractNum>
  <w:abstractNum w:abstractNumId="37">
    <w:nsid w:val="12E685FB"/>
    <w:multiLevelType w:val="hybridMultilevel"/>
    <w:lvl w:ilvl="0">
      <w:lvlJc w:val="left"/>
      <w:lvlText w:val="(%1)"/>
      <w:numFmt w:val="lowerLetter"/>
      <w:start w:val="7"/>
    </w:lvl>
  </w:abstractNum>
  <w:abstractNum w:abstractNumId="38">
    <w:nsid w:val="70C6A529"/>
    <w:multiLevelType w:val="hybridMultilevel"/>
    <w:lvl w:ilvl="0">
      <w:lvlJc w:val="left"/>
      <w:lvlText w:val="(%1)"/>
      <w:numFmt w:val="lowerLetter"/>
      <w:start w:val="8"/>
    </w:lvl>
  </w:abstractNum>
  <w:abstractNum w:abstractNumId="39">
    <w:nsid w:val="520EEDD1"/>
    <w:multiLevelType w:val="hybridMultilevel"/>
    <w:lvl w:ilvl="0">
      <w:lvlJc w:val="left"/>
      <w:lvlText w:val="(%1)"/>
      <w:numFmt w:val="lowerRoman"/>
      <w:start w:val="1"/>
    </w:lvl>
  </w:abstractNum>
  <w:abstractNum w:abstractNumId="40">
    <w:nsid w:val="374A3FE6"/>
    <w:multiLevelType w:val="hybridMultilevel"/>
    <w:lvl w:ilvl="0">
      <w:lvlJc w:val="left"/>
      <w:lvlText w:val="(%1)"/>
      <w:numFmt w:val="lowerLetter"/>
      <w:start w:val="10"/>
    </w:lvl>
  </w:abstractNum>
  <w:abstractNum w:abstractNumId="41">
    <w:nsid w:val="4F4EF005"/>
    <w:multiLevelType w:val="hybridMultilevel"/>
    <w:lvl w:ilvl="0">
      <w:lvlJc w:val="left"/>
      <w:lvlText w:val="(%1)"/>
      <w:numFmt w:val="lowerLetter"/>
      <w:start w:val="11"/>
    </w:lvl>
  </w:abstractNum>
  <w:abstractNum w:abstractNumId="42">
    <w:nsid w:val="23F9C13C"/>
    <w:multiLevelType w:val="hybridMultilevel"/>
    <w:lvl w:ilvl="0">
      <w:lvlJc w:val="left"/>
      <w:lvlText w:val="(%1)"/>
      <w:numFmt w:val="lowerLetter"/>
      <w:start w:val="12"/>
    </w:lvl>
  </w:abstractNum>
  <w:abstractNum w:abstractNumId="43">
    <w:nsid w:val="649BB77C"/>
    <w:multiLevelType w:val="hybridMultilevel"/>
    <w:lvl w:ilvl="0">
      <w:lvlJc w:val="left"/>
      <w:lvlText w:val="(%1)"/>
      <w:numFmt w:val="lowerLetter"/>
      <w:start w:val="13"/>
    </w:lvl>
  </w:abstractNum>
  <w:abstractNum w:abstractNumId="44">
    <w:nsid w:val="275AC794"/>
    <w:multiLevelType w:val="hybridMultilevel"/>
    <w:lvl w:ilvl="0">
      <w:lvlJc w:val="left"/>
      <w:lvlText w:val="(%1)"/>
      <w:numFmt w:val="lowerLetter"/>
      <w:start w:val="14"/>
    </w:lvl>
  </w:abstractNum>
  <w:abstractNum w:abstractNumId="45">
    <w:nsid w:val="39386575"/>
    <w:multiLevelType w:val="hybridMultilevel"/>
    <w:lvl w:ilvl="0">
      <w:lvlJc w:val="left"/>
      <w:lvlText w:val="(%1)"/>
      <w:numFmt w:val="lowerLetter"/>
      <w:start w:val="15"/>
    </w:lvl>
  </w:abstractNum>
  <w:abstractNum w:abstractNumId="46">
    <w:nsid w:val="1CF10FD8"/>
    <w:multiLevelType w:val="hybridMultilevel"/>
    <w:lvl w:ilvl="0">
      <w:lvlJc w:val="left"/>
      <w:lvlText w:val="(%1)"/>
      <w:numFmt w:val="lowerLetter"/>
      <w:start w:val="16"/>
    </w:lvl>
  </w:abstractNum>
  <w:abstractNum w:abstractNumId="47">
    <w:nsid w:val="180115BE"/>
    <w:multiLevelType w:val="hybridMultilevel"/>
    <w:lvl w:ilvl="0">
      <w:lvlJc w:val="left"/>
      <w:lvlText w:val="(%1)"/>
      <w:numFmt w:val="lowerLetter"/>
      <w:start w:val="17"/>
    </w:lvl>
  </w:abstractNum>
  <w:abstractNum w:abstractNumId="48">
    <w:nsid w:val="235BA861"/>
    <w:multiLevelType w:val="hybridMultilevel"/>
    <w:lvl w:ilvl="0">
      <w:lvlJc w:val="left"/>
      <w:lvlText w:val="(%1)"/>
      <w:numFmt w:val="lowerLetter"/>
      <w:start w:val="18"/>
    </w:lvl>
  </w:abstractNum>
  <w:abstractNum w:abstractNumId="49">
    <w:nsid w:val="47398C89"/>
    <w:multiLevelType w:val="hybridMultilevel"/>
    <w:lvl w:ilvl="0">
      <w:lvlJc w:val="left"/>
      <w:lvlText w:val="(%1)"/>
      <w:numFmt w:val="lowerLetter"/>
      <w:start w:val="19"/>
    </w:lvl>
  </w:abstractNum>
  <w:abstractNum w:abstractNumId="50">
    <w:nsid w:val="354FE9F9"/>
    <w:multiLevelType w:val="hybridMultilevel"/>
    <w:lvl w:ilvl="0">
      <w:lvlJc w:val="left"/>
      <w:lvlText w:val="(%1)"/>
      <w:numFmt w:val="lowerLetter"/>
      <w:start w:val="20"/>
    </w:lvl>
  </w:abstractNum>
  <w:abstractNum w:abstractNumId="51">
    <w:nsid w:val="15B5AF5C"/>
    <w:multiLevelType w:val="hybridMultilevel"/>
    <w:lvl w:ilvl="0">
      <w:lvlJc w:val="left"/>
      <w:lvlText w:val="(%1)"/>
      <w:numFmt w:val="lowerLetter"/>
      <w:start w:val="21"/>
    </w:lvl>
  </w:abstractNum>
  <w:abstractNum w:abstractNumId="52">
    <w:nsid w:val="741226BB"/>
    <w:multiLevelType w:val="hybridMultilevel"/>
    <w:lvl w:ilvl="0">
      <w:lvlJc w:val="left"/>
      <w:lvlText w:val="(%1)"/>
      <w:numFmt w:val="lowerRoman"/>
      <w:start w:val="5"/>
    </w:lvl>
  </w:abstractNum>
  <w:abstractNum w:abstractNumId="53">
    <w:nsid w:val="D34B6A8"/>
    <w:multiLevelType w:val="hybridMultilevel"/>
    <w:lvl w:ilvl="0">
      <w:lvlJc w:val="left"/>
      <w:lvlText w:val="(%1)"/>
      <w:numFmt w:val="lowerLetter"/>
      <w:start w:val="23"/>
    </w:lvl>
  </w:abstractNum>
  <w:abstractNum w:abstractNumId="54">
    <w:nsid w:val="10233C99"/>
    <w:multiLevelType w:val="hybridMultilevel"/>
    <w:lvl w:ilvl="0">
      <w:lvlJc w:val="left"/>
      <w:lvlText w:val="(%1)"/>
      <w:numFmt w:val="lowerRoman"/>
      <w:start w:val="10"/>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lowerLetter"/>
      <w:start w:val="8"/>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2019-12-07T04:35:27Z</dcterms:created>
  <dcterms:modified xsi:type="dcterms:W3CDTF">2019-12-07T04:35:27Z</dcterms:modified>
</cp:coreProperties>
</file>