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42"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2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For</w:t>
      </w:r>
    </w:p>
    <w:p>
      <w:pPr>
        <w:spacing w:after="0" w:line="2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the month ended October, 2017</w:t>
      </w:r>
    </w:p>
    <w:p>
      <w:pPr>
        <w:spacing w:after="0" w:line="214"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44"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0" w:lineRule="exact"/>
        <w:rPr>
          <w:sz w:val="24"/>
          <w:szCs w:val="24"/>
          <w:color w:val="auto"/>
        </w:rPr>
      </w:pPr>
    </w:p>
    <w:p>
      <w:pPr>
        <w:spacing w:after="0" w:line="275"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333-08704</w:t>
      </w:r>
    </w:p>
    <w:p>
      <w:pPr>
        <w:spacing w:after="0" w:line="2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7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Brendan Brennan, CFO</w:t>
      </w:r>
    </w:p>
    <w:p>
      <w:pPr>
        <w:spacing w:after="0" w:line="2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600" w:val="left"/>
        </w:tabs>
        <w:rPr>
          <w:sz w:val="20"/>
          <w:szCs w:val="20"/>
          <w:color w:val="auto"/>
        </w:rPr>
      </w:pPr>
      <w:r>
        <w:rPr>
          <w:rFonts w:ascii="Times New Roman" w:cs="Times New Roman" w:eastAsia="Times New Roman" w:hAnsi="Times New Roman"/>
          <w:sz w:val="18"/>
          <w:szCs w:val="18"/>
          <w:color w:val="auto"/>
        </w:rPr>
        <w:t>Yes___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_</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6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6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ind w:left="4500"/>
        <w:spacing w:after="0"/>
        <w:tabs>
          <w:tab w:leader="none" w:pos="66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12g3-2(b):82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09" w:right="10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Rider A</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2017, we had approximately 13,117 employees, in 97 locations in 38 countries. During the nine months ended September 30, 2017, we derived approximately 46.1%, 42.4% and 11.5% of our net revenue in the United States, Europe and Rest of World respectively.</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011-353-1-291-2000.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Board composition and executive leadership transition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2017, Mr. Ciaran Murray transitioned from his role as Chief Executive Officer to the role of Executive Chairman of the Board of Directors. On this date, Dr. Steve Cutler was appointed as Chief Executive Officer. As a part of this transition, Mr. Declan McKeon stepped down as Chairman of the Board of Directors and was appointed to the position of lead independent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 2017, Mr. Eugene McCague was appointed to the Board as a non-Executive Director.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15, 2016, a subsidiary of the Company, ICON US Holdings Inc. acquired Clinical Research Management, Inc. (“ClinicalRM”) which resulted in initial net cash outflows of $52.4 million (including certain payments made on behalf of ClinicalRM totaling $9.2 million). 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and commercial customers. Their extensive expertise extends across basic and applied research, infectious diseases, vaccines development and testing and the response to bio-threats. They have worked in collaboration with government and commercial customers to respond to the threat of global viral epidemics.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27, 2017, a subsidiary of the Company, ICON Clinicial Research Limited acquired Mapi Development SAS ('Mapi'). Mapi is a leading patient-centered health outcomes research and commercialization company. Initial cash outflows on acquisition were $144.1 million. The acquisition of Mapi strengthens ICON’s existing commercialization and outcomes research business adding significant commercialization presence, analytics, real world evidence generation and strategic regulatory services.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i w:val="1"/>
          <w:iCs w:val="1"/>
          <w:color w:val="auto"/>
        </w:rPr>
        <w:t>Share repurchase program</w:t>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resolution was passed at the Company’s Annual General Meeting (“AGM”) on July 22, 2016, which authorizes the Directors to purchase (buyback) up to 10% of the outstanding shares in the Company. On October 3, 2016, the Company commenced the share buyback program of up to $400 million. At December 31, 2016, a total of 1,429,187 ordinary shares were redeemed by the Company under the buyback program for a total consideration of $110.0 million. At September 30, 2017, a total of 2,797,323 ordinary shares were redeemed by the Company under this buyback program for a total consideration of $218.1 million. 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Accounting Standards Update (‘ASU’) 2016-09 ‘Improvements to Employee Share-Based Payment Accounting’ was issued in March 2016 which simplifies various aspects related to the accounting and presentation of share-based payments. The amendments require entities to record all tax effects related to share-based payments at settlement or expiration through the income statement and the windfall tax benefit to be recorded when it arises, subject to normal valuation allowance considerations. All tax-related cash flows resulting from share-based payments are required to be reported as operating activities in the statement of cash flows. The effective date of the new standard for public companies is for fiscal years beginning after December 15, 2016, and interim periods within those fiscal years. The Company has applied the modified retrospective approach, as required by the amendment to the standard, in determining the cumulative increase in retained earnings at January 1, 2017. This resulted in the recognition of previously unrecognized excess tax benefits, as a credit to retained earnings, of $6.7 million. The Company has adopted the cash flow presentation prospectively.</w:t>
      </w:r>
    </w:p>
    <w:p>
      <w:pPr>
        <w:spacing w:after="0" w:line="21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new revenue recognition standard (ASU No. 2014-09 ‘Revenue from Contracts with Customers’) was released in 2014 and becomes effective for ICON plc with effect from January 1, 2018. See note 10 for details.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SEPTEMBER 30, 2017 AND DECEMBER 31, 2016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20"/>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209,805</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 term investments - available for sale</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82,673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344,898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Unbilled revenue</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255,349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receivables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40,883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42,185</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26,230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1,002,023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957,958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152,305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764,377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 other assets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15,097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income taxes receivable</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16,451</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 deferred tax asset</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29,374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Intangible assets</w:t>
            </w:r>
          </w:p>
        </w:tc>
        <w:tc>
          <w:tcPr>
            <w:tcW w:w="1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73,722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2,053,349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1,825,843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12,992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on account</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261,503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236,090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 payable</w:t>
            </w:r>
          </w:p>
        </w:tc>
        <w:tc>
          <w:tcPr>
            <w:tcW w:w="1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16,677</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527,262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bank credit lines and loan facilities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348,793</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21,036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government grants</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Non-current income taxes payable</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16,994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10,750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925,795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Ordinary shares, par value 6 euro cents per share; 100,000,000 shares authorized,</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54,152,200 shares issued and outstanding at September 30, 2017 and</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54,530,843 shares issued and outstanding at December 31, 2016</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4,669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471,721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undenominated capital</w:t>
            </w:r>
          </w:p>
        </w:tc>
        <w:tc>
          <w:tcPr>
            <w:tcW w:w="14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896</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1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696,712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587,847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1,127,554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945,174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2,053,349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1,825,843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2017 AND SEPTEMBER 30, 2016</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8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11"/>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6"/>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5"/>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6"/>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0" w:type="dxa"/>
            <w:vAlign w:val="bottom"/>
            <w:gridSpan w:val="17"/>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revenue</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596,169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622,261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1,766,016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1,754,491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Reimbursable expenses</w:t>
            </w:r>
          </w:p>
        </w:tc>
        <w:tc>
          <w:tcPr>
            <w:tcW w:w="1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(155,846)</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(202,060)</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(462,716)</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(523,138)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12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440,323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420,201</w:t>
            </w:r>
          </w:p>
        </w:tc>
        <w:tc>
          <w:tcPr>
            <w:tcW w:w="28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1,303,300</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1,231,353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 costs</w:t>
            </w:r>
          </w:p>
        </w:tc>
        <w:tc>
          <w:tcPr>
            <w:tcW w:w="1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243,244</w:t>
            </w:r>
          </w:p>
        </w:tc>
        <w:tc>
          <w:tcPr>
            <w:tcW w:w="2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760,175</w:t>
            </w:r>
          </w:p>
        </w:tc>
        <w:tc>
          <w:tcPr>
            <w:tcW w:w="3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120" w:type="dxa"/>
            <w:vAlign w:val="bottom"/>
          </w:tcPr>
          <w:p>
            <w:pPr>
              <w:spacing w:after="0"/>
              <w:rPr>
                <w:sz w:val="18"/>
                <w:szCs w:val="18"/>
                <w:color w:val="auto"/>
              </w:rPr>
            </w:pPr>
          </w:p>
        </w:tc>
        <w:tc>
          <w:tcPr>
            <w:tcW w:w="110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79,433</w:t>
            </w:r>
          </w:p>
        </w:tc>
        <w:tc>
          <w:tcPr>
            <w:tcW w:w="40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81,235</w:t>
            </w:r>
          </w:p>
        </w:tc>
        <w:tc>
          <w:tcPr>
            <w:tcW w:w="28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241,655</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242,192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16,280</w:t>
            </w: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14,543</w:t>
            </w:r>
          </w:p>
        </w:tc>
        <w:tc>
          <w:tcPr>
            <w:tcW w:w="2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45,123</w:t>
            </w:r>
          </w:p>
        </w:tc>
        <w:tc>
          <w:tcPr>
            <w:tcW w:w="3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Restructuring</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4,065</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7,753</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355,385</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343,087</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1,054,706</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1,004,302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20" w:type="dxa"/>
            <w:vAlign w:val="bottom"/>
          </w:tcPr>
          <w:p>
            <w:pPr>
              <w:spacing w:after="0"/>
              <w:rPr>
                <w:sz w:val="18"/>
                <w:szCs w:val="18"/>
                <w:color w:val="auto"/>
              </w:rPr>
            </w:pPr>
          </w:p>
        </w:tc>
        <w:tc>
          <w:tcPr>
            <w:tcW w:w="110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84,938</w:t>
            </w:r>
          </w:p>
        </w:tc>
        <w:tc>
          <w:tcPr>
            <w:tcW w:w="40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77,114</w:t>
            </w:r>
          </w:p>
        </w:tc>
        <w:tc>
          <w:tcPr>
            <w:tcW w:w="28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248,594</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227,051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c>
          <w:tcPr>
            <w:tcW w:w="28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1,766</w:t>
            </w:r>
          </w:p>
        </w:tc>
        <w:tc>
          <w:tcPr>
            <w:tcW w:w="3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(3,177)</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(3,227)</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(9,535)</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(9,640)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20" w:type="dxa"/>
            <w:vAlign w:val="bottom"/>
          </w:tcPr>
          <w:p>
            <w:pPr>
              <w:spacing w:after="0"/>
              <w:rPr>
                <w:sz w:val="18"/>
                <w:szCs w:val="18"/>
                <w:color w:val="auto"/>
              </w:rPr>
            </w:pPr>
          </w:p>
        </w:tc>
        <w:tc>
          <w:tcPr>
            <w:tcW w:w="110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82,393</w:t>
            </w:r>
          </w:p>
        </w:tc>
        <w:tc>
          <w:tcPr>
            <w:tcW w:w="400" w:type="dxa"/>
            <w:vAlign w:val="bottom"/>
          </w:tcPr>
          <w:p>
            <w:pPr>
              <w:spacing w:after="0"/>
              <w:rPr>
                <w:sz w:val="18"/>
                <w:szCs w:val="18"/>
                <w:color w:val="auto"/>
              </w:rPr>
            </w:pPr>
          </w:p>
        </w:tc>
        <w:tc>
          <w:tcPr>
            <w:tcW w:w="9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74,349</w:t>
            </w:r>
          </w:p>
        </w:tc>
        <w:tc>
          <w:tcPr>
            <w:tcW w:w="280" w:type="dxa"/>
            <w:vAlign w:val="bottom"/>
          </w:tcPr>
          <w:p>
            <w:pPr>
              <w:spacing w:after="0"/>
              <w:rPr>
                <w:sz w:val="18"/>
                <w:szCs w:val="18"/>
                <w:color w:val="auto"/>
              </w:rPr>
            </w:pPr>
          </w:p>
        </w:tc>
        <w:tc>
          <w:tcPr>
            <w:tcW w:w="108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240,825</w:t>
            </w:r>
          </w:p>
        </w:tc>
        <w:tc>
          <w:tcPr>
            <w:tcW w:w="38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218,566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(8,239)</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(10,470)</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(30,445)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74,154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63,879</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210,380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187,917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Ordinary Share: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54,109,566</w:t>
            </w:r>
          </w:p>
        </w:tc>
        <w:tc>
          <w:tcPr>
            <w:tcW w:w="1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55,734,773</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54,110,022</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55,355,020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54,756,184</w:t>
            </w:r>
          </w:p>
        </w:tc>
        <w:tc>
          <w:tcPr>
            <w:tcW w:w="1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56,645,239</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54,840,112</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56,475,319</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2017 AND SEPTEMBER 30, 2016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00" w:type="dxa"/>
            <w:vAlign w:val="bottom"/>
          </w:tcPr>
          <w:p>
            <w:pPr>
              <w:spacing w:after="0"/>
              <w:rPr>
                <w:sz w:val="20"/>
                <w:szCs w:val="20"/>
                <w:color w:val="auto"/>
              </w:rPr>
            </w:pPr>
          </w:p>
        </w:tc>
        <w:tc>
          <w:tcPr>
            <w:tcW w:w="240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210,380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187,917</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31,748</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31,374</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13,375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12,746</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government grants</w:t>
            </w:r>
          </w:p>
        </w:tc>
        <w:tc>
          <w:tcPr>
            <w:tcW w:w="1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on short term investments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Realised gain on sale of short term investments</w:t>
            </w: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26,961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31,135</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gain on interest rate hedge</w:t>
            </w:r>
          </w:p>
        </w:tc>
        <w:tc>
          <w:tcPr>
            <w:tcW w:w="1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408</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taxes</w:t>
            </w: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90,205</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17,825</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unbilled revenue</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(18,373)</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other receivables</w:t>
            </w:r>
          </w:p>
        </w:tc>
        <w:tc>
          <w:tcPr>
            <w:tcW w:w="1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(11,876)</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in prepayments and other current assets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other non-current assets</w:t>
            </w:r>
          </w:p>
        </w:tc>
        <w:tc>
          <w:tcPr>
            <w:tcW w:w="1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 in payments on account</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(40,389)</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(67,868)</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Increase/(decrease) in other current liabilities</w:t>
            </w: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(54,826)</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(Decrease)/increase in other non-current liabilities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4,118</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 in income taxes payable</w:t>
            </w: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792</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4,163</w:t>
            </w: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Increase/(decrease) in accounts payable</w:t>
            </w:r>
          </w:p>
        </w:tc>
        <w:tc>
          <w:tcPr>
            <w:tcW w:w="1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1,444</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277,184</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129,039</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(23,690)</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(29,345)</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subsidiary undertakings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(54,009)</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acquired with subsidiary undertaking</w:t>
            </w: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18,634</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1,842</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short term investments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w:t>
            </w: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Sale of short term investments</w:t>
            </w:r>
          </w:p>
        </w:tc>
        <w:tc>
          <w:tcPr>
            <w:tcW w:w="1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22,728</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21,484</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(162,910)</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(79,075)</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exercise of equity compensation</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7,825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7,243</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issue costs</w:t>
            </w:r>
          </w:p>
        </w:tc>
        <w:tc>
          <w:tcPr>
            <w:tcW w:w="1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 tax benefit on exercise of equity compensation</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5,381</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(108,106)</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repurchase costs</w:t>
            </w: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Drawdown of bank credit lines and loan facilities</w:t>
            </w: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73,000</w:t>
            </w: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bank credit lines and loan facilities</w:t>
            </w:r>
          </w:p>
        </w:tc>
        <w:tc>
          <w:tcPr>
            <w:tcW w:w="1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(100,380)</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65,608</w:t>
            </w: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movements on cash</w:t>
            </w:r>
          </w:p>
        </w:tc>
        <w:tc>
          <w:tcPr>
            <w:tcW w:w="1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3,370</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70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17,264</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115,397</w:t>
            </w: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192,541</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103,911</w:t>
            </w:r>
          </w:p>
        </w:tc>
      </w:tr>
      <w:tr>
        <w:trPr>
          <w:trHeight w:val="216"/>
        </w:trPr>
        <w:tc>
          <w:tcPr>
            <w:tcW w:w="2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209,805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219,308</w:t>
            </w:r>
          </w:p>
        </w:tc>
      </w:tr>
      <w:tr>
        <w:trPr>
          <w:trHeight w:val="21"/>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5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AND COMPREHENSIVE INCOME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4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5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58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5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3"/>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Other</w:t>
            </w:r>
          </w:p>
        </w:tc>
        <w:tc>
          <w:tcPr>
            <w:tcW w:w="400" w:type="dxa"/>
            <w:vAlign w:val="bottom"/>
          </w:tcPr>
          <w:p>
            <w:pPr>
              <w:spacing w:after="0"/>
              <w:rPr>
                <w:sz w:val="17"/>
                <w:szCs w:val="17"/>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Retained</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2"/>
              </w:rPr>
              <w:t>Shares</w:t>
            </w:r>
          </w:p>
        </w:tc>
        <w:tc>
          <w:tcPr>
            <w:tcW w:w="440" w:type="dxa"/>
            <w:vAlign w:val="bottom"/>
          </w:tcPr>
          <w:p>
            <w:pPr>
              <w:spacing w:after="0"/>
              <w:rPr>
                <w:sz w:val="17"/>
                <w:szCs w:val="17"/>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Paid-in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9"/>
              </w:rPr>
              <w:t>Undenominated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6"/>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6"/>
              </w:rPr>
              <w:t>Comprehensive</w:t>
            </w:r>
          </w:p>
        </w:tc>
        <w:tc>
          <w:tcPr>
            <w:tcW w:w="4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Capital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3"/>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4"/>
              </w:rPr>
              <w:t>Income</w:t>
            </w:r>
          </w:p>
        </w:tc>
        <w:tc>
          <w:tcPr>
            <w:tcW w:w="400" w:type="dxa"/>
            <w:vAlign w:val="bottom"/>
          </w:tcPr>
          <w:p>
            <w:pPr>
              <w:spacing w:after="0"/>
              <w:rPr>
                <w:sz w:val="17"/>
                <w:szCs w:val="17"/>
                <w:color w:val="auto"/>
              </w:rPr>
            </w:pPr>
          </w:p>
        </w:tc>
        <w:tc>
          <w:tcPr>
            <w:tcW w:w="8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4"/>
              </w:rPr>
              <w:t>Earnings</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gridSpan w:val="1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tc>
        <w:tc>
          <w:tcPr>
            <w:tcW w:w="116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54,530,843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4,692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438,126</w:t>
            </w:r>
          </w:p>
        </w:tc>
        <w:tc>
          <w:tcPr>
            <w:tcW w:w="140" w:type="dxa"/>
            <w:vAlign w:val="bottom"/>
            <w:tcBorders>
              <w:left w:val="single" w:sz="8" w:color="CCEEFF"/>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(86,300)</w:t>
            </w:r>
          </w:p>
        </w:tc>
        <w:tc>
          <w:tcPr>
            <w:tcW w:w="400" w:type="dxa"/>
            <w:vAlign w:val="bottom"/>
            <w:tcBorders>
              <w:bottom w:val="single" w:sz="8" w:color="auto"/>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587,847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210,380</w:t>
            </w: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27,274</w:t>
            </w: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Currency impact of long term</w:t>
            </w: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funding</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12,925</w:t>
            </w:r>
          </w:p>
        </w:tc>
        <w:tc>
          <w:tcPr>
            <w:tcW w:w="4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12,925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 on currency impact of long</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funding</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w:t>
            </w:r>
          </w:p>
        </w:tc>
        <w:tc>
          <w:tcPr>
            <w:tcW w:w="40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capital gain –</w:t>
            </w: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interest rate</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hedge</w:t>
            </w:r>
          </w:p>
        </w:tc>
        <w:tc>
          <w:tcPr>
            <w:tcW w:w="116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w:t>
            </w:r>
          </w:p>
        </w:tc>
        <w:tc>
          <w:tcPr>
            <w:tcW w:w="400" w:type="dxa"/>
            <w:vAlign w:val="bottom"/>
            <w:tcBorders>
              <w:bottom w:val="single" w:sz="8" w:color="auto"/>
              <w:right w:val="single" w:sz="8" w:color="CCEEFF"/>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16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39,856</w:t>
            </w:r>
          </w:p>
        </w:tc>
        <w:tc>
          <w:tcPr>
            <w:tcW w:w="400" w:type="dxa"/>
            <w:vAlign w:val="bottom"/>
            <w:tcBorders>
              <w:bottom w:val="single" w:sz="8" w:color="auto"/>
              <w:righ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210,380</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321,685</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Issue of restricted share units</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667,808</w:t>
            </w:r>
          </w:p>
        </w:tc>
        <w:tc>
          <w:tcPr>
            <w:tcW w:w="4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costs</w:t>
            </w: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Non-cash stock compensation</w:t>
            </w: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25,847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 program</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(1,368,136)</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(108,106)</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 costs</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adjustment</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adoption of ASU 2016-09</w:t>
            </w:r>
          </w:p>
        </w:tc>
        <w:tc>
          <w:tcPr>
            <w:tcW w:w="116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right w:val="single" w:sz="8" w:color="CCEEFF"/>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6,677</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2017</w:t>
            </w:r>
          </w:p>
        </w:tc>
        <w:tc>
          <w:tcPr>
            <w:tcW w:w="116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54,152,200</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471,721</w:t>
            </w:r>
          </w:p>
        </w:tc>
        <w:tc>
          <w:tcPr>
            <w:tcW w:w="140" w:type="dxa"/>
            <w:vAlign w:val="bottom"/>
            <w:tcBorders>
              <w:left w:val="single" w:sz="8" w:color="CCEEFF"/>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(46,444)</w:t>
            </w:r>
          </w:p>
        </w:tc>
        <w:tc>
          <w:tcPr>
            <w:tcW w:w="400" w:type="dxa"/>
            <w:vAlign w:val="bottom"/>
            <w:tcBorders>
              <w:bottom w:val="single" w:sz="8" w:color="auto"/>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696,712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1,127,554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660" w:type="dxa"/>
            <w:vAlign w:val="bottom"/>
            <w:gridSpan w:val="27"/>
          </w:tcPr>
          <w:p>
            <w:pPr>
              <w:jc w:val="right"/>
              <w:ind w:right="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2017</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should be read in conjunction with the accounting policies and notes to the consolidated financial statements included in ICON’s Form 20-F for the year ended December 31, 2016. Operating results for the three and nine months ended September 30, 2017, are not necessarily indicative of the results that may be expected for the fiscal period ending December 31,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Goodwill</w:t>
            </w:r>
          </w:p>
        </w:tc>
        <w:tc>
          <w:tcPr>
            <w:tcW w:w="4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5"/>
              </w:rPr>
              <w:t>ended</w:t>
            </w:r>
          </w:p>
        </w:tc>
        <w:tc>
          <w:tcPr>
            <w:tcW w:w="200" w:type="dxa"/>
            <w:vAlign w:val="bottom"/>
          </w:tcPr>
          <w:p>
            <w:pPr>
              <w:spacing w:after="0"/>
              <w:rPr>
                <w:sz w:val="17"/>
                <w:szCs w:val="17"/>
                <w:color w:val="auto"/>
              </w:rPr>
            </w:pPr>
          </w:p>
        </w:tc>
        <w:tc>
          <w:tcPr>
            <w:tcW w:w="11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0" w:type="dxa"/>
            <w:vAlign w:val="bottom"/>
          </w:tcPr>
          <w:p>
            <w:pPr>
              <w:spacing w:after="0"/>
              <w:rPr>
                <w:sz w:val="17"/>
                <w:szCs w:val="17"/>
                <w:color w:val="auto"/>
              </w:rPr>
            </w:pPr>
          </w:p>
        </w:tc>
        <w:tc>
          <w:tcPr>
            <w:tcW w:w="11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3"/>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2017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2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616,088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acquisitions (Note 3)</w:t>
            </w:r>
          </w:p>
        </w:tc>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129,072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period acquisitions (Note 3)</w:t>
            </w:r>
          </w:p>
        </w:tc>
        <w:tc>
          <w:tcPr>
            <w:tcW w:w="4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4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17,824</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Closing balance</w:t>
            </w:r>
          </w:p>
        </w:tc>
        <w:tc>
          <w:tcPr>
            <w:tcW w:w="4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764,377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616,088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72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Borders>
              <w:bottom w:val="single" w:sz="8" w:color="auto"/>
            </w:tcBorders>
          </w:tcPr>
          <w:p>
            <w:pPr>
              <w:spacing w:after="0"/>
              <w:rPr>
                <w:sz w:val="5"/>
                <w:szCs w:val="5"/>
                <w:color w:val="auto"/>
              </w:rPr>
            </w:pPr>
          </w:p>
        </w:tc>
        <w:tc>
          <w:tcPr>
            <w:tcW w:w="4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3. Business Combinations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 Mapi Group.</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27, 2017, a subsidiary of the Company, ICON Clinical Research Limited, acquired Mapi Development SAS ('Mapi'). Mapi is a leading patient-centered health outcomes research and commercialization company. Cash outflows on acquisition were $144.1 million.</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of Mapi has been accounted for as a business combination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has made a provisional assessment of the fair value of assets acquired and liabilities assumed as at that date. The table following summarizes the Company’s provisional estimates of the fair values of the assets acquired and liabilities assumed: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July 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0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30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0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0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30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account</w:t>
            </w:r>
          </w:p>
        </w:tc>
        <w:tc>
          <w:tcPr>
            <w:tcW w:w="30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30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30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1"/>
        </w:trPr>
        <w:tc>
          <w:tcPr>
            <w:tcW w:w="74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153,284</w:t>
            </w:r>
          </w:p>
        </w:tc>
        <w:tc>
          <w:tcPr>
            <w:tcW w:w="0" w:type="dxa"/>
            <w:vAlign w:val="bottom"/>
          </w:tcPr>
          <w:p>
            <w:pPr>
              <w:spacing w:after="0"/>
              <w:rPr>
                <w:sz w:val="1"/>
                <w:szCs w:val="1"/>
                <w:color w:val="auto"/>
              </w:rPr>
            </w:pPr>
          </w:p>
        </w:tc>
      </w:tr>
      <w:tr>
        <w:trPr>
          <w:trHeight w:val="21"/>
        </w:trPr>
        <w:tc>
          <w:tcPr>
            <w:tcW w:w="74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outflows</w:t>
            </w:r>
          </w:p>
        </w:tc>
        <w:tc>
          <w:tcPr>
            <w:tcW w:w="3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144,131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Assessment of valuation of contingent consideration at acquisition</w:t>
            </w:r>
          </w:p>
        </w:tc>
        <w:tc>
          <w:tcPr>
            <w:tcW w:w="3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9,153</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153,284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acquisition of an established workforce with experience in late phase commercialization, analytics, real world evidence generation and strategic regulatory services in clinical trial services for biologics, drugs and devices.</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made an initial estimate of separate intangible assets acquired of $30.6 million, being customer relationships and order book assets. This assessment is under review and will be finalized within 12 months of the date of acquisition.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i w:val="1"/>
          <w:iCs w:val="1"/>
          <w:color w:val="auto"/>
        </w:rPr>
        <w:t>Acquisitions – Clinical Research Management, Inc.</w:t>
      </w: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15, 2016, a subsidiary of the Company, ICON US Holdings Inc. acquired ClinicalRM resulting in an initial net cash outflow of $52.4 million inclusive of certain payments made on behalf of ClinicalRM totaling $9.2 million.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ClinicalRM is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ClinicalRM provide full service and functional research solutions to a broad range of US government agencies. Their extensive expertise extends across basic and applied research, infectious diseases, vaccines development and testing and the response to bio-threats. They have worked in collaboration with government and commercial customers to respond to the threat of global viral epidemics. Further consideration of up to $12.0 million is payable if certain performance milestones are achieved in respect of periods up to December 31, 2017. The fair value of the contingent consideration on acquisition and at March 31, 2017, was estimated at $6 million. The evaluation of the performance and forecast performance of ClinicalRM against performance milestones was updated as required at June 30, 2017. Arising from that evaluation, the fair value of the contingent consideration liability was determined as $Nil, resulting in a net credit of $6 million being recorded within selling, general &amp; administrative expenses in the Statement of operations.</w:t>
      </w:r>
    </w:p>
    <w:p>
      <w:pPr>
        <w:spacing w:after="0" w:line="21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of ClinicalRM has been accounted for as a business combination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table following summarizes the fair values of the assets acquired and liabilities assumed: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3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3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30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Brand</w:t>
            </w:r>
          </w:p>
        </w:tc>
        <w:tc>
          <w:tcPr>
            <w:tcW w:w="30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30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0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30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
        </w:trPr>
        <w:tc>
          <w:tcPr>
            <w:tcW w:w="74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58,396</w:t>
            </w:r>
          </w:p>
        </w:tc>
        <w:tc>
          <w:tcPr>
            <w:tcW w:w="0" w:type="dxa"/>
            <w:vAlign w:val="bottom"/>
          </w:tcPr>
          <w:p>
            <w:pPr>
              <w:spacing w:after="0"/>
              <w:rPr>
                <w:sz w:val="1"/>
                <w:szCs w:val="1"/>
                <w:color w:val="auto"/>
              </w:rPr>
            </w:pPr>
          </w:p>
        </w:tc>
      </w:tr>
      <w:tr>
        <w:trPr>
          <w:trHeight w:val="21"/>
        </w:trPr>
        <w:tc>
          <w:tcPr>
            <w:tcW w:w="74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outflows (including other liabilities assumed of $9.2 million)</w:t>
            </w:r>
          </w:p>
        </w:tc>
        <w:tc>
          <w:tcPr>
            <w:tcW w:w="3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52,396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Assessment of valuation of contingent consideration at acquisition</w:t>
            </w:r>
          </w:p>
        </w:tc>
        <w:tc>
          <w:tcPr>
            <w:tcW w:w="30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represents the acquisition of an established workforce with experience in preclinical through Phase IV support of clinical research and clinical trial services for biologics, drugs and devices. Goodwill related to the US portion of the business acquired is tax deductible.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i w:val="1"/>
          <w:iCs w:val="1"/>
          <w:color w:val="auto"/>
        </w:rPr>
        <w:t>Acquisitions - PMG</w:t>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4, 2015, a subsidiary of the Company, ICON Clinical Research LLC. acquired PMG for total cash outflows of $65.4 million, including certain payments made on behalf of PMG totaling $10.1 million. PMG is an integrated network of 52 clinical research sites in North Carolina, South Carolina, Tennessee, Illinois and Iowa. The site network includes wholly owned facilities and dedicated clinical research sites. PMG conducts clinical trials in all major therapeutic areas and has particular expertise in vaccine, gastroenterology, cardiovascular, neurology and endocrinology studies. It has a proprietary database of clinical trial participants. It also has access to in excess of 2 million active patients via electronic medical records through its partnerships with healthcare institutions and community physical practices.</w:t>
      </w:r>
    </w:p>
    <w:p>
      <w:pPr>
        <w:spacing w:after="0" w:line="2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of PMG has been accounted for as a business combination in accordance with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table following summarizes the fair values of the assets acquired and liabilities assumed: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9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3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1"/>
        </w:trPr>
        <w:tc>
          <w:tcPr>
            <w:tcW w:w="642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65,354</w:t>
            </w:r>
          </w:p>
        </w:tc>
        <w:tc>
          <w:tcPr>
            <w:tcW w:w="0" w:type="dxa"/>
            <w:vAlign w:val="bottom"/>
          </w:tcPr>
          <w:p>
            <w:pPr>
              <w:spacing w:after="0"/>
              <w:rPr>
                <w:sz w:val="1"/>
                <w:szCs w:val="1"/>
                <w:color w:val="auto"/>
              </w:rPr>
            </w:pPr>
          </w:p>
        </w:tc>
      </w:tr>
      <w:tr>
        <w:trPr>
          <w:trHeight w:val="21"/>
        </w:trPr>
        <w:tc>
          <w:tcPr>
            <w:tcW w:w="6420" w:type="dxa"/>
            <w:vAlign w:val="bottom"/>
            <w:gridSpan w:val="2"/>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18"/>
                <w:szCs w:val="18"/>
                <w:color w:val="auto"/>
              </w:rPr>
            </w:pPr>
          </w:p>
        </w:tc>
        <w:tc>
          <w:tcPr>
            <w:tcW w:w="39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9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3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10,060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39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outflows</w:t>
            </w:r>
          </w:p>
        </w:tc>
        <w:tc>
          <w:tcPr>
            <w:tcW w:w="39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65,354</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In finalizing the goodwill on acquisition of PMG in the twelve month period from acquisition, fair value adjustments of $7.7 million were made to deferred tax liabilities ($3.1 million), accounts receivable acquired ($1.4 million), other liabilities ($1.2 million) and the value of the customer list and order backlog assets acquired ($0.4 million). Additional consideration of $1.6 million was provided on completion of the contractual working capital process.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i w:val="1"/>
          <w:iCs w:val="1"/>
          <w:color w:val="auto"/>
        </w:rPr>
        <w:t>Acquisitions - MediMedia Pharma Solutions</w:t>
      </w: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27, 2015, a subsidary of the Company, ICON Holdings Unlimited Company (formerly ICON Holdings), acquired MediMedia Pharma Solutions for cash consideration of $104.8 million (net of working capital adjustments of $3.9 million). In addition to the cash consideration, certain payments were made on behalf of MediMedia Pharma Solutions on completion totaling $11.3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provided for certain working capital targets to be achieved by MediMedia Pharma Solutions.</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of MediMedia Pharma Solutions has been accounted for as a business combination in accordance with FASB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table following summarizes the fair values of the assets acquired and liabilities assumed on acquisition: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February 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Unbilled Revenue</w:t>
            </w:r>
          </w:p>
        </w:tc>
        <w:tc>
          <w:tcPr>
            <w:tcW w:w="38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account</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8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8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108,717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cash outflows</w:t>
            </w:r>
          </w:p>
        </w:tc>
        <w:tc>
          <w:tcPr>
            <w:tcW w:w="3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3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outflows</w:t>
            </w:r>
          </w:p>
        </w:tc>
        <w:tc>
          <w:tcPr>
            <w:tcW w:w="3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116,002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acquisition of an established workforce with experience in the provision of strategic payer-validated market access solutions while the acquisition of Complete Healthcare Communications comprises an established workforce with significant communication experience working with medical affairs, commercial and brand development teams within the life science industry. Goodwill related to the US portion of the business is tax deductible.</w:t>
      </w:r>
    </w:p>
    <w:p>
      <w:pPr>
        <w:spacing w:after="0" w:line="3" w:lineRule="exact"/>
        <w:rPr>
          <w:sz w:val="20"/>
          <w:szCs w:val="20"/>
          <w:color w:val="auto"/>
        </w:rPr>
      </w:pPr>
    </w:p>
    <w:p>
      <w:pPr>
        <w:ind w:left="5620" w:right="1120" w:hanging="5612"/>
        <w:spacing w:after="0" w:line="746" w:lineRule="auto"/>
        <w:tabs>
          <w:tab w:leader="none" w:pos="22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at acquisition date of $11.3 million were in respect of certain one-time liabilities which have subsequently been discharged.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4. Restructuring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restructuring charge of $7.8 million was recognized during the nine months ended September 30, 2017, under a restructuring plan adopted following a review of operations. The restructuring plan reflected resource rationalization across the business to improve resource utilization.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restructuring charge recognized in the three and nine months ended September 30, 2017,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80" w:type="dxa"/>
            <w:vAlign w:val="bottom"/>
            <w:gridSpan w:val="11"/>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540" w:type="dxa"/>
            <w:vAlign w:val="bottom"/>
          </w:tcPr>
          <w:p>
            <w:pPr>
              <w:spacing w:after="0"/>
              <w:rPr>
                <w:sz w:val="17"/>
                <w:szCs w:val="17"/>
                <w:color w:val="auto"/>
              </w:rPr>
            </w:pPr>
          </w:p>
        </w:tc>
        <w:tc>
          <w:tcPr>
            <w:tcW w:w="8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6"/>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7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7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4,065</w:t>
            </w:r>
          </w:p>
        </w:tc>
        <w:tc>
          <w:tcPr>
            <w:tcW w:w="50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8,159</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4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4,065</w:t>
            </w:r>
          </w:p>
        </w:tc>
        <w:tc>
          <w:tcPr>
            <w:tcW w:w="500" w:type="dxa"/>
            <w:vAlign w:val="bottom"/>
            <w:tcBorders>
              <w:top w:val="single" w:sz="8" w:color="auto"/>
              <w:bottom w:val="single" w:sz="8" w:color="auto"/>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7,753</w:t>
            </w:r>
          </w:p>
        </w:tc>
        <w:tc>
          <w:tcPr>
            <w:tcW w:w="4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8,159</w:t>
            </w:r>
          </w:p>
        </w:tc>
        <w:tc>
          <w:tcPr>
            <w:tcW w:w="0" w:type="dxa"/>
            <w:vAlign w:val="bottom"/>
          </w:tcPr>
          <w:p>
            <w:pPr>
              <w:spacing w:after="0"/>
              <w:rPr>
                <w:sz w:val="1"/>
                <w:szCs w:val="1"/>
                <w:color w:val="auto"/>
              </w:rPr>
            </w:pPr>
          </w:p>
        </w:tc>
      </w:tr>
      <w:tr>
        <w:trPr>
          <w:trHeight w:val="453"/>
        </w:trPr>
        <w:tc>
          <w:tcPr>
            <w:tcW w:w="1006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Details of the movement in the restructuring charge recognized in the three and nine months ended September, 30 2017 are as follows;</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Workforce</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restructuring charge recorded</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7,753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movement</w:t>
            </w:r>
          </w:p>
        </w:tc>
        <w:tc>
          <w:tcPr>
            <w:tcW w:w="1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at September 30, 2017</w:t>
            </w:r>
          </w:p>
        </w:tc>
        <w:tc>
          <w:tcPr>
            <w:tcW w:w="1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5,217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Periods Restructuring charges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resulting in a charge of $6.2 million and office consolidation resulting in the recognition of an onerous lease obligation of $2.0 million during the twelve months ended December 31, 2016. No additional charge was recorded during the nine months ended September 30,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Workforce</w:t>
            </w:r>
          </w:p>
        </w:tc>
        <w:tc>
          <w:tcPr>
            <w:tcW w:w="2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Onerous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2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4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 recognized</w:t>
            </w:r>
          </w:p>
        </w:tc>
        <w:tc>
          <w:tcPr>
            <w:tcW w:w="2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1,969</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Utilized</w:t>
            </w:r>
          </w:p>
        </w:tc>
        <w:tc>
          <w:tcPr>
            <w:tcW w:w="2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7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at December 31, 2016</w:t>
            </w:r>
          </w:p>
        </w:tc>
        <w:tc>
          <w:tcPr>
            <w:tcW w:w="2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1,398</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Utilized</w:t>
            </w:r>
          </w:p>
        </w:tc>
        <w:tc>
          <w:tcPr>
            <w:tcW w:w="27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at September 30, 2017</w:t>
            </w:r>
          </w:p>
        </w:tc>
        <w:tc>
          <w:tcPr>
            <w:tcW w:w="2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641</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September 30, 2017, $5.6 million is included within other liabilities and $0.5 million within non-current other liabilities.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5. Income Taxes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Income taxes recognized during the three and nine months ended September 30, 2017, comprise:</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8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1"/>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6"/>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5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5"/>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6"/>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38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9"/>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before restructuring and other items</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10,979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6"/>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31,414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31,669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Tax impact of restructuring and other items</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(969)</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 after restructuring and other items</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10,470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30,445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30,649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at September 30, 2017, the Company maintains a $27.7 million liability (December 31, 2016: $29.9 million) for unrecognized tax benefit, which is comprised of $24.1 million (December 31, 2016: $26.6 million) related to items generating unrecognized tax benefits and $3.6 million (December 31, 2016: $3.3 million) for interest and related penalties to such items. The Company recognizes interest accrued on unrecognized tax benefits as an additional income tax expense.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analyzed the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2012 through 2016 tax years. The Company does not believe that the outcome of any examination will have a material impact on its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Net income per ordinary share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number of shares used in the computation of basic and diluted net income per ordinary share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72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260" w:type="dxa"/>
            <w:vAlign w:val="bottom"/>
          </w:tcPr>
          <w:p>
            <w:pPr>
              <w:spacing w:after="0"/>
              <w:rPr>
                <w:sz w:val="17"/>
                <w:szCs w:val="17"/>
                <w:color w:val="auto"/>
              </w:rPr>
            </w:pPr>
          </w:p>
        </w:tc>
        <w:tc>
          <w:tcPr>
            <w:tcW w:w="1600" w:type="dxa"/>
            <w:vAlign w:val="bottom"/>
            <w:gridSpan w:val="6"/>
          </w:tcPr>
          <w:p>
            <w:pPr>
              <w:jc w:val="right"/>
              <w:ind w:right="52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5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5"/>
          </w:tcPr>
          <w:p>
            <w:pPr>
              <w:jc w:val="right"/>
              <w:ind w:right="52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0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13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260" w:type="dxa"/>
            <w:vAlign w:val="bottom"/>
          </w:tcPr>
          <w:p>
            <w:pPr>
              <w:spacing w:after="0"/>
              <w:rPr>
                <w:sz w:val="17"/>
                <w:szCs w:val="17"/>
                <w:color w:val="auto"/>
              </w:rPr>
            </w:pPr>
          </w:p>
        </w:tc>
        <w:tc>
          <w:tcPr>
            <w:tcW w:w="1600" w:type="dxa"/>
            <w:vAlign w:val="bottom"/>
            <w:gridSpan w:val="6"/>
          </w:tcPr>
          <w:p>
            <w:pPr>
              <w:jc w:val="right"/>
              <w:ind w:right="520"/>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outstanding for basic net income per</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w:t>
            </w: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54,109,566</w:t>
            </w:r>
          </w:p>
        </w:tc>
        <w:tc>
          <w:tcPr>
            <w:tcW w:w="164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55,734,773</w:t>
            </w:r>
          </w:p>
        </w:tc>
        <w:tc>
          <w:tcPr>
            <w:tcW w:w="1600" w:type="dxa"/>
            <w:vAlign w:val="bottom"/>
            <w:gridSpan w:val="6"/>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54,110,022</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55,355,020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dilutive share options outstanding</w:t>
            </w:r>
          </w:p>
        </w:tc>
        <w:tc>
          <w:tcPr>
            <w:tcW w:w="1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646,618</w:t>
            </w:r>
          </w:p>
        </w:tc>
        <w:tc>
          <w:tcPr>
            <w:tcW w:w="164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910,466</w:t>
            </w:r>
          </w:p>
        </w:tc>
        <w:tc>
          <w:tcPr>
            <w:tcW w:w="160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8"/>
                <w:szCs w:val="18"/>
                <w:color w:val="auto"/>
              </w:rPr>
              <w:t>730,090</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1,120,299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outstanding for diluted net income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ordinary share</w:t>
            </w:r>
          </w:p>
        </w:tc>
        <w:tc>
          <w:tcPr>
            <w:tcW w:w="10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54,756,184</w:t>
            </w:r>
          </w:p>
        </w:tc>
        <w:tc>
          <w:tcPr>
            <w:tcW w:w="1640" w:type="dxa"/>
            <w:vAlign w:val="bottom"/>
            <w:tcBorders>
              <w:bottom w:val="single" w:sz="8" w:color="auto"/>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56,645,239</w:t>
            </w:r>
          </w:p>
        </w:tc>
        <w:tc>
          <w:tcPr>
            <w:tcW w:w="1600" w:type="dxa"/>
            <w:vAlign w:val="bottom"/>
            <w:tcBorders>
              <w:bottom w:val="single" w:sz="8" w:color="auto"/>
            </w:tcBorders>
            <w:gridSpan w:val="6"/>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54,840,112</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56,475,319</w:t>
            </w:r>
          </w:p>
        </w:tc>
        <w:tc>
          <w:tcPr>
            <w:tcW w:w="0" w:type="dxa"/>
            <w:vAlign w:val="bottom"/>
          </w:tcPr>
          <w:p>
            <w:pPr>
              <w:spacing w:after="0"/>
              <w:rPr>
                <w:sz w:val="1"/>
                <w:szCs w:val="1"/>
                <w:color w:val="auto"/>
              </w:rPr>
            </w:pPr>
          </w:p>
        </w:tc>
      </w:tr>
      <w:tr>
        <w:trPr>
          <w:trHeight w:val="628"/>
        </w:trPr>
        <w:tc>
          <w:tcPr>
            <w:tcW w:w="61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7. Share-based Awards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 million and to extend the date for options to be granted under the 2008 Option Plans.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option granted under the 2008 Option Plans will be an employee stock option, or Non-qualifying Stock Options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aggregate of 6 million ordinary shares have been reserved under the 2008 Employee Plan, as reduced by any shares issued or to be issued pursuant to options granted under the 2008 Consultants Plan, under which a limit of 1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September 30, 2017 is eight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option activity for the nine months ended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1,466,444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43.45</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13.94</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219,113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25.06</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(321,685)</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24.19</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9.19</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(49,579)</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53.65</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16.58</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at September 30, 2017</w:t>
            </w:r>
          </w:p>
        </w:tc>
        <w:tc>
          <w:tcPr>
            <w:tcW w:w="3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1,314,293</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54.87</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16.86</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
        </w:trPr>
        <w:tc>
          <w:tcPr>
            <w:tcW w:w="408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Borders>
              <w:top w:val="single" w:sz="8" w:color="auto"/>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Exercisable at September 30, 2017</w:t>
            </w:r>
          </w:p>
        </w:tc>
        <w:tc>
          <w:tcPr>
            <w:tcW w:w="3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612,869</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39.86</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13.25</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60" w:type="dxa"/>
            <w:vAlign w:val="bottom"/>
            <w:tcBorders>
              <w:bottom w:val="single" w:sz="8" w:color="auto"/>
            </w:tcBorders>
          </w:tcPr>
          <w:p>
            <w:pPr>
              <w:spacing w:after="0"/>
              <w:rPr>
                <w:sz w:val="5"/>
                <w:szCs w:val="5"/>
                <w:color w:val="auto"/>
              </w:rPr>
            </w:pPr>
          </w:p>
        </w:tc>
        <w:tc>
          <w:tcPr>
            <w:tcW w:w="33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outstanding options with fair values ranging from $8.53 to $25.99 per option or a weighted average fair value of $11.56 per option. The Company issues ordinary shares for all options exercised. The total amount of fully vested share options which remained outstanding at September 30, 2017, was 612,869. Fully vested share options at September 30, 2017, have an average remaining contractual term of 3.71 years, an average exercise price of $39.86 and a total intrinsic value of $45.4 million. The total intrinsic value of options exercised during the nine months ended September 30, 2017 was $21.8 million (September 30, 2016: $12.5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movement in non-vested share options for the nine months ended September 30,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outstanding at December 31, 2016</w:t>
            </w:r>
          </w:p>
        </w:tc>
        <w:tc>
          <w:tcPr>
            <w:tcW w:w="3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814,870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219,113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(290,600)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outstanding at September 30, 2017</w:t>
            </w:r>
          </w:p>
        </w:tc>
        <w:tc>
          <w:tcPr>
            <w:tcW w:w="3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701,424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Fair value of Stock Options Assumptions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fair value of options granted during the nine months ended September 30, 2017, and September 30, 2016, was calculated using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 pricing model. The weighted average fair values and assumptions used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5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9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w:t>
            </w:r>
          </w:p>
        </w:tc>
        <w:tc>
          <w:tcPr>
            <w:tcW w:w="3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Assumptions:</w:t>
            </w:r>
          </w:p>
        </w:tc>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6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60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 years</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 and Performance Share Units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8"/>
          <w:szCs w:val="18"/>
          <w:color w:val="auto"/>
        </w:rPr>
        <w:t>On April 23, 2013, the Company adopted the 2013 Employees Restricted Share Unit (“RSU”) and Performance Share Unit (“PSU”)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1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has awarded RSUs and PSUs to certain key individuals of the Group. The following table summarizes RSU and PSU activity for the nine months ended September 30,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PSU</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PSU</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RSU</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RSU</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830,523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60.73</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1.11</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1,025,484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58.64</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87,794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84.10</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183,301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88.63</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Shares vested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46.63</w:t>
            </w: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(353,243)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44.89</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66.67</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62.91</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2017</w:t>
            </w: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537,621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72.05</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745,188</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71.90</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RSUs vested for the nine months ended September 30, 2017, totaled $15.9 million (full year 2016: $10.8 million).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PSUs vested for the nine months ended September 30, 2017, totaled $15.0 million (the fair value of PSUs vested for the full year 2016 was $10.3 million).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PSUs vest based on service and specified EPS targets over the period 2014 – 2017, 2015 – 2018, 2016 – 2019 and 2017 – 2020. Since 2013, 274,628 PSUs (net of forfeitures) have been granted. Up to an additional 262,993 PSUs may also be granted, based on the actual EPS from 2014 to 2020.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stock compensation expense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stock compensation expense for the three and nine months ended September 30, 2017 has been allocated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gridSpan w:val="4"/>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11"/>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0"/>
        </w:trPr>
        <w:tc>
          <w:tcPr>
            <w:tcW w:w="4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r>
      <w:tr>
        <w:trPr>
          <w:trHeight w:val="20"/>
        </w:trPr>
        <w:tc>
          <w:tcPr>
            <w:tcW w:w="4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5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r>
      <w:tr>
        <w:trPr>
          <w:trHeight w:val="20"/>
        </w:trPr>
        <w:tc>
          <w:tcPr>
            <w:tcW w:w="4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r>
      <w:tr>
        <w:trPr>
          <w:trHeight w:val="20"/>
        </w:trPr>
        <w:tc>
          <w:tcPr>
            <w:tcW w:w="4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9"/>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0"/>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2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5,755</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16,830</w:t>
            </w:r>
          </w:p>
        </w:tc>
      </w:tr>
      <w:tr>
        <w:trPr>
          <w:trHeight w:val="216"/>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4,690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12,106</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14,305</w:t>
            </w: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10,445</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26,961</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31,135</w:t>
            </w: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85"/>
        </w:trPr>
        <w:tc>
          <w:tcPr>
            <w:tcW w:w="4080" w:type="dxa"/>
            <w:vAlign w:val="bottom"/>
          </w:tcPr>
          <w:p>
            <w:pPr>
              <w:spacing w:after="0"/>
              <w:rPr>
                <w:sz w:val="24"/>
                <w:szCs w:val="24"/>
                <w:color w:val="auto"/>
              </w:rPr>
            </w:pPr>
          </w:p>
        </w:tc>
        <w:tc>
          <w:tcPr>
            <w:tcW w:w="2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408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ind w:right="280"/>
        <w:spacing w:after="0" w:line="259" w:lineRule="auto"/>
        <w:rPr>
          <w:sz w:val="20"/>
          <w:szCs w:val="20"/>
          <w:color w:val="auto"/>
        </w:rPr>
      </w:pPr>
      <w:r>
        <w:rPr>
          <w:rFonts w:ascii="Times New Roman" w:cs="Times New Roman" w:eastAsia="Times New Roman" w:hAnsi="Times New Roman"/>
          <w:sz w:val="22"/>
          <w:szCs w:val="22"/>
          <w:color w:val="auto"/>
        </w:rPr>
        <w:t>Total non-cash stock compensation expense not yet recognized at September 30, 2017, amounted to $60.6 million. The weighted average period over which this is expected to be recognized is 2.2 years.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amendments required by Accounting Standards Update (‘ASU’) 2016-09 ‘Improvements to Employee Share-Based Payment Accounting’ require the Company to record all tax effects related to share-based payments through the income statement rather than additional paid in capital. The Company has applied the updated standard prospectively in the first nine months of the year ended December 31, 2017.</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8. Share Capital</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 2016, the Company commenced a previously announced share buyback program of up to $400 million. The Company can acquire up to 10% of its outstanding ordinary shares (by way of redemption), in accordance with Irish law, the United States securities laws, and the Company’s constitutional documents through open market share acquisitions.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buyback program gives a broker authority to acquire the Company’s ordinary shares from time to time on the open market in accordance with agreed terms and limitations. The acquisition of shares pursuant to the buyback program was effected by way of redemption and cancellation of the shares, in accordance with the Constitution of the Company.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2017, 1,368,136 ordinary shares were redeemed by the Company under this buyback program for a total consideration of $108.1 million. At September 30, 2017 a total of 2,797,323 ordinary shares were redeemed by the Company under this buyback program for a total consideration of $218.1 million. All ordinary shares that were redeemed under the buyback program were canceled in accordance with the Constitution of the Company and the nominal value of these shares transferred to an other undenominated capital reserve as required under Irish Company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 Information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and presents operating segments based on the information that is internally provided to the chief operating decision maker, together the (‘CODM’) in accordance with FASB ASC 280-10 </w:t>
      </w:r>
      <w:r>
        <w:rPr>
          <w:rFonts w:ascii="Times New Roman" w:cs="Times New Roman" w:eastAsia="Times New Roman" w:hAnsi="Times New Roman"/>
          <w:sz w:val="18"/>
          <w:szCs w:val="18"/>
          <w:i w:val="1"/>
          <w:iCs w:val="1"/>
          <w:color w:val="auto"/>
        </w:rPr>
        <w:t>Disclosures about Segments of an Enterprises and Related Information</w:t>
      </w:r>
      <w:r>
        <w:rPr>
          <w:rFonts w:ascii="Times New Roman" w:cs="Times New Roman" w:eastAsia="Times New Roman" w:hAnsi="Times New Roman"/>
          <w:sz w:val="18"/>
          <w:szCs w:val="18"/>
          <w:color w:val="auto"/>
        </w:rPr>
        <w:t>. The Chief Executive Officer, Chief Financial Officer and Chief Operating Officer, were together considered the Company’s CODM in the period up to and including March 1, 2017. On March 1, 2017, Mr. Ciaran Murray transitioned from his role as Chief Executive Officer to the role of Executive Chairman of the Board of Directors and Dr. Steve Cutler was appointed as Chief Executive Officer. As of March 1, 2017, the Company determined that the CODM is comprised of the Chief Executive Officer and the Chief Financial Officer.</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and presents operating segments based on the information that is provided to the CODM. The Company has determined that we operate in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net revenues of the Group after deducting the cost plus revenues attributable to the activities performed outside Ireland.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areas of operation outside of Ireland include the United States, United Kingdom, Belgium,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geographical distribution of the Company’s segment measures as at September 30, 2017, and December 31, 2016, and for the three and nine months ended September 30, 2017, and September 30, 2016,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The distribution of net revenue by geographical area was as follows: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2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3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11"/>
          </w:tcPr>
          <w:p>
            <w:pPr>
              <w:ind w:left="4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11"/>
          </w:tcPr>
          <w:p>
            <w:pPr>
              <w:ind w:lef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97,299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312,916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520" w:type="dxa"/>
            <w:vAlign w:val="bottom"/>
          </w:tcPr>
          <w:p>
            <w:pPr>
              <w:spacing w:after="0"/>
              <w:rPr>
                <w:sz w:val="18"/>
                <w:szCs w:val="18"/>
                <w:color w:val="auto"/>
              </w:rPr>
            </w:pPr>
          </w:p>
        </w:tc>
        <w:tc>
          <w:tcPr>
            <w:tcW w:w="108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89,536</w:t>
            </w: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76,427</w:t>
            </w:r>
          </w:p>
        </w:tc>
        <w:tc>
          <w:tcPr>
            <w:tcW w:w="300" w:type="dxa"/>
            <w:vAlign w:val="bottom"/>
          </w:tcPr>
          <w:p>
            <w:pPr>
              <w:spacing w:after="0"/>
              <w:rPr>
                <w:sz w:val="18"/>
                <w:szCs w:val="18"/>
                <w:color w:val="auto"/>
              </w:rPr>
            </w:pPr>
          </w:p>
        </w:tc>
        <w:tc>
          <w:tcPr>
            <w:tcW w:w="10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239,447</w:t>
            </w: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231,505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204,265</w:t>
            </w: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600,640</w:t>
            </w: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581,732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50,020</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42,210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150,297</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124,329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7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440,323</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420,201</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1,303,300</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1,231,353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20"/>
        <w:spacing w:after="0"/>
        <w:rPr>
          <w:sz w:val="20"/>
          <w:szCs w:val="20"/>
          <w:color w:val="auto"/>
        </w:rPr>
      </w:pPr>
      <w:r>
        <w:rPr>
          <w:rFonts w:ascii="Times New Roman" w:cs="Times New Roman" w:eastAsia="Times New Roman" w:hAnsi="Times New Roman"/>
          <w:sz w:val="18"/>
          <w:szCs w:val="18"/>
          <w:color w:val="auto"/>
        </w:rPr>
        <w:t>* All sales shown for Ireland are export sales.</w:t>
      </w:r>
    </w:p>
    <w:p>
      <w:pPr>
        <w:spacing w:after="0" w:line="233" w:lineRule="exact"/>
        <w:rPr>
          <w:sz w:val="20"/>
          <w:szCs w:val="20"/>
          <w:color w:val="auto"/>
        </w:rPr>
      </w:pPr>
    </w:p>
    <w:p>
      <w:pPr>
        <w:ind w:left="520" w:hanging="188"/>
        <w:spacing w:after="0"/>
        <w:tabs>
          <w:tab w:leader="none" w:pos="5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income from operations, including restructuring,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gridSpan w:val="4"/>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10"/>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11"/>
          </w:tcPr>
          <w:p>
            <w:pPr>
              <w:ind w:lef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2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62,152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63,933</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164,760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292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300" w:type="dxa"/>
            <w:vAlign w:val="bottom"/>
          </w:tcPr>
          <w:p>
            <w:pPr>
              <w:spacing w:after="0"/>
              <w:rPr>
                <w:sz w:val="18"/>
                <w:szCs w:val="18"/>
                <w:color w:val="auto"/>
              </w:rPr>
            </w:pPr>
          </w:p>
        </w:tc>
        <w:tc>
          <w:tcPr>
            <w:tcW w:w="10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15,124</w:t>
            </w: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9,144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92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16,150</w:t>
            </w: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11,471</w:t>
            </w: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52,897</w:t>
            </w: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34,081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9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873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15,813</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5,745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84,938</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77,114</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248,594</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227,051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color w:val="auto"/>
        </w:rPr>
        <w:t>c) The distribution of income from operations, excluding restructuring,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Pr>
          <w:p>
            <w:pPr>
              <w:spacing w:after="0"/>
              <w:rPr>
                <w:sz w:val="17"/>
                <w:szCs w:val="17"/>
                <w:color w:val="auto"/>
              </w:rPr>
            </w:pPr>
          </w:p>
        </w:tc>
        <w:tc>
          <w:tcPr>
            <w:tcW w:w="940" w:type="dxa"/>
            <w:vAlign w:val="bottom"/>
            <w:gridSpan w:val="5"/>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11"/>
          </w:tcPr>
          <w:p>
            <w:pPr>
              <w:ind w:lef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2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62,152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64,821</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172,513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270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1,364</w:t>
            </w:r>
          </w:p>
        </w:tc>
        <w:tc>
          <w:tcPr>
            <w:tcW w:w="300" w:type="dxa"/>
            <w:vAlign w:val="bottom"/>
          </w:tcPr>
          <w:p>
            <w:pPr>
              <w:spacing w:after="0"/>
              <w:rPr>
                <w:sz w:val="18"/>
                <w:szCs w:val="18"/>
                <w:color w:val="auto"/>
              </w:rPr>
            </w:pPr>
          </w:p>
        </w:tc>
        <w:tc>
          <w:tcPr>
            <w:tcW w:w="10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15,124</w:t>
            </w: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9,979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70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16,150</w:t>
            </w: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13,813</w:t>
            </w: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52,897</w:t>
            </w: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36,423</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1,181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15,813</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84,938</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81,179</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256,347</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235,210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The distribution of property, plant and equipment, net, by geographical area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17"/>
                <w:szCs w:val="17"/>
                <w:color w:val="auto"/>
              </w:rPr>
            </w:pPr>
          </w:p>
        </w:tc>
        <w:tc>
          <w:tcPr>
            <w:tcW w:w="9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2017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Borders>
              <w:left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1"/>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101,941</w:t>
            </w:r>
          </w:p>
        </w:tc>
        <w:tc>
          <w:tcPr>
            <w:tcW w:w="1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26,073</w:t>
            </w:r>
          </w:p>
        </w:tc>
        <w:tc>
          <w:tcPr>
            <w:tcW w:w="42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29,428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15,464</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7,624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152,305</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148,967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34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e) The distribution of depreciation and amortization by geographical area was as follows:</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17"/>
                <w:szCs w:val="17"/>
                <w:color w:val="auto"/>
              </w:rPr>
            </w:pPr>
          </w:p>
        </w:tc>
        <w:tc>
          <w:tcPr>
            <w:tcW w:w="9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gridSpan w:val="3"/>
          </w:tcPr>
          <w:p>
            <w:pPr>
              <w:spacing w:after="0"/>
              <w:rPr>
                <w:sz w:val="17"/>
                <w:szCs w:val="17"/>
                <w:color w:val="auto"/>
              </w:rPr>
            </w:pPr>
          </w:p>
        </w:tc>
        <w:tc>
          <w:tcPr>
            <w:tcW w:w="2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top w:val="single" w:sz="8" w:color="auto"/>
            </w:tcBorders>
            <w:gridSpan w:val="3"/>
          </w:tcPr>
          <w:p>
            <w:pPr>
              <w:spacing w:after="0"/>
              <w:rPr>
                <w:sz w:val="17"/>
                <w:szCs w:val="17"/>
                <w:color w:val="auto"/>
              </w:rPr>
            </w:pPr>
          </w:p>
        </w:tc>
        <w:tc>
          <w:tcPr>
            <w:tcW w:w="2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top w:val="single" w:sz="8" w:color="auto"/>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10"/>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1"/>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780" w:type="dxa"/>
            <w:vAlign w:val="bottom"/>
          </w:tcPr>
          <w:p>
            <w:pPr>
              <w:spacing w:after="0"/>
              <w:rPr>
                <w:sz w:val="18"/>
                <w:szCs w:val="18"/>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1,730</w:t>
            </w:r>
          </w:p>
        </w:tc>
        <w:tc>
          <w:tcPr>
            <w:tcW w:w="30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5,368</w:t>
            </w:r>
          </w:p>
        </w:tc>
        <w:tc>
          <w:tcPr>
            <w:tcW w:w="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16,348</w:t>
            </w:r>
          </w:p>
        </w:tc>
        <w:tc>
          <w:tcPr>
            <w:tcW w:w="42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17,154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16,280</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14,543</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45,123</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44,120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 The distribution of total assets by geographical area was as follows: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420" w:type="dxa"/>
            <w:vAlign w:val="bottom"/>
          </w:tcPr>
          <w:p>
            <w:pPr>
              <w:spacing w:after="0"/>
              <w:rPr>
                <w:sz w:val="24"/>
                <w:szCs w:val="24"/>
                <w:color w:val="auto"/>
              </w:rPr>
            </w:pPr>
          </w:p>
        </w:tc>
        <w:tc>
          <w:tcPr>
            <w:tcW w:w="9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right w:val="single" w:sz="8" w:color="auto"/>
            </w:tcBorders>
            <w:gridSpan w:val="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4"/>
              </w:rPr>
              <w:t>2017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6"/>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0" w:type="dxa"/>
            <w:vAlign w:val="bottom"/>
            <w:tcBorders>
              <w:left w:val="single" w:sz="8" w:color="auto"/>
            </w:tcBorders>
            <w:gridSpan w:val="5"/>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11"/>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Ireland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797,019</w:t>
            </w:r>
          </w:p>
        </w:tc>
        <w:tc>
          <w:tcPr>
            <w:tcW w:w="1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Rest of Europe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512,827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337,062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633,065</w:t>
            </w:r>
          </w:p>
        </w:tc>
        <w:tc>
          <w:tcPr>
            <w:tcW w:w="1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651,160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110,438</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71,501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2,053,349</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1,825,843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 –Revenue from Contacts with Customers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provides that an entity should recognize revenue to depict the transfer of promised goods or services to customers in an amount that reflects the consideration to which the entity expects to be entitled in exchange for those goods or services. The updated standard will replace most existing revenue recognition guidance in U.S. GAAP when it becomes effective and permits the use of either the retrospective or cumulative effect transition method. To achieve the core principle of the new standard,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Early adoption is permitted for annual periods beginning after December 16, 2016. Subsequent to issuing ASU 2014-09, the FASB issued the following amendments concerning clarification of ASU 2014-09. In March 2016, the FASB issued ASU 2016-08,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(Topic 606), Principal versus Agent Considerations (Reporting Revenue Gross versus Net) </w:t>
      </w:r>
      <w:r>
        <w:rPr>
          <w:rFonts w:ascii="Times New Roman" w:cs="Times New Roman" w:eastAsia="Times New Roman" w:hAnsi="Times New Roman"/>
          <w:sz w:val="18"/>
          <w:szCs w:val="18"/>
          <w:color w:val="auto"/>
        </w:rPr>
        <w:t>(“ASU 2016-08”)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further clarifies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implementation guidance on principal versus agent considerations. The new guidance requires either a retrospective or a modified retrospective approach to adoption. In April 2016, the FASB issued ASU 2016-10, </w:t>
      </w:r>
      <w:r>
        <w:rPr>
          <w:rFonts w:ascii="Times New Roman" w:cs="Times New Roman" w:eastAsia="Times New Roman" w:hAnsi="Times New Roman"/>
          <w:sz w:val="18"/>
          <w:szCs w:val="18"/>
          <w:i w:val="1"/>
          <w:iCs w:val="1"/>
          <w:color w:val="auto"/>
        </w:rPr>
        <w:t>Revenue from Contracts with Customers (Topic 606), Identifying Performance Obligations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Licensing </w:t>
      </w:r>
      <w:r>
        <w:rPr>
          <w:rFonts w:ascii="Times New Roman" w:cs="Times New Roman" w:eastAsia="Times New Roman" w:hAnsi="Times New Roman"/>
          <w:sz w:val="18"/>
          <w:szCs w:val="18"/>
          <w:color w:val="auto"/>
        </w:rPr>
        <w:t>(“ASU 2016-10”)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clarifies the identification of performance obligations and the licensing implementation guidance, while retaining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principles for those areas. In May 2016, the FASB issued ASU 2016-12, </w:t>
      </w:r>
      <w:r>
        <w:rPr>
          <w:rFonts w:ascii="Times New Roman" w:cs="Times New Roman" w:eastAsia="Times New Roman" w:hAnsi="Times New Roman"/>
          <w:sz w:val="18"/>
          <w:szCs w:val="18"/>
          <w:i w:val="1"/>
          <w:iCs w:val="1"/>
          <w:color w:val="auto"/>
        </w:rPr>
        <w:t>Revenue from Contracts with Customers (Topic 606): Narrow-Scope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and Practical Expedients </w:t>
      </w:r>
      <w:r>
        <w:rPr>
          <w:rFonts w:ascii="Times New Roman" w:cs="Times New Roman" w:eastAsia="Times New Roman" w:hAnsi="Times New Roman"/>
          <w:sz w:val="18"/>
          <w:szCs w:val="18"/>
          <w:color w:val="auto"/>
        </w:rPr>
        <w:t>(“ASU 2016-12”), which provides clarification on assessing the collectability criterion, presentation of sales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 for non-cash consideration and completed contracts at transition.</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updated standard is effective for ICON in the first quarter of the year ended December 31, 2018. ICON has elected to adopt the updated standard using the cumulative effect transition method. Under this transition method, ICON will apply the new standard as of the date of initial application (i.e. January 1, 2018), without restatement of comparative period amounts. ICON plc will record the cumulative effect of initially applying the new standard (to revenue and cost) as an adjustment to the opening balance of equity at the date of initial application. Under this method, ICON will apply the requirements of the new standard to those contracts not completed at the date of initial application.</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we continue to assess all potential impacts of the new standard, we believe the most significant impact relates to our assessment of measurement of performance and percentage of completion in respect of our clinical trials service revenue.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current GAAP, the revenue attributable to performance is determined based on both input and output methods of measurement based on the relationship between hours incurred and the total estimated hours of the trial, or on the unit of delivery method. We have evaluated the application of the requirements of ASC 606 to ‘recognize revenue when or as the entity satisfies a performance obligation’ to its business. We have concluded that under the revised standard, clinical trial service is a single performance obligation satisfied over time i.e. the full service obligation in respect of a clinical trial (including services provided by investigators and other parties) is considered a single performance obligation in respect of the clinical services revenue stream. Promises offered to the customer are not distinct within the context of the contract.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concluded that ICON is the contract principal in respect of both direct services and in the use of third parties (principally investigator services) that support the clinical research project. ICON measure over time performance obligation considering progress towards completion on an input measure being total project costs inclusive of third party costs. The transaction price is determined by reference to the contract or change order value (total service revenue and pass-through) adjusted to reflect historical experience to determine a realizable contract value. Revenue will be recognized as the single performance obligation is satisfied. The progress towards completion for clinical service contracts will be measured based on percentage completion of realizable contract value at each reporting period.</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revised standard includes additional disclosure requirements related to revenue. Our results for the first quarter of the year ended December 31, 2018, being the quarter ended March 31, 2018, will include expanded disclosure in respect of (i) disaggregated revenue disclosures from contracts with customers</w:t>
      </w:r>
    </w:p>
    <w:p>
      <w:pPr>
        <w:ind w:right="20" w:firstLine="8"/>
        <w:spacing w:after="0" w:line="261" w:lineRule="auto"/>
        <w:tabs>
          <w:tab w:leader="none" w:pos="2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disclosure of contract assets and liabilities (iii) disclosure of retrospective revenue and (iv) disclosure of the remaining performance obligations by product/service (or backlog).</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Due to the complexity of certain of our contracts, the actual revenue recognition treatment required under the new standard for these arrangements may be dependent on contract-specific terms and vary in some instances.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2016. The Consolidated Financial Statements have been prepared in accordance with accounting principles generally accepted in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2017, we employed approximately 13,117 employees, in 97 locations in 38 countries. During the nine months ended September 30, 2017, we derived approximately 46.1%, 42.4% and 11.5% of our net revenue in the United States, Europe and Rest of World respectively.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contracts is recognized on a proportional performance method based on the relationship between time incurred and the total estimated duration of the trial or on a fee-for-service basis depending to the particular circumstances of the contract. As is customary in the CRO industry, we contract with third party investigators in connection with clinical trials. All investigator fees and certain other costs, where reimbursed by clients, are deducted from gross revenue to arrive at net revenue. As these costs vary from contract to contract, we view net revenue as our primary measure of revenue growth.</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backlog consists of potential net revenue yet to be earned from projects awarded by clients. At September 30, 2017, we had a backlog of approximately $4.8 billion, compared with approximately $4.2 billion at December 31, 2016.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2017 compared with Three Months Ended September 30, 2016</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11"/>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680" w:type="dxa"/>
            <w:vAlign w:val="bottom"/>
            <w:gridSpan w:val="5"/>
            <w:vMerge w:val="restart"/>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5"/>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360" w:type="dxa"/>
            <w:vAlign w:val="bottom"/>
          </w:tcPr>
          <w:p>
            <w:pPr>
              <w:spacing w:after="0"/>
              <w:rPr>
                <w:sz w:val="17"/>
                <w:szCs w:val="17"/>
                <w:color w:val="auto"/>
              </w:rPr>
            </w:pPr>
          </w:p>
        </w:tc>
        <w:tc>
          <w:tcPr>
            <w:tcW w:w="680" w:type="dxa"/>
            <w:vAlign w:val="bottom"/>
            <w:gridSpan w:val="5"/>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160" w:type="dxa"/>
            <w:vAlign w:val="bottom"/>
            <w:gridSpan w:val="4"/>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360" w:type="dxa"/>
            <w:vAlign w:val="bottom"/>
          </w:tcPr>
          <w:p>
            <w:pPr>
              <w:spacing w:after="0"/>
              <w:rPr>
                <w:sz w:val="17"/>
                <w:szCs w:val="17"/>
                <w:color w:val="auto"/>
              </w:rPr>
            </w:pPr>
          </w:p>
        </w:tc>
        <w:tc>
          <w:tcPr>
            <w:tcW w:w="1400" w:type="dxa"/>
            <w:vAlign w:val="bottom"/>
            <w:gridSpan w:val="7"/>
          </w:tcPr>
          <w:p>
            <w:pPr>
              <w:jc w:val="right"/>
              <w:ind w:right="36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to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4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Pr>
          <w:p>
            <w:pPr>
              <w:spacing w:after="0"/>
              <w:rPr>
                <w:sz w:val="17"/>
                <w:szCs w:val="17"/>
                <w:color w:val="auto"/>
              </w:rPr>
            </w:pPr>
          </w:p>
        </w:tc>
        <w:tc>
          <w:tcPr>
            <w:tcW w:w="1400" w:type="dxa"/>
            <w:vAlign w:val="bottom"/>
            <w:gridSpan w:val="7"/>
          </w:tcPr>
          <w:p>
            <w:pPr>
              <w:jc w:val="right"/>
              <w:ind w:right="36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260" w:type="dxa"/>
            <w:vAlign w:val="bottom"/>
            <w:gridSpan w:val="8"/>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160" w:type="dxa"/>
            <w:vAlign w:val="bottom"/>
            <w:gridSpan w:val="13"/>
            <w:vMerge w:val="restart"/>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Percentage of Net Revenue</w:t>
            </w:r>
          </w:p>
        </w:tc>
        <w:tc>
          <w:tcPr>
            <w:tcW w:w="126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160" w:type="dxa"/>
            <w:vAlign w:val="bottom"/>
            <w:gridSpan w:val="13"/>
            <w:vMerge w:val="continue"/>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Increase/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6"/>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6"/>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760" w:type="dxa"/>
            <w:vAlign w:val="bottom"/>
            <w:tcBorders>
              <w:bottom w:val="single" w:sz="8" w:color="auto"/>
            </w:tcBorders>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tcBorders>
              <w:bottom w:val="single" w:sz="8" w:color="auto"/>
            </w:tcBorders>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Costs and expenses:</w:t>
            </w:r>
          </w:p>
        </w:tc>
        <w:tc>
          <w:tcPr>
            <w:tcW w:w="354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right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37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59.0%</w:t>
            </w:r>
          </w:p>
        </w:tc>
        <w:tc>
          <w:tcPr>
            <w:tcW w:w="14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126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7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40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2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7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4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6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7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34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5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760" w:type="dxa"/>
            <w:vAlign w:val="bottom"/>
            <w:tcBorders>
              <w:bottom w:val="single" w:sz="8" w:color="auto"/>
            </w:tcBorders>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400" w:type="dxa"/>
            <w:vAlign w:val="bottom"/>
            <w:tcBorders>
              <w:bottom w:val="single" w:sz="8" w:color="auto"/>
            </w:tcBorders>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revenue for the period increased by $20.1 million, or 4.8%, from $420.2 million for the three months ended September 30, 2016, to $440.3 million for the three months ended September 30, 2017. Net revenue increased by 3.2% in constant currency and decreased by 2.6% in constant dollar organic terms. The increase in revenues in the three months ended September 30, 2017 can be explained by both continued organic growth, and the additional net revenues from the acquisition of ClinicalRM on September 15, 2016 and from the acquisition of Mapi on July 27, 2017. During the three months ended September 30, 2017 we derived approximately 43.8%, 44.8% and 11.4% of our net revenue in the United States, Europe and Rest of World respectively. During the three months ended September 30, 2017 $170.9 million or 38.8% of our net revenues were derived from our top 5 customers compared to $185.4 million or 44.1% of net revenues derived from our top 5 customers during the three months ended September 30, 2016. The largest of these customers related to a Strategic Partnership with a large global pharmaceutical company. Net revenue from this customer contributed 16.6% of net revenue for the quarter, compared to 25.2% of net revenue in respect of the three months ended September 30, 2016. The addition of new customer accounts, particularly mid-tier pharma customers and biotech customers continues to result in a reduction in concentration of revenues from our top five customers.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Net revenue in Ireland increased from $97.3 million for the three months ended September 30, 2016, to $107.8 million for the three months ended September 30, 2017. Net revenue in Ireland is principally a function of the Company’s global transfer pricing model (</w:t>
      </w:r>
      <w:r>
        <w:rPr>
          <w:rFonts w:ascii="Times New Roman" w:cs="Times New Roman" w:eastAsia="Times New Roman" w:hAnsi="Times New Roman"/>
          <w:sz w:val="18"/>
          <w:szCs w:val="18"/>
          <w:i w:val="1"/>
          <w:iCs w:val="1"/>
          <w:color w:val="auto"/>
        </w:rPr>
        <w:t>see note 9 Business Segmental Information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details</w:t>
      </w:r>
      <w:r>
        <w:rPr>
          <w:rFonts w:ascii="Times New Roman" w:cs="Times New Roman" w:eastAsia="Times New Roman" w:hAnsi="Times New Roman"/>
          <w:sz w:val="18"/>
          <w:szCs w:val="18"/>
          <w:color w:val="auto"/>
        </w:rPr>
        <w:t>). Net revenue in our Rest of Europe region increased from $76.4 million for the three months ended September 30, 2016 to $89.5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2017, principally reflecting the acquisition of Mapi in July 2017. Net revenue in our Rest of World region increased from $42.2 million for the three months ended September 30, 2016, to $50.0 million for the three months ended September 30, 2017. This reflects a non-recurring intercompany pricing adjustment for services historically provided by certain Rest of World subsidiaries. Net revenue in the U.S. region decreased from $204.3 million for the three months ended September 30, 2016, to $192.9 million for the three months ended September 30, 2017.</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Direct costs for the period increased by $16.5 million, or 6.8%, from $243.2 million for the three months ended September 30, 2016 to $259.7 million for the three months ended September 30, 2017.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$17.8 million, and increases in other direct project related costs of $0.9 million. These increases were offset by a decrease in laboratory costs of $2.0 million and a decrease travel related costs of $0.2 million. As a percentage of net revenue, direct costs have increased from 57.9% for the three months ended September 30, 2016, to 59% for the three months ended September 30, 2017.</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for the period decreased by $1.8 million, or 2.2%, from $81.2 million for the three months ended September 30, 2016, to $79.4 million for the three months ended September 30, 2017.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Lease charges of $1.1 million were recorded principally in respect of premises vacated during the period on review of our facilities. The net decrease in selling, general and administration expenses for the period of $1.8 million reflects this item in addition to a continued focus on personnel related expenditure and facilities and related costs. As a percentage of net revenue, selling, general and administrative expenses, decreased from 19.3% for the three months ended September 30, 2016, to 18.0% for the three months ended September 30, 2017.</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Depreciation expense for the period increased by $0.7 million, or 6.4%, from $10.7 million for three months ended September 30, 2016, to $11.4 million for three months ended September 30, 2017. Depreciation expense arises principally from continued investment in facilities, information systems and equipment to support the Company’s growth. As a percentage of net revenue the depreciation expense for the three months ended September 30, 2017, (2.6%) increased marginally on the percentage of net revenue charge for the three months ended September 30, 2016, (2.5%). Amortization expense for the period increased by $1.0 million, or 27.2%, from $3.9 million for the three months ended September 30, 2016, to $4.9 million for the three months ended September 30, 2017. Amortization expense represents the amortization of intangible assets acquired on business combinations. The main reason for the increase in the amortization expense for the period relates to the additional amortization for the period related to the acquisition of ClinicalRM in September 2016, and the acquisition of Mapi in July 2017. As a percentage of net revenue, amortization expense increased from 1.0% for the three months ended September 30, 2016, to 1.1% for the three months ended September 30, 2017.</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2016, a restructuring charge of $4.1 million was recognized under a restructuring plan adopted following a review by the company of its operations. The restructuring plan includes resource rationalizations in certain areas of the business to improve resource utilization (</w:t>
      </w:r>
      <w:r>
        <w:rPr>
          <w:rFonts w:ascii="Times New Roman" w:cs="Times New Roman" w:eastAsia="Times New Roman" w:hAnsi="Times New Roman"/>
          <w:sz w:val="18"/>
          <w:szCs w:val="18"/>
          <w:i w:val="1"/>
          <w:iCs w:val="1"/>
          <w:color w:val="auto"/>
        </w:rPr>
        <w:t>see note 4 Restructuring for further information).</w:t>
      </w:r>
      <w:r>
        <w:rPr>
          <w:rFonts w:ascii="Times New Roman" w:cs="Times New Roman" w:eastAsia="Times New Roman" w:hAnsi="Times New Roman"/>
          <w:sz w:val="18"/>
          <w:szCs w:val="18"/>
          <w:color w:val="auto"/>
        </w:rPr>
        <w:t xml:space="preserve"> During the three months ended September 30, 2017, no restructuring charge was recognized.</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above, income from operations for the three months increased by $7.8 million, or 10.1%, from $77.1 million for the three months ended September 30, 2016, ($81.2 million excluding restructuring charges) to $84.9 million for the three months ended September 30, 2017. As a percentage of net revenue, income from operations increased from 18.3% of net revenues for the three months ended September 30, 2016 (19.3% excluding restructuring charges) to 19.3% of net revenues for the three months ended September 30, 2017.</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Income from operations in Ireland decreased from a profit of $63.9 million for the three months ended September 30, 2016 ($64.8 million excluding restructuring charges) to a profit of $62.2 million for the three months ended September 30, 2017. Income from operations in Ireland is impacted by the Group’s global transfer pricing model </w:t>
      </w:r>
      <w:r>
        <w:rPr>
          <w:rFonts w:ascii="Times New Roman" w:cs="Times New Roman" w:eastAsia="Times New Roman" w:hAnsi="Times New Roman"/>
          <w:sz w:val="18"/>
          <w:szCs w:val="18"/>
          <w:i w:val="1"/>
          <w:iCs w:val="1"/>
          <w:color w:val="auto"/>
        </w:rPr>
        <w:t>(see note 9 Business Segmental Information for further details).</w:t>
      </w:r>
      <w:r>
        <w:rPr>
          <w:rFonts w:ascii="Times New Roman" w:cs="Times New Roman" w:eastAsia="Times New Roman" w:hAnsi="Times New Roman"/>
          <w:sz w:val="18"/>
          <w:szCs w:val="18"/>
          <w:color w:val="auto"/>
        </w:rPr>
        <w:t xml:space="preserve"> Income from operations in our Rest of Europe region increased from $0.8 million for the three months ended September 30, 2016, ($1.4 million excluding restructuring charges) to $2.5 million for the three months ended September 30, 2017, while income from operations in our Rest of World region increased from $0.9 million for the three months ended September 30, 2016, ($1.2 million excluding restructuring charges) to $4.1 million for the three months ended September 30, 2017. Income from operations in the U.S. region increased from $11.5 million for the three months ended September 30, 2016, ($13.8 million excluding restructuring charges) to $16.2 million for the three months ended September 30, 2017. This reflects the income contribution since acquisition of ClinicalRM, and the impact of refinements to the consideration earned by US subsidiaries under the Group’s global transfer pricing model, offset in part by increased amortization charges.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of $3.2 million for the three months ended September 30, 2017, is in line with the charge for the three months ended September 30, 2016. Interest income increased by $0.1 million or 36.8%, from $0.5 million for the three months ended September 30, 2016, to $0.6 million for the three months ended September 30, 2017.</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 for income taxes decreased from $10.5 million ($11.0 million excluding restructuring) for the three months ended September 30, 2016, to $8.2 million for the three months ended September 30, 2017. The Company’s effective tax rate for the three months ended September 30, 2017, was 10.0% compared with 14.1% (14.0% excluding restructuring charges) for the three months ended September 30, 2016. The effective tax rate in Q3 benefited from the favourable settlement of a number of tax audits during the quarter and the resulting release of provisions in respect of uncertain tax positions upon the conclusion of those tax audits. The effective tax rate in Q3 also benefited from favourable return to provision true ups in respect of returns filed in certain jurisdictions during the quarter. Apart from these discrete items, the Company’s effective tax rate remains principally a function of the distribution of pre-tax profits amongst the territories in which it operates.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2017 compared with Nine Months Ended September 30, 2016</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60" w:type="dxa"/>
            <w:vAlign w:val="bottom"/>
            <w:gridSpan w:val="5"/>
          </w:tcPr>
          <w:p>
            <w:pPr>
              <w:spacing w:after="0"/>
              <w:rPr>
                <w:sz w:val="17"/>
                <w:szCs w:val="17"/>
                <w:color w:val="auto"/>
              </w:rPr>
            </w:pPr>
          </w:p>
        </w:tc>
        <w:tc>
          <w:tcPr>
            <w:tcW w:w="680" w:type="dxa"/>
            <w:vAlign w:val="bottom"/>
            <w:gridSpan w:val="5"/>
            <w:vMerge w:val="restart"/>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2017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bottom w:val="single" w:sz="8" w:color="auto"/>
            </w:tcBorders>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360" w:type="dxa"/>
            <w:vAlign w:val="bottom"/>
          </w:tcPr>
          <w:p>
            <w:pPr>
              <w:spacing w:after="0"/>
              <w:rPr>
                <w:sz w:val="17"/>
                <w:szCs w:val="17"/>
                <w:color w:val="auto"/>
              </w:rPr>
            </w:pPr>
          </w:p>
        </w:tc>
        <w:tc>
          <w:tcPr>
            <w:tcW w:w="680" w:type="dxa"/>
            <w:vAlign w:val="bottom"/>
            <w:gridSpan w:val="5"/>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160" w:type="dxa"/>
            <w:vAlign w:val="bottom"/>
            <w:gridSpan w:val="4"/>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30,</w:t>
            </w:r>
          </w:p>
        </w:tc>
        <w:tc>
          <w:tcPr>
            <w:tcW w:w="360" w:type="dxa"/>
            <w:vAlign w:val="bottom"/>
          </w:tcPr>
          <w:p>
            <w:pPr>
              <w:spacing w:after="0"/>
              <w:rPr>
                <w:sz w:val="17"/>
                <w:szCs w:val="17"/>
                <w:color w:val="auto"/>
              </w:rPr>
            </w:pPr>
          </w:p>
        </w:tc>
        <w:tc>
          <w:tcPr>
            <w:tcW w:w="1400" w:type="dxa"/>
            <w:vAlign w:val="bottom"/>
            <w:gridSpan w:val="7"/>
          </w:tcPr>
          <w:p>
            <w:pPr>
              <w:jc w:val="right"/>
              <w:ind w:right="360"/>
              <w:spacing w:after="0" w:line="196" w:lineRule="exact"/>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to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40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Pr>
          <w:p>
            <w:pPr>
              <w:spacing w:after="0"/>
              <w:rPr>
                <w:sz w:val="17"/>
                <w:szCs w:val="17"/>
                <w:color w:val="auto"/>
              </w:rPr>
            </w:pPr>
          </w:p>
        </w:tc>
        <w:tc>
          <w:tcPr>
            <w:tcW w:w="1400" w:type="dxa"/>
            <w:vAlign w:val="bottom"/>
            <w:gridSpan w:val="7"/>
          </w:tcPr>
          <w:p>
            <w:pPr>
              <w:jc w:val="right"/>
              <w:ind w:right="360"/>
              <w:spacing w:after="0" w:line="196" w:lineRule="exact"/>
              <w:rPr>
                <w:sz w:val="20"/>
                <w:szCs w:val="20"/>
                <w:color w:val="auto"/>
              </w:rPr>
            </w:pPr>
            <w:r>
              <w:rPr>
                <w:rFonts w:ascii="Times New Roman" w:cs="Times New Roman" w:eastAsia="Times New Roman" w:hAnsi="Times New Roman"/>
                <w:sz w:val="18"/>
                <w:szCs w:val="18"/>
                <w:b w:val="1"/>
                <w:bCs w:val="1"/>
                <w:color w:val="auto"/>
              </w:rPr>
              <w:t>2016</w:t>
            </w:r>
          </w:p>
        </w:tc>
        <w:tc>
          <w:tcPr>
            <w:tcW w:w="1260" w:type="dxa"/>
            <w:vAlign w:val="bottom"/>
            <w:gridSpan w:val="8"/>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160" w:type="dxa"/>
            <w:vAlign w:val="bottom"/>
            <w:gridSpan w:val="13"/>
            <w:vMerge w:val="restart"/>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Percentage of Net Revenue</w:t>
            </w:r>
          </w:p>
        </w:tc>
        <w:tc>
          <w:tcPr>
            <w:tcW w:w="126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160" w:type="dxa"/>
            <w:vAlign w:val="bottom"/>
            <w:gridSpan w:val="13"/>
            <w:vMerge w:val="continue"/>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7"/>
              </w:rPr>
              <w:t>Increase/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6"/>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6"/>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760" w:type="dxa"/>
            <w:vAlign w:val="bottom"/>
            <w:tcBorders>
              <w:bottom w:val="single" w:sz="8" w:color="auto"/>
            </w:tcBorders>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tcBorders>
              <w:bottom w:val="single" w:sz="8" w:color="auto"/>
            </w:tcBorders>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Costs and expenses:</w:t>
            </w:r>
          </w:p>
        </w:tc>
        <w:tc>
          <w:tcPr>
            <w:tcW w:w="354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37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14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126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7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40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2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7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6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76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376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140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2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5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760" w:type="dxa"/>
            <w:vAlign w:val="bottom"/>
            <w:tcBorders>
              <w:bottom w:val="single" w:sz="8" w:color="auto"/>
            </w:tcBorders>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1400" w:type="dxa"/>
            <w:vAlign w:val="bottom"/>
            <w:tcBorders>
              <w:bottom w:val="single" w:sz="8" w:color="auto"/>
            </w:tcBorders>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260" w:type="dxa"/>
            <w:vAlign w:val="bottom"/>
            <w:tcBorders>
              <w:bottom w:val="single" w:sz="8" w:color="auto"/>
            </w:tcBorders>
            <w:gridSpan w:val="8"/>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revenue for the period increased by $71.9 million, or 5.8%, from $1,231.4 million for the nine months ended September 30, 2016 to $1,303.3 million for the nine months ended September 30, 2017. Net revenue increased by 5.8% in constant currency and by 1.5% in constant dollar organic terms. The increase in revenues in the nine months ended September 30, 2017, can be explained by both continued organic growth, and the additional net revenues from the acquisition of ClinicalRM on September 15, 2016, and the acquisition of Mapi on July 27, 2017. During the nine months ended September 30, 2017, we derived approximately 46.1%, 42.4% and 11.5% of our net revenue in the United States, Europe and Rest of World respectively. During the nine months ended September 30, 2017, $545.4 million or 41.8% of our net revenues were derived from our top 5 customers compared to $552.3 million or 44.9% of net revenues derived from our top 5 customers during the nine months ended September 30, 2016. The largest of these customers related to a Strategic Partnership with a large global pharmaceutical company. Net revenue from this customer contributed 20.2% of net revenue for the nine months ended September 30, 2017, compared to 27.4% of net revenue in respect of the nine months ended September 30, 2016. The addition of new customer accounts, particularly mid-tier pharma customers and biotech customers continues to result in a reduction in concentration of revenues from our top five customers.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Net revenue in Ireland increased from $293.8 million for the nine months ended September 30, 2016, to $312.9 million for the nine months ended September 30, 2017. Net revenue in Ireland is principally a function of the Company’s global transfer pricing model (</w:t>
      </w:r>
      <w:r>
        <w:rPr>
          <w:rFonts w:ascii="Times New Roman" w:cs="Times New Roman" w:eastAsia="Times New Roman" w:hAnsi="Times New Roman"/>
          <w:sz w:val="18"/>
          <w:szCs w:val="18"/>
          <w:i w:val="1"/>
          <w:iCs w:val="1"/>
          <w:color w:val="auto"/>
        </w:rPr>
        <w:t>see note 9 Business Segmental Information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details</w:t>
      </w:r>
      <w:r>
        <w:rPr>
          <w:rFonts w:ascii="Times New Roman" w:cs="Times New Roman" w:eastAsia="Times New Roman" w:hAnsi="Times New Roman"/>
          <w:sz w:val="18"/>
          <w:szCs w:val="18"/>
          <w:color w:val="auto"/>
        </w:rPr>
        <w:t>). Net revenue in our Rest of Europe region increased from $231.5 million for the nine months ended September 30, 2016 to $239.5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2017, principally reflecting the acquisition of Mapi in July 2017. Net revenue in our Rest of World region increased from $124.3 million for the nine months ended September 30, 2016 to $150.3 million for the nine months ended September 30, 2017. This reflects a non-recurring intercompany pricing adjustment for services historically provided by certain Rest of World subsidiaries. Net revenue in the U.S. region increased from $581.7 million for the nine months ended September 30, 2016, to $600.6 million for the nine months ended September 30, 2017. Net revenues in the U.S. region for the nine months ended September 30, 2017, was impacted positively by the acquisition of ClinicalRM which was acquired on September 15, 2016.</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Direct costs for the period increased by $50.4 million, or 7.1%, from $709.8 million for the nine months ended September 30, 2016, to $760.2 million for the nine months ended September 30, 2017.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$45.7 million, and increases in other direct project related costs of $7.2 million. This increase was offset by a decrease in travel related costs of $1.6 million and laboratory costs of $0.9 million. As a percentage of net revenue, direct costs increased from 57.7% for the nine months ended September 30, 2016, to 58.3% for the nine months ended September 30, 2017.</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for the period decreased by $0.5 million, or 0.2%, from $242.2 million for the nine months ended September 30, 2016, to $241.7 million for the nine months ended September 30, 2017.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During the nine months ended September 30, 2017, a credit of $6 million was recorded being the reduction in the assessment of the fair value of contingent consideration liability relating to the acquisition of ClinicalRM (see note 3). Once-off professional costs of $3.5 million were also recorded in the period. Lease charges of $4.2 million were recorded principally in respect of premises vacated during the period on review of our facilities. The net decrease in selling, general and administration expenses of $0.5 million reflects these items and continued focus on personnel related expenditure and facilities and related costs. As a percentage of net revenue, selling, general and administrative expenses, decreased from 19.7% for the nine months ended September 30, 2016, to 18.5% for the nine months ended September 30, 2017.</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Depreciation expense for the period increased by $0.4 million, or 1.2%, from $31.4 million for the nine months ended September 30, 2016, to $31.8 million for the nine months ended September 30, 2017. Depreciation expense arises principally from continued investment in facilities, information systems and equipment to support the Company’s growth. As a percentage of net revenue the depreciation expense for the nine months ended September 30, 2017 was 2.5%, which is in line with the nine months ended September 30, 2016. Amortization expense for the period increased by $0.7 million, or 4.9%, from $12.7 million for the nine months ended September 30, 2016, to $13.4 million for the nine months ended September 30, 2017. Amortization expense represents the amortization of intangible assets acquired on business combinations. The main reason for the increase in the amortization expense for the period relates to the additional amortization for the period related to the acquisition of ClinicalRM (September 2016) and Mapi (July 2017). As a percentage of net revenue, amortization expense for the nine months ended September 30, 2017, was 1.0%, which is in line with the nine months ended September 30, 2016.</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2017, the Company implemented a restructuring plan which contains Company resource rationalizations in order to improve operating efficiencies and reduce expenses. A restructuring charge of $7.8 million was recognized during the nine months ended September 30, 2017. (S</w:t>
      </w:r>
      <w:r>
        <w:rPr>
          <w:rFonts w:ascii="Times New Roman" w:cs="Times New Roman" w:eastAsia="Times New Roman" w:hAnsi="Times New Roman"/>
          <w:sz w:val="18"/>
          <w:szCs w:val="18"/>
          <w:i w:val="1"/>
          <w:iCs w:val="1"/>
          <w:color w:val="auto"/>
        </w:rPr>
        <w:t>ee note 4 Restructuring for further information).</w:t>
      </w:r>
      <w:r>
        <w:rPr>
          <w:rFonts w:ascii="Times New Roman" w:cs="Times New Roman" w:eastAsia="Times New Roman" w:hAnsi="Times New Roman"/>
          <w:sz w:val="18"/>
          <w:szCs w:val="18"/>
          <w:color w:val="auto"/>
        </w:rPr>
        <w:t xml:space="preserve"> A restructuring charge of $8.2 million was recognized during the nine months ended September 30, 2016.</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above, income from operations for the nine months ended September 30, 2017, increased by $21.5 million, or 9.5%, from $227.1 million for the nine months ended September 30, 2016, ($235.2 million excluding restructuring charges) to $248.6 million for the nine months ended September 30, 2017, ($256.3 million excluding restructuring charges). As a percentage of net revenue, income from operations increased from 18.4% (19.1% excluding restructuring charges) of net revenues for the nine months ended September 30, 2016, to 19.1% of net revenues for the nine months ended September 30, 2017, (19.7% excluding restructuring charges).</w:t>
      </w:r>
    </w:p>
    <w:p>
      <w:pPr>
        <w:spacing w:after="0" w:line="2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Income from operations in Ireland decreased from a profit of $178.1 million for the nine months ended September 30, 2016, ($182.7 million excluding restructuring charges) to a profit of $164.8 million for the nine months ended September 30, 2017, ($172.5 million excluding restructuring charges). Income from operations in Ireland is impacted by the Group’s global transfer pricing model </w:t>
      </w:r>
      <w:r>
        <w:rPr>
          <w:rFonts w:ascii="Times New Roman" w:cs="Times New Roman" w:eastAsia="Times New Roman" w:hAnsi="Times New Roman"/>
          <w:sz w:val="18"/>
          <w:szCs w:val="18"/>
          <w:i w:val="1"/>
          <w:iCs w:val="1"/>
          <w:color w:val="auto"/>
        </w:rPr>
        <w:t>(see note 9 Business Segmental Information for further details).</w:t>
      </w:r>
      <w:r>
        <w:rPr>
          <w:rFonts w:ascii="Times New Roman" w:cs="Times New Roman" w:eastAsia="Times New Roman" w:hAnsi="Times New Roman"/>
          <w:sz w:val="18"/>
          <w:szCs w:val="18"/>
          <w:color w:val="auto"/>
        </w:rPr>
        <w:t xml:space="preserve"> Income from operations in our Rest of Europe region increased from $9.1 million for the nine months ended September 30, 2016, ($10.0 million excluding restructuring charges) to $15.1 million for the nine months ended September 30, 2017, ($15.1 million excluding restructuring charges), while income from operations in our Rest of World region increased from $5.8 million for the nine months ended September 30, 2016, ($6.1 million excluding restructuring charges) to $15.8 million for the nine months ended September 30, 2017, ($15.8 million excluding restructuring charges). This reflects a non-recurring intercompany pricing adjustment for services historically provided by certain Rest of World subsidiaries. Income from operations in the U.S. region increased from $34.1 million for the nine months ended September 30, 2016, ($36.4 million excluding restructuring charges) to $52.9 million for the nine months ended September 30, 2017, ($52.9 million excluding restructuring charges), principally reflecting a credit of $6 million recorded on revaluation of the contingent consideration related to the acquisition of ClinicalRM, the income contribution since acquisition of ClincalRM, and the impact of refinements to the consideration earned by US subsidiaries under the Group’s global transfer pricing model. These increases were offset in part by increased amortization charges.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for the period decreased from $9.6 million for the nine months ended September 30, 2016, to $9.5 million for the nine months ended September 30, 2017. Interest income increased by $0.6 million or 52.9%, from $1.2 million for the nine months ended September 30, 2016 to $1.8 million for the nine months ended September 30, 2017.</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 for income taxes decreased from $30.6 million ($31.7 million excluding restructuring) for the nine months ended September 30, 2016, to $30.4 million ($31.4 million excluding restructuring) for the nine months ended September 30, 2017. The Company’s effective tax rate for the nine months ended September 30, 2017, was 12.6% (12.6% excluding restructuring charges) compared with 14.0% (13.9% excluding restructuring charges) for the nine months ended September 30, 2016. The Company’s effective tax rate is principally a function of the distribution of pre-tax profits amongst the territories in which it operates.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net borrowings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90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Drawn</w:t>
            </w:r>
          </w:p>
        </w:tc>
        <w:tc>
          <w:tcPr>
            <w:tcW w:w="13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Net cash</w:t>
            </w:r>
          </w:p>
        </w:tc>
        <w:tc>
          <w:tcPr>
            <w:tcW w:w="15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16"/>
        </w:trPr>
        <w:tc>
          <w:tcPr>
            <w:tcW w:w="2900" w:type="dxa"/>
            <w:vAlign w:val="bottom"/>
          </w:tcPr>
          <w:p>
            <w:pPr>
              <w:spacing w:after="0"/>
              <w:rPr>
                <w:sz w:val="18"/>
                <w:szCs w:val="18"/>
                <w:color w:val="auto"/>
              </w:rPr>
            </w:pPr>
          </w:p>
        </w:tc>
        <w:tc>
          <w:tcPr>
            <w:tcW w:w="1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down/</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inflow/</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w:t>
            </w:r>
          </w:p>
        </w:tc>
      </w:tr>
      <w:tr>
        <w:trPr>
          <w:trHeight w:val="245"/>
        </w:trPr>
        <w:tc>
          <w:tcPr>
            <w:tcW w:w="29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31, 2016</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(repaid)</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(outflow)</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30, 2017</w:t>
            </w:r>
          </w:p>
        </w:tc>
      </w:tr>
      <w:tr>
        <w:trPr>
          <w:trHeight w:val="194"/>
        </w:trPr>
        <w:tc>
          <w:tcPr>
            <w:tcW w:w="29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jc w:val="right"/>
              <w:ind w:right="650"/>
              <w:spacing w:after="0" w:line="194" w:lineRule="exact"/>
              <w:rPr>
                <w:sz w:val="20"/>
                <w:szCs w:val="20"/>
                <w:color w:val="auto"/>
              </w:rPr>
            </w:pPr>
            <w:r>
              <w:rPr>
                <w:rFonts w:ascii="Times New Roman" w:cs="Times New Roman" w:eastAsia="Times New Roman" w:hAnsi="Times New Roman"/>
                <w:sz w:val="18"/>
                <w:szCs w:val="18"/>
                <w:b w:val="1"/>
                <w:bCs w:val="1"/>
                <w:color w:val="auto"/>
              </w:rPr>
              <w:t>$ in</w:t>
            </w:r>
          </w:p>
        </w:tc>
        <w:tc>
          <w:tcPr>
            <w:tcW w:w="1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8"/>
        </w:trPr>
        <w:tc>
          <w:tcPr>
            <w:tcW w:w="2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3"/>
        </w:trPr>
        <w:tc>
          <w:tcPr>
            <w:tcW w:w="29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192,541</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13,894</w:t>
            </w:r>
          </w:p>
        </w:tc>
        <w:tc>
          <w:tcPr>
            <w:tcW w:w="1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3,370</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209,805</w:t>
            </w:r>
          </w:p>
        </w:tc>
      </w:tr>
      <w:tr>
        <w:trPr>
          <w:trHeight w:val="216"/>
        </w:trPr>
        <w:tc>
          <w:tcPr>
            <w:tcW w:w="2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Private placement notes</w:t>
            </w:r>
          </w:p>
        </w:tc>
        <w:tc>
          <w:tcPr>
            <w:tcW w:w="1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(348,511)</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(282)</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(348,793)</w:t>
            </w:r>
          </w:p>
        </w:tc>
      </w:tr>
      <w:tr>
        <w:trPr>
          <w:trHeight w:val="21"/>
        </w:trPr>
        <w:tc>
          <w:tcPr>
            <w:tcW w:w="29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29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(155,970)</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13,894</w:t>
            </w:r>
          </w:p>
        </w:tc>
        <w:tc>
          <w:tcPr>
            <w:tcW w:w="15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(282)</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3,370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(138,988)</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and short term investment balances at September 30, 2017, amounted to $292.5 million compared with cash and short term investment balances of $260.6 million at December 31, 2016. The Company’s cash and short term investment balances at September 30, 2017, comprised of cash and cash equivalents of $209.8 million and short-term investments of $82.7 million. The Company’s cash and short term investment balances at December 31, 2016, comprised of cash and cash equivalents of $192.5 million and short-term investments of $68.0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30, 2014, the Company entered into a five year committed multi-currency Revolving Credit Facility for $100.0 million with Citibank, JP Morgan, Santander and Barclays Bank (“Revolving Credit Facility”). Each bank subject to the agreement has committed $25 million to the facility, with equal terms and conditions in place with all institutions. The facility is guaranteed by ICON plc. The facility bears interest at LIBOR plus a margin. No amounts were drawn at September 30, 2017, or at December 31, 2016, in respect of the Revolving Credit Facility. Amounts available to the Group under the facility at both September 30, 2017 and December 31, 2016 were therefore $100.0 million.</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also has an uncommitted short-term revolving credit facility of $30 million. No amounts were drawn under this facility at 31 December 2016, or at September 30, 2017.</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$277.2 million for the nine months ended September 30, 2017 compared with cash provided by operating activities of $129.0 million for the nine months ended September 30, 2016. This reflects the positive cash flow impact of the increase in revenues and underlying profitability of the Company.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instalments based on the delivery of certain performance targets or “milestones” (e.g. target patient enrolment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September 30, 2017, was 50 days compared to 50 days at December 31, 2016. The number of days revenue outstanding at September 30, 2016, was 50 days compared to 41 days at December 31, 2015.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was $162.9 million for the nine months ended September 30, 2017, compared to net cash used in investing activities of $79.1 million for the nine months ended September 30, 2016. Net cash used in the nine months ended September 30, 2017, relates to capital expenditure of $23.7 million, which was mainly comprised of investment in facilities and IT infrastructure and $125.5 million net cash outflow on the acquisition of Mapi. During the nine months ended September 30, 2017, $36.5 million was used for the purchase of short term investments and $22.7 million was generated by the sale of short term investments. Net cash used in investing activities during the nine months ended September 30, 2016, relates to capital expenditure of $29.3 million, $54.0 million for cash paid for acquisitions, which is inclusive of $52.4 million being the cash consideration for the ClinicalRM acquisition offset by $1.8 million acquired with Clinical RM and a further $1.6 million for a working capital adjustment in relation to the PMG acquisition (</w:t>
      </w:r>
      <w:r>
        <w:rPr>
          <w:rFonts w:ascii="Times New Roman" w:cs="Times New Roman" w:eastAsia="Times New Roman" w:hAnsi="Times New Roman"/>
          <w:sz w:val="18"/>
          <w:szCs w:val="18"/>
          <w:i w:val="1"/>
          <w:iCs w:val="1"/>
          <w:color w:val="auto"/>
        </w:rPr>
        <w:t>see note 3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for further details</w:t>
      </w:r>
      <w:r>
        <w:rPr>
          <w:rFonts w:ascii="Times New Roman" w:cs="Times New Roman" w:eastAsia="Times New Roman" w:hAnsi="Times New Roman"/>
          <w:sz w:val="18"/>
          <w:szCs w:val="18"/>
          <w:color w:val="auto"/>
        </w:rPr>
        <w:t>). During the nine months ended September 30, 2016, $19.0 million was used for the purchase of short term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the sale of short term investments of $21.5 million.</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2017, amounted to $100.4 million compared to net cash provided by financing activities of $65.6 million for the nine months ended September 30, 2016. Cash outflows in respect of financing includes cash payments in respect of the Company’s share repurchase program totaling $108.1 million during the nine months ended September 30, 2017. In addition, $7.8 million was received by the Company from the exercise of share options. During the nine months ended September 30, 2016, $5.4 million was recognized in relation to the tax benefit from the exercise of share options. In addition, $7.2 million was received by the Company from the exercise of share options. During the nine months ended September 30, 2016, there was $53.0 million drawn down from the five year committed multi-currency Revolving Credit Facility. There was also $20.0 million drawn down and subsequently repaid by the Company under a one year uncommitted short term revolving credit facility (of $30.0 million) with Santander UK plc. The facility bears interest at LIBOR plus a margin. No amounts were drawn under this facility at September 30, 2017.</w:t>
      </w:r>
    </w:p>
    <w:p>
      <w:pPr>
        <w:spacing w:after="0" w:line="2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a result of these cash flows, cash and cash equivalents increased by $17.3 million for the nine months ended September 30, 2017, compared to an increase of $115.4 million for the nine months ended September 30,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effects of inflation generally do not have a material adverse impact on our operations or financial condition.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/s/Brendan Brennan</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 October 26, 2017</w:t>
            </w:r>
          </w:p>
        </w:tc>
        <w:tc>
          <w:tcPr>
            <w:tcW w:w="59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0" w:type="dxa"/>
            <w:vAlign w:val="bottom"/>
          </w:tcPr>
          <w:p>
            <w:pPr>
              <w:spacing w:after="0"/>
              <w:rPr>
                <w:sz w:val="1"/>
                <w:szCs w:val="1"/>
                <w:color w:val="auto"/>
              </w:rPr>
            </w:pPr>
          </w:p>
        </w:tc>
      </w:tr>
      <w:tr>
        <w:trPr>
          <w:trHeight w:val="918"/>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92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decimal"/>
      <w:start w:val="10"/>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2019-12-06T09:28:55Z</dcterms:created>
  <dcterms:modified xsi:type="dcterms:W3CDTF">2019-12-06T09:28:55Z</dcterms:modified>
</cp:coreProperties>
</file>