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For the month ended June, 2019</w:t>
      </w:r>
    </w:p>
    <w:p>
      <w:pPr>
        <w:spacing w:after="0" w:line="200" w:lineRule="exact"/>
        <w:rPr>
          <w:sz w:val="24"/>
          <w:szCs w:val="24"/>
          <w:color w:val="auto"/>
        </w:rPr>
      </w:pPr>
    </w:p>
    <w:p>
      <w:pPr>
        <w:spacing w:after="0" w:line="28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ICON plc</w:t>
      </w:r>
    </w:p>
    <w:p>
      <w:pPr>
        <w:spacing w:after="0" w:line="19"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20-F___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40-F___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29"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EXHIBIT LIST</w:t>
            </w: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10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220" w:type="dxa"/>
            <w:vAlign w:val="bottom"/>
            <w:tcBorders>
              <w:top w:val="single" w:sz="8" w:color="auto"/>
            </w:tcBorders>
          </w:tcPr>
          <w:p>
            <w:pPr>
              <w:spacing w:after="0"/>
              <w:rPr>
                <w:sz w:val="24"/>
                <w:szCs w:val="24"/>
                <w:color w:val="auto"/>
              </w:rPr>
            </w:pPr>
          </w:p>
        </w:tc>
        <w:tc>
          <w:tcPr>
            <w:tcW w:w="5100" w:type="dxa"/>
            <w:vAlign w:val="bottom"/>
            <w:gridSpan w:val="2"/>
          </w:tcPr>
          <w:p>
            <w:pPr>
              <w:spacing w:after="0"/>
              <w:rPr>
                <w:sz w:val="24"/>
                <w:szCs w:val="24"/>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ICON plc Shareholders Letter and Notice of Annual General Meeting</w:t>
            </w:r>
          </w:p>
        </w:tc>
        <w:tc>
          <w:tcPr>
            <w:tcW w:w="480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0000EE"/>
              </w:rPr>
              <w:t>Proxy Card</w:t>
            </w:r>
          </w:p>
        </w:tc>
      </w:tr>
      <w:tr>
        <w:trPr>
          <w:trHeight w:val="1081"/>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750"/>
        </w:trPr>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837"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8000" w:type="dxa"/>
            <w:vAlign w:val="bottom"/>
            <w:vMerge w:val="restart"/>
          </w:tcPr>
          <w:p>
            <w:pPr>
              <w:spacing w:after="0"/>
              <w:rPr>
                <w:sz w:val="20"/>
                <w:szCs w:val="20"/>
                <w:color w:val="auto"/>
              </w:rPr>
            </w:pPr>
            <w:r>
              <w:rPr>
                <w:rFonts w:ascii="Arial" w:cs="Arial" w:eastAsia="Arial" w:hAnsi="Arial"/>
                <w:sz w:val="18"/>
                <w:szCs w:val="18"/>
                <w:color w:val="auto"/>
              </w:rPr>
              <w:t>Date: June 10, 2019</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8000" w:type="dxa"/>
            <w:vAlign w:val="bottom"/>
            <w:vMerge w:val="continue"/>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23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468630</wp:posOffset>
            </wp:positionV>
            <wp:extent cx="4279265" cy="1252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926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2017 or the Investment Intermediaries Act, 1995</w:t>
      </w:r>
      <w:r>
        <w:rPr>
          <w:rFonts w:ascii="Arial" w:cs="Arial" w:eastAsia="Arial" w:hAnsi="Arial"/>
          <w:sz w:val="18"/>
          <w:szCs w:val="18"/>
          <w:b w:val="1"/>
          <w:bCs w:val="1"/>
          <w:color w:val="auto"/>
        </w:rPr>
        <w: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10 June,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All ICON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GENERAL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Annual General Meeting of ICON plc (the </w:t>
      </w:r>
      <w:r>
        <w:rPr>
          <w:rFonts w:ascii="Arial" w:cs="Arial" w:eastAsia="Arial" w:hAnsi="Arial"/>
          <w:sz w:val="18"/>
          <w:szCs w:val="18"/>
          <w:b w:val="1"/>
          <w:bCs w:val="1"/>
          <w:color w:val="auto"/>
        </w:rPr>
        <w:t>AGM</w:t>
      </w:r>
      <w:r>
        <w:rPr>
          <w:rFonts w:ascii="Arial" w:cs="Arial" w:eastAsia="Arial" w:hAnsi="Arial"/>
          <w:sz w:val="18"/>
          <w:szCs w:val="18"/>
          <w:color w:val="auto"/>
        </w:rPr>
        <w:t>) will be held at 9.30am (Dublin time) on 23 July 2019 at ICON’s global headquarters in South County Business Park, Leopardstown, Dublin 18, Ireland.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letter is to outline the background to and summarise the resolutions to be proposed at the AGM. Please refer to the form of proxy for the AGM (which is separately enclosed) and the notes on pages 8 to 10 for details on how to vote your shares and return your form of proxy. Your attention is also drawn to the notice of the AGM on pages 5 to 7, which sets out the matters to be considered at the AGM.</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AGM will mark the retirement of Mr. Declan McKeon and Professor Dermot Kelleher as directors of the Company. Mr. McKeon has served as a non-executive director of ICON since April 2010 and served as acting chairman from April 2016 until March 2017 and as lead independent director from March 2017 to December 2018. Professor Kelleher has served as a non-executive director of ICON since May 2008. On behalf of everyone at ICON and, in particular, my fellow Board members, I would like to thank Mr. McKeon and Professor Kelleher for their significant contribution to the ICON Board and we wish them all the best for the future.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Re-election of Directors (ordinary resolutions 1.1 to 1.3)</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our Constitution (by-laws), one third of the Board who are subject to retirement by rotation shall retire from office and may stand for re-election at the AGM. Accordingly, the following directors will stand for re-election:</w:t>
      </w:r>
    </w:p>
    <w:p>
      <w:pPr>
        <w:spacing w:after="0" w:line="19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Dr. John Climax – founder and non-executive Director;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Dr. Steve Cutler – Chief Executive Officer;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Professor William Hall – non-executive Director.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John Climax and Professor William Hall are independent non-executive Directors (in accordance with NASDAQ rules). Dr. Steve Cutler, ICON’s Chief Executive Officer, is an executive officer.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Each of the Directors standing for re-election demonstrates the necessary commitment to the role and provides valuable skills, knowledge and experience and makes important contributions to the working of the Board. Further information on the experience, qualifications and industry knowledge of the Directors is available from the Annual Report and/or Form 20-F at </w:t>
      </w:r>
      <w:r>
        <w:rPr>
          <w:rFonts w:ascii="Arial" w:cs="Arial" w:eastAsia="Arial" w:hAnsi="Arial"/>
          <w:sz w:val="17"/>
          <w:szCs w:val="17"/>
          <w:u w:val="single" w:color="auto"/>
          <w:color w:val="auto"/>
        </w:rPr>
        <w:t>https://investor.iconplc.com/financials-filings/annual-reports</w:t>
      </w:r>
      <w:r>
        <w:rPr>
          <w:rFonts w:ascii="Arial" w:cs="Arial" w:eastAsia="Arial" w:hAnsi="Arial"/>
          <w:sz w:val="17"/>
          <w:szCs w:val="17"/>
          <w:color w:val="auto"/>
        </w:rPr>
        <w:t xml:space="preserve"> and details of current committee composition is set out on our website at </w:t>
      </w:r>
      <w:r>
        <w:rPr>
          <w:rFonts w:ascii="Arial" w:cs="Arial" w:eastAsia="Arial" w:hAnsi="Arial"/>
          <w:sz w:val="17"/>
          <w:szCs w:val="17"/>
          <w:u w:val="single" w:color="auto"/>
          <w:color w:val="auto"/>
        </w:rPr>
        <w:t>https://investor.iconplc.com/corporate-governance/committee-composition</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ICON’s 2018 Accounts (ordinary resolution 2)</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This resolution is to review the Company's affairs and consider ICON’s 2018 accounts which have been audited by KPMG, ICON’s independent auditors.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2019</w:t>
      </w:r>
    </w:p>
    <w:p>
      <w:pPr>
        <w:spacing w:after="0" w:line="200" w:lineRule="exact"/>
        <w:rPr>
          <w:sz w:val="20"/>
          <w:szCs w:val="20"/>
          <w:color w:val="auto"/>
        </w:rPr>
      </w:pPr>
    </w:p>
    <w:p>
      <w:pPr>
        <w:spacing w:after="0" w:line="22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Remuneration of Auditors (ordinary resolution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resolution authorises the Directors to fix the remuneration of the auditors.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Authority to issue shares up to 20% of share capital (ordinary resolution 4)</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resolution authorises the Directors to issue shares until the earlier of the next Annual General Meeting of the Company or 22 January 2021 up to an aggregate of 20% of the share capital of the Company without further shareholder approval. 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Authority to issue shares up to 5% of share capital without offering to existing shareholders, with an additional 5% for funding capital investment or acquisitions (special resolution 5 and special resolution 6)</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Resolution 5 authorises the Directors to issue shares for cash, subject to resolution 4, until the earlier of the next Annual General Meeting of the Company or 22 January 2021 up to an aggregate of 5% of the share capital of the Company without having to offer the shares to existing shareholders on a pro rata basis. Resolution 6 authorises the Directors to issue an additional 5% of the share capital for cash, again subject to Resolution 4,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resolution authorising the issuance of shares for cash without such offer round is a requirement of Irish law and there is no such requirement under the NASDAQ rules. As above, this year the authorities under these resolutions expire on the earlier of the next Annual General Meeting of the Company or 22 January 2021.</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caps on resolutions 4, 5 and 6 are different but complementary and they give shareholders significant anti-dilution protection which is far in excess of the protection that the shareholders of numerous NASDAQ companies would have. Every year since the Company was listed (apart from 2014 as resolutions with 5 year authority were passed in 2013), the Directors have put resolutions to authorise the issue of shares and to disapply offer round to the shareholders and each such resolution has been passed.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Authority to buy back shares up to 10% of share capital (special resolution 7)</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This resolution authorises the Company to purchase in the market (buy-back) up to 10% of the outstanding shares in the Company. It is important both for the Company and shareholders that the Company has this flexibility to implement a buy-back (without having to seek further shareholder approval) if the market conditions favour a buy-back. It should also be noted that the NASDAQ rules do not require shareholder approval to do a share buy-back and this resolution is required as the Company is an Irish incorporated company and Irish law requires shareholders to pass such a resolution to give Directors the authority to put a buy-back in place. The authority under this resolution expires on the earlier of the next Annual General Meeting and 22 January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Authority to reissue shares held as treasury shares (special resolution 8)</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restricted share unit programmes and our other compensation programmes. As a result of using this authority in this way, ICON would avoid the need to issue new shares (and the resulting shareholder dilution) when vesting of equity awards triggers the requirement to issue shares under these programmes.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2019</w:t>
      </w:r>
    </w:p>
    <w:p>
      <w:pPr>
        <w:spacing w:after="0" w:line="200" w:lineRule="exact"/>
        <w:rPr>
          <w:sz w:val="20"/>
          <w:szCs w:val="20"/>
          <w:color w:val="auto"/>
        </w:rPr>
      </w:pPr>
    </w:p>
    <w:p>
      <w:pPr>
        <w:spacing w:after="0" w:line="20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Under Irish company law, our shareholders must authorise the price range at which we may reissue any shares held in treasury. In this proposal, that price range is expressed as a minimum and maximum percentage of the prevailing market price (as defined below). Under Irish law, this authorisation expires after eighteen months unless renewed; accordingly, we are renewing the authorisation approved at the 2018 Annual General Meeting and we expect to propose renewal of this authorisation at subsequent annual general meetings.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is no resolution dealing with executive compensation as ICON, being a foreign private issuer, is not obliged to provide a “say on pay” shareholder resolution on executive compensation. Details of ICON’s executive officers compensation for 2018 are available in the Annual Report and Form 20-F for 2018 which are available at </w:t>
      </w:r>
      <w:r>
        <w:rPr>
          <w:rFonts w:ascii="Arial" w:cs="Arial" w:eastAsia="Arial" w:hAnsi="Arial"/>
          <w:sz w:val="18"/>
          <w:szCs w:val="18"/>
          <w:u w:val="single" w:color="auto"/>
          <w:color w:val="auto"/>
        </w:rPr>
        <w:t>https://investor.iconplc.com/financials-filings/annual-reports</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Resolutions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Resolutions 1.1 to 1.3, 2, 3 and 4 are ordinary resolutions which require approval of a simple majority of the votes cast in person or by proxy and resolutions 5 to 8 are special resolutions which require approval of 75% of the votes cast in person or by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 of Directors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6 June 2019, the directors held 728,119 Ordinary Shares representing approximately 1.3%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169545</wp:posOffset>
            </wp:positionV>
            <wp:extent cx="116649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64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2019</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is hereby given that the Annual General Meeting of the Company will be held at ICON plc Headquarters, South County Business Park,</w:t>
      </w:r>
      <w:r>
        <w:rPr>
          <w:rFonts w:ascii="Arial" w:cs="Arial" w:eastAsia="Arial" w:hAnsi="Arial"/>
          <w:sz w:val="18"/>
          <w:szCs w:val="18"/>
          <w:b w:val="1"/>
          <w:bCs w:val="1"/>
          <w:color w:val="auto"/>
        </w:rPr>
        <w:t xml:space="preserve"> </w:t>
      </w:r>
      <w:r>
        <w:rPr>
          <w:rFonts w:ascii="Arial" w:cs="Arial" w:eastAsia="Arial" w:hAnsi="Arial"/>
          <w:sz w:val="18"/>
          <w:szCs w:val="18"/>
          <w:color w:val="auto"/>
        </w:rPr>
        <w:t>Leopardstown, Dublin 18, Ireland on 23 July 2019 at 9.30a.m.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ordinary resolutions:</w:t>
      </w:r>
    </w:p>
    <w:p>
      <w:pPr>
        <w:spacing w:after="0" w:line="252" w:lineRule="exact"/>
        <w:rPr>
          <w:sz w:val="20"/>
          <w:szCs w:val="20"/>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by separate resolutions, the following individuals who retire as Directors in accordance with the Constitution of the Company and, being eligible, offer themselves for re-election:</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  Dr. John Climax;</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  Dr. Steve Cutler; and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1.3  Professor William Hall</w:t>
      </w:r>
    </w:p>
    <w:p>
      <w:pPr>
        <w:spacing w:after="0" w:line="228" w:lineRule="exact"/>
        <w:rPr>
          <w:rFonts w:ascii="Arial" w:cs="Arial" w:eastAsia="Arial" w:hAnsi="Arial"/>
          <w:sz w:val="18"/>
          <w:szCs w:val="18"/>
          <w:color w:val="auto"/>
        </w:rPr>
      </w:pPr>
    </w:p>
    <w:p>
      <w:pPr>
        <w:ind w:left="640" w:hanging="632"/>
        <w:spacing w:after="0" w:line="19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review the Company's affairs and consider the accounts for the year ended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December 2018 and the reports of the Directors and auditors thereon.</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authorise the Directors to fix the remuneration of the auditors.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ordinary resolution:</w:t>
      </w:r>
    </w:p>
    <w:p>
      <w:pPr>
        <w:spacing w:after="0" w:line="252" w:lineRule="exact"/>
        <w:rPr>
          <w:sz w:val="20"/>
          <w:szCs w:val="20"/>
          <w:color w:val="auto"/>
        </w:rPr>
      </w:pPr>
    </w:p>
    <w:p>
      <w:pPr>
        <w:jc w:val="both"/>
        <w:ind w:left="640" w:hanging="632"/>
        <w:spacing w:after="0" w:line="25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€648,043.32 representing approximately 20% of the aggregate nominal value of the issued ordinary share capital of the Company as at 6 June 2019 and the authority conferred by this resolution shall expire on the earlier of the date of the next Annual General Meeting of the Company or 22 January 2021,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special resolutions:</w:t>
      </w:r>
    </w:p>
    <w:p>
      <w:pPr>
        <w:spacing w:after="0" w:line="252" w:lineRule="exact"/>
        <w:rPr>
          <w:sz w:val="20"/>
          <w:szCs w:val="20"/>
          <w:color w:val="auto"/>
        </w:rPr>
      </w:pPr>
    </w:p>
    <w:p>
      <w:pPr>
        <w:jc w:val="both"/>
        <w:ind w:left="640" w:hanging="632"/>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w:t>
      </w:r>
    </w:p>
    <w:p>
      <w:pPr>
        <w:jc w:val="both"/>
        <w:ind w:left="640"/>
        <w:spacing w:after="0" w:line="290" w:lineRule="auto"/>
        <w:rPr>
          <w:rFonts w:ascii="Arial" w:cs="Arial" w:eastAsia="Arial" w:hAnsi="Arial"/>
          <w:sz w:val="16"/>
          <w:szCs w:val="16"/>
          <w:color w:val="auto"/>
        </w:rPr>
      </w:pPr>
      <w:r>
        <w:rPr>
          <w:rFonts w:ascii="Arial" w:cs="Arial" w:eastAsia="Arial" w:hAnsi="Arial"/>
          <w:sz w:val="16"/>
          <w:szCs w:val="16"/>
          <w:color w:val="auto"/>
        </w:rPr>
        <w:t>(1) of the said Section 1022 did not apply to any such allotment up to an aggregate nominal amount of €162,010.83 representing approximately 5% of the aggregate nominal value of the issued ordinary share capital of the Company as at 6 June 2019 and the authority conferred by this Resolution shall expire on the earlier of the date of the next Annual General Meeting of the Company or 22 January 2021,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 – Notice of Annual General Meeting 2019</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jc w:val="both"/>
        <w:ind w:left="640" w:hanging="632"/>
        <w:spacing w:after="0" w:line="29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w:t>
      </w:r>
    </w:p>
    <w:p>
      <w:pPr>
        <w:ind w:left="640"/>
        <w:spacing w:after="0"/>
        <w:rPr>
          <w:rFonts w:ascii="Arial" w:cs="Arial" w:eastAsia="Arial" w:hAnsi="Arial"/>
          <w:sz w:val="16"/>
          <w:szCs w:val="16"/>
          <w:color w:val="auto"/>
        </w:rPr>
      </w:pPr>
      <w:r>
        <w:rPr>
          <w:rFonts w:ascii="Arial" w:cs="Arial" w:eastAsia="Arial" w:hAnsi="Arial"/>
          <w:sz w:val="18"/>
          <w:szCs w:val="18"/>
          <w:color w:val="auto"/>
        </w:rPr>
        <w:t>1022 did not apply to any such allotment provided that:</w:t>
      </w:r>
    </w:p>
    <w:p>
      <w:pPr>
        <w:spacing w:after="0" w:line="210" w:lineRule="exact"/>
        <w:rPr>
          <w:rFonts w:ascii="Arial" w:cs="Arial" w:eastAsia="Arial" w:hAnsi="Arial"/>
          <w:sz w:val="16"/>
          <w:szCs w:val="16"/>
          <w:color w:val="auto"/>
        </w:rPr>
      </w:pPr>
    </w:p>
    <w:p>
      <w:pPr>
        <w:ind w:left="960" w:hanging="317"/>
        <w:spacing w:after="0" w:line="258"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 w:lineRule="exact"/>
        <w:rPr>
          <w:rFonts w:ascii="Arial" w:cs="Arial" w:eastAsia="Arial" w:hAnsi="Arial"/>
          <w:sz w:val="18"/>
          <w:szCs w:val="18"/>
          <w:color w:val="auto"/>
        </w:rPr>
      </w:pPr>
    </w:p>
    <w:p>
      <w:pPr>
        <w:jc w:val="both"/>
        <w:ind w:left="960" w:hanging="317"/>
        <w:spacing w:after="0" w:line="255"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nominal value of all equity securities allotted pursuant to this authority together with the nominal value of all treasury shares (as defined in Section 106 of the Companies Act 2014) reissued pursuant to Resolution 8 not exceed €162,010.83 representing approximately 5% of the nominal value of the issued share capital as at 6 June 2019.</w:t>
      </w:r>
    </w:p>
    <w:p>
      <w:pPr>
        <w:spacing w:after="0" w:line="217" w:lineRule="exact"/>
        <w:rPr>
          <w:sz w:val="20"/>
          <w:szCs w:val="20"/>
          <w:color w:val="auto"/>
        </w:rPr>
      </w:pPr>
    </w:p>
    <w:p>
      <w:pPr>
        <w:jc w:val="both"/>
        <w:ind w:left="640" w:firstLine="13"/>
        <w:spacing w:after="0" w:line="257" w:lineRule="auto"/>
        <w:rPr>
          <w:sz w:val="20"/>
          <w:szCs w:val="20"/>
          <w:color w:val="auto"/>
        </w:rPr>
      </w:pPr>
      <w:r>
        <w:rPr>
          <w:rFonts w:ascii="Arial" w:cs="Arial" w:eastAsia="Arial" w:hAnsi="Arial"/>
          <w:sz w:val="18"/>
          <w:szCs w:val="18"/>
          <w:color w:val="auto"/>
        </w:rPr>
        <w:t>The authority conferred by this resolution shall expire on the earlier of the date of the next Annual General Meeting of the Company or 22 January 2021,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215" w:lineRule="exact"/>
        <w:rPr>
          <w:sz w:val="20"/>
          <w:szCs w:val="20"/>
          <w:color w:val="auto"/>
        </w:rPr>
      </w:pPr>
    </w:p>
    <w:p>
      <w:pPr>
        <w:jc w:val="both"/>
        <w:ind w:left="640" w:hanging="632"/>
        <w:spacing w:after="0" w:line="302"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81"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any such share shall be an amount equal to the nominal value thereof;</w:t>
      </w:r>
    </w:p>
    <w:p>
      <w:pPr>
        <w:spacing w:after="0" w:line="275"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208" w:lineRule="exact"/>
        <w:rPr>
          <w:sz w:val="20"/>
          <w:szCs w:val="20"/>
          <w:color w:val="auto"/>
        </w:rPr>
      </w:pPr>
    </w:p>
    <w:p>
      <w:pPr>
        <w:jc w:val="both"/>
        <w:ind w:left="640"/>
        <w:spacing w:after="0" w:line="302" w:lineRule="auto"/>
        <w:rPr>
          <w:sz w:val="20"/>
          <w:szCs w:val="20"/>
          <w:color w:val="auto"/>
        </w:rPr>
      </w:pPr>
      <w:r>
        <w:rPr>
          <w:rFonts w:ascii="Arial" w:cs="Arial" w:eastAsia="Arial" w:hAnsi="Arial"/>
          <w:sz w:val="16"/>
          <w:szCs w:val="16"/>
          <w:color w:val="auto"/>
        </w:rPr>
        <w:t>The authority hereby conferred shall expire on the earlier of the date of the next Annual General Meeting of the Company or 22 January 2021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ICON plc – Notice of Annual General Meeting 2019</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reissue price range at which any treasury shares held by the Company may be reissued off-market shall be as follows: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maximum price at which such treasury share may be reissued off-market shall be an amount equal to 120% of the "market price"; and</w:t>
      </w:r>
    </w:p>
    <w:p>
      <w:pPr>
        <w:spacing w:after="0" w:line="275"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the purposes of this resolution, the "market price" shall mean the average closing price per ordinary share of the Company, as reported by NASDAQ, for the thirty (30) trading days immediately preceding the proposed date of reissuance.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517650"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57467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Diarmaid Cunningham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10 June, 2019</w:t>
      </w:r>
    </w:p>
    <w:p>
      <w:pPr>
        <w:spacing w:after="0" w:line="248" w:lineRule="exact"/>
        <w:rPr>
          <w:sz w:val="20"/>
          <w:szCs w:val="20"/>
          <w:color w:val="auto"/>
        </w:rPr>
      </w:pPr>
    </w:p>
    <w:p>
      <w:pPr>
        <w:sectPr>
          <w:pgSz w:w="11900" w:h="16838" w:orient="portrait"/>
          <w:cols w:equalWidth="0" w:num="2">
            <w:col w:w="3900" w:space="720"/>
            <w:col w:w="6800"/>
          </w:cols>
          <w:pgMar w:left="240" w:top="368"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ectPr>
          <w:pgSz w:w="11900" w:h="16838" w:orient="portrait"/>
          <w:cols w:equalWidth="0" w:num="1">
            <w:col w:w="11420"/>
          </w:cols>
          <w:pgMar w:left="240" w:top="368"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ICON plc – Notice of Annual General Meeting 2019</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and Documentation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and Documentation</w:t>
      </w:r>
    </w:p>
    <w:p>
      <w:pPr>
        <w:spacing w:after="0" w:line="27" w:lineRule="exact"/>
        <w:rPr>
          <w:rFonts w:ascii="Arial" w:cs="Arial" w:eastAsia="Arial" w:hAnsi="Arial"/>
          <w:sz w:val="18"/>
          <w:szCs w:val="18"/>
          <w:b w:val="1"/>
          <w:bCs w:val="1"/>
          <w:color w:val="auto"/>
        </w:rPr>
      </w:pPr>
    </w:p>
    <w:p>
      <w:pPr>
        <w:jc w:val="both"/>
        <w:ind w:left="640" w:firstLine="1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 xml:space="preserve">Information regarding the Annual General Meeting is available on the Company’s website </w:t>
      </w:r>
      <w:r>
        <w:rPr>
          <w:rFonts w:ascii="Arial" w:cs="Arial" w:eastAsia="Arial" w:hAnsi="Arial"/>
          <w:sz w:val="16"/>
          <w:szCs w:val="16"/>
          <w:u w:val="single" w:color="auto"/>
          <w:color w:val="auto"/>
        </w:rPr>
        <w:t>www.iconplc.com</w:t>
      </w:r>
      <w:r>
        <w:rPr>
          <w:rFonts w:ascii="Arial" w:cs="Arial" w:eastAsia="Arial" w:hAnsi="Arial"/>
          <w:sz w:val="16"/>
          <w:szCs w:val="16"/>
          <w:color w:val="auto"/>
        </w:rPr>
        <w:t xml:space="preserve"> and from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If you require a paper copy of the Form 20-F or Annual Report please contact Investor Relations at 1-888-381-7923 or </w:t>
      </w:r>
      <w:r>
        <w:rPr>
          <w:rFonts w:ascii="Arial" w:cs="Arial" w:eastAsia="Arial" w:hAnsi="Arial"/>
          <w:sz w:val="16"/>
          <w:szCs w:val="16"/>
          <w:u w:val="single" w:color="auto"/>
          <w:color w:val="auto"/>
        </w:rPr>
        <w:t>corporate.governance@iconplc.com</w:t>
      </w:r>
      <w:r>
        <w:rPr>
          <w:rFonts w:ascii="Arial" w:cs="Arial" w:eastAsia="Arial" w:hAnsi="Arial"/>
          <w:sz w:val="16"/>
          <w:szCs w:val="16"/>
          <w:color w:val="auto"/>
        </w:rPr>
        <w:t>.</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vote and how?</w:t>
      </w:r>
    </w:p>
    <w:p>
      <w:pPr>
        <w:spacing w:after="0" w:line="2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record date for the Annual General Meeting is 28 May 2019.</w:t>
      </w:r>
    </w:p>
    <w:p>
      <w:pPr>
        <w:spacing w:after="0" w:line="237" w:lineRule="exact"/>
        <w:rPr>
          <w:rFonts w:ascii="Arial" w:cs="Arial" w:eastAsia="Arial" w:hAnsi="Arial"/>
          <w:sz w:val="18"/>
          <w:szCs w:val="18"/>
          <w:b w:val="1"/>
          <w:bCs w:val="1"/>
          <w:color w:val="auto"/>
        </w:rPr>
      </w:pPr>
    </w:p>
    <w:p>
      <w:pPr>
        <w:jc w:val="both"/>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your shares are registered in your name, you are a shareholder of record. Shareholders of record who are entered in the Register of Members of the Company on 28 May 2019 shall be entitled to attend, speak, ask questions and vote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213" w:lineRule="exact"/>
        <w:rPr>
          <w:rFonts w:ascii="Arial" w:cs="Arial" w:eastAsia="Arial" w:hAnsi="Arial"/>
          <w:sz w:val="18"/>
          <w:szCs w:val="18"/>
          <w:b w:val="1"/>
          <w:bCs w:val="1"/>
          <w:color w:val="auto"/>
        </w:rPr>
      </w:pPr>
    </w:p>
    <w:p>
      <w:pPr>
        <w:ind w:left="6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For those shareholders whose shares are not held in their name, but rather in an account at a brokerage firm, bank, dealer or other similar organisation, who in turn hold through The Depository Trust Company (“DTC”), then their entitlement to vote is determined as at 28 May 2019.</w:t>
      </w:r>
    </w:p>
    <w:p>
      <w:pPr>
        <w:spacing w:after="0" w:line="17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Depending on whether your shares are registered in your name or whether your shares are held in a "street name" the arrangements are as follows:</w:t>
      </w:r>
    </w:p>
    <w:p>
      <w:pPr>
        <w:spacing w:after="0" w:line="2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Shareholder of Record: Shares Registered in Your Name</w:t>
      </w:r>
    </w:p>
    <w:p>
      <w:pPr>
        <w:spacing w:after="0" w:line="252"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w:t>
      </w:r>
      <w:r>
        <w:rPr>
          <w:rFonts w:ascii="Arial" w:cs="Arial" w:eastAsia="Arial" w:hAnsi="Arial"/>
          <w:sz w:val="18"/>
          <w:szCs w:val="18"/>
          <w:u w:val="single" w:color="auto"/>
          <w:color w:val="auto"/>
        </w:rPr>
        <w:t>corporate.governance@iconplc.com</w:t>
      </w:r>
      <w:r>
        <w:rPr>
          <w:rFonts w:ascii="Arial" w:cs="Arial" w:eastAsia="Arial" w:hAnsi="Arial"/>
          <w:sz w:val="18"/>
          <w:szCs w:val="18"/>
          <w:color w:val="auto"/>
        </w:rPr>
        <w:t>.</w:t>
      </w:r>
    </w:p>
    <w:p>
      <w:pPr>
        <w:spacing w:after="0" w:line="216"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by 11.59pm ET on 22 July 2019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220"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Alternatively, provided it is received by 11.59pm ET on 21 July 2019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 that falls 48 hours before the taking of the poll at which it is to be used, the appointment of a proxy may be submitted by phone by calling 1-800-690-6903 from a touch-tone phone or electronically, subject to the applicable terms and conditions, via the Internet by accessing Broadridge’s website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and, when you follow the telephone prompts or instructions on the website, as applicable, the information you need to appoint your proxy via phone or electronically is included on the top of your Form of Proxy.</w:t>
      </w:r>
    </w:p>
    <w:p>
      <w:pPr>
        <w:spacing w:after="0" w:line="21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the case of a corporation, the Form of Proxy must be either executed under seal or signed on its behalf by a duly authorised officer or attorney.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ICON plc – Notice of Annual General Meeting 2019</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252" w:lineRule="exact"/>
        <w:rPr>
          <w:sz w:val="20"/>
          <w:szCs w:val="20"/>
          <w:color w:val="auto"/>
        </w:rPr>
      </w:pPr>
    </w:p>
    <w:p>
      <w:pPr>
        <w:jc w:val="both"/>
        <w:ind w:left="640"/>
        <w:spacing w:after="0" w:line="302" w:lineRule="auto"/>
        <w:rPr>
          <w:sz w:val="20"/>
          <w:szCs w:val="20"/>
          <w:color w:val="auto"/>
        </w:rPr>
      </w:pPr>
      <w:r>
        <w:rPr>
          <w:rFonts w:ascii="Arial" w:cs="Arial" w:eastAsia="Arial" w:hAnsi="Arial"/>
          <w:sz w:val="16"/>
          <w:szCs w:val="16"/>
          <w:color w:val="auto"/>
        </w:rPr>
        <w:t xml:space="preserve">If, as at 28 May 2019,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 </w:t>
      </w:r>
      <w:r>
        <w:rPr>
          <w:rFonts w:ascii="Arial" w:cs="Arial" w:eastAsia="Arial" w:hAnsi="Arial"/>
          <w:sz w:val="16"/>
          <w:szCs w:val="16"/>
          <w:b w:val="1"/>
          <w:bCs w:val="1"/>
          <w:color w:val="auto"/>
        </w:rPr>
        <w:t>You will need to carefully follow</w:t>
      </w:r>
      <w:r>
        <w:rPr>
          <w:rFonts w:ascii="Arial" w:cs="Arial" w:eastAsia="Arial" w:hAnsi="Arial"/>
          <w:sz w:val="16"/>
          <w:szCs w:val="16"/>
          <w:color w:val="auto"/>
        </w:rPr>
        <w:t xml:space="preserve"> </w:t>
      </w:r>
      <w:r>
        <w:rPr>
          <w:rFonts w:ascii="Arial" w:cs="Arial" w:eastAsia="Arial" w:hAnsi="Arial"/>
          <w:sz w:val="16"/>
          <w:szCs w:val="16"/>
          <w:b w:val="1"/>
          <w:bCs w:val="1"/>
          <w:color w:val="auto"/>
        </w:rPr>
        <w:t>the instructions from your broker, bank or other agent or contact your broker, bank or other agent if you have any queries.</w:t>
      </w:r>
    </w:p>
    <w:p>
      <w:pPr>
        <w:spacing w:after="0" w:line="181"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214" w:lineRule="exact"/>
        <w:rPr>
          <w:sz w:val="20"/>
          <w:szCs w:val="20"/>
          <w:color w:val="auto"/>
        </w:rPr>
      </w:pPr>
    </w:p>
    <w:p>
      <w:pPr>
        <w:jc w:val="both"/>
        <w:ind w:left="640" w:right="20"/>
        <w:spacing w:after="0" w:line="312" w:lineRule="auto"/>
        <w:rPr>
          <w:sz w:val="20"/>
          <w:szCs w:val="20"/>
          <w:color w:val="auto"/>
        </w:rPr>
      </w:pPr>
      <w:r>
        <w:rPr>
          <w:rFonts w:ascii="Arial" w:cs="Arial" w:eastAsia="Arial" w:hAnsi="Arial"/>
          <w:sz w:val="16"/>
          <w:szCs w:val="16"/>
          <w:color w:val="auto"/>
        </w:rPr>
        <w:t>Therefore as a beneficial owner of shares registered in the name of your broker, bank or other agent, who in turn hold through DTC, you should have received a voting instruction card and voting instructions with these proxy materials from that organisation rather than from us. Simply complete and mail the voting instruction card as per the instructions from your broker, bank or other agent to ensure that your vote is counted.</w:t>
      </w:r>
    </w:p>
    <w:p>
      <w:pPr>
        <w:spacing w:after="0" w:line="17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you have?</w:t>
      </w:r>
    </w:p>
    <w:p>
      <w:pPr>
        <w:spacing w:after="0" w:line="27"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total number of issued ordinary shares on the record date, 28 May 2019, was 53,893,754.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214"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Broker Voting</w:t>
      </w:r>
    </w:p>
    <w:p>
      <w:pPr>
        <w:spacing w:after="0" w:line="27" w:lineRule="exact"/>
        <w:rPr>
          <w:rFonts w:ascii="Arial" w:cs="Arial" w:eastAsia="Arial" w:hAnsi="Arial"/>
          <w:sz w:val="18"/>
          <w:szCs w:val="18"/>
          <w:b w:val="1"/>
          <w:bCs w:val="1"/>
          <w:color w:val="auto"/>
        </w:rPr>
      </w:pPr>
    </w:p>
    <w:p>
      <w:pPr>
        <w:jc w:val="both"/>
        <w:ind w:left="6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Arial" w:cs="Arial" w:eastAsia="Arial" w:hAnsi="Arial"/>
          <w:sz w:val="17"/>
          <w:szCs w:val="17"/>
          <w:b w:val="1"/>
          <w:bCs w:val="1"/>
          <w:color w:val="auto"/>
        </w:rPr>
        <w:t>Please instruct your bank or broker so your vote can be counted</w:t>
      </w:r>
      <w:r>
        <w:rPr>
          <w:rFonts w:ascii="Arial" w:cs="Arial" w:eastAsia="Arial" w:hAnsi="Arial"/>
          <w:sz w:val="17"/>
          <w:szCs w:val="17"/>
          <w:color w:val="auto"/>
        </w:rPr>
        <w:t>.</w:t>
      </w:r>
    </w:p>
    <w:p>
      <w:pPr>
        <w:spacing w:after="0" w:line="196" w:lineRule="exact"/>
        <w:rPr>
          <w:rFonts w:ascii="Arial" w:cs="Arial" w:eastAsia="Arial" w:hAnsi="Arial"/>
          <w:sz w:val="18"/>
          <w:szCs w:val="18"/>
          <w:b w:val="1"/>
          <w:bCs w:val="1"/>
          <w:color w:val="auto"/>
        </w:rPr>
      </w:pPr>
    </w:p>
    <w:p>
      <w:pPr>
        <w:ind w:left="640" w:right="6560" w:hanging="632"/>
        <w:spacing w:after="0" w:line="313" w:lineRule="auto"/>
        <w:tabs>
          <w:tab w:leader="none" w:pos="622"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Can I change my vote after submitting my proxy? </w:t>
      </w:r>
      <w:r>
        <w:rPr>
          <w:rFonts w:ascii="Arial" w:cs="Arial" w:eastAsia="Arial" w:hAnsi="Arial"/>
          <w:sz w:val="15"/>
          <w:szCs w:val="15"/>
          <w:b w:val="1"/>
          <w:bCs w:val="1"/>
          <w:i w:val="1"/>
          <w:iCs w:val="1"/>
          <w:color w:val="auto"/>
        </w:rPr>
        <w:t>Shareholder of Record: Shares Registered in Your Name</w:t>
      </w:r>
    </w:p>
    <w:p>
      <w:pPr>
        <w:ind w:left="64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Yes. You can revoke your proxy at any time before the final vote at the Annual General Meeting. If you are the record holder of your shares, you may revoke your proxy in any one of three ways:</w:t>
      </w:r>
    </w:p>
    <w:p>
      <w:pPr>
        <w:spacing w:after="0" w:line="183" w:lineRule="exact"/>
        <w:rPr>
          <w:rFonts w:ascii="Arial" w:cs="Arial" w:eastAsia="Arial" w:hAnsi="Arial"/>
          <w:sz w:val="15"/>
          <w:szCs w:val="15"/>
          <w:b w:val="1"/>
          <w:bCs w:val="1"/>
          <w:color w:val="auto"/>
        </w:rPr>
      </w:pPr>
    </w:p>
    <w:p>
      <w:pPr>
        <w:jc w:val="both"/>
        <w:ind w:left="1300" w:hanging="332"/>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 Your revised proxy must be received before the commencement of the Annual General Meeting at 9.30am Dublin time on 23 July 2019 or if the Annual General Meeting is adjourned, before the commencement of the adjourned meeting;</w:t>
      </w:r>
    </w:p>
    <w:p>
      <w:pPr>
        <w:spacing w:after="0" w:line="208" w:lineRule="exact"/>
        <w:rPr>
          <w:rFonts w:ascii="Arial" w:cs="Arial" w:eastAsia="Arial" w:hAnsi="Arial"/>
          <w:sz w:val="18"/>
          <w:szCs w:val="18"/>
          <w:color w:val="auto"/>
        </w:rPr>
      </w:pPr>
    </w:p>
    <w:p>
      <w:pPr>
        <w:jc w:val="both"/>
        <w:ind w:left="1300" w:hanging="332"/>
        <w:spacing w:after="0" w:line="30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You may send a written notice that you are revoking your proxy to Erina Fox, Assistant Company Secretary, ICON plc at the registered office of the Company (being South County Business Park, Leopardstown, Dublin 18, Ireland) or by email to </w:t>
      </w:r>
      <w:r>
        <w:rPr>
          <w:rFonts w:ascii="Arial" w:cs="Arial" w:eastAsia="Arial" w:hAnsi="Arial"/>
          <w:sz w:val="16"/>
          <w:szCs w:val="16"/>
          <w:u w:val="single" w:color="auto"/>
          <w:color w:val="auto"/>
        </w:rPr>
        <w:t>corporate.governance@iconplc.com</w:t>
      </w:r>
      <w:r>
        <w:rPr>
          <w:rFonts w:ascii="Arial" w:cs="Arial" w:eastAsia="Arial" w:hAnsi="Arial"/>
          <w:sz w:val="16"/>
          <w:szCs w:val="16"/>
          <w:color w:val="auto"/>
        </w:rPr>
        <w:t>. Your notice must be received before the commencement of the Annual General Meeting at 9.30am Dublin time on 23 July 2019 or if the Annual General Meeting is adjourned, before the commencement of the adjourned meeting; or</w:t>
      </w:r>
    </w:p>
    <w:p>
      <w:pPr>
        <w:spacing w:after="0" w:line="181" w:lineRule="exact"/>
        <w:rPr>
          <w:rFonts w:ascii="Arial" w:cs="Arial" w:eastAsia="Arial" w:hAnsi="Arial"/>
          <w:sz w:val="16"/>
          <w:szCs w:val="16"/>
          <w:color w:val="auto"/>
        </w:rPr>
      </w:pPr>
    </w:p>
    <w:p>
      <w:pPr>
        <w:ind w:left="1300" w:hanging="332"/>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 may attend the Annual General Meeting and vote in person.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them.</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ICON plc – Notice of Annual General Meeting 2019</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620" w:hanging="612"/>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set of materials?</w:t>
      </w:r>
    </w:p>
    <w:p>
      <w:pPr>
        <w:spacing w:after="0" w:line="2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2019</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1113790</wp:posOffset>
            </wp:positionV>
            <wp:extent cx="7246620" cy="8687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68743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534670</wp:posOffset>
            </wp:positionH>
            <wp:positionV relativeFrom="page">
              <wp:posOffset>397510</wp:posOffset>
            </wp:positionV>
            <wp:extent cx="6500495" cy="8404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500495" cy="8404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lvl w:ilvl="1">
      <w:lvlJc w:val="left"/>
      <w:lvlText w:val="%2)"/>
      <w:numFmt w:val="lowerLetter"/>
      <w:start w:val="1"/>
    </w:lvl>
  </w:abstractNum>
  <w:abstractNum w:abstractNumId="5">
    <w:nsid w:val="7545E146"/>
    <w:multiLevelType w:val="hybridMultilevel"/>
    <w:lvl w:ilvl="0">
      <w:lvlJc w:val="left"/>
      <w:lvlText w:val="%1."/>
      <w:numFmt w:val="decimal"/>
      <w:start w:val="7"/>
    </w:lvl>
    <w:lvl w:ilvl="1">
      <w:lvlJc w:val="left"/>
      <w:lvlText w:val="(%2)"/>
      <w:numFmt w:val="lowerRoman"/>
      <w:start w:val="1"/>
    </w:lvl>
  </w:abstractNum>
  <w:abstractNum w:abstractNumId="6">
    <w:nsid w:val="515F007C"/>
    <w:multiLevelType w:val="hybridMultilevel"/>
    <w:lvl w:ilvl="0">
      <w:lvlJc w:val="left"/>
      <w:lvlText w:val="%1."/>
      <w:numFmt w:val="decimal"/>
      <w:start w:val="8"/>
    </w:lvl>
    <w:lvl w:ilvl="1">
      <w:lvlJc w:val="left"/>
      <w:lvlText w:val="(%2)"/>
      <w:numFmt w:val="lowerLetter"/>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lvl w:ilvl="1">
      <w:lvlJc w:val="left"/>
      <w:lvlText w:val="·"/>
      <w:numFmt w:val="bullet"/>
      <w:start w:val="1"/>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2019-12-01T19:31:32Z</dcterms:created>
  <dcterms:modified xsi:type="dcterms:W3CDTF">2019-12-01T19:31:32Z</dcterms:modified>
</cp:coreProperties>
</file>