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20-F/A1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060" w:right="3039" w:hanging="1052"/>
        <w:spacing w:after="0" w:line="235" w:lineRule="auto"/>
        <w:tabs>
          <w:tab w:leader="none" w:pos="-115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PURSUANT TO SECTION 12(b) OR (g) OF THE SECURITIES EXCHANGE ACT OF 1934</w:t>
      </w: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7640" w:type="dxa"/>
            <w:vAlign w:val="bottom"/>
          </w:tcPr>
          <w:p>
            <w:pPr>
              <w:jc w:val="center"/>
              <w:spacing w:after="0"/>
              <w:rPr>
                <w:sz w:val="20"/>
                <w:szCs w:val="20"/>
                <w:color w:val="auto"/>
              </w:rPr>
            </w:pPr>
            <w:r>
              <w:rPr>
                <w:rFonts w:ascii="Courier New" w:cs="Courier New" w:eastAsia="Courier New" w:hAnsi="Courier New"/>
                <w:sz w:val="18"/>
                <w:szCs w:val="18"/>
                <w:color w:val="auto"/>
                <w:w w:val="92"/>
              </w:rPr>
              <w:t>OR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ANNUAL REPORT PURSUANT TO SECTION 13 OR 15(d) OF</w:t>
            </w:r>
          </w:p>
        </w:tc>
      </w:tr>
      <w:tr>
        <w:trPr>
          <w:trHeight w:val="203"/>
        </w:trPr>
        <w:tc>
          <w:tcPr>
            <w:tcW w:w="380" w:type="dxa"/>
            <w:vAlign w:val="bottom"/>
          </w:tcPr>
          <w:p>
            <w:pPr>
              <w:spacing w:after="0"/>
              <w:rPr>
                <w:sz w:val="17"/>
                <w:szCs w:val="17"/>
                <w:color w:val="auto"/>
              </w:rPr>
            </w:pPr>
          </w:p>
        </w:tc>
        <w:tc>
          <w:tcPr>
            <w:tcW w:w="76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THE SECURITIES EXCHANGE ACT OF 1934</w:t>
            </w:r>
          </w:p>
        </w:tc>
      </w:tr>
      <w:tr>
        <w:trPr>
          <w:trHeight w:val="203"/>
        </w:trPr>
        <w:tc>
          <w:tcPr>
            <w:tcW w:w="380" w:type="dxa"/>
            <w:vAlign w:val="bottom"/>
          </w:tcPr>
          <w:p>
            <w:pPr>
              <w:spacing w:after="0"/>
              <w:rPr>
                <w:sz w:val="17"/>
                <w:szCs w:val="17"/>
                <w:color w:val="auto"/>
              </w:rPr>
            </w:pPr>
          </w:p>
        </w:tc>
        <w:tc>
          <w:tcPr>
            <w:tcW w:w="76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For the fiscal year ended: May 31, 2004</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TRANSITION REPORT PURSUANT TO SECTION 13 OR 15(d) OF</w:t>
            </w:r>
          </w:p>
        </w:tc>
      </w:tr>
      <w:tr>
        <w:trPr>
          <w:trHeight w:val="203"/>
        </w:trPr>
        <w:tc>
          <w:tcPr>
            <w:tcW w:w="380" w:type="dxa"/>
            <w:vAlign w:val="bottom"/>
          </w:tcPr>
          <w:p>
            <w:pPr>
              <w:spacing w:after="0"/>
              <w:rPr>
                <w:sz w:val="17"/>
                <w:szCs w:val="17"/>
                <w:color w:val="auto"/>
              </w:rPr>
            </w:pPr>
          </w:p>
        </w:tc>
        <w:tc>
          <w:tcPr>
            <w:tcW w:w="76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THE SECURITIES EXCHANGE ACT OF 1934</w:t>
            </w:r>
          </w:p>
        </w:tc>
      </w:tr>
      <w:tr>
        <w:trPr>
          <w:trHeight w:val="405"/>
        </w:trPr>
        <w:tc>
          <w:tcPr>
            <w:tcW w:w="38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Courier New" w:cs="Courier New" w:eastAsia="Courier New" w:hAnsi="Courier New"/>
                <w:sz w:val="18"/>
                <w:szCs w:val="18"/>
                <w:color w:val="auto"/>
                <w:w w:val="97"/>
              </w:rPr>
              <w:t>For the transition period from _______ to _______.</w:t>
            </w:r>
          </w:p>
        </w:tc>
      </w:tr>
      <w:tr>
        <w:trPr>
          <w:trHeight w:val="405"/>
        </w:trPr>
        <w:tc>
          <w:tcPr>
            <w:tcW w:w="380" w:type="dxa"/>
            <w:vAlign w:val="bottom"/>
          </w:tcPr>
          <w:p>
            <w:pPr>
              <w:spacing w:after="0"/>
              <w:rPr>
                <w:sz w:val="24"/>
                <w:szCs w:val="24"/>
                <w:color w:val="auto"/>
              </w:rPr>
            </w:pPr>
          </w:p>
        </w:tc>
        <w:tc>
          <w:tcPr>
            <w:tcW w:w="76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Commission file number: 1-13896</w:t>
            </w:r>
          </w:p>
        </w:tc>
      </w:tr>
      <w:tr>
        <w:trPr>
          <w:trHeight w:val="405"/>
        </w:trPr>
        <w:tc>
          <w:tcPr>
            <w:tcW w:w="380" w:type="dxa"/>
            <w:vAlign w:val="bottom"/>
          </w:tcPr>
          <w:p>
            <w:pPr>
              <w:spacing w:after="0"/>
              <w:rPr>
                <w:sz w:val="24"/>
                <w:szCs w:val="24"/>
                <w:color w:val="auto"/>
              </w:rPr>
            </w:pPr>
          </w:p>
        </w:tc>
        <w:tc>
          <w:tcPr>
            <w:tcW w:w="76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ICON public limited company</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405"/>
        </w:trPr>
        <w:tc>
          <w:tcPr>
            <w:tcW w:w="380" w:type="dxa"/>
            <w:vAlign w:val="bottom"/>
          </w:tcPr>
          <w:p>
            <w:pPr>
              <w:spacing w:after="0"/>
              <w:rPr>
                <w:sz w:val="24"/>
                <w:szCs w:val="24"/>
                <w:color w:val="auto"/>
              </w:rPr>
            </w:pPr>
          </w:p>
        </w:tc>
        <w:tc>
          <w:tcPr>
            <w:tcW w:w="76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Ireland</w:t>
            </w:r>
          </w:p>
        </w:tc>
      </w:tr>
      <w:tr>
        <w:trPr>
          <w:trHeight w:val="203"/>
        </w:trPr>
        <w:tc>
          <w:tcPr>
            <w:tcW w:w="380" w:type="dxa"/>
            <w:vAlign w:val="bottom"/>
          </w:tcPr>
          <w:p>
            <w:pPr>
              <w:spacing w:after="0"/>
              <w:rPr>
                <w:sz w:val="17"/>
                <w:szCs w:val="17"/>
                <w:color w:val="auto"/>
              </w:rPr>
            </w:pPr>
          </w:p>
        </w:tc>
        <w:tc>
          <w:tcPr>
            <w:tcW w:w="76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(Jurisdiction of incorporation or organization)</w:t>
            </w:r>
          </w:p>
        </w:tc>
      </w:tr>
      <w:tr>
        <w:trPr>
          <w:trHeight w:val="405"/>
        </w:trPr>
        <w:tc>
          <w:tcPr>
            <w:tcW w:w="38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Courier New" w:cs="Courier New" w:eastAsia="Courier New" w:hAnsi="Courier New"/>
                <w:sz w:val="18"/>
                <w:szCs w:val="18"/>
                <w:color w:val="auto"/>
                <w:w w:val="97"/>
              </w:rPr>
              <w:t>South County Business Park, Leopardstown, Dublin 18, Ireland</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r>
      <w:tr>
        <w:trPr>
          <w:trHeight w:val="203"/>
        </w:trPr>
        <w:tc>
          <w:tcPr>
            <w:tcW w:w="380" w:type="dxa"/>
            <w:vAlign w:val="bottom"/>
          </w:tcPr>
          <w:p>
            <w:pPr>
              <w:spacing w:after="0"/>
              <w:rPr>
                <w:sz w:val="17"/>
                <w:szCs w:val="17"/>
                <w:color w:val="auto"/>
              </w:rPr>
            </w:pPr>
          </w:p>
        </w:tc>
        <w:tc>
          <w:tcPr>
            <w:tcW w:w="76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8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Courier New" w:cs="Courier New" w:eastAsia="Courier New" w:hAnsi="Courier New"/>
                <w:sz w:val="18"/>
                <w:szCs w:val="18"/>
                <w:color w:val="auto"/>
                <w:w w:val="97"/>
              </w:rPr>
              <w:t>Securities registered or to be registered pursuant</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to Section 12(b) of the Act:</w:t>
            </w:r>
          </w:p>
        </w:tc>
      </w:tr>
      <w:tr>
        <w:trPr>
          <w:trHeight w:val="405"/>
        </w:trPr>
        <w:tc>
          <w:tcPr>
            <w:tcW w:w="38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Courier New" w:cs="Courier New" w:eastAsia="Courier New" w:hAnsi="Courier New"/>
                <w:sz w:val="18"/>
                <w:szCs w:val="18"/>
                <w:color w:val="auto"/>
                <w:w w:val="97"/>
              </w:rPr>
              <w:t>None</w:t>
            </w:r>
          </w:p>
        </w:tc>
      </w:tr>
      <w:tr>
        <w:trPr>
          <w:trHeight w:val="405"/>
        </w:trPr>
        <w:tc>
          <w:tcPr>
            <w:tcW w:w="380" w:type="dxa"/>
            <w:vAlign w:val="bottom"/>
          </w:tcPr>
          <w:p>
            <w:pPr>
              <w:spacing w:after="0"/>
              <w:rPr>
                <w:sz w:val="24"/>
                <w:szCs w:val="24"/>
                <w:color w:val="auto"/>
              </w:rPr>
            </w:pPr>
          </w:p>
        </w:tc>
        <w:tc>
          <w:tcPr>
            <w:tcW w:w="76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Securities registered or to be registered pursuant to Section</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12(g) of the Act:</w:t>
            </w:r>
          </w:p>
        </w:tc>
      </w:tr>
      <w:tr>
        <w:trPr>
          <w:trHeight w:val="405"/>
        </w:trPr>
        <w:tc>
          <w:tcPr>
            <w:tcW w:w="38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Courier New" w:cs="Courier New" w:eastAsia="Courier New" w:hAnsi="Courier New"/>
                <w:sz w:val="18"/>
                <w:szCs w:val="18"/>
                <w:color w:val="auto"/>
                <w:w w:val="97"/>
              </w:rPr>
              <w:t>American Depositary Shares, representing</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Ordinary Shares, par value euro 0.06</w:t>
            </w:r>
          </w:p>
        </w:tc>
      </w:tr>
      <w:tr>
        <w:trPr>
          <w:trHeight w:val="203"/>
        </w:trPr>
        <w:tc>
          <w:tcPr>
            <w:tcW w:w="380" w:type="dxa"/>
            <w:vAlign w:val="bottom"/>
          </w:tcPr>
          <w:p>
            <w:pPr>
              <w:spacing w:after="0"/>
              <w:rPr>
                <w:sz w:val="17"/>
                <w:szCs w:val="17"/>
                <w:color w:val="auto"/>
              </w:rPr>
            </w:pPr>
          </w:p>
        </w:tc>
        <w:tc>
          <w:tcPr>
            <w:tcW w:w="76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each ordinary Share, par value euro</w:t>
            </w:r>
          </w:p>
        </w:tc>
      </w:tr>
      <w:tr>
        <w:trPr>
          <w:trHeight w:val="203"/>
        </w:trPr>
        <w:tc>
          <w:tcPr>
            <w:tcW w:w="380" w:type="dxa"/>
            <w:vAlign w:val="bottom"/>
          </w:tcPr>
          <w:p>
            <w:pPr>
              <w:spacing w:after="0"/>
              <w:rPr>
                <w:sz w:val="17"/>
                <w:szCs w:val="17"/>
                <w:color w:val="auto"/>
              </w:rPr>
            </w:pPr>
          </w:p>
        </w:tc>
        <w:tc>
          <w:tcPr>
            <w:tcW w:w="76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0.06 each</w:t>
            </w:r>
          </w:p>
        </w:tc>
      </w:tr>
      <w:tr>
        <w:trPr>
          <w:trHeight w:val="405"/>
        </w:trPr>
        <w:tc>
          <w:tcPr>
            <w:tcW w:w="38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Courier New" w:cs="Courier New" w:eastAsia="Courier New" w:hAnsi="Courier New"/>
                <w:sz w:val="18"/>
                <w:szCs w:val="18"/>
                <w:color w:val="auto"/>
                <w:w w:val="97"/>
              </w:rPr>
              <w:t>Securities for which there is a reporting obligation pursuant to Section</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15(d) of the Act:</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7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(Title of Class)</w:t>
            </w:r>
          </w:p>
        </w:tc>
      </w:tr>
    </w:tbl>
    <w:p>
      <w:pPr>
        <w:spacing w:after="0" w:line="207"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 13,838,476 Ordinary Shares</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4320"/>
        <w:spacing w:after="0"/>
        <w:tabs>
          <w:tab w:leader="none" w:pos="5140" w:val="left"/>
          <w:tab w:leader="none" w:pos="56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ind w:left="4860"/>
        <w:spacing w:after="0" w:line="238"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Indicate by check mark which financial statement item the registrant has elected to follow:</w:t>
      </w:r>
    </w:p>
    <w:p>
      <w:pPr>
        <w:sectPr>
          <w:pgSz w:w="11900" w:h="16838" w:orient="portrait"/>
          <w:cols w:equalWidth="0" w:num="1">
            <w:col w:w="10219"/>
          </w:cols>
          <w:pgMar w:left="240" w:top="250" w:right="1440" w:bottom="0" w:gutter="0" w:footer="0" w:header="0"/>
        </w:sectPr>
      </w:pPr>
    </w:p>
    <w:p>
      <w:pPr>
        <w:spacing w:after="0" w:line="208" w:lineRule="exact"/>
        <w:rPr>
          <w:sz w:val="24"/>
          <w:szCs w:val="24"/>
          <w:color w:val="auto"/>
        </w:rPr>
      </w:pPr>
    </w:p>
    <w:p>
      <w:pPr>
        <w:ind w:left="3900"/>
        <w:spacing w:after="0"/>
        <w:rPr>
          <w:sz w:val="20"/>
          <w:szCs w:val="20"/>
          <w:color w:val="auto"/>
        </w:rPr>
      </w:pPr>
      <w:r>
        <w:rPr>
          <w:rFonts w:ascii="Courier New" w:cs="Courier New" w:eastAsia="Courier New" w:hAnsi="Courier New"/>
          <w:sz w:val="16"/>
          <w:szCs w:val="16"/>
          <w:color w:val="auto"/>
        </w:rPr>
        <w:t>Item 17:</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18:</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4740" w:space="120"/>
            <w:col w:w="740" w:space="100"/>
            <w:col w:w="840" w:space="100"/>
            <w:col w:w="3579"/>
          </w:cols>
          <w:pgMar w:left="240" w:top="25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This Amendment on Form 20-F/A1 (this "Amendment") to the Annual Report on</w:t>
      </w:r>
    </w:p>
    <w:p>
      <w:pPr>
        <w:sectPr>
          <w:pgSz w:w="11900" w:h="16838" w:orient="portrait"/>
          <w:cols w:equalWidth="0" w:num="1">
            <w:col w:w="10219"/>
          </w:cols>
          <w:pgMar w:left="240" w:top="250"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Form 20-F of ICON public limited company ("ICON") for the fiscal year ended May 31, 2004 (the "Form 20-F") is being filed by ICON solely for the purpose of including additional disclosure regarding ICON's exemption from certain corporate governance rules of Nasdaq. In connection with this Amendment ICON is including the certifications required by Rule 13a-14(a) of the Securities Exchange Act of 1934, as amended. ICON has not updated the disclosure in this Amendment to speak as of a later date than the date of the original filing.</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following paragraph has been added to the disclosure under Item 10 of the Annual Report on Form 20-F for the fiscal year ended May 31, 2004.</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Exemptions From Corporate Governance Listing Requirements Under the Nasdaq Marketplace Rules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ICON,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ICON's Articles of Association require that only 3 members be present at a shareholder meeting to constitute a quorum. This quorum requirement is in accordance with Irish law and generally accepted business practices in Ireland.</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being filed as part of this Amendment: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Certifications to the Amendment required by Rule 13a-14(a)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has duly caused and authorized the undersigned to sign this amendment to its annual report on its behalf.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ICON public limited company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Sean Leech</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Sean Leech</w:t>
      </w:r>
    </w:p>
    <w:p>
      <w:pPr>
        <w:ind w:left="42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31, 2005</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Peter Gray, certify that:</w:t>
      </w:r>
    </w:p>
    <w:p>
      <w:pPr>
        <w:spacing w:after="0" w:line="207" w:lineRule="exact"/>
        <w:rPr>
          <w:sz w:val="20"/>
          <w:szCs w:val="20"/>
          <w:color w:val="auto"/>
        </w:rPr>
      </w:pPr>
    </w:p>
    <w:p>
      <w:pPr>
        <w:ind w:right="18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amendment to the annual report on Form 20-F of ICON plc ("the registrant").</w:t>
      </w:r>
    </w:p>
    <w:p>
      <w:pPr>
        <w:spacing w:after="0" w:line="208" w:lineRule="exact"/>
        <w:rPr>
          <w:rFonts w:ascii="Courier New" w:cs="Courier New" w:eastAsia="Courier New" w:hAnsi="Courier New"/>
          <w:sz w:val="18"/>
          <w:szCs w:val="18"/>
          <w:color w:val="auto"/>
        </w:rPr>
      </w:pPr>
    </w:p>
    <w:p>
      <w:pPr>
        <w:ind w:right="1879" w:firstLine="8"/>
        <w:spacing w:after="0" w:line="275"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amendment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82" w:lineRule="exact"/>
        <w:rPr>
          <w:rFonts w:ascii="Courier New" w:cs="Courier New" w:eastAsia="Courier New" w:hAnsi="Courier New"/>
          <w:sz w:val="16"/>
          <w:szCs w:val="16"/>
          <w:color w:val="auto"/>
        </w:rPr>
      </w:pPr>
    </w:p>
    <w:p>
      <w:pPr>
        <w:ind w:right="18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and have:</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540" w:right="1879" w:hanging="5"/>
        <w:spacing w:after="0" w:line="237" w:lineRule="auto"/>
        <w:tabs>
          <w:tab w:leader="none" w:pos="856"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207"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period covered by the annual report that has materially affected, or is reasonably likely to materially affect, the company's internal control over financial reporting;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left="42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420" w:right="1999" w:firstLine="9"/>
        <w:spacing w:after="0" w:line="236" w:lineRule="auto"/>
        <w:tabs>
          <w:tab w:leader="none" w:pos="736"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2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Dated: March 31,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Gray</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Gray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Sean Leech, certify that:</w:t>
      </w:r>
    </w:p>
    <w:p>
      <w:pPr>
        <w:spacing w:after="0" w:line="207" w:lineRule="exact"/>
        <w:rPr>
          <w:sz w:val="20"/>
          <w:szCs w:val="20"/>
          <w:color w:val="auto"/>
        </w:rPr>
      </w:pPr>
    </w:p>
    <w:p>
      <w:pPr>
        <w:ind w:right="187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amendment to the annual report on Form 20-F of ICON plc ("the registrant").</w:t>
      </w:r>
    </w:p>
    <w:p>
      <w:pPr>
        <w:spacing w:after="0" w:line="208" w:lineRule="exact"/>
        <w:rPr>
          <w:rFonts w:ascii="Courier New" w:cs="Courier New" w:eastAsia="Courier New" w:hAnsi="Courier New"/>
          <w:sz w:val="18"/>
          <w:szCs w:val="18"/>
          <w:color w:val="auto"/>
        </w:rPr>
      </w:pPr>
    </w:p>
    <w:p>
      <w:pPr>
        <w:ind w:right="1879" w:firstLine="8"/>
        <w:spacing w:after="0" w:line="275"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amendment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82" w:lineRule="exact"/>
        <w:rPr>
          <w:rFonts w:ascii="Courier New" w:cs="Courier New" w:eastAsia="Courier New" w:hAnsi="Courier New"/>
          <w:sz w:val="16"/>
          <w:szCs w:val="16"/>
          <w:color w:val="auto"/>
        </w:rPr>
      </w:pPr>
    </w:p>
    <w:p>
      <w:pPr>
        <w:ind w:right="18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and have:</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540" w:right="1879" w:hanging="5"/>
        <w:spacing w:after="0" w:line="237" w:lineRule="auto"/>
        <w:tabs>
          <w:tab w:leader="none" w:pos="856"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left="42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420" w:right="1999" w:firstLine="9"/>
        <w:spacing w:after="0" w:line="236" w:lineRule="auto"/>
        <w:tabs>
          <w:tab w:leader="none" w:pos="736"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2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Dated: March 31,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Leech</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Sean Leech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2019-12-14T20:32:27Z</dcterms:created>
  <dcterms:modified xsi:type="dcterms:W3CDTF">2019-12-14T20:32:27Z</dcterms:modified>
</cp:coreProperties>
</file>