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April, 2021</w:t>
      </w:r>
    </w:p>
    <w:p>
      <w:pPr>
        <w:spacing w:after="0" w:line="211" w:lineRule="exact"/>
        <w:rPr>
          <w:sz w:val="24"/>
          <w:szCs w:val="24"/>
          <w:color w:val="auto"/>
        </w:rPr>
      </w:pPr>
    </w:p>
    <w:p>
      <w:pPr>
        <w:ind w:left="4720"/>
        <w:spacing w:after="0"/>
        <w:rPr>
          <w:sz w:val="20"/>
          <w:szCs w:val="20"/>
          <w:color w:val="auto"/>
        </w:rPr>
      </w:pPr>
      <w:r>
        <w:rPr>
          <w:rFonts w:ascii="Arial" w:cs="Arial" w:eastAsia="Arial" w:hAnsi="Arial"/>
          <w:sz w:val="43"/>
          <w:szCs w:val="43"/>
          <w:b w:val="1"/>
          <w:bCs w:val="1"/>
          <w:color w:val="auto"/>
        </w:rPr>
        <w:t>ICON plc</w:t>
      </w:r>
    </w:p>
    <w:p>
      <w:pPr>
        <w:spacing w:after="0" w:line="4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00-353-1-291-2000</w:t>
      </w:r>
    </w:p>
    <w:p>
      <w:pPr>
        <w:spacing w:after="0" w:line="215" w:lineRule="exact"/>
        <w:rPr>
          <w:sz w:val="24"/>
          <w:szCs w:val="24"/>
          <w:color w:val="auto"/>
        </w:rPr>
      </w:pPr>
    </w:p>
    <w:p>
      <w:pPr>
        <w:ind w:left="1360"/>
        <w:spacing w:after="0"/>
        <w:rPr>
          <w:sz w:val="20"/>
          <w:szCs w:val="20"/>
          <w:color w:val="auto"/>
        </w:rPr>
      </w:pPr>
      <w:r>
        <w:rPr>
          <w:rFonts w:ascii="Arial" w:cs="Arial" w:eastAsia="Arial" w:hAnsi="Arial"/>
          <w:sz w:val="19"/>
          <w:szCs w:val="19"/>
          <w:color w:val="auto"/>
        </w:rPr>
        <w:t>(Name, telephone number, email and/or facsimile number and address of Company contact person)</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60" w:right="959" w:bottom="1440" w:gutter="0" w:footer="0" w:header="0"/>
        </w:sectPr>
      </w:pPr>
    </w:p>
    <w:bookmarkStart w:id="1" w:name="page2"/>
    <w:bookmarkEnd w:id="1"/>
    <w:p>
      <w:pPr>
        <w:ind w:right="140" w:firstLine="648"/>
        <w:spacing w:after="0" w:line="235" w:lineRule="auto"/>
        <w:rPr>
          <w:sz w:val="20"/>
          <w:szCs w:val="20"/>
          <w:color w:val="auto"/>
        </w:rPr>
      </w:pPr>
      <w:r>
        <w:rPr>
          <w:rFonts w:ascii="Arial" w:cs="Arial" w:eastAsia="Arial" w:hAnsi="Arial"/>
          <w:sz w:val="22"/>
          <w:szCs w:val="22"/>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w:t>
      </w:r>
    </w:p>
    <w:p>
      <w:pPr>
        <w:spacing w:after="0" w:line="21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completion of the Merger is conditioned upon, among things, the early termination or expiration of any applicable waiting period under the Hart-Scott-Rodino Antitrust Improvements Act of 1976, as amended (the “HSR Act”), and the clearance of the Merger having been granted by the German Federal Cartel Office (Bundeskartellamt) (the “FCO”), in each case relating to the consummation of the Merger.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April 12, 2021, the FCO provided antitrust clearance for the Merger.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April 14, 2021, the applicable waiting period under the HSR Act with respect to the Merger expired.</w:t>
      </w:r>
    </w:p>
    <w:p>
      <w:pPr>
        <w:spacing w:after="0" w:line="233" w:lineRule="exact"/>
        <w:rPr>
          <w:sz w:val="20"/>
          <w:szCs w:val="20"/>
          <w:color w:val="auto"/>
        </w:rPr>
      </w:pPr>
    </w:p>
    <w:p>
      <w:pPr>
        <w:jc w:val="both"/>
        <w:ind w:right="540"/>
        <w:spacing w:after="0" w:line="257" w:lineRule="auto"/>
        <w:rPr>
          <w:sz w:val="20"/>
          <w:szCs w:val="20"/>
          <w:color w:val="auto"/>
        </w:rPr>
      </w:pPr>
      <w:r>
        <w:rPr>
          <w:rFonts w:ascii="Arial" w:cs="Arial" w:eastAsia="Arial" w:hAnsi="Arial"/>
          <w:sz w:val="21"/>
          <w:szCs w:val="21"/>
          <w:color w:val="auto"/>
        </w:rPr>
        <w:t>The completion of the Merger remains subject to other customary closing conditions, including the adoption of the Merger Agreement by PRA’s stockholders and the approval by ICON’s shareholders of the issuance of ICON ordinary shares in the Merger. ICON continues to expect the merger to close in the third quarter of 2021.</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with the SEC containing a preliminary prospectus of ICON that also constitutes a preliminary proxy statement of each of ICON and PRA. The registration statement has not yet become effective.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655"/>
        </w:trPr>
        <w:tc>
          <w:tcPr>
            <w:tcW w:w="57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Date: April 16, 2021</w:t>
            </w: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58"/>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2021-04-16T05:51:42Z</dcterms:created>
  <dcterms:modified xsi:type="dcterms:W3CDTF">2021-04-16T05:51:42Z</dcterms:modified>
</cp:coreProperties>
</file>