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6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FORM 6-K</w:t>
      </w:r>
    </w:p>
    <w:p>
      <w:pPr>
        <w:spacing w:after="0" w:line="258" w:lineRule="exact"/>
        <w:rPr>
          <w:sz w:val="24"/>
          <w:szCs w:val="24"/>
          <w:color w:val="auto"/>
        </w:rPr>
      </w:pPr>
    </w:p>
    <w:p>
      <w:pPr>
        <w:jc w:val="center"/>
        <w:ind w:right="-6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Pursuant to Rule 13a-16 under</w:t>
      </w:r>
    </w:p>
    <w:p>
      <w:pPr>
        <w:jc w:val="center"/>
        <w:ind w:right="-61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For the month ended April, 2021</w:t>
      </w:r>
    </w:p>
    <w:p>
      <w:pPr>
        <w:spacing w:after="0" w:line="211" w:lineRule="exact"/>
        <w:rPr>
          <w:sz w:val="24"/>
          <w:szCs w:val="24"/>
          <w:color w:val="auto"/>
        </w:rPr>
      </w:pPr>
    </w:p>
    <w:p>
      <w:pPr>
        <w:ind w:left="4720"/>
        <w:spacing w:after="0"/>
        <w:rPr>
          <w:sz w:val="20"/>
          <w:szCs w:val="20"/>
          <w:color w:val="auto"/>
        </w:rPr>
      </w:pPr>
      <w:r>
        <w:rPr>
          <w:rFonts w:ascii="Arial" w:cs="Arial" w:eastAsia="Arial" w:hAnsi="Arial"/>
          <w:sz w:val="43"/>
          <w:szCs w:val="43"/>
          <w:b w:val="1"/>
          <w:bCs w:val="1"/>
          <w:color w:val="auto"/>
        </w:rPr>
        <w:t>ICON plc</w:t>
      </w:r>
    </w:p>
    <w:p>
      <w:pPr>
        <w:spacing w:after="0" w:line="4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(Registrant’s name)</w:t>
      </w:r>
    </w:p>
    <w:p>
      <w:pPr>
        <w:spacing w:after="0" w:line="209" w:lineRule="exact"/>
        <w:rPr>
          <w:sz w:val="24"/>
          <w:szCs w:val="24"/>
          <w:color w:val="auto"/>
        </w:rPr>
      </w:pPr>
    </w:p>
    <w:p>
      <w:pPr>
        <w:jc w:val="center"/>
        <w:ind w:right="-6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679"/>
        <w:spacing w:after="0"/>
        <w:rPr>
          <w:sz w:val="20"/>
          <w:szCs w:val="20"/>
          <w:color w:val="auto"/>
        </w:rPr>
      </w:pPr>
      <w:r>
        <w:rPr>
          <w:rFonts w:ascii="Arial" w:cs="Arial" w:eastAsia="Arial" w:hAnsi="Arial"/>
          <w:sz w:val="22"/>
          <w:szCs w:val="22"/>
          <w:color w:val="auto"/>
        </w:rPr>
        <w:t>(Commission file number)</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Brendan Brennan, CFO</w:t>
      </w:r>
    </w:p>
    <w:p>
      <w:pPr>
        <w:jc w:val="center"/>
        <w:ind w:right="-6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619"/>
        <w:spacing w:after="0" w:line="230" w:lineRule="auto"/>
        <w:rPr>
          <w:sz w:val="20"/>
          <w:szCs w:val="20"/>
          <w:color w:val="auto"/>
        </w:rPr>
      </w:pPr>
      <w:r>
        <w:rPr>
          <w:rFonts w:ascii="Arial" w:cs="Arial" w:eastAsia="Arial" w:hAnsi="Arial"/>
          <w:sz w:val="22"/>
          <w:szCs w:val="22"/>
          <w:color w:val="auto"/>
        </w:rPr>
        <w:t>Brendan.Brennan@iconplc.com</w:t>
      </w:r>
    </w:p>
    <w:p>
      <w:pPr>
        <w:spacing w:after="0" w:line="1" w:lineRule="exact"/>
        <w:rPr>
          <w:sz w:val="24"/>
          <w:szCs w:val="24"/>
          <w:color w:val="auto"/>
        </w:rPr>
      </w:pPr>
    </w:p>
    <w:p>
      <w:pPr>
        <w:jc w:val="center"/>
        <w:ind w:right="-619"/>
        <w:spacing w:after="0"/>
        <w:rPr>
          <w:sz w:val="20"/>
          <w:szCs w:val="20"/>
          <w:color w:val="auto"/>
        </w:rPr>
      </w:pPr>
      <w:r>
        <w:rPr>
          <w:rFonts w:ascii="Arial" w:cs="Arial" w:eastAsia="Arial" w:hAnsi="Arial"/>
          <w:sz w:val="22"/>
          <w:szCs w:val="22"/>
          <w:color w:val="auto"/>
        </w:rPr>
        <w:t>00-353-1-291-2000</w:t>
      </w:r>
    </w:p>
    <w:p>
      <w:pPr>
        <w:spacing w:after="0" w:line="215" w:lineRule="exact"/>
        <w:rPr>
          <w:sz w:val="24"/>
          <w:szCs w:val="24"/>
          <w:color w:val="auto"/>
        </w:rPr>
      </w:pPr>
    </w:p>
    <w:p>
      <w:pPr>
        <w:ind w:left="1360"/>
        <w:spacing w:after="0"/>
        <w:rPr>
          <w:sz w:val="20"/>
          <w:szCs w:val="20"/>
          <w:color w:val="auto"/>
        </w:rPr>
      </w:pPr>
      <w:r>
        <w:rPr>
          <w:rFonts w:ascii="Arial" w:cs="Arial" w:eastAsia="Arial" w:hAnsi="Arial"/>
          <w:sz w:val="19"/>
          <w:szCs w:val="19"/>
          <w:color w:val="auto"/>
        </w:rPr>
        <w:t>(Name, telephone number, email and/or facsimile number and address of Company contact person)</w:t>
      </w:r>
    </w:p>
    <w:p>
      <w:pPr>
        <w:spacing w:after="0" w:line="27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Form 40-F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18"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6" w:lineRule="exact"/>
        <w:rPr>
          <w:sz w:val="24"/>
          <w:szCs w:val="24"/>
          <w:color w:val="auto"/>
        </w:rPr>
      </w:pPr>
    </w:p>
    <w:p>
      <w:pPr>
        <w:spacing w:after="0" w:line="255"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00"/>
        <w:spacing w:after="0" w:line="207" w:lineRule="exact"/>
        <w:tabs>
          <w:tab w:leader="none" w:pos="6400" w:val="left"/>
        </w:tabs>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12"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240030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334645</wp:posOffset>
            </wp:positionV>
            <wp:extent cx="71323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480060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620"/>
          </w:cols>
          <w:pgMar w:left="320" w:top="760" w:right="959" w:bottom="1440" w:gutter="0" w:footer="0" w:header="0"/>
        </w:sectPr>
      </w:pPr>
    </w:p>
    <w:bookmarkStart w:id="1" w:name="page2"/>
    <w:bookmarkEnd w:id="1"/>
    <w:p>
      <w:pPr>
        <w:ind w:right="140" w:firstLine="648"/>
        <w:spacing w:after="0" w:line="235" w:lineRule="auto"/>
        <w:rPr>
          <w:sz w:val="20"/>
          <w:szCs w:val="20"/>
          <w:color w:val="auto"/>
        </w:rPr>
      </w:pPr>
      <w:r>
        <w:rPr>
          <w:rFonts w:ascii="Arial" w:cs="Arial" w:eastAsia="Arial" w:hAnsi="Arial"/>
          <w:sz w:val="22"/>
          <w:szCs w:val="22"/>
          <w:color w:val="auto"/>
        </w:rPr>
        <w:t>As previously disclosed, on February 24, 2021, ICON plc, a public limited company in Ireland (“ICON”), ICON US Holdings Inc., a Delaware corporation and subsidiary of ICON (“US HoldCo”), and Indigo Merger Sub, Inc., a Delaware corporation and subsidiary of ICON and US HoldCo (“Merger Subsidiary”) entered into an Agreement and Plan of Merger (the “Merger Agreement”) with PRA Health Sciences, Inc., a Delaware corporation (“PRA”). Upon the terms and subject to the conditions of the Merger Agreement, Merger Subsidiary will merge with and into PRA (the “Merger”), with PRA surviving as a subsidiary of ICON and US HoldCo.</w:t>
      </w:r>
    </w:p>
    <w:p>
      <w:pPr>
        <w:spacing w:after="0" w:line="215" w:lineRule="exact"/>
        <w:rPr>
          <w:sz w:val="20"/>
          <w:szCs w:val="20"/>
          <w:color w:val="auto"/>
        </w:rPr>
      </w:pPr>
    </w:p>
    <w:p>
      <w:pPr>
        <w:ind w:firstLine="648"/>
        <w:spacing w:after="0" w:line="238" w:lineRule="auto"/>
        <w:rPr>
          <w:sz w:val="20"/>
          <w:szCs w:val="20"/>
          <w:color w:val="auto"/>
        </w:rPr>
      </w:pPr>
      <w:r>
        <w:rPr>
          <w:rFonts w:ascii="Arial" w:cs="Arial" w:eastAsia="Arial" w:hAnsi="Arial"/>
          <w:sz w:val="22"/>
          <w:szCs w:val="22"/>
          <w:color w:val="auto"/>
        </w:rPr>
        <w:t>The completion of the Merger is conditioned upon, among things, the early termination or expiration of any applicable waiting period under the Hart-Scott-Rodino Antitrust Improvements Act of 1976, as amended (the “HSR Act”), and the clearance of the Merger having been granted by the German Federal Cartel Office (Bundeskartellamt) (the “FCO”), in each case relating to the consummation of the Merger.</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On April 12, 2021, the FCO provided antitrust clearance for the Merger.</w:t>
      </w:r>
    </w:p>
    <w:p>
      <w:pPr>
        <w:spacing w:after="0" w:line="23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On April 14, 2021, the applicable waiting period under the HSR Act with respect to the Merger expired.</w:t>
      </w:r>
    </w:p>
    <w:p>
      <w:pPr>
        <w:spacing w:after="0" w:line="233" w:lineRule="exact"/>
        <w:rPr>
          <w:sz w:val="20"/>
          <w:szCs w:val="20"/>
          <w:color w:val="auto"/>
        </w:rPr>
      </w:pPr>
    </w:p>
    <w:p>
      <w:pPr>
        <w:jc w:val="both"/>
        <w:ind w:right="540"/>
        <w:spacing w:after="0" w:line="257" w:lineRule="auto"/>
        <w:rPr>
          <w:sz w:val="20"/>
          <w:szCs w:val="20"/>
          <w:color w:val="auto"/>
        </w:rPr>
      </w:pPr>
      <w:r>
        <w:rPr>
          <w:rFonts w:ascii="Arial" w:cs="Arial" w:eastAsia="Arial" w:hAnsi="Arial"/>
          <w:sz w:val="21"/>
          <w:szCs w:val="21"/>
          <w:color w:val="auto"/>
        </w:rPr>
        <w:t>The completion of the Merger remains subject to other customary closing conditions, including the adoption of the Merger Agreement by PRA’s stockholders and the approval by ICON’s shareholders of the issuance of ICON ordinary shares in the Merger. ICON continues to expect the merger to close in the third quarter of 2021.</w:t>
      </w:r>
    </w:p>
    <w:p>
      <w:pPr>
        <w:spacing w:after="0" w:line="19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239" w:lineRule="exact"/>
        <w:rPr>
          <w:sz w:val="20"/>
          <w:szCs w:val="20"/>
          <w:color w:val="auto"/>
        </w:rPr>
      </w:pPr>
    </w:p>
    <w:p>
      <w:pPr>
        <w:ind w:right="20"/>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(“ICON”) and PRA Health Sciences, Inc., a Delaware corporation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potential litigation relating to the potential transaction that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in subsequent filings with the U.S. Securities and Exchange Commission (the “SEC”). These risks, as well as other risks associated with the potential transaction, are more fully discussed in the joint proxy statement/prospectus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414020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61" w:right="35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t>No Offer or Solicitation</w:t>
      </w:r>
    </w:p>
    <w:p>
      <w:pPr>
        <w:spacing w:after="0" w:line="239" w:lineRule="exact"/>
        <w:rPr>
          <w:sz w:val="20"/>
          <w:szCs w:val="20"/>
          <w:color w:val="auto"/>
        </w:rPr>
      </w:pPr>
    </w:p>
    <w:p>
      <w:pPr>
        <w:ind w:right="100"/>
        <w:spacing w:after="0" w:line="287"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6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239"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In connection with the potential transaction, ICON has filed a registration statement on Form F-4 with the SEC containing a preliminary prospectus of ICON that also constitutes a preliminary proxy statement of each of ICON and PRA. The registration statement has not yet become effective. After the registration statement is declared effective, each of ICON and PRA will mail a definitive joint proxy statement/prospectus to stockholders of ICON and PRA, respectively. This communication is not a substitute for the joint proxy statement/prospectus or registration statement or for any other document that ICON or PRA have filed or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WHEN THEY BECOME AVAILABLE BECAUSE THEY WILL CONTAIN IMPORTANT INFORMATION. Investors and security holders will be able to obtain free copies of the joint proxy statement/prospectus and other documents filed with the SEC by ICON or PRA through the website maintained by the SEC at http://www.sec.gov. Copies of the documents filed with the SEC by ICON will be available free of charge on ICON’s website at https://www.iconplc.com and copies of the documents filed with the SEC by PRA will be available free of charge on PRA’s website at https://www.prahs.com/. Additionally, copies may be obtained by contacting the investor relations departments of ICON or PRA.</w:t>
      </w:r>
    </w:p>
    <w:p>
      <w:pPr>
        <w:spacing w:after="0" w:line="200" w:lineRule="exact"/>
        <w:rPr>
          <w:sz w:val="20"/>
          <w:szCs w:val="20"/>
          <w:color w:val="auto"/>
        </w:rPr>
      </w:pPr>
    </w:p>
    <w:p>
      <w:pPr>
        <w:spacing w:after="0" w:line="234" w:lineRule="exact"/>
        <w:rPr>
          <w:sz w:val="20"/>
          <w:szCs w:val="20"/>
          <w:color w:val="auto"/>
        </w:rPr>
      </w:pPr>
    </w:p>
    <w:p>
      <w:pPr>
        <w:ind w:right="20"/>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Amendment to Annual Report on Form 10-K/A for the fiscal year ended December 31, 2020, which was filed with the SEC on March 30, 2021. These documents can be obtained free of charge from the sources indicated above. Additional information regarding the interests of such participants in the solicitation of proxies in respect of the potential transaction are included in the registration statement and joint proxy statement/prospectus and other relevant materials filed with the SEC.</w:t>
      </w:r>
    </w:p>
    <w:p>
      <w:pPr>
        <w:spacing w:after="0" w:line="184" w:lineRule="exact"/>
        <w:rPr>
          <w:sz w:val="20"/>
          <w:szCs w:val="20"/>
          <w:color w:val="auto"/>
        </w:rPr>
      </w:pPr>
    </w:p>
    <w:p>
      <w:pPr>
        <w:jc w:val="both"/>
        <w:ind w:right="80"/>
        <w:spacing w:after="0" w:line="297" w:lineRule="auto"/>
        <w:rPr>
          <w:sz w:val="20"/>
          <w:szCs w:val="20"/>
          <w:color w:val="auto"/>
        </w:rPr>
      </w:pPr>
      <w:r>
        <w:rPr>
          <w:rFonts w:ascii="Arial" w:cs="Arial" w:eastAsia="Arial" w:hAnsi="Arial"/>
          <w:sz w:val="19"/>
          <w:szCs w:val="19"/>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227330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55" w:right="359" w:bottom="1440" w:gutter="0" w:footer="0" w:header="0"/>
        </w:sectPr>
      </w:pPr>
    </w:p>
    <w:bookmarkStart w:id="3" w:name="page4"/>
    <w:bookmarkEnd w:id="3"/>
    <w:p>
      <w:pPr>
        <w:jc w:val="center"/>
        <w:spacing w:after="0"/>
        <w:rPr>
          <w:sz w:val="20"/>
          <w:szCs w:val="20"/>
          <w:color w:val="auto"/>
        </w:rPr>
      </w:pPr>
      <w:r>
        <w:rPr>
          <w:rFonts w:ascii="Arial" w:cs="Arial" w:eastAsia="Arial" w:hAnsi="Arial"/>
          <w:sz w:val="22"/>
          <w:szCs w:val="22"/>
          <w:b w:val="1"/>
          <w:bCs w:val="1"/>
          <w:color w:val="auto"/>
        </w:rPr>
        <w:t>SIGNATURES</w:t>
      </w:r>
    </w:p>
    <w:p>
      <w:pPr>
        <w:spacing w:after="0" w:line="239"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740" w:type="dxa"/>
            <w:vAlign w:val="bottom"/>
          </w:tcPr>
          <w:p>
            <w:pPr>
              <w:spacing w:after="0"/>
              <w:rPr>
                <w:sz w:val="20"/>
                <w:szCs w:val="20"/>
                <w:color w:val="auto"/>
              </w:rPr>
            </w:pPr>
          </w:p>
        </w:tc>
        <w:tc>
          <w:tcPr>
            <w:tcW w:w="5500" w:type="dxa"/>
            <w:vAlign w:val="bottom"/>
          </w:tcPr>
          <w:p>
            <w:pPr>
              <w:spacing w:after="0"/>
              <w:rPr>
                <w:sz w:val="20"/>
                <w:szCs w:val="20"/>
                <w:color w:val="auto"/>
              </w:rPr>
            </w:pPr>
            <w:r>
              <w:rPr>
                <w:rFonts w:ascii="Arial" w:cs="Arial" w:eastAsia="Arial" w:hAnsi="Arial"/>
                <w:sz w:val="18"/>
                <w:szCs w:val="18"/>
                <w:b w:val="1"/>
                <w:bCs w:val="1"/>
                <w:color w:val="auto"/>
              </w:rPr>
              <w:t>ICON plc</w:t>
            </w:r>
          </w:p>
        </w:tc>
      </w:tr>
      <w:tr>
        <w:trPr>
          <w:trHeight w:val="655"/>
        </w:trPr>
        <w:tc>
          <w:tcPr>
            <w:tcW w:w="5740" w:type="dxa"/>
            <w:vAlign w:val="bottom"/>
          </w:tcPr>
          <w:p>
            <w:pPr>
              <w:spacing w:after="0"/>
              <w:rPr>
                <w:sz w:val="24"/>
                <w:szCs w:val="24"/>
                <w:color w:val="auto"/>
              </w:rPr>
            </w:pPr>
          </w:p>
        </w:tc>
        <w:tc>
          <w:tcPr>
            <w:tcW w:w="55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r>
      <w:tr>
        <w:trPr>
          <w:trHeight w:val="202"/>
        </w:trPr>
        <w:tc>
          <w:tcPr>
            <w:tcW w:w="5740" w:type="dxa"/>
            <w:vAlign w:val="bottom"/>
          </w:tcPr>
          <w:p>
            <w:pPr>
              <w:spacing w:after="0" w:line="201" w:lineRule="exact"/>
              <w:rPr>
                <w:sz w:val="20"/>
                <w:szCs w:val="20"/>
                <w:color w:val="auto"/>
              </w:rPr>
            </w:pPr>
            <w:r>
              <w:rPr>
                <w:rFonts w:ascii="Arial" w:cs="Arial" w:eastAsia="Arial" w:hAnsi="Arial"/>
                <w:sz w:val="18"/>
                <w:szCs w:val="18"/>
                <w:color w:val="auto"/>
              </w:rPr>
              <w:t>Date: April 16, 2021</w:t>
            </w:r>
          </w:p>
        </w:tc>
        <w:tc>
          <w:tcPr>
            <w:tcW w:w="550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r>
      <w:tr>
        <w:trPr>
          <w:trHeight w:val="230"/>
        </w:trPr>
        <w:tc>
          <w:tcPr>
            <w:tcW w:w="5740" w:type="dxa"/>
            <w:vAlign w:val="bottom"/>
          </w:tcPr>
          <w:p>
            <w:pPr>
              <w:spacing w:after="0"/>
              <w:rPr>
                <w:sz w:val="20"/>
                <w:szCs w:val="20"/>
                <w:color w:val="auto"/>
              </w:rPr>
            </w:pPr>
          </w:p>
        </w:tc>
        <w:tc>
          <w:tcPr>
            <w:tcW w:w="550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358"/>
        </w:trPr>
        <w:tc>
          <w:tcPr>
            <w:tcW w:w="5740" w:type="dxa"/>
            <w:vAlign w:val="bottom"/>
            <w:tcBorders>
              <w:bottom w:val="single" w:sz="8" w:color="auto"/>
            </w:tcBorders>
          </w:tcPr>
          <w:p>
            <w:pPr>
              <w:spacing w:after="0"/>
              <w:rPr>
                <w:sz w:val="24"/>
                <w:szCs w:val="24"/>
                <w:color w:val="auto"/>
              </w:rPr>
            </w:pPr>
          </w:p>
        </w:tc>
        <w:tc>
          <w:tcPr>
            <w:tcW w:w="55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35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2021-04-16T05:51:42Z</dcterms:created>
  <dcterms:modified xsi:type="dcterms:W3CDTF">2021-04-16T05:51:42Z</dcterms:modified>
</cp:coreProperties>
</file>