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79"/>
        <w:spacing w:after="0"/>
        <w:rPr>
          <w:sz w:val="20"/>
          <w:szCs w:val="20"/>
          <w:color w:val="auto"/>
        </w:rPr>
      </w:pPr>
      <w:r>
        <w:rPr>
          <w:rFonts w:ascii="Arial" w:cs="Arial" w:eastAsia="Arial" w:hAnsi="Arial"/>
          <w:sz w:val="29"/>
          <w:szCs w:val="29"/>
          <w:b w:val="1"/>
          <w:bCs w:val="1"/>
          <w:color w:val="auto"/>
        </w:rPr>
        <w:t>FORM 6-K</w:t>
      </w:r>
    </w:p>
    <w:p>
      <w:pPr>
        <w:spacing w:after="0" w:line="342"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Pursuant to Rule 13a-16 under</w:t>
      </w:r>
    </w:p>
    <w:p>
      <w:pPr>
        <w:jc w:val="center"/>
        <w:ind w:right="-79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200"/>
        <w:spacing w:after="0"/>
        <w:rPr>
          <w:sz w:val="20"/>
          <w:szCs w:val="20"/>
          <w:color w:val="auto"/>
        </w:rPr>
      </w:pPr>
      <w:r>
        <w:rPr>
          <w:rFonts w:ascii="Arial" w:cs="Arial" w:eastAsia="Arial" w:hAnsi="Arial"/>
          <w:sz w:val="22"/>
          <w:szCs w:val="22"/>
          <w:color w:val="auto"/>
        </w:rPr>
        <w:t>For the month ended January, 2020</w:t>
      </w:r>
    </w:p>
    <w:p>
      <w:pPr>
        <w:spacing w:after="0" w:line="200" w:lineRule="exact"/>
        <w:rPr>
          <w:sz w:val="24"/>
          <w:szCs w:val="24"/>
          <w:color w:val="auto"/>
        </w:rPr>
      </w:pPr>
    </w:p>
    <w:p>
      <w:pPr>
        <w:spacing w:after="0" w:line="26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8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Brendan Brennan, CFO</w:t>
      </w:r>
    </w:p>
    <w:p>
      <w:pPr>
        <w:jc w:val="center"/>
        <w:ind w:right="-79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799"/>
        <w:spacing w:after="0" w:line="230" w:lineRule="auto"/>
        <w:rPr>
          <w:sz w:val="20"/>
          <w:szCs w:val="20"/>
          <w:color w:val="auto"/>
        </w:rPr>
      </w:pPr>
      <w:r>
        <w:rPr>
          <w:rFonts w:ascii="Arial" w:cs="Arial" w:eastAsia="Arial" w:hAnsi="Arial"/>
          <w:sz w:val="22"/>
          <w:szCs w:val="22"/>
          <w:color w:val="auto"/>
        </w:rPr>
        <w:t>Brendan.Brennan@iconplc.com</w:t>
      </w:r>
    </w:p>
    <w:p>
      <w:pPr>
        <w:jc w:val="center"/>
        <w:ind w:right="-799"/>
        <w:spacing w:after="0" w:line="231" w:lineRule="auto"/>
        <w:rPr>
          <w:sz w:val="20"/>
          <w:szCs w:val="20"/>
          <w:color w:val="auto"/>
        </w:rPr>
      </w:pPr>
      <w:r>
        <w:rPr>
          <w:rFonts w:ascii="Arial" w:cs="Arial" w:eastAsia="Arial" w:hAnsi="Arial"/>
          <w:sz w:val="22"/>
          <w:szCs w:val="22"/>
          <w:color w:val="auto"/>
        </w:rPr>
        <w:t>+353-1-291-2000</w:t>
      </w:r>
    </w:p>
    <w:p>
      <w:pPr>
        <w:spacing w:after="0" w:line="1"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Form 20-F_X___</w:t>
      </w:r>
      <w:r>
        <w:rPr>
          <w:sz w:val="20"/>
          <w:szCs w:val="20"/>
          <w:color w:val="auto"/>
        </w:rPr>
        <w:tab/>
      </w:r>
      <w:r>
        <w:rPr>
          <w:rFonts w:ascii="Arial" w:cs="Arial" w:eastAsia="Arial" w:hAnsi="Arial"/>
          <w:sz w:val="16"/>
          <w:szCs w:val="16"/>
          <w:color w:val="auto"/>
        </w:rPr>
        <w:t>Form 40-F_______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p>
      <w:pPr>
        <w:jc w:val="right"/>
        <w:ind w:right="3779"/>
        <w:spacing w:after="0"/>
        <w:rPr>
          <w:sz w:val="20"/>
          <w:szCs w:val="20"/>
          <w:color w:val="auto"/>
        </w:rPr>
      </w:pPr>
      <w:r>
        <w:rPr>
          <w:rFonts w:ascii="Arial" w:cs="Arial" w:eastAsia="Arial" w:hAnsi="Arial"/>
          <w:sz w:val="22"/>
          <w:szCs w:val="22"/>
          <w:b w:val="1"/>
          <w:bCs w:val="1"/>
          <w:u w:val="single" w:color="auto"/>
          <w:color w:val="auto"/>
        </w:rPr>
        <w:t>EXHIBIT LIST</w:t>
      </w:r>
    </w:p>
    <w:p>
      <w:pPr>
        <w:spacing w:after="0" w:line="246"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25" w:lineRule="exact"/>
        <w:rPr>
          <w:sz w:val="20"/>
          <w:szCs w:val="20"/>
          <w:color w:val="auto"/>
        </w:rPr>
      </w:pPr>
    </w:p>
    <w:p>
      <w:pPr>
        <w:spacing w:after="0"/>
        <w:tabs>
          <w:tab w:leader="none" w:pos="1560" w:val="left"/>
        </w:tabs>
        <w:rPr>
          <w:rFonts w:ascii="Arial" w:cs="Arial" w:eastAsia="Arial" w:hAnsi="Arial"/>
          <w:sz w:val="16"/>
          <w:szCs w:val="16"/>
          <w:u w:val="single" w:color="auto"/>
          <w:color w:val="0000EE"/>
        </w:rPr>
      </w:pPr>
      <w:hyperlink w:anchor="page4">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4">
        <w:r>
          <w:rPr>
            <w:rFonts w:ascii="Arial" w:cs="Arial" w:eastAsia="Arial" w:hAnsi="Arial"/>
            <w:sz w:val="16"/>
            <w:szCs w:val="16"/>
            <w:u w:val="single" w:color="auto"/>
            <w:color w:val="0000EE"/>
          </w:rPr>
          <w:t>ICON Issues Financial Guidance for Full Year 2020</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434975</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19"/>
          </w:cols>
          <w:pgMar w:left="240" w:top="841"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39"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20" w:type="dxa"/>
            <w:vAlign w:val="bottom"/>
          </w:tcPr>
          <w:p>
            <w:pPr>
              <w:spacing w:after="0"/>
              <w:rPr>
                <w:sz w:val="20"/>
                <w:szCs w:val="20"/>
                <w:color w:val="auto"/>
              </w:rPr>
            </w:pPr>
          </w:p>
        </w:tc>
        <w:tc>
          <w:tcPr>
            <w:tcW w:w="3800" w:type="dxa"/>
            <w:vAlign w:val="bottom"/>
          </w:tcPr>
          <w:p>
            <w:pPr>
              <w:spacing w:after="0"/>
              <w:rPr>
                <w:sz w:val="20"/>
                <w:szCs w:val="20"/>
                <w:color w:val="auto"/>
              </w:rPr>
            </w:pPr>
            <w:r>
              <w:rPr>
                <w:rFonts w:ascii="Arial" w:cs="Arial" w:eastAsia="Arial" w:hAnsi="Arial"/>
                <w:sz w:val="18"/>
                <w:szCs w:val="18"/>
                <w:b w:val="1"/>
                <w:bCs w:val="1"/>
                <w:color w:val="auto"/>
              </w:rPr>
              <w:t>ICON plc</w:t>
            </w:r>
          </w:p>
        </w:tc>
      </w:tr>
      <w:tr>
        <w:trPr>
          <w:trHeight w:val="871"/>
        </w:trPr>
        <w:tc>
          <w:tcPr>
            <w:tcW w:w="7620" w:type="dxa"/>
            <w:vAlign w:val="bottom"/>
          </w:tcPr>
          <w:p>
            <w:pPr>
              <w:spacing w:after="0"/>
              <w:rPr>
                <w:sz w:val="24"/>
                <w:szCs w:val="24"/>
                <w:color w:val="auto"/>
              </w:rPr>
            </w:pPr>
          </w:p>
        </w:tc>
        <w:tc>
          <w:tcPr>
            <w:tcW w:w="3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r>
      <w:tr>
        <w:trPr>
          <w:trHeight w:val="202"/>
        </w:trPr>
        <w:tc>
          <w:tcPr>
            <w:tcW w:w="7620" w:type="dxa"/>
            <w:vAlign w:val="bottom"/>
          </w:tcPr>
          <w:p>
            <w:pPr>
              <w:spacing w:after="0" w:line="201" w:lineRule="exact"/>
              <w:rPr>
                <w:sz w:val="20"/>
                <w:szCs w:val="20"/>
                <w:color w:val="auto"/>
              </w:rPr>
            </w:pPr>
            <w:r>
              <w:rPr>
                <w:rFonts w:ascii="Arial" w:cs="Arial" w:eastAsia="Arial" w:hAnsi="Arial"/>
                <w:sz w:val="18"/>
                <w:szCs w:val="18"/>
                <w:color w:val="auto"/>
              </w:rPr>
              <w:t>Date: January 14, 2020</w:t>
            </w:r>
          </w:p>
        </w:tc>
        <w:tc>
          <w:tcPr>
            <w:tcW w:w="380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r>
      <w:tr>
        <w:trPr>
          <w:trHeight w:val="230"/>
        </w:trPr>
        <w:tc>
          <w:tcPr>
            <w:tcW w:w="7620" w:type="dxa"/>
            <w:vAlign w:val="bottom"/>
          </w:tcPr>
          <w:p>
            <w:pPr>
              <w:spacing w:after="0"/>
              <w:rPr>
                <w:sz w:val="20"/>
                <w:szCs w:val="20"/>
                <w:color w:val="auto"/>
              </w:rPr>
            </w:pPr>
          </w:p>
        </w:tc>
        <w:tc>
          <w:tcPr>
            <w:tcW w:w="380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420"/>
          </w:cols>
          <w:pgMar w:left="240" w:top="598"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ICON Issues Financial Guidance for Full Year 2020</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Full Year 2020 Revenue guidance in the range of $2,972 - $3,092 million, representing growth of 5.8 – 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-87630</wp:posOffset>
            </wp:positionV>
            <wp:extent cx="68580" cy="685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Full Year 2020 Earnings per share guidance in the range of $7.55 - $7.85, representing growth of 9.7 – 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-102870</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2" w:lineRule="auto"/>
        <w:rPr>
          <w:sz w:val="20"/>
          <w:szCs w:val="20"/>
          <w:color w:val="auto"/>
        </w:rPr>
      </w:pPr>
      <w:r>
        <w:rPr>
          <w:rFonts w:ascii="Arial" w:cs="Arial" w:eastAsia="Arial" w:hAnsi="Arial"/>
          <w:sz w:val="22"/>
          <w:szCs w:val="22"/>
          <w:b w:val="1"/>
          <w:bCs w:val="1"/>
          <w:color w:val="auto"/>
        </w:rPr>
        <w:t>Guidance includes intention to repurchase one million shares during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500"/>
        <w:spacing w:after="0" w:line="237" w:lineRule="auto"/>
        <w:rPr>
          <w:sz w:val="20"/>
          <w:szCs w:val="20"/>
          <w:color w:val="auto"/>
        </w:rPr>
      </w:pPr>
      <w:r>
        <w:rPr>
          <w:rFonts w:ascii="Arial" w:cs="Arial" w:eastAsia="Arial" w:hAnsi="Arial"/>
          <w:sz w:val="22"/>
          <w:szCs w:val="22"/>
          <w:b w:val="1"/>
          <w:bCs w:val="1"/>
          <w:color w:val="auto"/>
        </w:rPr>
        <w:t>Reaffirming 2019 guidance of revenue in the range of $2,790 - $2,830 million and earnings in the range of $6.81 – $6.95.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-267335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59" w:lineRule="exact"/>
        <w:rPr>
          <w:sz w:val="20"/>
          <w:szCs w:val="20"/>
          <w:color w:val="auto"/>
        </w:rPr>
      </w:pPr>
    </w:p>
    <w:p>
      <w:pPr>
        <w:ind w:right="80"/>
        <w:spacing w:after="0" w:line="251" w:lineRule="auto"/>
        <w:rPr>
          <w:sz w:val="20"/>
          <w:szCs w:val="20"/>
          <w:color w:val="auto"/>
        </w:rPr>
      </w:pPr>
      <w:r>
        <w:rPr>
          <w:rFonts w:ascii="Arial" w:cs="Arial" w:eastAsia="Arial" w:hAnsi="Arial"/>
          <w:sz w:val="21"/>
          <w:szCs w:val="21"/>
          <w:color w:val="auto"/>
        </w:rPr>
        <w:t>DUBLIN--(BUSINESS WIRE)--January 14, 2020--</w:t>
      </w:r>
      <w:r>
        <w:rPr>
          <w:rFonts w:ascii="Arial" w:cs="Arial" w:eastAsia="Arial" w:hAnsi="Arial"/>
          <w:sz w:val="21"/>
          <w:szCs w:val="21"/>
          <w:b w:val="1"/>
          <w:bCs w:val="1"/>
          <w:color w:val="auto"/>
        </w:rPr>
        <w:t>ICON plc (NASDAQ: ICLR),</w:t>
      </w:r>
      <w:r>
        <w:rPr>
          <w:rFonts w:ascii="Arial" w:cs="Arial" w:eastAsia="Arial" w:hAnsi="Arial"/>
          <w:sz w:val="21"/>
          <w:szCs w:val="21"/>
          <w:color w:val="auto"/>
        </w:rPr>
        <w:t xml:space="preserve"> global provider of outsourced drug and device development and commercialisation services to pharmaceutical, biotechnology, medical device and government and public health organisations, today announced its financial guidance for the year ended December 31, 2020. For the full year 2020 revenue is expected to be in the range of $2,972 - $3,092 million, representing growth of 5.8 – 10.0% and earnings per share is expected to be in the range of $7.55 - $7.85, representing growth of 9.7 – 14.1%.</w:t>
      </w:r>
    </w:p>
    <w:p>
      <w:pPr>
        <w:spacing w:after="0" w:line="175" w:lineRule="exact"/>
        <w:rPr>
          <w:sz w:val="20"/>
          <w:szCs w:val="20"/>
          <w:color w:val="auto"/>
        </w:rPr>
      </w:pPr>
    </w:p>
    <w:p>
      <w:pPr>
        <w:ind w:right="120"/>
        <w:spacing w:after="0" w:line="234" w:lineRule="auto"/>
        <w:rPr>
          <w:sz w:val="20"/>
          <w:szCs w:val="20"/>
          <w:color w:val="auto"/>
        </w:rPr>
      </w:pPr>
      <w:r>
        <w:rPr>
          <w:rFonts w:ascii="Arial" w:cs="Arial" w:eastAsia="Arial" w:hAnsi="Arial"/>
          <w:sz w:val="22"/>
          <w:szCs w:val="22"/>
          <w:color w:val="auto"/>
        </w:rPr>
        <w:t>CEO Steve Cutler commented “</w:t>
      </w:r>
      <w:r>
        <w:rPr>
          <w:rFonts w:ascii="Arial" w:cs="Arial" w:eastAsia="Arial" w:hAnsi="Arial"/>
          <w:sz w:val="22"/>
          <w:szCs w:val="22"/>
          <w:i w:val="1"/>
          <w:iCs w:val="1"/>
          <w:color w:val="auto"/>
        </w:rPr>
        <w:t>The benefits of ICON’s differentiated Patient, Site and Data strategy continue to gain traction with</w:t>
      </w:r>
      <w:r>
        <w:rPr>
          <w:rFonts w:ascii="Arial" w:cs="Arial" w:eastAsia="Arial" w:hAnsi="Arial"/>
          <w:sz w:val="22"/>
          <w:szCs w:val="22"/>
          <w:color w:val="auto"/>
        </w:rPr>
        <w:t xml:space="preserve"> </w:t>
      </w:r>
      <w:r>
        <w:rPr>
          <w:rFonts w:ascii="Arial" w:cs="Arial" w:eastAsia="Arial" w:hAnsi="Arial"/>
          <w:sz w:val="22"/>
          <w:szCs w:val="22"/>
          <w:i w:val="1"/>
          <w:iCs w:val="1"/>
          <w:color w:val="auto"/>
        </w:rPr>
        <w:t>both new and existing customers as evidenced by our trailing twelve month book to bill of 1.32x. Supported by strong industry fundamentals, we expect this positive momentum to continue into 2020 and consequently we expect revenue to grow by 5.8 – 10% to a range of $2,972 - $3,092 million. Furthermore, by remaining focused on cost efficiencies and leveraging our global support infrastructure, we expect earnings per share to increase by 9.7 – 14.1% to a range of $7.55 - $7.85. In addition to this organic growth, we will continue to actively deploy capital to maximise shareholder value through a combination of M&amp;A and share repurchases.”</w:t>
      </w:r>
    </w:p>
    <w:p>
      <w:pPr>
        <w:spacing w:after="0" w:line="191" w:lineRule="exact"/>
        <w:rPr>
          <w:sz w:val="20"/>
          <w:szCs w:val="20"/>
          <w:color w:val="auto"/>
        </w:rPr>
      </w:pPr>
    </w:p>
    <w:p>
      <w:pPr>
        <w:spacing w:after="0"/>
        <w:rPr>
          <w:sz w:val="20"/>
          <w:szCs w:val="20"/>
          <w:color w:val="auto"/>
        </w:rPr>
      </w:pPr>
      <w:r>
        <w:rPr>
          <w:rFonts w:ascii="Arial" w:cs="Arial" w:eastAsia="Arial" w:hAnsi="Arial"/>
          <w:sz w:val="22"/>
          <w:szCs w:val="22"/>
          <w:color w:val="auto"/>
        </w:rPr>
        <w:t>The full year 2020 financial guidance assumes: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US dollar to Euro exchange rate of $1.11.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8" w:lineRule="auto"/>
        <w:rPr>
          <w:sz w:val="20"/>
          <w:szCs w:val="20"/>
          <w:color w:val="auto"/>
        </w:rPr>
      </w:pPr>
      <w:r>
        <w:rPr>
          <w:rFonts w:ascii="Arial" w:cs="Arial" w:eastAsia="Arial" w:hAnsi="Arial"/>
          <w:sz w:val="22"/>
          <w:szCs w:val="22"/>
          <w:color w:val="auto"/>
        </w:rPr>
        <w:t>An effective tax rate of circa 12 - 13%.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spacing w:after="0" w:line="230" w:lineRule="auto"/>
        <w:rPr>
          <w:sz w:val="20"/>
          <w:szCs w:val="20"/>
          <w:color w:val="auto"/>
        </w:rPr>
      </w:pPr>
      <w:r>
        <w:rPr>
          <w:rFonts w:ascii="Arial" w:cs="Arial" w:eastAsia="Arial" w:hAnsi="Arial"/>
          <w:sz w:val="22"/>
          <w:szCs w:val="22"/>
          <w:color w:val="auto"/>
        </w:rPr>
        <w:t>Circa $350 million - $370 million of free cash flow and capital expenditures of circa $55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-103505</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400"/>
        <w:spacing w:after="0" w:line="237" w:lineRule="auto"/>
        <w:rPr>
          <w:sz w:val="20"/>
          <w:szCs w:val="20"/>
          <w:color w:val="auto"/>
        </w:rPr>
      </w:pPr>
      <w:r>
        <w:rPr>
          <w:rFonts w:ascii="Arial" w:cs="Arial" w:eastAsia="Arial" w:hAnsi="Arial"/>
          <w:sz w:val="22"/>
          <w:szCs w:val="22"/>
          <w:color w:val="auto"/>
        </w:rPr>
        <w:t>Share repurchases of one million shares to be executed opportunistically during 2020 depending on cash commitments to support M&amp;A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-267335</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5" w:lineRule="exact"/>
        <w:rPr>
          <w:sz w:val="20"/>
          <w:szCs w:val="20"/>
          <w:color w:val="auto"/>
        </w:rPr>
      </w:pPr>
    </w:p>
    <w:p>
      <w:pPr>
        <w:ind w:right="140"/>
        <w:spacing w:after="0" w:line="251" w:lineRule="auto"/>
        <w:rPr>
          <w:sz w:val="20"/>
          <w:szCs w:val="20"/>
          <w:color w:val="auto"/>
        </w:rPr>
      </w:pPr>
      <w:r>
        <w:rPr>
          <w:rFonts w:ascii="Arial" w:cs="Arial" w:eastAsia="Arial" w:hAnsi="Arial"/>
          <w:sz w:val="22"/>
          <w:szCs w:val="22"/>
          <w:color w:val="auto"/>
        </w:rPr>
        <w:t>With respect to 2019, the company reaffirmed its current guidance of revenue in the range of $2,790 - $2,830 million and earnings in the range of $6.81 – $6.95.</w:t>
      </w:r>
    </w:p>
    <w:p>
      <w:pPr>
        <w:spacing w:after="0" w:line="55"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ICON will be presenting at the JP Morgan Healthcare Conference on </w:t>
      </w:r>
      <w:r>
        <w:rPr>
          <w:rFonts w:ascii="Arial" w:cs="Arial" w:eastAsia="Arial" w:hAnsi="Arial"/>
          <w:sz w:val="20"/>
          <w:szCs w:val="20"/>
          <w:b w:val="1"/>
          <w:bCs w:val="1"/>
          <w:color w:val="auto"/>
        </w:rPr>
        <w:t>January 14</w:t>
      </w:r>
      <w:r>
        <w:rPr>
          <w:rFonts w:ascii="Arial" w:cs="Arial" w:eastAsia="Arial" w:hAnsi="Arial"/>
          <w:sz w:val="33"/>
          <w:szCs w:val="33"/>
          <w:b w:val="1"/>
          <w:bCs w:val="1"/>
          <w:color w:val="auto"/>
          <w:vertAlign w:val="superscript"/>
        </w:rPr>
        <w:t>th</w:t>
      </w:r>
      <w:r>
        <w:rPr>
          <w:rFonts w:ascii="Arial" w:cs="Arial" w:eastAsia="Arial" w:hAnsi="Arial"/>
          <w:sz w:val="20"/>
          <w:szCs w:val="20"/>
          <w:color w:val="auto"/>
        </w:rPr>
        <w:t xml:space="preserve"> </w:t>
      </w:r>
      <w:r>
        <w:rPr>
          <w:rFonts w:ascii="Arial" w:cs="Arial" w:eastAsia="Arial" w:hAnsi="Arial"/>
          <w:sz w:val="20"/>
          <w:szCs w:val="20"/>
          <w:b w:val="1"/>
          <w:bCs w:val="1"/>
          <w:color w:val="auto"/>
        </w:rPr>
        <w:t>at 10:30am PST (1:30pm EST, 6:30pm</w:t>
      </w:r>
    </w:p>
    <w:p>
      <w:pPr>
        <w:spacing w:after="0"/>
        <w:rPr>
          <w:sz w:val="20"/>
          <w:szCs w:val="20"/>
          <w:color w:val="auto"/>
        </w:rPr>
      </w:pPr>
      <w:r>
        <w:rPr>
          <w:rFonts w:ascii="Arial" w:cs="Arial" w:eastAsia="Arial" w:hAnsi="Arial"/>
          <w:sz w:val="19"/>
          <w:szCs w:val="19"/>
          <w:b w:val="1"/>
          <w:bCs w:val="1"/>
          <w:color w:val="auto"/>
        </w:rPr>
        <w:t xml:space="preserve">Ireland &amp; UK). </w:t>
      </w:r>
      <w:r>
        <w:rPr>
          <w:rFonts w:ascii="Arial" w:cs="Arial" w:eastAsia="Arial" w:hAnsi="Arial"/>
          <w:sz w:val="19"/>
          <w:szCs w:val="19"/>
          <w:color w:val="auto"/>
        </w:rPr>
        <w:t>This presentation and follow-on Q&amp;A can be accessed live from the ICON website at http://investor.iconplc.com.</w:t>
      </w:r>
    </w:p>
    <w:p>
      <w:pPr>
        <w:spacing w:after="0" w:line="25" w:lineRule="exact"/>
        <w:rPr>
          <w:sz w:val="20"/>
          <w:szCs w:val="20"/>
          <w:color w:val="auto"/>
        </w:rPr>
      </w:pPr>
    </w:p>
    <w:p>
      <w:pPr>
        <w:spacing w:after="0"/>
        <w:rPr>
          <w:sz w:val="20"/>
          <w:szCs w:val="20"/>
          <w:color w:val="auto"/>
        </w:rPr>
      </w:pPr>
      <w:r>
        <w:rPr>
          <w:rFonts w:ascii="Arial" w:cs="Arial" w:eastAsia="Arial" w:hAnsi="Arial"/>
          <w:sz w:val="22"/>
          <w:szCs w:val="22"/>
          <w:color w:val="auto"/>
        </w:rPr>
        <w:t>A recording will also be available on the website following the call.</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12" w:lineRule="exact"/>
        <w:rPr>
          <w:sz w:val="20"/>
          <w:szCs w:val="20"/>
          <w:color w:val="auto"/>
        </w:rPr>
      </w:pPr>
    </w:p>
    <w:p>
      <w:pPr>
        <w:ind w:right="320"/>
        <w:spacing w:after="0" w:line="282" w:lineRule="auto"/>
        <w:rPr>
          <w:sz w:val="20"/>
          <w:szCs w:val="20"/>
          <w:color w:val="auto"/>
        </w:rPr>
      </w:pPr>
      <w:r>
        <w:rPr>
          <w:rFonts w:ascii="Arial" w:cs="Arial" w:eastAsia="Arial" w:hAnsi="Arial"/>
          <w:sz w:val="19"/>
          <w:szCs w:val="19"/>
          <w:color w:val="auto"/>
        </w:rPr>
        <w:t>ICON plc is a global provider of outsourced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operates from 99 locations in 40 countries and had approximately 14,600 employees as at September 30, 2019. Further information is available at www.iconplc.com.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71" w:lineRule="auto"/>
        <w:rPr>
          <w:sz w:val="20"/>
          <w:szCs w:val="20"/>
          <w:color w:val="auto"/>
        </w:rPr>
      </w:pPr>
      <w:r>
        <w:rPr>
          <w:rFonts w:ascii="Arial" w:cs="Arial" w:eastAsia="Arial" w:hAnsi="Arial"/>
          <w:sz w:val="19"/>
          <w:szCs w:val="19"/>
          <w:i w:val="1"/>
          <w:iCs w:val="1"/>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http://www.sec.gov.</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+1 888 381 7923</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Brendan Brennan, Chief Financial Officer</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+353 1 291 2000</w:t>
      </w:r>
    </w:p>
    <w:p>
      <w:pPr>
        <w:spacing w:after="0" w:line="188" w:lineRule="exact"/>
        <w:rPr>
          <w:sz w:val="20"/>
          <w:szCs w:val="20"/>
          <w:color w:val="auto"/>
        </w:rPr>
      </w:pPr>
    </w:p>
    <w:p>
      <w:pPr>
        <w:ind w:right="4840"/>
        <w:spacing w:after="0" w:line="251" w:lineRule="auto"/>
        <w:rPr>
          <w:sz w:val="20"/>
          <w:szCs w:val="20"/>
          <w:color w:val="auto"/>
        </w:rPr>
      </w:pPr>
      <w:r>
        <w:rPr>
          <w:rFonts w:ascii="Arial" w:cs="Arial" w:eastAsia="Arial" w:hAnsi="Arial"/>
          <w:sz w:val="22"/>
          <w:szCs w:val="22"/>
          <w:color w:val="auto"/>
        </w:rPr>
        <w:t>Jonathan Curtain, Vice President Corporate Finance and Investor Relations +353 1 291 2000</w:t>
      </w:r>
    </w:p>
    <w:sectPr>
      <w:pgSz w:w="11900" w:h="16838" w:orient="portrait"/>
      <w:cols w:equalWidth="0" w:num="1">
        <w:col w:w="11340"/>
      </w:cols>
      <w:pgMar w:left="240" w:top="334"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2020-01-14T05:16:30Z</dcterms:created>
  <dcterms:modified xsi:type="dcterms:W3CDTF">2020-01-14T05:16:30Z</dcterms:modified>
</cp:coreProperties>
</file>