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2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For the month of January 2024</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4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09" w:right="1440" w:bottom="1440" w:gutter="0" w:footer="0" w:header="0"/>
        </w:sectPr>
      </w:pPr>
    </w:p>
    <w:bookmarkStart w:id="1" w:name="page2"/>
    <w:bookmarkEnd w:id="1"/>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ICON plc Press Release issued January 9, 2024 – ICON Issues Financial Guidance for Full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January 9, 2024</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0" w:type="dxa"/>
            <w:vAlign w:val="bottom"/>
          </w:tcPr>
          <w:p>
            <w:pPr>
              <w:spacing w:after="0"/>
              <w:rPr>
                <w:sz w:val="1"/>
                <w:szCs w:val="1"/>
                <w:color w:val="auto"/>
              </w:rPr>
            </w:pPr>
          </w:p>
        </w:tc>
      </w:tr>
      <w:tr>
        <w:trPr>
          <w:trHeight w:val="198"/>
        </w:trPr>
        <w:tc>
          <w:tcPr>
            <w:tcW w:w="7480" w:type="dxa"/>
            <w:vAlign w:val="bottom"/>
            <w:vMerge w:val="continue"/>
          </w:tcPr>
          <w:p>
            <w:pPr>
              <w:spacing w:after="0"/>
              <w:rPr>
                <w:sz w:val="17"/>
                <w:szCs w:val="17"/>
                <w:color w:val="auto"/>
              </w:rPr>
            </w:pPr>
          </w:p>
        </w:tc>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Brendan Brennan</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ICON Issues Financial Guidance for Full Year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85" w:lineRule="exact"/>
        <w:rPr>
          <w:sz w:val="20"/>
          <w:szCs w:val="20"/>
          <w:color w:val="auto"/>
        </w:rPr>
      </w:pPr>
    </w:p>
    <w:p>
      <w:pPr>
        <w:ind w:left="540" w:right="80"/>
        <w:spacing w:after="0" w:line="256" w:lineRule="auto"/>
        <w:rPr>
          <w:sz w:val="20"/>
          <w:szCs w:val="20"/>
          <w:color w:val="auto"/>
        </w:rPr>
      </w:pPr>
      <w:r>
        <w:rPr>
          <w:rFonts w:ascii="Times New Roman" w:cs="Times New Roman" w:eastAsia="Times New Roman" w:hAnsi="Times New Roman"/>
          <w:sz w:val="18"/>
          <w:szCs w:val="18"/>
          <w:b w:val="1"/>
          <w:bCs w:val="1"/>
          <w:color w:val="auto"/>
        </w:rPr>
        <w:t>Full Year 2024 Revenue guidance in the range of $8,400 - $8,800 million, representing growth of 3.2% – 8.1% over Full Year 2023 Revenue guidance midpoint.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-226695</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0"/>
        <w:spacing w:after="0" w:line="197" w:lineRule="auto"/>
        <w:rPr>
          <w:sz w:val="20"/>
          <w:szCs w:val="20"/>
          <w:color w:val="auto"/>
        </w:rPr>
      </w:pPr>
      <w:r>
        <w:rPr>
          <w:rFonts w:ascii="Times New Roman" w:cs="Times New Roman" w:eastAsia="Times New Roman" w:hAnsi="Times New Roman"/>
          <w:sz w:val="18"/>
          <w:szCs w:val="18"/>
          <w:b w:val="1"/>
          <w:bCs w:val="1"/>
          <w:color w:val="auto"/>
        </w:rPr>
        <w:t>Full Year 2024 adjusted earnings per share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guidance in the range of $14.50 - $15.30, representing growth of 13.5% – 19.8% over Full Year 2023 adjusted earnings per share guidance midpoint.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4"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8"/>
          <w:szCs w:val="18"/>
          <w:color w:val="auto"/>
        </w:rPr>
        <w:t>DUBLIN--(BUSINESS WIRE)--January 9, 2024--</w:t>
      </w:r>
      <w:r>
        <w:rPr>
          <w:rFonts w:ascii="Times New Roman" w:cs="Times New Roman" w:eastAsia="Times New Roman" w:hAnsi="Times New Roman"/>
          <w:sz w:val="18"/>
          <w:szCs w:val="18"/>
          <w:b w:val="1"/>
          <w:bCs w:val="1"/>
          <w:color w:val="auto"/>
        </w:rPr>
        <w:t>ICON plc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(NASDAQ: ICLR),</w:t>
      </w:r>
      <w:r>
        <w:rPr>
          <w:rFonts w:ascii="Times New Roman" w:cs="Times New Roman" w:eastAsia="Times New Roman" w:hAnsi="Times New Roman"/>
          <w:sz w:val="18"/>
          <w:szCs w:val="18"/>
          <w:color w:val="auto"/>
        </w:rPr>
        <w:t xml:space="preserve"> a world-leading clinical research organization powered by healthcare intelligence, today announced its financial guidance for the year ending December 31, 2024. For the full year 2024, revenue is expected to be in the range of $8,400 - $8,800 million, representing growth of 3.2% – 8.1%, and adjusted 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expected to be in the range of $14.50 - $15.30, representing growth of 13.5% – 19.8%, over Full Year 2023 revenue and adjusted earnings per share guidance midpoints, respectively.</w:t>
      </w:r>
    </w:p>
    <w:p>
      <w:pPr>
        <w:spacing w:after="0" w:line="1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CEO Dr. Steve Cutler commented, “</w:t>
      </w:r>
      <w:r>
        <w:rPr>
          <w:rFonts w:ascii="Times New Roman" w:cs="Times New Roman" w:eastAsia="Times New Roman" w:hAnsi="Times New Roman"/>
          <w:sz w:val="18"/>
          <w:szCs w:val="18"/>
          <w:i w:val="1"/>
          <w:iCs w:val="1"/>
          <w:color w:val="auto"/>
        </w:rPr>
        <w:t>ICON’s position as the market leading provider of clinical development services continues to strengthen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increased scale of our offering and consistent operational execution for our customers. We remain focused on driving efficiency in clinical trials through investments in automation, innovative tools and initiatives to increase participation for sites and patients in clinical research. Our outlook for 2024 indicates a positive demand environment across our segments, notwithstanding continuing macroeconomic pressures faced by our customers, resulting in full year revenue guidance in the range of $8,400 - $8,800 million and adjusted earnings per share in the range of $14.50 - $15.30.”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year 2024 financial guidance assumptions: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 effective tax rate of circa 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Circa $1.1 billion of free cash flow and capital expenditures in the range of $150 - $200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Interest expense in the range of $200 – $230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Adjusted EBITDA margin expansion of circa 50 bps over Full Year 2023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Excludes any potential share repurchase or additional M&amp;A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With respect to Full Year 2023, the company reaffirmed its current guidance of revenue in the range of $8,070 - $8,210 million and adjusted 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the range of $12.63 - $12.91.</w:t>
      </w:r>
    </w:p>
    <w:p>
      <w:pPr>
        <w:spacing w:after="0" w:line="8" w:lineRule="exact"/>
        <w:rPr>
          <w:sz w:val="20"/>
          <w:szCs w:val="20"/>
          <w:color w:val="auto"/>
        </w:rPr>
      </w:pPr>
    </w:p>
    <w:p>
      <w:pPr>
        <w:ind w:right="80" w:firstLine="8"/>
        <w:spacing w:after="0" w:line="210"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full-year 2023 and 2024 guidance adjusted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106 locations in 53 countries as at September 30, 2023. For further information about ICON, visit: 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regarding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financial measures prepared in accordance with generally accepted accounting principles (GAAP), this press release contains certain non-GAAP financial measures, including adjusted EBITDA and adjusted earnings per share. Adjusted EBITDA and adjusted earnings per share excludes amortization, stock compensation, foreign exchange gains and losses, and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+1 888 381 7923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+ 353 1 291 2000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 Vice President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+1 888 381 7923</w:t>
      </w:r>
    </w:p>
    <w:sectPr>
      <w:pgSz w:w="11900" w:h="16838" w:orient="portrait"/>
      <w:cols w:equalWidth="0" w:num="1">
        <w:col w:w="11200"/>
      </w:cols>
      <w:pgMar w:left="320" w:top="2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2024-01-09T07:19:34Z</dcterms:created>
  <dcterms:modified xsi:type="dcterms:W3CDTF">2024-01-09T07:19:34Z</dcterms:modified>
</cp:coreProperties>
</file>