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November, 2012</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 dated November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November 1, 2012</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ICON Reports Q3 Revenue of $286 Million, EPS of 29c and Net New Business of $450 Million. (NASDAQ: ICLR)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(ISIN:IE0005711209)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Third Quarter Fiscal 2012</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Net revenue of $286 million, a 19% increase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Income from operations of $20.9 million or 7.3%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EPS of 29 cents on net income of $17.7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80"/>
        <w:spacing w:after="0" w:line="256" w:lineRule="auto"/>
        <w:rPr>
          <w:sz w:val="20"/>
          <w:szCs w:val="20"/>
          <w:color w:val="auto"/>
        </w:rPr>
      </w:pPr>
      <w:r>
        <w:rPr>
          <w:rFonts w:ascii="Arial" w:cs="Arial" w:eastAsia="Arial" w:hAnsi="Arial"/>
          <w:sz w:val="22"/>
          <w:szCs w:val="22"/>
          <w:b w:val="1"/>
          <w:bCs w:val="1"/>
          <w:color w:val="auto"/>
        </w:rPr>
        <w:t>Gross business wins of $496 million, a gross book to bill of 1.7. Net business wins of $450 million, a net book to bill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Backlog increased 19% year on year to $2.7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80"/>
        <w:spacing w:after="0" w:line="256" w:lineRule="auto"/>
        <w:rPr>
          <w:sz w:val="20"/>
          <w:szCs w:val="20"/>
          <w:color w:val="auto"/>
        </w:rPr>
      </w:pPr>
      <w:r>
        <w:rPr>
          <w:rFonts w:ascii="Arial" w:cs="Arial" w:eastAsia="Arial" w:hAnsi="Arial"/>
          <w:sz w:val="22"/>
          <w:szCs w:val="22"/>
          <w:b w:val="1"/>
          <w:bCs w:val="1"/>
          <w:color w:val="auto"/>
        </w:rPr>
        <w:t>Announces plans to proceed with a full listing on NASDAQ, replacing its current NASDAQ ADR programme and to withdraw from the Irish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ind w:right="240"/>
        <w:spacing w:after="0" w:line="243" w:lineRule="auto"/>
        <w:rPr>
          <w:sz w:val="20"/>
          <w:szCs w:val="20"/>
          <w:color w:val="auto"/>
        </w:rPr>
      </w:pPr>
      <w:r>
        <w:rPr>
          <w:rFonts w:ascii="Arial" w:cs="Arial" w:eastAsia="Arial" w:hAnsi="Arial"/>
          <w:sz w:val="22"/>
          <w:szCs w:val="22"/>
          <w:color w:val="auto"/>
        </w:rPr>
        <w:t>DUBLIN--(BUSINESS WIRE)--November 1, 2012--</w:t>
      </w:r>
      <w:r>
        <w:rPr>
          <w:rFonts w:ascii="Arial" w:cs="Arial" w:eastAsia="Arial" w:hAnsi="Arial"/>
          <w:sz w:val="22"/>
          <w:szCs w:val="22"/>
          <w:b w:val="1"/>
          <w:bCs w:val="1"/>
          <w:color w:val="auto"/>
        </w:rPr>
        <w:t>ICON (NASDAQ:ICLR) (ISIN:IE0005711209) ,</w:t>
      </w:r>
      <w:r>
        <w:rPr>
          <w:rFonts w:ascii="Arial" w:cs="Arial" w:eastAsia="Arial" w:hAnsi="Arial"/>
          <w:sz w:val="22"/>
          <w:szCs w:val="22"/>
          <w:color w:val="auto"/>
        </w:rPr>
        <w:t xml:space="preserve"> a global provider of outsourced development services to the pharmaceutical, biotechnology and medical device industries, today reported its financial results for the third quarter ended September 30, 2012.</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Net revenues for the quarter grew 19% to $286 million compared to $241 million in the same quarter last year.</w:t>
      </w:r>
    </w:p>
    <w:p>
      <w:pPr>
        <w:spacing w:after="0" w:line="206" w:lineRule="exact"/>
        <w:rPr>
          <w:sz w:val="20"/>
          <w:szCs w:val="20"/>
          <w:color w:val="auto"/>
        </w:rPr>
      </w:pPr>
    </w:p>
    <w:p>
      <w:pPr>
        <w:jc w:val="both"/>
        <w:ind w:right="460"/>
        <w:spacing w:after="0" w:line="297" w:lineRule="auto"/>
        <w:rPr>
          <w:sz w:val="20"/>
          <w:szCs w:val="20"/>
          <w:color w:val="auto"/>
        </w:rPr>
      </w:pPr>
      <w:r>
        <w:rPr>
          <w:rFonts w:ascii="Arial" w:cs="Arial" w:eastAsia="Arial" w:hAnsi="Arial"/>
          <w:sz w:val="19"/>
          <w:szCs w:val="19"/>
          <w:color w:val="auto"/>
        </w:rPr>
        <w:t>Income from operations, before restructuring and other non-recurring charges, for the quarter was $20.9 million or 7.3% of net revenue, compared with $1.1 million or 0.5% of net revenue for the same period last year. Net income before restructuring and other non-recurring charges was $17.7 million or 29 cents per share compared to $1.5 million or 2 cents per share in Q3 2011.</w:t>
      </w:r>
    </w:p>
    <w:p>
      <w:pPr>
        <w:spacing w:after="0" w:line="134"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US GAAP income from operations for the quarter was $20.9 million or 7.3% of net revenue, compared with US GAAP losses from operations of $3.7 million or 1.5% of net revenue in the same period last year. US GAAP net income for the quarter was $17.7 million or 29 cents per share compared to a loss of $2.7 million or 4 cents per share last year.</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Year-to-date net revenues were $815 million representing a 16% increase over the same period last year.</w:t>
      </w:r>
    </w:p>
    <w:p>
      <w:pPr>
        <w:spacing w:after="0" w:line="206"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Year to date income from operations, before restructuring and other non-recurring charges recorded in the second quarter, was $49.3 million or 6.0% of net revenue compared to $32.6 million or 4.6% of net revenue in the same period last year. Net income year to date, excluding restructuring and other non-recurring charges recorded in the second quarter, was $39.6 million or 66 cents per share. In the same period last year, net income year to date, before restructuring and other non-recurring charges was $27.4 million or 45 cents per share.</w:t>
      </w:r>
    </w:p>
    <w:p>
      <w:pPr>
        <w:spacing w:after="0" w:line="188"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Year to date US GAAP income from operations was $43.6 million or 5.3% of net revenue, compared to $22.8 million or 3.2% of net revenue for the same period last year. US GAAP net income year to date was $34.7 million or 57 cents per share compared to $18.8 million or 31 cents per share last year.</w:t>
      </w:r>
    </w:p>
    <w:p>
      <w:pPr>
        <w:spacing w:after="0" w:line="186"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38 days at September 30, 2012, compared to 52 days at September 30, 2011.</w:t>
      </w:r>
    </w:p>
    <w:p>
      <w:pPr>
        <w:spacing w:after="0" w:line="173"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For the quarter ended September 30, 2012, cash generated from operating activities was $29.3 million and capital expenditure was $6.6 million. Cash paid in respect of acquisitions was $17.4 million for the quarter. The company’s net cash amounted to $180 million at September 30, 2012 compared with net cash of $168 million at June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9"/>
          <w:szCs w:val="19"/>
          <w:color w:val="auto"/>
        </w:rPr>
        <w:t>In our Annual Report for 2011 it was noted that ICON has been considering the structure of its share listings due to its international operations and profile. ICON now plans, subject to finalising the necessary details and arrangements, to proceed with a full listing of shares on NASDAQ and terminate the current NASDAQ ADR programme. It is the company’s view that this change will provide benefits to shareholders, including removing some barriers to ownerships and also the potential for further index inclusion for the stock. As a result of this change, ICON believes the Irish Stock Exchange listing will no longer be necessary and accordingly it is the company’s plan to withdraw from the Irish Stock Exchange. Once the necessary details and arrangements are finalised, we will announce a date for a shareholder meeting to vote on the resolutions required to implement these listing changes.</w:t>
      </w:r>
    </w:p>
    <w:p>
      <w:pPr>
        <w:spacing w:after="0" w:line="153"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 xml:space="preserve">CEO Ciaran Murray commented, </w:t>
      </w:r>
      <w:r>
        <w:rPr>
          <w:rFonts w:ascii="Arial" w:cs="Arial" w:eastAsia="Arial" w:hAnsi="Arial"/>
          <w:sz w:val="21"/>
          <w:szCs w:val="21"/>
          <w:i w:val="1"/>
          <w:iCs w:val="1"/>
          <w:color w:val="auto"/>
        </w:rPr>
        <w:t>“I am happy with our progress so far in 2012. We have recorded $1.5bn of gross bookings in the</w:t>
      </w:r>
      <w:r>
        <w:rPr>
          <w:rFonts w:ascii="Arial" w:cs="Arial" w:eastAsia="Arial" w:hAnsi="Arial"/>
          <w:sz w:val="21"/>
          <w:szCs w:val="21"/>
          <w:color w:val="auto"/>
        </w:rPr>
        <w:t xml:space="preserve"> </w:t>
      </w:r>
      <w:r>
        <w:rPr>
          <w:rFonts w:ascii="Arial" w:cs="Arial" w:eastAsia="Arial" w:hAnsi="Arial"/>
          <w:sz w:val="21"/>
          <w:szCs w:val="21"/>
          <w:i w:val="1"/>
          <w:iCs w:val="1"/>
          <w:color w:val="auto"/>
        </w:rPr>
        <w:t>first three quarters of the year, produced 16% growth in revenue year to date and our margin recovery continues to go to plan. We continue to strive to be the CRO partner of choice for the biopharma industry and to differentiate our company through our people, industry leading innovation and expanding value added service offerings.”</w:t>
      </w:r>
    </w:p>
    <w:p>
      <w:pPr>
        <w:spacing w:after="0" w:line="174" w:lineRule="exact"/>
        <w:rPr>
          <w:sz w:val="20"/>
          <w:szCs w:val="20"/>
          <w:color w:val="auto"/>
        </w:rPr>
      </w:pPr>
    </w:p>
    <w:p>
      <w:pPr>
        <w:jc w:val="both"/>
        <w:ind w:right="32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 xml:space="preserve">ICON will hold its third quarter conference call today, November 1, 2012 at 9:00 EST [13:00 Ireland &amp; UK]. This call and linked slide presentation can be accessed live from our website at </w:t>
      </w:r>
      <w:r>
        <w:rPr>
          <w:rFonts w:ascii="Arial" w:cs="Arial" w:eastAsia="Arial" w:hAnsi="Arial"/>
          <w:sz w:val="21"/>
          <w:szCs w:val="21"/>
          <w:u w:val="single" w:color="auto"/>
          <w:color w:val="auto"/>
        </w:rPr>
        <w:t>http://investor.iconplc.com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ind w:right="52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82 locations in 40 countries and has approximately 9,280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rPr>
              <w:t>ICON plc</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3000" w:type="dxa"/>
            <w:vAlign w:val="bottom"/>
          </w:tcPr>
          <w:p>
            <w:pPr>
              <w:spacing w:after="0"/>
              <w:rPr>
                <w:sz w:val="24"/>
                <w:szCs w:val="24"/>
                <w:color w:val="auto"/>
              </w:rPr>
            </w:pPr>
          </w:p>
        </w:tc>
        <w:tc>
          <w:tcPr>
            <w:tcW w:w="4440" w:type="dxa"/>
            <w:vAlign w:val="bottom"/>
            <w:gridSpan w:val="5"/>
          </w:tcPr>
          <w:p>
            <w:pPr>
              <w:jc w:val="center"/>
              <w:ind w:left="908"/>
              <w:spacing w:after="0"/>
              <w:rPr>
                <w:sz w:val="20"/>
                <w:szCs w:val="20"/>
                <w:color w:val="auto"/>
              </w:rPr>
            </w:pPr>
            <w:r>
              <w:rPr>
                <w:rFonts w:ascii="Arial" w:cs="Arial" w:eastAsia="Arial" w:hAnsi="Arial"/>
                <w:sz w:val="14"/>
                <w:szCs w:val="14"/>
                <w:b w:val="1"/>
                <w:bCs w:val="1"/>
                <w:color w:val="auto"/>
                <w:w w:val="91"/>
              </w:rPr>
              <w:t>Consolidated Income Statements (Unaudited)</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4440" w:type="dxa"/>
            <w:vAlign w:val="bottom"/>
            <w:gridSpan w:val="5"/>
          </w:tcPr>
          <w:p>
            <w:pPr>
              <w:jc w:val="center"/>
              <w:ind w:left="888"/>
              <w:spacing w:after="0"/>
              <w:rPr>
                <w:sz w:val="20"/>
                <w:szCs w:val="20"/>
                <w:color w:val="auto"/>
              </w:rPr>
            </w:pPr>
            <w:r>
              <w:rPr>
                <w:rFonts w:ascii="Arial" w:cs="Arial" w:eastAsia="Arial" w:hAnsi="Arial"/>
                <w:sz w:val="14"/>
                <w:szCs w:val="14"/>
                <w:b w:val="1"/>
                <w:bCs w:val="1"/>
                <w:color w:val="auto"/>
                <w:w w:val="92"/>
              </w:rPr>
              <w:t>(Before restructuring and other non-recurring charges)</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000" w:type="dxa"/>
            <w:vAlign w:val="bottom"/>
          </w:tcPr>
          <w:p>
            <w:pPr>
              <w:spacing w:after="0"/>
              <w:rPr>
                <w:sz w:val="24"/>
                <w:szCs w:val="24"/>
                <w:color w:val="auto"/>
              </w:rPr>
            </w:pPr>
          </w:p>
        </w:tc>
        <w:tc>
          <w:tcPr>
            <w:tcW w:w="54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Three and Nine Months ended September 30, 2012 and September 30, 2011</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4440" w:type="dxa"/>
            <w:vAlign w:val="bottom"/>
            <w:gridSpan w:val="5"/>
          </w:tcPr>
          <w:p>
            <w:pPr>
              <w:jc w:val="center"/>
              <w:ind w:left="90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0" w:type="dxa"/>
            <w:vAlign w:val="bottom"/>
            <w:gridSpan w:val="4"/>
          </w:tcPr>
          <w:p>
            <w:pPr>
              <w:ind w:left="820"/>
              <w:spacing w:after="0"/>
              <w:rPr>
                <w:sz w:val="20"/>
                <w:szCs w:val="20"/>
                <w:color w:val="auto"/>
              </w:rPr>
            </w:pPr>
            <w:r>
              <w:rPr>
                <w:rFonts w:ascii="Arial" w:cs="Arial" w:eastAsia="Arial" w:hAnsi="Arial"/>
                <w:sz w:val="14"/>
                <w:szCs w:val="14"/>
                <w:b w:val="1"/>
                <w:bCs w:val="1"/>
                <w:color w:val="auto"/>
                <w:w w:val="98"/>
              </w:rPr>
              <w:t>Three Months Ended</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3"/>
          </w:tcPr>
          <w:p>
            <w:pPr>
              <w:ind w:left="880"/>
              <w:spacing w:after="0"/>
              <w:rPr>
                <w:sz w:val="20"/>
                <w:szCs w:val="20"/>
                <w:color w:val="auto"/>
              </w:rPr>
            </w:pPr>
            <w:r>
              <w:rPr>
                <w:rFonts w:ascii="Arial" w:cs="Arial" w:eastAsia="Arial" w:hAnsi="Arial"/>
                <w:sz w:val="14"/>
                <w:szCs w:val="14"/>
                <w:b w:val="1"/>
                <w:bCs w:val="1"/>
                <w:color w:val="auto"/>
                <w:w w:val="99"/>
              </w:rPr>
              <w:t>Nine Months Ended</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0" w:type="dxa"/>
            <w:vAlign w:val="bottom"/>
            <w:gridSpan w:val="4"/>
          </w:tcPr>
          <w:p>
            <w:pPr>
              <w:ind w:left="700"/>
              <w:spacing w:after="0" w:line="149" w:lineRule="exact"/>
              <w:rPr>
                <w:sz w:val="20"/>
                <w:szCs w:val="20"/>
                <w:color w:val="auto"/>
              </w:rPr>
            </w:pPr>
            <w:r>
              <w:rPr>
                <w:rFonts w:ascii="Arial" w:cs="Arial" w:eastAsia="Arial" w:hAnsi="Arial"/>
                <w:sz w:val="14"/>
                <w:szCs w:val="14"/>
                <w:b w:val="1"/>
                <w:bCs w:val="1"/>
                <w:color w:val="auto"/>
              </w:rPr>
              <w:t>September</w:t>
            </w: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September</w:t>
            </w:r>
          </w:p>
        </w:tc>
        <w:tc>
          <w:tcPr>
            <w:tcW w:w="2200" w:type="dxa"/>
            <w:vAlign w:val="bottom"/>
            <w:gridSpan w:val="3"/>
          </w:tcPr>
          <w:p>
            <w:pPr>
              <w:ind w:left="720"/>
              <w:spacing w:after="0" w:line="149" w:lineRule="exact"/>
              <w:rPr>
                <w:sz w:val="20"/>
                <w:szCs w:val="20"/>
                <w:color w:val="auto"/>
              </w:rPr>
            </w:pPr>
            <w:r>
              <w:rPr>
                <w:rFonts w:ascii="Arial" w:cs="Arial" w:eastAsia="Arial" w:hAnsi="Arial"/>
                <w:sz w:val="14"/>
                <w:szCs w:val="14"/>
                <w:b w:val="1"/>
                <w:bCs w:val="1"/>
                <w:color w:val="auto"/>
              </w:rPr>
              <w:t>September</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September</w:t>
            </w: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3660" w:type="dxa"/>
            <w:vAlign w:val="bottom"/>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3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2011</w:t>
            </w:r>
          </w:p>
        </w:tc>
        <w:tc>
          <w:tcPr>
            <w:tcW w:w="1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351"/>
        </w:trPr>
        <w:tc>
          <w:tcPr>
            <w:tcW w:w="3000" w:type="dxa"/>
            <w:vAlign w:val="bottom"/>
          </w:tcPr>
          <w:p>
            <w:pPr>
              <w:spacing w:after="0"/>
              <w:rPr>
                <w:sz w:val="20"/>
                <w:szCs w:val="20"/>
                <w:color w:val="auto"/>
              </w:rPr>
            </w:pPr>
            <w:r>
              <w:rPr>
                <w:rFonts w:ascii="Arial" w:cs="Arial" w:eastAsia="Arial" w:hAnsi="Arial"/>
                <w:sz w:val="14"/>
                <w:szCs w:val="14"/>
                <w:color w:val="auto"/>
              </w:rPr>
              <w:t>Gross Revenue</w:t>
            </w:r>
          </w:p>
        </w:tc>
        <w:tc>
          <w:tcPr>
            <w:tcW w:w="3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374,965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335,332</w:t>
            </w:r>
          </w:p>
        </w:tc>
        <w:tc>
          <w:tcPr>
            <w:tcW w:w="1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1,097,640</w:t>
            </w:r>
          </w:p>
        </w:tc>
        <w:tc>
          <w:tcPr>
            <w:tcW w:w="6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958,575</w:t>
            </w:r>
          </w:p>
        </w:tc>
        <w:tc>
          <w:tcPr>
            <w:tcW w:w="0" w:type="dxa"/>
            <w:vAlign w:val="bottom"/>
          </w:tcPr>
          <w:p>
            <w:pPr>
              <w:spacing w:after="0"/>
              <w:rPr>
                <w:sz w:val="1"/>
                <w:szCs w:val="1"/>
                <w:color w:val="auto"/>
              </w:rPr>
            </w:pPr>
          </w:p>
        </w:tc>
      </w:tr>
      <w:tr>
        <w:trPr>
          <w:trHeight w:val="351"/>
        </w:trPr>
        <w:tc>
          <w:tcPr>
            <w:tcW w:w="3000" w:type="dxa"/>
            <w:vAlign w:val="bottom"/>
          </w:tcPr>
          <w:p>
            <w:pPr>
              <w:spacing w:after="0"/>
              <w:rPr>
                <w:sz w:val="20"/>
                <w:szCs w:val="20"/>
                <w:color w:val="auto"/>
              </w:rPr>
            </w:pPr>
            <w:r>
              <w:rPr>
                <w:rFonts w:ascii="Arial" w:cs="Arial" w:eastAsia="Arial" w:hAnsi="Arial"/>
                <w:sz w:val="14"/>
                <w:szCs w:val="14"/>
                <w:color w:val="auto"/>
              </w:rPr>
              <w:t>Reimbursable expenses</w:t>
            </w:r>
          </w:p>
        </w:tc>
        <w:tc>
          <w:tcPr>
            <w:tcW w:w="3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89,463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94,560</w:t>
            </w:r>
          </w:p>
        </w:tc>
        <w:tc>
          <w:tcPr>
            <w:tcW w:w="1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282,798</w:t>
            </w:r>
          </w:p>
        </w:tc>
        <w:tc>
          <w:tcPr>
            <w:tcW w:w="6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255,461</w:t>
            </w:r>
          </w:p>
        </w:tc>
        <w:tc>
          <w:tcPr>
            <w:tcW w:w="0" w:type="dxa"/>
            <w:vAlign w:val="bottom"/>
          </w:tcPr>
          <w:p>
            <w:pPr>
              <w:spacing w:after="0"/>
              <w:rPr>
                <w:sz w:val="1"/>
                <w:szCs w:val="1"/>
                <w:color w:val="auto"/>
              </w:rPr>
            </w:pPr>
          </w:p>
        </w:tc>
      </w:tr>
      <w:tr>
        <w:trPr>
          <w:trHeight w:val="174"/>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36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285,502</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240,772</w:t>
            </w:r>
          </w:p>
        </w:tc>
        <w:tc>
          <w:tcPr>
            <w:tcW w:w="240" w:type="dxa"/>
            <w:vAlign w:val="bottom"/>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814,842</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703,114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300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36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183,332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525,743</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000" w:type="dxa"/>
            <w:vAlign w:val="bottom"/>
          </w:tcPr>
          <w:p>
            <w:pPr>
              <w:spacing w:after="0"/>
              <w:rPr>
                <w:sz w:val="20"/>
                <w:szCs w:val="20"/>
                <w:color w:val="auto"/>
              </w:rPr>
            </w:pPr>
            <w:r>
              <w:rPr>
                <w:rFonts w:ascii="Arial" w:cs="Arial" w:eastAsia="Arial" w:hAnsi="Arial"/>
                <w:sz w:val="14"/>
                <w:szCs w:val="14"/>
                <w:color w:val="auto"/>
              </w:rPr>
              <w:t>Direct costs</w:t>
            </w:r>
          </w:p>
        </w:tc>
        <w:tc>
          <w:tcPr>
            <w:tcW w:w="36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158,343</w:t>
            </w:r>
          </w:p>
        </w:tc>
        <w:tc>
          <w:tcPr>
            <w:tcW w:w="156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453,679</w:t>
            </w:r>
          </w:p>
        </w:tc>
        <w:tc>
          <w:tcPr>
            <w:tcW w:w="0" w:type="dxa"/>
            <w:vAlign w:val="bottom"/>
          </w:tcPr>
          <w:p>
            <w:pPr>
              <w:spacing w:after="0"/>
              <w:rPr>
                <w:sz w:val="1"/>
                <w:szCs w:val="1"/>
                <w:color w:val="auto"/>
              </w:rPr>
            </w:pPr>
          </w:p>
        </w:tc>
      </w:tr>
      <w:tr>
        <w:trPr>
          <w:trHeight w:val="176"/>
        </w:trPr>
        <w:tc>
          <w:tcPr>
            <w:tcW w:w="300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3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70,690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71,629</w:t>
            </w:r>
          </w:p>
        </w:tc>
        <w:tc>
          <w:tcPr>
            <w:tcW w:w="1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207,615</w:t>
            </w:r>
          </w:p>
        </w:tc>
        <w:tc>
          <w:tcPr>
            <w:tcW w:w="64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188,856</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3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10,601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9,667</w:t>
            </w:r>
          </w:p>
        </w:tc>
        <w:tc>
          <w:tcPr>
            <w:tcW w:w="1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32,233</w:t>
            </w:r>
          </w:p>
        </w:tc>
        <w:tc>
          <w:tcPr>
            <w:tcW w:w="64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27,969</w:t>
            </w:r>
          </w:p>
        </w:tc>
        <w:tc>
          <w:tcPr>
            <w:tcW w:w="0" w:type="dxa"/>
            <w:vAlign w:val="bottom"/>
          </w:tcPr>
          <w:p>
            <w:pPr>
              <w:spacing w:after="0"/>
              <w:rPr>
                <w:sz w:val="1"/>
                <w:szCs w:val="1"/>
                <w:color w:val="auto"/>
              </w:rPr>
            </w:pPr>
          </w:p>
        </w:tc>
      </w:tr>
      <w:tr>
        <w:trPr>
          <w:trHeight w:val="174"/>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36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56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264,623</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239,639</w:t>
            </w:r>
          </w:p>
        </w:tc>
        <w:tc>
          <w:tcPr>
            <w:tcW w:w="240" w:type="dxa"/>
            <w:vAlign w:val="bottom"/>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765,591</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670,504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300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3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20,879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1,133</w:t>
            </w:r>
          </w:p>
        </w:tc>
        <w:tc>
          <w:tcPr>
            <w:tcW w:w="1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49,251</w:t>
            </w:r>
          </w:p>
        </w:tc>
        <w:tc>
          <w:tcPr>
            <w:tcW w:w="6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32,610</w:t>
            </w:r>
          </w:p>
        </w:tc>
        <w:tc>
          <w:tcPr>
            <w:tcW w:w="0" w:type="dxa"/>
            <w:vAlign w:val="bottom"/>
          </w:tcPr>
          <w:p>
            <w:pPr>
              <w:spacing w:after="0"/>
              <w:rPr>
                <w:sz w:val="1"/>
                <w:szCs w:val="1"/>
                <w:color w:val="auto"/>
              </w:rPr>
            </w:pPr>
          </w:p>
        </w:tc>
      </w:tr>
      <w:tr>
        <w:trPr>
          <w:trHeight w:val="351"/>
        </w:trPr>
        <w:tc>
          <w:tcPr>
            <w:tcW w:w="3000" w:type="dxa"/>
            <w:vAlign w:val="bottom"/>
          </w:tcPr>
          <w:p>
            <w:pPr>
              <w:spacing w:after="0"/>
              <w:rPr>
                <w:sz w:val="20"/>
                <w:szCs w:val="20"/>
                <w:color w:val="auto"/>
              </w:rPr>
            </w:pPr>
            <w:r>
              <w:rPr>
                <w:rFonts w:ascii="Arial" w:cs="Arial" w:eastAsia="Arial" w:hAnsi="Arial"/>
                <w:sz w:val="14"/>
                <w:szCs w:val="14"/>
                <w:color w:val="auto"/>
              </w:rPr>
              <w:t>Net interest (expense)/income</w:t>
            </w:r>
          </w:p>
        </w:tc>
        <w:tc>
          <w:tcPr>
            <w:tcW w:w="3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(252)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131</w:t>
            </w:r>
          </w:p>
        </w:tc>
        <w:tc>
          <w:tcPr>
            <w:tcW w:w="1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(518)</w:t>
            </w:r>
          </w:p>
        </w:tc>
        <w:tc>
          <w:tcPr>
            <w:tcW w:w="6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74"/>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368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56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20,627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1,264</w:t>
            </w:r>
          </w:p>
        </w:tc>
        <w:tc>
          <w:tcPr>
            <w:tcW w:w="240" w:type="dxa"/>
            <w:vAlign w:val="bottom"/>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48,733</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32,913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300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3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2,889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(202)</w:t>
            </w:r>
          </w:p>
        </w:tc>
        <w:tc>
          <w:tcPr>
            <w:tcW w:w="1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9,129</w:t>
            </w:r>
          </w:p>
        </w:tc>
        <w:tc>
          <w:tcPr>
            <w:tcW w:w="6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5,559</w:t>
            </w:r>
          </w:p>
        </w:tc>
        <w:tc>
          <w:tcPr>
            <w:tcW w:w="0" w:type="dxa"/>
            <w:vAlign w:val="bottom"/>
          </w:tcPr>
          <w:p>
            <w:pPr>
              <w:spacing w:after="0"/>
              <w:rPr>
                <w:sz w:val="1"/>
                <w:szCs w:val="1"/>
                <w:color w:val="auto"/>
              </w:rPr>
            </w:pPr>
          </w:p>
        </w:tc>
      </w:tr>
      <w:tr>
        <w:trPr>
          <w:trHeight w:val="174"/>
        </w:trPr>
        <w:tc>
          <w:tcPr>
            <w:tcW w:w="30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Borders>
              <w:bottom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0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3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17,738</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1,466</w:t>
            </w:r>
          </w:p>
        </w:tc>
        <w:tc>
          <w:tcPr>
            <w:tcW w:w="1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39,604</w:t>
            </w:r>
          </w:p>
        </w:tc>
        <w:tc>
          <w:tcPr>
            <w:tcW w:w="6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27,354</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2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000" w:type="dxa"/>
            <w:vAlign w:val="bottom"/>
            <w:vMerge w:val="continue"/>
          </w:tcPr>
          <w:p>
            <w:pPr>
              <w:spacing w:after="0"/>
              <w:rPr>
                <w:sz w:val="24"/>
                <w:szCs w:val="24"/>
                <w:color w:val="auto"/>
              </w:rPr>
            </w:pPr>
          </w:p>
        </w:tc>
        <w:tc>
          <w:tcPr>
            <w:tcW w:w="2240" w:type="dxa"/>
            <w:vAlign w:val="bottom"/>
            <w:vMerge w:val="restart"/>
          </w:tcPr>
          <w:p>
            <w:pPr>
              <w:spacing w:after="0"/>
              <w:rPr>
                <w:sz w:val="24"/>
                <w:szCs w:val="24"/>
                <w:color w:val="auto"/>
              </w:rPr>
            </w:pPr>
          </w:p>
        </w:tc>
        <w:tc>
          <w:tcPr>
            <w:tcW w:w="1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$0.30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$0.66</w:t>
            </w:r>
          </w:p>
        </w:tc>
        <w:tc>
          <w:tcPr>
            <w:tcW w:w="120" w:type="dxa"/>
            <w:vAlign w:val="bottom"/>
            <w:vMerge w:val="restart"/>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000" w:type="dxa"/>
            <w:vAlign w:val="bottom"/>
          </w:tcPr>
          <w:p>
            <w:pPr>
              <w:spacing w:after="0"/>
              <w:rPr>
                <w:sz w:val="20"/>
                <w:szCs w:val="20"/>
                <w:color w:val="auto"/>
              </w:rPr>
            </w:pPr>
            <w:r>
              <w:rPr>
                <w:rFonts w:ascii="Arial" w:cs="Arial" w:eastAsia="Arial" w:hAnsi="Arial"/>
                <w:sz w:val="14"/>
                <w:szCs w:val="14"/>
                <w:color w:val="auto"/>
              </w:rPr>
              <w:t>Basic</w:t>
            </w:r>
          </w:p>
        </w:tc>
        <w:tc>
          <w:tcPr>
            <w:tcW w:w="2240" w:type="dxa"/>
            <w:vAlign w:val="bottom"/>
            <w:vMerge w:val="continue"/>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24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000" w:type="dxa"/>
            <w:vAlign w:val="bottom"/>
          </w:tcPr>
          <w:p>
            <w:pPr>
              <w:spacing w:after="0"/>
              <w:rPr>
                <w:sz w:val="20"/>
                <w:szCs w:val="20"/>
                <w:color w:val="auto"/>
              </w:rPr>
            </w:pPr>
            <w:r>
              <w:rPr>
                <w:rFonts w:ascii="Arial" w:cs="Arial" w:eastAsia="Arial" w:hAnsi="Arial"/>
                <w:sz w:val="14"/>
                <w:szCs w:val="14"/>
                <w:color w:val="auto"/>
              </w:rPr>
              <w:t>Diluted</w:t>
            </w:r>
          </w:p>
        </w:tc>
        <w:tc>
          <w:tcPr>
            <w:tcW w:w="2240" w:type="dxa"/>
            <w:vAlign w:val="bottom"/>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$0.29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24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$0.66</w:t>
            </w: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300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3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59,754,010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59,939,570</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00" w:type="dxa"/>
            <w:vAlign w:val="bottom"/>
          </w:tcPr>
          <w:p>
            <w:pPr>
              <w:spacing w:after="0"/>
              <w:rPr>
                <w:sz w:val="20"/>
                <w:szCs w:val="20"/>
                <w:color w:val="auto"/>
              </w:rPr>
            </w:pPr>
            <w:r>
              <w:rPr>
                <w:rFonts w:ascii="Arial" w:cs="Arial" w:eastAsia="Arial" w:hAnsi="Arial"/>
                <w:sz w:val="14"/>
                <w:szCs w:val="14"/>
                <w:color w:val="auto"/>
              </w:rPr>
              <w:t>Basic</w:t>
            </w:r>
          </w:p>
        </w:tc>
        <w:tc>
          <w:tcPr>
            <w:tcW w:w="3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60,471,985</w:t>
            </w:r>
          </w:p>
        </w:tc>
        <w:tc>
          <w:tcPr>
            <w:tcW w:w="156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60,381,814</w:t>
            </w:r>
          </w:p>
        </w:tc>
        <w:tc>
          <w:tcPr>
            <w:tcW w:w="0" w:type="dxa"/>
            <w:vAlign w:val="bottom"/>
          </w:tcPr>
          <w:p>
            <w:pPr>
              <w:spacing w:after="0"/>
              <w:rPr>
                <w:sz w:val="1"/>
                <w:szCs w:val="1"/>
                <w:color w:val="auto"/>
              </w:rPr>
            </w:pPr>
          </w:p>
        </w:tc>
      </w:tr>
      <w:tr>
        <w:trPr>
          <w:trHeight w:val="351"/>
        </w:trPr>
        <w:tc>
          <w:tcPr>
            <w:tcW w:w="3000" w:type="dxa"/>
            <w:vAlign w:val="bottom"/>
          </w:tcPr>
          <w:p>
            <w:pPr>
              <w:spacing w:after="0"/>
              <w:rPr>
                <w:sz w:val="20"/>
                <w:szCs w:val="20"/>
                <w:color w:val="auto"/>
              </w:rPr>
            </w:pPr>
            <w:r>
              <w:rPr>
                <w:rFonts w:ascii="Arial" w:cs="Arial" w:eastAsia="Arial" w:hAnsi="Arial"/>
                <w:sz w:val="14"/>
                <w:szCs w:val="14"/>
                <w:color w:val="auto"/>
              </w:rPr>
              <w:t>Diluted</w:t>
            </w:r>
          </w:p>
        </w:tc>
        <w:tc>
          <w:tcPr>
            <w:tcW w:w="3660" w:type="dxa"/>
            <w:vAlign w:val="bottom"/>
            <w:gridSpan w:val="2"/>
          </w:tcPr>
          <w:p>
            <w:pPr>
              <w:jc w:val="right"/>
              <w:spacing w:after="0"/>
              <w:rPr>
                <w:sz w:val="20"/>
                <w:szCs w:val="20"/>
                <w:color w:val="auto"/>
              </w:rPr>
            </w:pPr>
            <w:r>
              <w:rPr>
                <w:rFonts w:ascii="Arial" w:cs="Arial" w:eastAsia="Arial" w:hAnsi="Arial"/>
                <w:sz w:val="14"/>
                <w:szCs w:val="14"/>
                <w:b w:val="1"/>
                <w:bCs w:val="1"/>
                <w:color w:val="auto"/>
              </w:rPr>
              <w:t>60,366,137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61,063,020</w:t>
            </w:r>
          </w:p>
        </w:tc>
        <w:tc>
          <w:tcPr>
            <w:tcW w:w="1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60,391,199</w:t>
            </w:r>
          </w:p>
        </w:tc>
        <w:tc>
          <w:tcPr>
            <w:tcW w:w="6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61,096,464</w:t>
            </w:r>
          </w:p>
        </w:tc>
        <w:tc>
          <w:tcPr>
            <w:tcW w:w="0" w:type="dxa"/>
            <w:vAlign w:val="bottom"/>
          </w:tcPr>
          <w:p>
            <w:pPr>
              <w:spacing w:after="0"/>
              <w:rPr>
                <w:sz w:val="1"/>
                <w:szCs w:val="1"/>
                <w:color w:val="auto"/>
              </w:rPr>
            </w:pPr>
          </w:p>
        </w:tc>
      </w:tr>
      <w:tr>
        <w:trPr>
          <w:trHeight w:val="309"/>
        </w:trPr>
        <w:tc>
          <w:tcPr>
            <w:tcW w:w="30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000" w:type="dxa"/>
            <w:vAlign w:val="bottom"/>
            <w:tcBorders>
              <w:bottom w:val="single" w:sz="8" w:color="EEEEEE"/>
            </w:tcBorders>
          </w:tcPr>
          <w:p>
            <w:pPr>
              <w:spacing w:after="0" w:line="20" w:lineRule="exact"/>
              <w:rPr>
                <w:sz w:val="1"/>
                <w:szCs w:val="1"/>
                <w:color w:val="auto"/>
              </w:rPr>
            </w:pPr>
          </w:p>
        </w:tc>
        <w:tc>
          <w:tcPr>
            <w:tcW w:w="224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ICON plc</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240" w:type="dxa"/>
            <w:vAlign w:val="bottom"/>
          </w:tcPr>
          <w:p>
            <w:pPr>
              <w:spacing w:after="0"/>
              <w:rPr>
                <w:sz w:val="24"/>
                <w:szCs w:val="24"/>
                <w:color w:val="auto"/>
              </w:rPr>
            </w:pPr>
          </w:p>
        </w:tc>
        <w:tc>
          <w:tcPr>
            <w:tcW w:w="51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Consolidated Income Statements (Unaudited) (US GAAP)</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240" w:type="dxa"/>
            <w:vAlign w:val="bottom"/>
          </w:tcPr>
          <w:p>
            <w:pPr>
              <w:spacing w:after="0"/>
              <w:rPr>
                <w:sz w:val="24"/>
                <w:szCs w:val="24"/>
                <w:color w:val="auto"/>
              </w:rPr>
            </w:pPr>
          </w:p>
        </w:tc>
        <w:tc>
          <w:tcPr>
            <w:tcW w:w="51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Three and Nine Months ended September 30, 2012 and September 30, 2011</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51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9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3"/>
          </w:tcPr>
          <w:p>
            <w:pPr>
              <w:ind w:left="960"/>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300" w:type="dxa"/>
            <w:vAlign w:val="bottom"/>
            <w:gridSpan w:val="2"/>
          </w:tcPr>
          <w:p>
            <w:pPr>
              <w:ind w:left="560"/>
              <w:spacing w:after="0" w:line="149" w:lineRule="exact"/>
              <w:rPr>
                <w:sz w:val="20"/>
                <w:szCs w:val="20"/>
                <w:color w:val="auto"/>
              </w:rPr>
            </w:pPr>
            <w:r>
              <w:rPr>
                <w:rFonts w:ascii="Arial" w:cs="Arial" w:eastAsia="Arial" w:hAnsi="Arial"/>
                <w:sz w:val="14"/>
                <w:szCs w:val="14"/>
                <w:b w:val="1"/>
                <w:bCs w:val="1"/>
                <w:color w:val="auto"/>
                <w:w w:val="99"/>
              </w:rPr>
              <w:t>September</w:t>
            </w:r>
          </w:p>
        </w:tc>
        <w:tc>
          <w:tcPr>
            <w:tcW w:w="80" w:type="dxa"/>
            <w:vAlign w:val="bottom"/>
          </w:tcPr>
          <w:p>
            <w:pPr>
              <w:spacing w:after="0"/>
              <w:rPr>
                <w:sz w:val="12"/>
                <w:szCs w:val="12"/>
                <w:color w:val="auto"/>
              </w:rPr>
            </w:pPr>
          </w:p>
        </w:tc>
        <w:tc>
          <w:tcPr>
            <w:tcW w:w="15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September</w:t>
            </w:r>
          </w:p>
        </w:tc>
        <w:tc>
          <w:tcPr>
            <w:tcW w:w="2220" w:type="dxa"/>
            <w:vAlign w:val="bottom"/>
            <w:gridSpan w:val="3"/>
          </w:tcPr>
          <w:p>
            <w:pPr>
              <w:ind w:left="740"/>
              <w:spacing w:after="0" w:line="149" w:lineRule="exact"/>
              <w:rPr>
                <w:sz w:val="20"/>
                <w:szCs w:val="20"/>
                <w:color w:val="auto"/>
              </w:rPr>
            </w:pPr>
            <w:r>
              <w:rPr>
                <w:rFonts w:ascii="Arial" w:cs="Arial" w:eastAsia="Arial" w:hAnsi="Arial"/>
                <w:sz w:val="14"/>
                <w:szCs w:val="14"/>
                <w:b w:val="1"/>
                <w:bCs w:val="1"/>
                <w:color w:val="auto"/>
              </w:rPr>
              <w:t>September 30,</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September</w:t>
            </w: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3500" w:type="dxa"/>
            <w:vAlign w:val="bottom"/>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3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6"/>
                <w:szCs w:val="16"/>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2011</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351"/>
        </w:trPr>
        <w:tc>
          <w:tcPr>
            <w:tcW w:w="3240" w:type="dxa"/>
            <w:vAlign w:val="bottom"/>
          </w:tcPr>
          <w:p>
            <w:pPr>
              <w:ind w:left="120"/>
              <w:spacing w:after="0"/>
              <w:rPr>
                <w:sz w:val="20"/>
                <w:szCs w:val="20"/>
                <w:color w:val="auto"/>
              </w:rPr>
            </w:pPr>
            <w:r>
              <w:rPr>
                <w:rFonts w:ascii="Arial" w:cs="Arial" w:eastAsia="Arial" w:hAnsi="Arial"/>
                <w:sz w:val="14"/>
                <w:szCs w:val="14"/>
                <w:color w:val="auto"/>
              </w:rPr>
              <w:t>Gross Revenue</w:t>
            </w:r>
          </w:p>
        </w:tc>
        <w:tc>
          <w:tcPr>
            <w:tcW w:w="3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374,965</w:t>
            </w:r>
          </w:p>
        </w:tc>
        <w:tc>
          <w:tcPr>
            <w:tcW w:w="1600" w:type="dxa"/>
            <w:vAlign w:val="bottom"/>
            <w:gridSpan w:val="3"/>
          </w:tcPr>
          <w:p>
            <w:pPr>
              <w:jc w:val="right"/>
              <w:ind w:right="240"/>
              <w:spacing w:after="0"/>
              <w:rPr>
                <w:sz w:val="20"/>
                <w:szCs w:val="20"/>
                <w:color w:val="auto"/>
              </w:rPr>
            </w:pPr>
            <w:r>
              <w:rPr>
                <w:rFonts w:ascii="Arial" w:cs="Arial" w:eastAsia="Arial" w:hAnsi="Arial"/>
                <w:sz w:val="14"/>
                <w:szCs w:val="14"/>
                <w:color w:val="auto"/>
              </w:rPr>
              <w:t>335,332</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1,097,640</w:t>
            </w:r>
          </w:p>
        </w:tc>
        <w:tc>
          <w:tcPr>
            <w:tcW w:w="46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958,575</w:t>
            </w:r>
          </w:p>
        </w:tc>
        <w:tc>
          <w:tcPr>
            <w:tcW w:w="0" w:type="dxa"/>
            <w:vAlign w:val="bottom"/>
          </w:tcPr>
          <w:p>
            <w:pPr>
              <w:spacing w:after="0"/>
              <w:rPr>
                <w:sz w:val="1"/>
                <w:szCs w:val="1"/>
                <w:color w:val="auto"/>
              </w:rPr>
            </w:pPr>
          </w:p>
        </w:tc>
      </w:tr>
      <w:tr>
        <w:trPr>
          <w:trHeight w:val="351"/>
        </w:trPr>
        <w:tc>
          <w:tcPr>
            <w:tcW w:w="3240" w:type="dxa"/>
            <w:vAlign w:val="bottom"/>
          </w:tcPr>
          <w:p>
            <w:pPr>
              <w:ind w:left="120"/>
              <w:spacing w:after="0"/>
              <w:rPr>
                <w:sz w:val="20"/>
                <w:szCs w:val="20"/>
                <w:color w:val="auto"/>
              </w:rPr>
            </w:pPr>
            <w:r>
              <w:rPr>
                <w:rFonts w:ascii="Arial" w:cs="Arial" w:eastAsia="Arial" w:hAnsi="Arial"/>
                <w:sz w:val="14"/>
                <w:szCs w:val="14"/>
                <w:color w:val="auto"/>
              </w:rPr>
              <w:t>Reimbursable expenses</w:t>
            </w:r>
          </w:p>
        </w:tc>
        <w:tc>
          <w:tcPr>
            <w:tcW w:w="3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89,463</w:t>
            </w:r>
          </w:p>
        </w:tc>
        <w:tc>
          <w:tcPr>
            <w:tcW w:w="1600" w:type="dxa"/>
            <w:vAlign w:val="bottom"/>
            <w:gridSpan w:val="3"/>
          </w:tcPr>
          <w:p>
            <w:pPr>
              <w:jc w:val="right"/>
              <w:ind w:right="240"/>
              <w:spacing w:after="0"/>
              <w:rPr>
                <w:sz w:val="20"/>
                <w:szCs w:val="20"/>
                <w:color w:val="auto"/>
              </w:rPr>
            </w:pPr>
            <w:r>
              <w:rPr>
                <w:rFonts w:ascii="Arial" w:cs="Arial" w:eastAsia="Arial" w:hAnsi="Arial"/>
                <w:sz w:val="14"/>
                <w:szCs w:val="14"/>
                <w:color w:val="auto"/>
              </w:rPr>
              <w:t>94,560</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282,798</w:t>
            </w:r>
          </w:p>
        </w:tc>
        <w:tc>
          <w:tcPr>
            <w:tcW w:w="46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255,461</w:t>
            </w:r>
          </w:p>
        </w:tc>
        <w:tc>
          <w:tcPr>
            <w:tcW w:w="0" w:type="dxa"/>
            <w:vAlign w:val="bottom"/>
          </w:tcPr>
          <w:p>
            <w:pPr>
              <w:spacing w:after="0"/>
              <w:rPr>
                <w:sz w:val="1"/>
                <w:szCs w:val="1"/>
                <w:color w:val="auto"/>
              </w:rPr>
            </w:pPr>
          </w:p>
        </w:tc>
      </w:tr>
      <w:tr>
        <w:trPr>
          <w:trHeight w:val="174"/>
        </w:trPr>
        <w:tc>
          <w:tcPr>
            <w:tcW w:w="32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Net Revenue</w:t>
            </w:r>
          </w:p>
        </w:tc>
        <w:tc>
          <w:tcPr>
            <w:tcW w:w="35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4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285,502</w:t>
            </w:r>
          </w:p>
        </w:tc>
        <w:tc>
          <w:tcPr>
            <w:tcW w:w="80" w:type="dxa"/>
            <w:vAlign w:val="bottom"/>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240,772</w:t>
            </w:r>
          </w:p>
        </w:tc>
        <w:tc>
          <w:tcPr>
            <w:tcW w:w="240" w:type="dxa"/>
            <w:vAlign w:val="bottom"/>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814,842</w:t>
            </w: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703,114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3240" w:type="dxa"/>
            <w:vAlign w:val="bottom"/>
          </w:tcPr>
          <w:p>
            <w:pPr>
              <w:ind w:left="120"/>
              <w:spacing w:after="0"/>
              <w:rPr>
                <w:sz w:val="20"/>
                <w:szCs w:val="20"/>
                <w:color w:val="auto"/>
              </w:rPr>
            </w:pPr>
            <w:r>
              <w:rPr>
                <w:rFonts w:ascii="Arial" w:cs="Arial" w:eastAsia="Arial" w:hAnsi="Arial"/>
                <w:sz w:val="14"/>
                <w:szCs w:val="14"/>
                <w:b w:val="1"/>
                <w:bCs w:val="1"/>
                <w:color w:val="auto"/>
              </w:rPr>
              <w:t>Costs and expenses</w:t>
            </w:r>
          </w:p>
        </w:tc>
        <w:tc>
          <w:tcPr>
            <w:tcW w:w="352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183,332</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525,743</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40" w:type="dxa"/>
            <w:vAlign w:val="bottom"/>
          </w:tcPr>
          <w:p>
            <w:pPr>
              <w:ind w:left="120"/>
              <w:spacing w:after="0"/>
              <w:rPr>
                <w:sz w:val="20"/>
                <w:szCs w:val="20"/>
                <w:color w:val="auto"/>
              </w:rPr>
            </w:pPr>
            <w:r>
              <w:rPr>
                <w:rFonts w:ascii="Arial" w:cs="Arial" w:eastAsia="Arial" w:hAnsi="Arial"/>
                <w:sz w:val="14"/>
                <w:szCs w:val="14"/>
                <w:color w:val="auto"/>
              </w:rPr>
              <w:t>Direct costs</w:t>
            </w:r>
          </w:p>
        </w:tc>
        <w:tc>
          <w:tcPr>
            <w:tcW w:w="3520" w:type="dxa"/>
            <w:vAlign w:val="bottom"/>
            <w:gridSpan w:val="3"/>
            <w:vMerge w:val="continue"/>
          </w:tcPr>
          <w:p>
            <w:pPr>
              <w:spacing w:after="0"/>
              <w:rPr>
                <w:sz w:val="14"/>
                <w:szCs w:val="14"/>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4"/>
                <w:szCs w:val="14"/>
                <w:color w:val="auto"/>
              </w:rPr>
              <w:t>158,343</w:t>
            </w:r>
          </w:p>
        </w:tc>
        <w:tc>
          <w:tcPr>
            <w:tcW w:w="17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453,679</w:t>
            </w:r>
          </w:p>
        </w:tc>
        <w:tc>
          <w:tcPr>
            <w:tcW w:w="0" w:type="dxa"/>
            <w:vAlign w:val="bottom"/>
          </w:tcPr>
          <w:p>
            <w:pPr>
              <w:spacing w:after="0"/>
              <w:rPr>
                <w:sz w:val="1"/>
                <w:szCs w:val="1"/>
                <w:color w:val="auto"/>
              </w:rPr>
            </w:pPr>
          </w:p>
        </w:tc>
      </w:tr>
      <w:tr>
        <w:trPr>
          <w:trHeight w:val="176"/>
        </w:trPr>
        <w:tc>
          <w:tcPr>
            <w:tcW w:w="3240" w:type="dxa"/>
            <w:vAlign w:val="bottom"/>
          </w:tcPr>
          <w:p>
            <w:pPr>
              <w:ind w:left="120"/>
              <w:spacing w:after="0"/>
              <w:rPr>
                <w:sz w:val="20"/>
                <w:szCs w:val="20"/>
                <w:color w:val="auto"/>
              </w:rPr>
            </w:pPr>
            <w:r>
              <w:rPr>
                <w:rFonts w:ascii="Arial" w:cs="Arial" w:eastAsia="Arial" w:hAnsi="Arial"/>
                <w:sz w:val="14"/>
                <w:szCs w:val="14"/>
                <w:color w:val="auto"/>
              </w:rPr>
              <w:t>Selling, general and administrative</w:t>
            </w:r>
          </w:p>
        </w:tc>
        <w:tc>
          <w:tcPr>
            <w:tcW w:w="3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70,690</w:t>
            </w:r>
          </w:p>
        </w:tc>
        <w:tc>
          <w:tcPr>
            <w:tcW w:w="1600" w:type="dxa"/>
            <w:vAlign w:val="bottom"/>
            <w:gridSpan w:val="3"/>
          </w:tcPr>
          <w:p>
            <w:pPr>
              <w:jc w:val="right"/>
              <w:ind w:right="240"/>
              <w:spacing w:after="0"/>
              <w:rPr>
                <w:sz w:val="20"/>
                <w:szCs w:val="20"/>
                <w:color w:val="auto"/>
              </w:rPr>
            </w:pPr>
            <w:r>
              <w:rPr>
                <w:rFonts w:ascii="Arial" w:cs="Arial" w:eastAsia="Arial" w:hAnsi="Arial"/>
                <w:sz w:val="14"/>
                <w:szCs w:val="14"/>
                <w:color w:val="auto"/>
              </w:rPr>
              <w:t>71,629</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207,615</w:t>
            </w:r>
          </w:p>
        </w:tc>
        <w:tc>
          <w:tcPr>
            <w:tcW w:w="46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188,856</w:t>
            </w:r>
          </w:p>
        </w:tc>
        <w:tc>
          <w:tcPr>
            <w:tcW w:w="0" w:type="dxa"/>
            <w:vAlign w:val="bottom"/>
          </w:tcPr>
          <w:p>
            <w:pPr>
              <w:spacing w:after="0"/>
              <w:rPr>
                <w:sz w:val="1"/>
                <w:szCs w:val="1"/>
                <w:color w:val="auto"/>
              </w:rPr>
            </w:pPr>
          </w:p>
        </w:tc>
      </w:tr>
      <w:tr>
        <w:trPr>
          <w:trHeight w:val="176"/>
        </w:trPr>
        <w:tc>
          <w:tcPr>
            <w:tcW w:w="324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10,601</w:t>
            </w:r>
          </w:p>
        </w:tc>
        <w:tc>
          <w:tcPr>
            <w:tcW w:w="1600" w:type="dxa"/>
            <w:vAlign w:val="bottom"/>
            <w:gridSpan w:val="3"/>
          </w:tcPr>
          <w:p>
            <w:pPr>
              <w:jc w:val="right"/>
              <w:ind w:right="240"/>
              <w:spacing w:after="0"/>
              <w:rPr>
                <w:sz w:val="20"/>
                <w:szCs w:val="20"/>
                <w:color w:val="auto"/>
              </w:rPr>
            </w:pPr>
            <w:r>
              <w:rPr>
                <w:rFonts w:ascii="Arial" w:cs="Arial" w:eastAsia="Arial" w:hAnsi="Arial"/>
                <w:sz w:val="14"/>
                <w:szCs w:val="14"/>
                <w:color w:val="auto"/>
              </w:rPr>
              <w:t>9,667</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32,233</w:t>
            </w:r>
          </w:p>
        </w:tc>
        <w:tc>
          <w:tcPr>
            <w:tcW w:w="46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27,969</w:t>
            </w:r>
          </w:p>
        </w:tc>
        <w:tc>
          <w:tcPr>
            <w:tcW w:w="0" w:type="dxa"/>
            <w:vAlign w:val="bottom"/>
          </w:tcPr>
          <w:p>
            <w:pPr>
              <w:spacing w:after="0"/>
              <w:rPr>
                <w:sz w:val="1"/>
                <w:szCs w:val="1"/>
                <w:color w:val="auto"/>
              </w:rPr>
            </w:pPr>
          </w:p>
        </w:tc>
      </w:tr>
      <w:tr>
        <w:trPr>
          <w:trHeight w:val="185"/>
        </w:trPr>
        <w:tc>
          <w:tcPr>
            <w:tcW w:w="3240" w:type="dxa"/>
            <w:vAlign w:val="bottom"/>
          </w:tcPr>
          <w:p>
            <w:pPr>
              <w:ind w:left="120"/>
              <w:spacing w:after="0"/>
              <w:rPr>
                <w:sz w:val="20"/>
                <w:szCs w:val="20"/>
                <w:color w:val="auto"/>
              </w:rPr>
            </w:pPr>
            <w:r>
              <w:rPr>
                <w:rFonts w:ascii="Arial" w:cs="Arial" w:eastAsia="Arial" w:hAnsi="Arial"/>
                <w:sz w:val="14"/>
                <w:szCs w:val="14"/>
                <w:color w:val="auto"/>
              </w:rPr>
              <w:t>Restructuring and other non-recurring charges</w:t>
            </w:r>
          </w:p>
        </w:tc>
        <w:tc>
          <w:tcPr>
            <w:tcW w:w="35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4"/>
                <w:szCs w:val="14"/>
                <w:color w:val="auto"/>
              </w:rPr>
              <w:t>4,815</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5,636</w:t>
            </w:r>
          </w:p>
        </w:tc>
        <w:tc>
          <w:tcPr>
            <w:tcW w:w="46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9,817</w:t>
            </w:r>
          </w:p>
        </w:tc>
        <w:tc>
          <w:tcPr>
            <w:tcW w:w="0" w:type="dxa"/>
            <w:vAlign w:val="bottom"/>
          </w:tcPr>
          <w:p>
            <w:pPr>
              <w:spacing w:after="0"/>
              <w:rPr>
                <w:sz w:val="1"/>
                <w:szCs w:val="1"/>
                <w:color w:val="auto"/>
              </w:rPr>
            </w:pPr>
          </w:p>
        </w:tc>
      </w:tr>
      <w:tr>
        <w:trPr>
          <w:trHeight w:val="180"/>
        </w:trPr>
        <w:tc>
          <w:tcPr>
            <w:tcW w:w="3240" w:type="dxa"/>
            <w:vAlign w:val="bottom"/>
          </w:tcPr>
          <w:p>
            <w:pPr>
              <w:ind w:left="120"/>
              <w:spacing w:after="0"/>
              <w:rPr>
                <w:sz w:val="20"/>
                <w:szCs w:val="20"/>
                <w:color w:val="auto"/>
              </w:rPr>
            </w:pPr>
            <w:r>
              <w:rPr>
                <w:rFonts w:ascii="Arial" w:cs="Arial" w:eastAsia="Arial" w:hAnsi="Arial"/>
                <w:sz w:val="14"/>
                <w:szCs w:val="14"/>
                <w:b w:val="1"/>
                <w:bCs w:val="1"/>
                <w:color w:val="auto"/>
              </w:rPr>
              <w:t>Total costs and expenses</w:t>
            </w:r>
          </w:p>
        </w:tc>
        <w:tc>
          <w:tcPr>
            <w:tcW w:w="2220" w:type="dxa"/>
            <w:vAlign w:val="bottom"/>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264,623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244,454</w:t>
            </w:r>
          </w:p>
        </w:tc>
        <w:tc>
          <w:tcPr>
            <w:tcW w:w="240" w:type="dxa"/>
            <w:vAlign w:val="bottom"/>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771,227</w:t>
            </w: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680,321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3240" w:type="dxa"/>
            <w:vAlign w:val="bottom"/>
          </w:tcPr>
          <w:p>
            <w:pPr>
              <w:ind w:left="120"/>
              <w:spacing w:after="0"/>
              <w:rPr>
                <w:sz w:val="20"/>
                <w:szCs w:val="20"/>
                <w:color w:val="auto"/>
              </w:rPr>
            </w:pPr>
            <w:r>
              <w:rPr>
                <w:rFonts w:ascii="Arial" w:cs="Arial" w:eastAsia="Arial" w:hAnsi="Arial"/>
                <w:sz w:val="14"/>
                <w:szCs w:val="14"/>
                <w:b w:val="1"/>
                <w:bCs w:val="1"/>
                <w:color w:val="auto"/>
              </w:rPr>
              <w:t>Income/(loss) from operations</w:t>
            </w:r>
          </w:p>
        </w:tc>
        <w:tc>
          <w:tcPr>
            <w:tcW w:w="3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20,879</w:t>
            </w:r>
          </w:p>
        </w:tc>
        <w:tc>
          <w:tcPr>
            <w:tcW w:w="1600" w:type="dxa"/>
            <w:vAlign w:val="bottom"/>
            <w:gridSpan w:val="3"/>
          </w:tcPr>
          <w:p>
            <w:pPr>
              <w:jc w:val="right"/>
              <w:ind w:right="240"/>
              <w:spacing w:after="0"/>
              <w:rPr>
                <w:sz w:val="20"/>
                <w:szCs w:val="20"/>
                <w:color w:val="auto"/>
              </w:rPr>
            </w:pPr>
            <w:r>
              <w:rPr>
                <w:rFonts w:ascii="Arial" w:cs="Arial" w:eastAsia="Arial" w:hAnsi="Arial"/>
                <w:sz w:val="14"/>
                <w:szCs w:val="14"/>
                <w:color w:val="auto"/>
              </w:rPr>
              <w:t>(3,682)</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43,615</w:t>
            </w:r>
          </w:p>
        </w:tc>
        <w:tc>
          <w:tcPr>
            <w:tcW w:w="46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22,793</w:t>
            </w:r>
          </w:p>
        </w:tc>
        <w:tc>
          <w:tcPr>
            <w:tcW w:w="0" w:type="dxa"/>
            <w:vAlign w:val="bottom"/>
          </w:tcPr>
          <w:p>
            <w:pPr>
              <w:spacing w:after="0"/>
              <w:rPr>
                <w:sz w:val="1"/>
                <w:szCs w:val="1"/>
                <w:color w:val="auto"/>
              </w:rPr>
            </w:pPr>
          </w:p>
        </w:tc>
      </w:tr>
      <w:tr>
        <w:trPr>
          <w:trHeight w:val="351"/>
        </w:trPr>
        <w:tc>
          <w:tcPr>
            <w:tcW w:w="3240" w:type="dxa"/>
            <w:vAlign w:val="bottom"/>
          </w:tcPr>
          <w:p>
            <w:pPr>
              <w:ind w:left="120"/>
              <w:spacing w:after="0"/>
              <w:rPr>
                <w:sz w:val="20"/>
                <w:szCs w:val="20"/>
                <w:color w:val="auto"/>
              </w:rPr>
            </w:pPr>
            <w:r>
              <w:rPr>
                <w:rFonts w:ascii="Arial" w:cs="Arial" w:eastAsia="Arial" w:hAnsi="Arial"/>
                <w:sz w:val="14"/>
                <w:szCs w:val="14"/>
                <w:color w:val="auto"/>
              </w:rPr>
              <w:t>Net interest (expense)/income</w:t>
            </w:r>
          </w:p>
        </w:tc>
        <w:tc>
          <w:tcPr>
            <w:tcW w:w="3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(252)</w:t>
            </w:r>
          </w:p>
        </w:tc>
        <w:tc>
          <w:tcPr>
            <w:tcW w:w="1600" w:type="dxa"/>
            <w:vAlign w:val="bottom"/>
            <w:gridSpan w:val="3"/>
          </w:tcPr>
          <w:p>
            <w:pPr>
              <w:jc w:val="right"/>
              <w:ind w:right="240"/>
              <w:spacing w:after="0"/>
              <w:rPr>
                <w:sz w:val="20"/>
                <w:szCs w:val="20"/>
                <w:color w:val="auto"/>
              </w:rPr>
            </w:pPr>
            <w:r>
              <w:rPr>
                <w:rFonts w:ascii="Arial" w:cs="Arial" w:eastAsia="Arial" w:hAnsi="Arial"/>
                <w:sz w:val="14"/>
                <w:szCs w:val="14"/>
                <w:color w:val="auto"/>
              </w:rPr>
              <w:t>131</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(518)</w:t>
            </w:r>
          </w:p>
        </w:tc>
        <w:tc>
          <w:tcPr>
            <w:tcW w:w="46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74"/>
        </w:trPr>
        <w:tc>
          <w:tcPr>
            <w:tcW w:w="324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7"/>
              </w:rPr>
              <w:t>Income/(loss) before provision for income taxes</w:t>
            </w:r>
          </w:p>
        </w:tc>
        <w:tc>
          <w:tcPr>
            <w:tcW w:w="3520" w:type="dxa"/>
            <w:vAlign w:val="bottom"/>
            <w:gridSpan w:val="3"/>
          </w:tcPr>
          <w:p>
            <w:pPr>
              <w:spacing w:after="0"/>
              <w:rPr>
                <w:sz w:val="15"/>
                <w:szCs w:val="15"/>
                <w:color w:val="auto"/>
              </w:rPr>
            </w:pPr>
          </w:p>
        </w:tc>
        <w:tc>
          <w:tcPr>
            <w:tcW w:w="1600" w:type="dxa"/>
            <w:vAlign w:val="bottom"/>
            <w:gridSpan w:val="3"/>
          </w:tcPr>
          <w:p>
            <w:pPr>
              <w:spacing w:after="0"/>
              <w:rPr>
                <w:sz w:val="15"/>
                <w:szCs w:val="15"/>
                <w:color w:val="auto"/>
              </w:rPr>
            </w:pPr>
          </w:p>
        </w:tc>
        <w:tc>
          <w:tcPr>
            <w:tcW w:w="176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4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13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20,627</w:t>
            </w:r>
          </w:p>
        </w:tc>
        <w:tc>
          <w:tcPr>
            <w:tcW w:w="80" w:type="dxa"/>
            <w:vAlign w:val="bottom"/>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(3,551)</w:t>
            </w:r>
          </w:p>
        </w:tc>
        <w:tc>
          <w:tcPr>
            <w:tcW w:w="240" w:type="dxa"/>
            <w:vAlign w:val="bottom"/>
          </w:tcPr>
          <w:p>
            <w:pPr>
              <w:spacing w:after="0"/>
              <w:rPr>
                <w:sz w:val="15"/>
                <w:szCs w:val="15"/>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43,097</w:t>
            </w: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324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3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2,889</w:t>
            </w:r>
          </w:p>
        </w:tc>
        <w:tc>
          <w:tcPr>
            <w:tcW w:w="1600" w:type="dxa"/>
            <w:vAlign w:val="bottom"/>
            <w:gridSpan w:val="3"/>
          </w:tcPr>
          <w:p>
            <w:pPr>
              <w:jc w:val="right"/>
              <w:ind w:right="240"/>
              <w:spacing w:after="0"/>
              <w:rPr>
                <w:sz w:val="20"/>
                <w:szCs w:val="20"/>
                <w:color w:val="auto"/>
              </w:rPr>
            </w:pPr>
            <w:r>
              <w:rPr>
                <w:rFonts w:ascii="Arial" w:cs="Arial" w:eastAsia="Arial" w:hAnsi="Arial"/>
                <w:sz w:val="14"/>
                <w:szCs w:val="14"/>
                <w:color w:val="auto"/>
              </w:rPr>
              <w:t>(888)</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8,424</w:t>
            </w:r>
          </w:p>
        </w:tc>
        <w:tc>
          <w:tcPr>
            <w:tcW w:w="46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4,329</w:t>
            </w:r>
          </w:p>
        </w:tc>
        <w:tc>
          <w:tcPr>
            <w:tcW w:w="0" w:type="dxa"/>
            <w:vAlign w:val="bottom"/>
          </w:tcPr>
          <w:p>
            <w:pPr>
              <w:spacing w:after="0"/>
              <w:rPr>
                <w:sz w:val="1"/>
                <w:szCs w:val="1"/>
                <w:color w:val="auto"/>
              </w:rPr>
            </w:pPr>
          </w:p>
        </w:tc>
      </w:tr>
      <w:tr>
        <w:trPr>
          <w:trHeight w:val="174"/>
        </w:trPr>
        <w:tc>
          <w:tcPr>
            <w:tcW w:w="32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300" w:type="dxa"/>
            <w:vAlign w:val="bottom"/>
            <w:tcBorders>
              <w:bottom w:val="single" w:sz="8" w:color="auto"/>
            </w:tcBorders>
            <w:gridSpan w:val="2"/>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240" w:type="dxa"/>
            <w:vAlign w:val="bottom"/>
          </w:tcPr>
          <w:p>
            <w:pPr>
              <w:ind w:left="120"/>
              <w:spacing w:after="0"/>
              <w:rPr>
                <w:sz w:val="20"/>
                <w:szCs w:val="20"/>
                <w:color w:val="auto"/>
              </w:rPr>
            </w:pPr>
            <w:r>
              <w:rPr>
                <w:rFonts w:ascii="Arial" w:cs="Arial" w:eastAsia="Arial" w:hAnsi="Arial"/>
                <w:sz w:val="14"/>
                <w:szCs w:val="14"/>
                <w:b w:val="1"/>
                <w:bCs w:val="1"/>
                <w:color w:val="auto"/>
              </w:rPr>
              <w:t>Net income/(loss)</w:t>
            </w:r>
          </w:p>
        </w:tc>
        <w:tc>
          <w:tcPr>
            <w:tcW w:w="3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17,738</w:t>
            </w:r>
          </w:p>
        </w:tc>
        <w:tc>
          <w:tcPr>
            <w:tcW w:w="1600" w:type="dxa"/>
            <w:vAlign w:val="bottom"/>
            <w:gridSpan w:val="3"/>
          </w:tcPr>
          <w:p>
            <w:pPr>
              <w:jc w:val="right"/>
              <w:ind w:right="240"/>
              <w:spacing w:after="0"/>
              <w:rPr>
                <w:sz w:val="20"/>
                <w:szCs w:val="20"/>
                <w:color w:val="auto"/>
              </w:rPr>
            </w:pPr>
            <w:r>
              <w:rPr>
                <w:rFonts w:ascii="Arial" w:cs="Arial" w:eastAsia="Arial" w:hAnsi="Arial"/>
                <w:sz w:val="14"/>
                <w:szCs w:val="14"/>
                <w:color w:val="auto"/>
              </w:rPr>
              <w:t>(2,663)</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34,673</w:t>
            </w:r>
          </w:p>
        </w:tc>
        <w:tc>
          <w:tcPr>
            <w:tcW w:w="46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18,767</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120"/>
              <w:spacing w:after="0"/>
              <w:rPr>
                <w:sz w:val="20"/>
                <w:szCs w:val="20"/>
                <w:color w:val="auto"/>
              </w:rPr>
            </w:pPr>
            <w:r>
              <w:rPr>
                <w:rFonts w:ascii="Arial" w:cs="Arial" w:eastAsia="Arial" w:hAnsi="Arial"/>
                <w:sz w:val="14"/>
                <w:szCs w:val="14"/>
                <w:color w:val="auto"/>
              </w:rPr>
              <w:t>Net income/(loss) per ordinary share</w:t>
            </w:r>
          </w:p>
        </w:tc>
        <w:tc>
          <w:tcPr>
            <w:tcW w:w="2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240" w:type="dxa"/>
            <w:vAlign w:val="bottom"/>
            <w:vMerge w:val="continue"/>
          </w:tcPr>
          <w:p>
            <w:pPr>
              <w:spacing w:after="0"/>
              <w:rPr>
                <w:sz w:val="24"/>
                <w:szCs w:val="24"/>
                <w:color w:val="auto"/>
              </w:rPr>
            </w:pPr>
          </w:p>
        </w:tc>
        <w:tc>
          <w:tcPr>
            <w:tcW w:w="2220" w:type="dxa"/>
            <w:vAlign w:val="bottom"/>
            <w:vMerge w:val="restart"/>
          </w:tcPr>
          <w:p>
            <w:pPr>
              <w:spacing w:after="0"/>
              <w:rPr>
                <w:sz w:val="24"/>
                <w:szCs w:val="24"/>
                <w:color w:val="auto"/>
              </w:rPr>
            </w:pPr>
          </w:p>
        </w:tc>
        <w:tc>
          <w:tcPr>
            <w:tcW w:w="13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$0.30</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$0.58</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240" w:type="dxa"/>
            <w:vAlign w:val="bottom"/>
          </w:tcPr>
          <w:p>
            <w:pPr>
              <w:ind w:left="120"/>
              <w:spacing w:after="0"/>
              <w:rPr>
                <w:sz w:val="20"/>
                <w:szCs w:val="20"/>
                <w:color w:val="auto"/>
              </w:rPr>
            </w:pPr>
            <w:r>
              <w:rPr>
                <w:rFonts w:ascii="Arial" w:cs="Arial" w:eastAsia="Arial" w:hAnsi="Arial"/>
                <w:sz w:val="14"/>
                <w:szCs w:val="14"/>
                <w:color w:val="auto"/>
              </w:rPr>
              <w:t>Basic</w:t>
            </w:r>
          </w:p>
        </w:tc>
        <w:tc>
          <w:tcPr>
            <w:tcW w:w="222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($0.04)</w:t>
            </w:r>
          </w:p>
        </w:tc>
        <w:tc>
          <w:tcPr>
            <w:tcW w:w="17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40" w:type="dxa"/>
            <w:vAlign w:val="bottom"/>
          </w:tcPr>
          <w:p>
            <w:pPr>
              <w:ind w:left="120"/>
              <w:spacing w:after="0"/>
              <w:rPr>
                <w:sz w:val="20"/>
                <w:szCs w:val="20"/>
                <w:color w:val="auto"/>
              </w:rPr>
            </w:pPr>
            <w:r>
              <w:rPr>
                <w:rFonts w:ascii="Arial" w:cs="Arial" w:eastAsia="Arial" w:hAnsi="Arial"/>
                <w:sz w:val="14"/>
                <w:szCs w:val="14"/>
                <w:color w:val="auto"/>
              </w:rPr>
              <w:t>Diluted</w:t>
            </w:r>
          </w:p>
        </w:tc>
        <w:tc>
          <w:tcPr>
            <w:tcW w:w="2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$0.29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($0.04)</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$0.57</w:t>
            </w:r>
          </w:p>
        </w:tc>
        <w:tc>
          <w:tcPr>
            <w:tcW w:w="46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120"/>
              <w:spacing w:after="0"/>
              <w:rPr>
                <w:sz w:val="20"/>
                <w:szCs w:val="20"/>
                <w:color w:val="auto"/>
              </w:rPr>
            </w:pPr>
            <w:r>
              <w:rPr>
                <w:rFonts w:ascii="Arial" w:cs="Arial" w:eastAsia="Arial" w:hAnsi="Arial"/>
                <w:sz w:val="14"/>
                <w:szCs w:val="14"/>
                <w:color w:val="auto"/>
              </w:rPr>
              <w:t>Weighted average number of ordinary shares</w:t>
            </w: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240" w:type="dxa"/>
            <w:vAlign w:val="bottom"/>
            <w:vMerge w:val="continue"/>
          </w:tcPr>
          <w:p>
            <w:pPr>
              <w:spacing w:after="0"/>
              <w:rPr>
                <w:sz w:val="24"/>
                <w:szCs w:val="24"/>
                <w:color w:val="auto"/>
              </w:rPr>
            </w:pPr>
          </w:p>
        </w:tc>
        <w:tc>
          <w:tcPr>
            <w:tcW w:w="2220" w:type="dxa"/>
            <w:vAlign w:val="bottom"/>
            <w:vMerge w:val="restart"/>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59,754,010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59,939,570</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120"/>
              <w:spacing w:after="0"/>
              <w:rPr>
                <w:sz w:val="20"/>
                <w:szCs w:val="20"/>
                <w:color w:val="auto"/>
              </w:rPr>
            </w:pPr>
            <w:r>
              <w:rPr>
                <w:rFonts w:ascii="Arial" w:cs="Arial" w:eastAsia="Arial" w:hAnsi="Arial"/>
                <w:sz w:val="14"/>
                <w:szCs w:val="14"/>
                <w:color w:val="auto"/>
              </w:rPr>
              <w:t>Basic</w:t>
            </w:r>
          </w:p>
        </w:tc>
        <w:tc>
          <w:tcPr>
            <w:tcW w:w="22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4"/>
                <w:szCs w:val="14"/>
                <w:color w:val="auto"/>
              </w:rPr>
              <w:t>60,471,985</w:t>
            </w:r>
          </w:p>
        </w:tc>
        <w:tc>
          <w:tcPr>
            <w:tcW w:w="17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60,381,814</w:t>
            </w:r>
          </w:p>
        </w:tc>
        <w:tc>
          <w:tcPr>
            <w:tcW w:w="0" w:type="dxa"/>
            <w:vAlign w:val="bottom"/>
          </w:tcPr>
          <w:p>
            <w:pPr>
              <w:spacing w:after="0"/>
              <w:rPr>
                <w:sz w:val="1"/>
                <w:szCs w:val="1"/>
                <w:color w:val="auto"/>
              </w:rPr>
            </w:pPr>
          </w:p>
        </w:tc>
      </w:tr>
      <w:tr>
        <w:trPr>
          <w:trHeight w:val="351"/>
        </w:trPr>
        <w:tc>
          <w:tcPr>
            <w:tcW w:w="3240" w:type="dxa"/>
            <w:vAlign w:val="bottom"/>
          </w:tcPr>
          <w:p>
            <w:pPr>
              <w:ind w:left="120"/>
              <w:spacing w:after="0"/>
              <w:rPr>
                <w:sz w:val="20"/>
                <w:szCs w:val="20"/>
                <w:color w:val="auto"/>
              </w:rPr>
            </w:pPr>
            <w:r>
              <w:rPr>
                <w:rFonts w:ascii="Arial" w:cs="Arial" w:eastAsia="Arial" w:hAnsi="Arial"/>
                <w:sz w:val="14"/>
                <w:szCs w:val="14"/>
                <w:color w:val="auto"/>
              </w:rPr>
              <w:t>Diluted</w:t>
            </w:r>
          </w:p>
        </w:tc>
        <w:tc>
          <w:tcPr>
            <w:tcW w:w="3500" w:type="dxa"/>
            <w:vAlign w:val="bottom"/>
            <w:gridSpan w:val="2"/>
          </w:tcPr>
          <w:p>
            <w:pPr>
              <w:jc w:val="right"/>
              <w:spacing w:after="0"/>
              <w:rPr>
                <w:sz w:val="20"/>
                <w:szCs w:val="20"/>
                <w:color w:val="auto"/>
              </w:rPr>
            </w:pPr>
            <w:r>
              <w:rPr>
                <w:rFonts w:ascii="Arial" w:cs="Arial" w:eastAsia="Arial" w:hAnsi="Arial"/>
                <w:sz w:val="14"/>
                <w:szCs w:val="14"/>
                <w:b w:val="1"/>
                <w:bCs w:val="1"/>
                <w:color w:val="auto"/>
              </w:rPr>
              <w:t>60,366,137</w:t>
            </w:r>
          </w:p>
        </w:tc>
        <w:tc>
          <w:tcPr>
            <w:tcW w:w="20" w:type="dxa"/>
            <w:vAlign w:val="bottom"/>
          </w:tcPr>
          <w:p>
            <w:pPr>
              <w:spacing w:after="0"/>
              <w:rPr>
                <w:sz w:val="24"/>
                <w:szCs w:val="24"/>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4"/>
                <w:szCs w:val="14"/>
                <w:color w:val="auto"/>
              </w:rPr>
              <w:t>61,063,020</w:t>
            </w:r>
          </w:p>
        </w:tc>
        <w:tc>
          <w:tcPr>
            <w:tcW w:w="1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60,391,199</w:t>
            </w:r>
          </w:p>
        </w:tc>
        <w:tc>
          <w:tcPr>
            <w:tcW w:w="46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61,096,464</w:t>
            </w:r>
          </w:p>
        </w:tc>
        <w:tc>
          <w:tcPr>
            <w:tcW w:w="0" w:type="dxa"/>
            <w:vAlign w:val="bottom"/>
          </w:tcPr>
          <w:p>
            <w:pPr>
              <w:spacing w:after="0"/>
              <w:rPr>
                <w:sz w:val="1"/>
                <w:szCs w:val="1"/>
                <w:color w:val="auto"/>
              </w:rPr>
            </w:pPr>
          </w:p>
        </w:tc>
      </w:tr>
      <w:tr>
        <w:trPr>
          <w:trHeight w:val="309"/>
        </w:trPr>
        <w:tc>
          <w:tcPr>
            <w:tcW w:w="32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40" w:type="dxa"/>
            <w:vAlign w:val="bottom"/>
            <w:tcBorders>
              <w:bottom w:val="single" w:sz="8" w:color="EEEEEE"/>
            </w:tcBorders>
          </w:tcPr>
          <w:p>
            <w:pPr>
              <w:spacing w:after="0" w:line="20" w:lineRule="exact"/>
              <w:rPr>
                <w:sz w:val="1"/>
                <w:szCs w:val="1"/>
                <w:color w:val="auto"/>
              </w:rPr>
            </w:pPr>
          </w:p>
        </w:tc>
        <w:tc>
          <w:tcPr>
            <w:tcW w:w="222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Balance Sheet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2012 and December 31, 2011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5120" w:type="dxa"/>
            <w:vAlign w:val="bottom"/>
          </w:tcPr>
          <w:p>
            <w:pPr>
              <w:jc w:val="right"/>
              <w:ind w:right="1308"/>
              <w:spacing w:after="0"/>
              <w:rPr>
                <w:sz w:val="20"/>
                <w:szCs w:val="20"/>
                <w:color w:val="auto"/>
              </w:rPr>
            </w:pPr>
            <w:r>
              <w:rPr>
                <w:rFonts w:ascii="Arial" w:cs="Arial" w:eastAsia="Arial" w:hAnsi="Arial"/>
                <w:sz w:val="14"/>
                <w:szCs w:val="14"/>
                <w:b w:val="1"/>
                <w:bCs w:val="1"/>
                <w:color w:val="auto"/>
              </w:rPr>
              <w:t>September 30,</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4080" w:type="dxa"/>
            <w:vAlign w:val="bottom"/>
          </w:tcPr>
          <w:p>
            <w:pPr>
              <w:spacing w:after="0"/>
              <w:rPr>
                <w:sz w:val="15"/>
                <w:szCs w:val="15"/>
                <w:color w:val="auto"/>
              </w:rPr>
            </w:pPr>
          </w:p>
        </w:tc>
        <w:tc>
          <w:tcPr>
            <w:tcW w:w="5120" w:type="dxa"/>
            <w:vAlign w:val="bottom"/>
          </w:tcPr>
          <w:p>
            <w:pPr>
              <w:jc w:val="right"/>
              <w:ind w:right="1308"/>
              <w:spacing w:after="0"/>
              <w:rPr>
                <w:sz w:val="20"/>
                <w:szCs w:val="20"/>
                <w:color w:val="auto"/>
              </w:rPr>
            </w:pPr>
            <w:r>
              <w:rPr>
                <w:rFonts w:ascii="Arial" w:cs="Arial" w:eastAsia="Arial" w:hAnsi="Arial"/>
                <w:sz w:val="14"/>
                <w:szCs w:val="14"/>
                <w:b w:val="1"/>
                <w:bCs w:val="1"/>
                <w:color w:val="auto"/>
              </w:rPr>
              <w:t>2012</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r>
      <w:tr>
        <w:trPr>
          <w:trHeight w:val="186"/>
        </w:trPr>
        <w:tc>
          <w:tcPr>
            <w:tcW w:w="4080" w:type="dxa"/>
            <w:vAlign w:val="bottom"/>
          </w:tcPr>
          <w:p>
            <w:pPr>
              <w:spacing w:after="0"/>
              <w:rPr>
                <w:sz w:val="16"/>
                <w:szCs w:val="16"/>
                <w:color w:val="auto"/>
              </w:rPr>
            </w:pPr>
          </w:p>
        </w:tc>
        <w:tc>
          <w:tcPr>
            <w:tcW w:w="5120" w:type="dxa"/>
            <w:vAlign w:val="bottom"/>
          </w:tcPr>
          <w:p>
            <w:pPr>
              <w:jc w:val="right"/>
              <w:ind w:right="1308"/>
              <w:spacing w:after="0"/>
              <w:rPr>
                <w:sz w:val="20"/>
                <w:szCs w:val="20"/>
                <w:color w:val="auto"/>
              </w:rPr>
            </w:pPr>
            <w:r>
              <w:rPr>
                <w:rFonts w:ascii="Arial" w:cs="Arial" w:eastAsia="Arial" w:hAnsi="Arial"/>
                <w:sz w:val="14"/>
                <w:szCs w:val="14"/>
                <w:b w:val="1"/>
                <w:bCs w:val="1"/>
                <w:color w:val="auto"/>
              </w:rPr>
              <w:t>(Unaudited)</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(Audited)</w:t>
            </w:r>
          </w:p>
        </w:tc>
      </w:tr>
      <w:tr>
        <w:trPr>
          <w:trHeight w:val="527"/>
        </w:trPr>
        <w:tc>
          <w:tcPr>
            <w:tcW w:w="4080" w:type="dxa"/>
            <w:vAlign w:val="bottom"/>
          </w:tcPr>
          <w:p>
            <w:pPr>
              <w:spacing w:after="0"/>
              <w:rPr>
                <w:sz w:val="20"/>
                <w:szCs w:val="20"/>
                <w:color w:val="auto"/>
              </w:rPr>
            </w:pPr>
            <w:r>
              <w:rPr>
                <w:rFonts w:ascii="Arial" w:cs="Arial" w:eastAsia="Arial" w:hAnsi="Arial"/>
                <w:sz w:val="14"/>
                <w:szCs w:val="14"/>
                <w:color w:val="auto"/>
              </w:rPr>
              <w:t>Net cash</w:t>
            </w:r>
          </w:p>
        </w:tc>
        <w:tc>
          <w:tcPr>
            <w:tcW w:w="5120" w:type="dxa"/>
            <w:vAlign w:val="bottom"/>
          </w:tcPr>
          <w:p>
            <w:pPr>
              <w:jc w:val="right"/>
              <w:ind w:right="1308"/>
              <w:spacing w:after="0"/>
              <w:rPr>
                <w:sz w:val="20"/>
                <w:szCs w:val="20"/>
                <w:color w:val="auto"/>
              </w:rPr>
            </w:pPr>
            <w:r>
              <w:rPr>
                <w:rFonts w:ascii="Arial" w:cs="Arial" w:eastAsia="Arial" w:hAnsi="Arial"/>
                <w:sz w:val="14"/>
                <w:szCs w:val="14"/>
                <w:b w:val="1"/>
                <w:bCs w:val="1"/>
                <w:color w:val="auto"/>
              </w:rPr>
              <w:t>179,913</w:t>
            </w:r>
          </w:p>
        </w:tc>
        <w:tc>
          <w:tcPr>
            <w:tcW w:w="2220" w:type="dxa"/>
            <w:vAlign w:val="bottom"/>
          </w:tcPr>
          <w:p>
            <w:pPr>
              <w:jc w:val="right"/>
              <w:spacing w:after="0"/>
              <w:rPr>
                <w:sz w:val="20"/>
                <w:szCs w:val="20"/>
                <w:color w:val="auto"/>
              </w:rPr>
            </w:pPr>
            <w:r>
              <w:rPr>
                <w:rFonts w:ascii="Arial" w:cs="Arial" w:eastAsia="Arial" w:hAnsi="Arial"/>
                <w:sz w:val="14"/>
                <w:szCs w:val="14"/>
                <w:color w:val="auto"/>
              </w:rPr>
              <w:t>174,177</w:t>
            </w:r>
          </w:p>
        </w:tc>
      </w:tr>
      <w:tr>
        <w:trPr>
          <w:trHeight w:val="340"/>
        </w:trPr>
        <w:tc>
          <w:tcPr>
            <w:tcW w:w="4080" w:type="dxa"/>
            <w:vAlign w:val="bottom"/>
          </w:tcPr>
          <w:p>
            <w:pPr>
              <w:spacing w:after="0"/>
              <w:rPr>
                <w:sz w:val="20"/>
                <w:szCs w:val="20"/>
                <w:color w:val="auto"/>
              </w:rPr>
            </w:pPr>
            <w:r>
              <w:rPr>
                <w:rFonts w:ascii="Arial" w:cs="Arial" w:eastAsia="Arial" w:hAnsi="Arial"/>
                <w:sz w:val="14"/>
                <w:szCs w:val="14"/>
                <w:color w:val="auto"/>
              </w:rPr>
              <w:t>Accounts receivable</w:t>
            </w:r>
          </w:p>
        </w:tc>
        <w:tc>
          <w:tcPr>
            <w:tcW w:w="5120" w:type="dxa"/>
            <w:vAlign w:val="bottom"/>
          </w:tcPr>
          <w:p>
            <w:pPr>
              <w:jc w:val="right"/>
              <w:ind w:right="1308"/>
              <w:spacing w:after="0"/>
              <w:rPr>
                <w:sz w:val="20"/>
                <w:szCs w:val="20"/>
                <w:color w:val="auto"/>
              </w:rPr>
            </w:pPr>
            <w:r>
              <w:rPr>
                <w:rFonts w:ascii="Arial" w:cs="Arial" w:eastAsia="Arial" w:hAnsi="Arial"/>
                <w:sz w:val="14"/>
                <w:szCs w:val="14"/>
                <w:b w:val="1"/>
                <w:bCs w:val="1"/>
                <w:color w:val="auto"/>
              </w:rPr>
              <w:t>231,097</w:t>
            </w:r>
          </w:p>
        </w:tc>
        <w:tc>
          <w:tcPr>
            <w:tcW w:w="2220" w:type="dxa"/>
            <w:vAlign w:val="bottom"/>
          </w:tcPr>
          <w:p>
            <w:pPr>
              <w:jc w:val="right"/>
              <w:spacing w:after="0"/>
              <w:rPr>
                <w:sz w:val="20"/>
                <w:szCs w:val="20"/>
                <w:color w:val="auto"/>
              </w:rPr>
            </w:pPr>
            <w:r>
              <w:rPr>
                <w:rFonts w:ascii="Arial" w:cs="Arial" w:eastAsia="Arial" w:hAnsi="Arial"/>
                <w:sz w:val="14"/>
                <w:szCs w:val="14"/>
                <w:color w:val="auto"/>
              </w:rPr>
              <w:t>201,338</w:t>
            </w: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Unbilled revenue</w:t>
            </w:r>
          </w:p>
        </w:tc>
        <w:tc>
          <w:tcPr>
            <w:tcW w:w="5120" w:type="dxa"/>
            <w:vAlign w:val="bottom"/>
          </w:tcPr>
          <w:p>
            <w:pPr>
              <w:jc w:val="right"/>
              <w:ind w:right="1308"/>
              <w:spacing w:after="0"/>
              <w:rPr>
                <w:sz w:val="20"/>
                <w:szCs w:val="20"/>
                <w:color w:val="auto"/>
              </w:rPr>
            </w:pPr>
            <w:r>
              <w:rPr>
                <w:rFonts w:ascii="Arial" w:cs="Arial" w:eastAsia="Arial" w:hAnsi="Arial"/>
                <w:sz w:val="14"/>
                <w:szCs w:val="14"/>
                <w:b w:val="1"/>
                <w:bCs w:val="1"/>
                <w:color w:val="auto"/>
              </w:rPr>
              <w:t>114,356</w:t>
            </w:r>
          </w:p>
        </w:tc>
        <w:tc>
          <w:tcPr>
            <w:tcW w:w="2220" w:type="dxa"/>
            <w:vAlign w:val="bottom"/>
          </w:tcPr>
          <w:p>
            <w:pPr>
              <w:jc w:val="right"/>
              <w:spacing w:after="0"/>
              <w:rPr>
                <w:sz w:val="20"/>
                <w:szCs w:val="20"/>
                <w:color w:val="auto"/>
              </w:rPr>
            </w:pPr>
            <w:r>
              <w:rPr>
                <w:rFonts w:ascii="Arial" w:cs="Arial" w:eastAsia="Arial" w:hAnsi="Arial"/>
                <w:sz w:val="14"/>
                <w:szCs w:val="14"/>
                <w:color w:val="auto"/>
              </w:rPr>
              <w:t>126,850</w:t>
            </w: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auto"/>
              </w:rPr>
              <w:t>Payments on account</w:t>
            </w:r>
          </w:p>
        </w:tc>
        <w:tc>
          <w:tcPr>
            <w:tcW w:w="5120" w:type="dxa"/>
            <w:vAlign w:val="bottom"/>
          </w:tcPr>
          <w:p>
            <w:pPr>
              <w:jc w:val="right"/>
              <w:ind w:right="1308"/>
              <w:spacing w:after="0"/>
              <w:rPr>
                <w:sz w:val="20"/>
                <w:szCs w:val="20"/>
                <w:color w:val="auto"/>
              </w:rPr>
            </w:pPr>
            <w:r>
              <w:rPr>
                <w:rFonts w:ascii="Arial" w:cs="Arial" w:eastAsia="Arial" w:hAnsi="Arial"/>
                <w:sz w:val="14"/>
                <w:szCs w:val="14"/>
                <w:b w:val="1"/>
                <w:bCs w:val="1"/>
                <w:color w:val="auto"/>
              </w:rPr>
              <w:t>(185,835)</w:t>
            </w:r>
          </w:p>
        </w:tc>
        <w:tc>
          <w:tcPr>
            <w:tcW w:w="2220" w:type="dxa"/>
            <w:vAlign w:val="bottom"/>
          </w:tcPr>
          <w:p>
            <w:pPr>
              <w:jc w:val="right"/>
              <w:spacing w:after="0"/>
              <w:rPr>
                <w:sz w:val="20"/>
                <w:szCs w:val="20"/>
                <w:color w:val="auto"/>
              </w:rPr>
            </w:pPr>
            <w:r>
              <w:rPr>
                <w:rFonts w:ascii="Arial" w:cs="Arial" w:eastAsia="Arial" w:hAnsi="Arial"/>
                <w:sz w:val="14"/>
                <w:szCs w:val="14"/>
                <w:color w:val="auto"/>
              </w:rPr>
              <w:t>(150,792)</w:t>
            </w:r>
          </w:p>
        </w:tc>
      </w:tr>
      <w:tr>
        <w:trPr>
          <w:trHeight w:val="186"/>
        </w:trPr>
        <w:tc>
          <w:tcPr>
            <w:tcW w:w="4080" w:type="dxa"/>
            <w:vAlign w:val="bottom"/>
          </w:tcPr>
          <w:p>
            <w:pPr>
              <w:spacing w:after="0"/>
              <w:rPr>
                <w:sz w:val="20"/>
                <w:szCs w:val="20"/>
                <w:color w:val="auto"/>
              </w:rPr>
            </w:pPr>
            <w:r>
              <w:rPr>
                <w:rFonts w:ascii="Arial" w:cs="Arial" w:eastAsia="Arial" w:hAnsi="Arial"/>
                <w:sz w:val="14"/>
                <w:szCs w:val="14"/>
                <w:color w:val="auto"/>
              </w:rPr>
              <w:t>Total</w:t>
            </w:r>
          </w:p>
        </w:tc>
        <w:tc>
          <w:tcPr>
            <w:tcW w:w="5120" w:type="dxa"/>
            <w:vAlign w:val="bottom"/>
          </w:tcPr>
          <w:p>
            <w:pPr>
              <w:jc w:val="right"/>
              <w:ind w:right="1308"/>
              <w:spacing w:after="0"/>
              <w:rPr>
                <w:sz w:val="20"/>
                <w:szCs w:val="20"/>
                <w:color w:val="auto"/>
              </w:rPr>
            </w:pPr>
            <w:r>
              <w:rPr>
                <w:rFonts w:ascii="Arial" w:cs="Arial" w:eastAsia="Arial" w:hAnsi="Arial"/>
                <w:sz w:val="14"/>
                <w:szCs w:val="14"/>
                <w:b w:val="1"/>
                <w:bCs w:val="1"/>
                <w:color w:val="auto"/>
              </w:rPr>
              <w:t>159,618</w:t>
            </w:r>
          </w:p>
        </w:tc>
        <w:tc>
          <w:tcPr>
            <w:tcW w:w="2220" w:type="dxa"/>
            <w:vAlign w:val="bottom"/>
          </w:tcPr>
          <w:p>
            <w:pPr>
              <w:jc w:val="right"/>
              <w:spacing w:after="0"/>
              <w:rPr>
                <w:sz w:val="20"/>
                <w:szCs w:val="20"/>
                <w:color w:val="auto"/>
              </w:rPr>
            </w:pPr>
            <w:r>
              <w:rPr>
                <w:rFonts w:ascii="Arial" w:cs="Arial" w:eastAsia="Arial" w:hAnsi="Arial"/>
                <w:sz w:val="14"/>
                <w:szCs w:val="14"/>
                <w:color w:val="auto"/>
              </w:rPr>
              <w:t>177,396</w:t>
            </w:r>
          </w:p>
        </w:tc>
      </w:tr>
      <w:tr>
        <w:trPr>
          <w:trHeight w:val="351"/>
        </w:trPr>
        <w:tc>
          <w:tcPr>
            <w:tcW w:w="4080" w:type="dxa"/>
            <w:vAlign w:val="bottom"/>
          </w:tcPr>
          <w:p>
            <w:pPr>
              <w:spacing w:after="0"/>
              <w:rPr>
                <w:sz w:val="20"/>
                <w:szCs w:val="20"/>
                <w:color w:val="auto"/>
              </w:rPr>
            </w:pPr>
            <w:r>
              <w:rPr>
                <w:rFonts w:ascii="Arial" w:cs="Arial" w:eastAsia="Arial" w:hAnsi="Arial"/>
                <w:sz w:val="14"/>
                <w:szCs w:val="14"/>
                <w:color w:val="auto"/>
              </w:rPr>
              <w:t>Working Capital</w:t>
            </w:r>
          </w:p>
        </w:tc>
        <w:tc>
          <w:tcPr>
            <w:tcW w:w="5120" w:type="dxa"/>
            <w:vAlign w:val="bottom"/>
          </w:tcPr>
          <w:p>
            <w:pPr>
              <w:jc w:val="right"/>
              <w:ind w:right="1308"/>
              <w:spacing w:after="0"/>
              <w:rPr>
                <w:sz w:val="20"/>
                <w:szCs w:val="20"/>
                <w:color w:val="auto"/>
              </w:rPr>
            </w:pPr>
            <w:r>
              <w:rPr>
                <w:rFonts w:ascii="Arial" w:cs="Arial" w:eastAsia="Arial" w:hAnsi="Arial"/>
                <w:sz w:val="14"/>
                <w:szCs w:val="14"/>
                <w:b w:val="1"/>
                <w:bCs w:val="1"/>
                <w:color w:val="auto"/>
              </w:rPr>
              <w:t>209,148</w:t>
            </w:r>
          </w:p>
        </w:tc>
        <w:tc>
          <w:tcPr>
            <w:tcW w:w="2220" w:type="dxa"/>
            <w:vAlign w:val="bottom"/>
          </w:tcPr>
          <w:p>
            <w:pPr>
              <w:jc w:val="right"/>
              <w:spacing w:after="0"/>
              <w:rPr>
                <w:sz w:val="20"/>
                <w:szCs w:val="20"/>
                <w:color w:val="auto"/>
              </w:rPr>
            </w:pPr>
            <w:r>
              <w:rPr>
                <w:rFonts w:ascii="Arial" w:cs="Arial" w:eastAsia="Arial" w:hAnsi="Arial"/>
                <w:sz w:val="14"/>
                <w:szCs w:val="14"/>
                <w:color w:val="auto"/>
              </w:rPr>
              <w:t>253,514</w:t>
            </w:r>
          </w:p>
        </w:tc>
      </w:tr>
      <w:tr>
        <w:trPr>
          <w:trHeight w:val="351"/>
        </w:trPr>
        <w:tc>
          <w:tcPr>
            <w:tcW w:w="4080" w:type="dxa"/>
            <w:vAlign w:val="bottom"/>
          </w:tcPr>
          <w:p>
            <w:pPr>
              <w:spacing w:after="0"/>
              <w:rPr>
                <w:sz w:val="20"/>
                <w:szCs w:val="20"/>
                <w:color w:val="auto"/>
              </w:rPr>
            </w:pPr>
            <w:r>
              <w:rPr>
                <w:rFonts w:ascii="Arial" w:cs="Arial" w:eastAsia="Arial" w:hAnsi="Arial"/>
                <w:sz w:val="14"/>
                <w:szCs w:val="14"/>
                <w:color w:val="auto"/>
              </w:rPr>
              <w:t>Total Assets</w:t>
            </w:r>
          </w:p>
        </w:tc>
        <w:tc>
          <w:tcPr>
            <w:tcW w:w="5120" w:type="dxa"/>
            <w:vAlign w:val="bottom"/>
          </w:tcPr>
          <w:p>
            <w:pPr>
              <w:jc w:val="right"/>
              <w:ind w:right="1308"/>
              <w:spacing w:after="0"/>
              <w:rPr>
                <w:sz w:val="20"/>
                <w:szCs w:val="20"/>
                <w:color w:val="auto"/>
              </w:rPr>
            </w:pPr>
            <w:r>
              <w:rPr>
                <w:rFonts w:ascii="Arial" w:cs="Arial" w:eastAsia="Arial" w:hAnsi="Arial"/>
                <w:sz w:val="14"/>
                <w:szCs w:val="14"/>
                <w:b w:val="1"/>
                <w:bCs w:val="1"/>
                <w:color w:val="auto"/>
              </w:rPr>
              <w:t>1,135,229</w:t>
            </w:r>
          </w:p>
        </w:tc>
        <w:tc>
          <w:tcPr>
            <w:tcW w:w="2220" w:type="dxa"/>
            <w:vAlign w:val="bottom"/>
          </w:tcPr>
          <w:p>
            <w:pPr>
              <w:jc w:val="right"/>
              <w:spacing w:after="0"/>
              <w:rPr>
                <w:sz w:val="20"/>
                <w:szCs w:val="20"/>
                <w:color w:val="auto"/>
              </w:rPr>
            </w:pPr>
            <w:r>
              <w:rPr>
                <w:rFonts w:ascii="Arial" w:cs="Arial" w:eastAsia="Arial" w:hAnsi="Arial"/>
                <w:sz w:val="14"/>
                <w:szCs w:val="14"/>
                <w:color w:val="auto"/>
              </w:rPr>
              <w:t>1,035,467</w:t>
            </w:r>
          </w:p>
        </w:tc>
      </w:tr>
      <w:tr>
        <w:trPr>
          <w:trHeight w:val="351"/>
        </w:trPr>
        <w:tc>
          <w:tcPr>
            <w:tcW w:w="4080" w:type="dxa"/>
            <w:vAlign w:val="bottom"/>
          </w:tcPr>
          <w:p>
            <w:pPr>
              <w:spacing w:after="0"/>
              <w:rPr>
                <w:sz w:val="20"/>
                <w:szCs w:val="20"/>
                <w:color w:val="auto"/>
              </w:rPr>
            </w:pPr>
            <w:r>
              <w:rPr>
                <w:rFonts w:ascii="Arial" w:cs="Arial" w:eastAsia="Arial" w:hAnsi="Arial"/>
                <w:sz w:val="14"/>
                <w:szCs w:val="14"/>
                <w:color w:val="auto"/>
              </w:rPr>
              <w:t>Shareholder's Equity</w:t>
            </w:r>
          </w:p>
        </w:tc>
        <w:tc>
          <w:tcPr>
            <w:tcW w:w="5120" w:type="dxa"/>
            <w:vAlign w:val="bottom"/>
          </w:tcPr>
          <w:p>
            <w:pPr>
              <w:jc w:val="right"/>
              <w:ind w:right="1308"/>
              <w:spacing w:after="0"/>
              <w:rPr>
                <w:sz w:val="20"/>
                <w:szCs w:val="20"/>
                <w:color w:val="auto"/>
              </w:rPr>
            </w:pPr>
            <w:r>
              <w:rPr>
                <w:rFonts w:ascii="Arial" w:cs="Arial" w:eastAsia="Arial" w:hAnsi="Arial"/>
                <w:sz w:val="14"/>
                <w:szCs w:val="14"/>
                <w:b w:val="1"/>
                <w:bCs w:val="1"/>
                <w:color w:val="auto"/>
              </w:rPr>
              <w:t>719,041</w:t>
            </w:r>
          </w:p>
        </w:tc>
        <w:tc>
          <w:tcPr>
            <w:tcW w:w="2220" w:type="dxa"/>
            <w:vAlign w:val="bottom"/>
          </w:tcPr>
          <w:p>
            <w:pPr>
              <w:jc w:val="right"/>
              <w:spacing w:after="0"/>
              <w:rPr>
                <w:sz w:val="20"/>
                <w:szCs w:val="20"/>
                <w:color w:val="auto"/>
              </w:rPr>
            </w:pPr>
            <w:r>
              <w:rPr>
                <w:rFonts w:ascii="Arial" w:cs="Arial" w:eastAsia="Arial" w:hAnsi="Arial"/>
                <w:sz w:val="14"/>
                <w:szCs w:val="14"/>
                <w:color w:val="auto"/>
              </w:rPr>
              <w:t>681,544</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Chief Financial Officer</w:t>
      </w:r>
    </w:p>
    <w:p>
      <w:pPr>
        <w:ind w:right="974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Sam Farthing, VP Investor Relations</w:t>
      </w: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2019-12-09T13:04:44Z</dcterms:created>
  <dcterms:modified xsi:type="dcterms:W3CDTF">2019-12-09T13:04:44Z</dcterms:modified>
</cp:coreProperties>
</file>