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5241290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3968750</wp:posOffset>
            </wp:positionH>
            <wp:positionV relativeFrom="paragraph">
              <wp:posOffset>-624205</wp:posOffset>
            </wp:positionV>
            <wp:extent cx="57785" cy="637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741045</wp:posOffset>
            </wp:positionV>
            <wp:extent cx="6993890" cy="47745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774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McCague Eugene Pacelli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ICON PLC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ICLR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ICON PLC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COUNTY BUSINESS PARK,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LEOPARDSTOWN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DUBLIN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D18 X5R3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5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4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125.74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10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3,255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05/18/2026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125.74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10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3,255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3,255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-2011045</wp:posOffset>
            </wp:positionV>
            <wp:extent cx="29210" cy="20167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6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extension of the expiration date of the stock options for a 30 trading day period under the Company Share Trading Policy.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Fully vested.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Erina Joan Fox, as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05/15/2026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493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3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-20955</wp:posOffset>
            </wp:positionV>
            <wp:extent cx="3003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5583555</wp:posOffset>
            </wp:positionH>
            <wp:positionV relativeFrom="paragraph">
              <wp:posOffset>-86360</wp:posOffset>
            </wp:positionV>
            <wp:extent cx="4832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73720" TargetMode="External"/><Relationship Id="rId14" Type="http://schemas.openxmlformats.org/officeDocument/2006/relationships/hyperlink" Target="http://www.sec.gov/cgi-bin/browse-edgar?action=getcompany&amp;CIK=00010609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2026-05-15T07:39:35Z</dcterms:created>
  <dcterms:modified xsi:type="dcterms:W3CDTF">2026-05-15T07:39:35Z</dcterms:modified>
</cp:coreProperties>
</file>