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April, 2011</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Ciaran Murray,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Ciaran.Murray@iconplc.com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April 21, 2011</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1940" w:firstLine="1931"/>
        <w:spacing w:after="0" w:line="435" w:lineRule="auto"/>
        <w:rPr>
          <w:sz w:val="20"/>
          <w:szCs w:val="20"/>
          <w:color w:val="auto"/>
        </w:rPr>
      </w:pPr>
      <w:r>
        <w:rPr>
          <w:rFonts w:ascii="Arial" w:cs="Arial" w:eastAsia="Arial" w:hAnsi="Arial"/>
          <w:sz w:val="22"/>
          <w:szCs w:val="22"/>
          <w:b w:val="1"/>
          <w:bCs w:val="1"/>
          <w:color w:val="auto"/>
        </w:rPr>
        <w:t>ICON Reports First Quarter 2011 Revenue up 5% to $229 Million and EPS of 21c Highlights – First Quarter Fiscal 2011</w:t>
      </w:r>
    </w:p>
    <w:p>
      <w:pPr>
        <w:spacing w:after="0" w:line="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revenue of $229 million, a 5% increase year on year, 6% at constant currency.</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Income from operations was $16m, before restructuring charges.</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Operating margin before the restructuring charges was 7% and EPS on the same basis was 21 cents.</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 restructuring charge of $5 million was taken in the quarter.</w:t>
      </w:r>
    </w:p>
    <w:p>
      <w:pPr>
        <w:spacing w:after="0" w:line="206" w:lineRule="exact"/>
        <w:rPr>
          <w:rFonts w:ascii="Arial" w:cs="Arial" w:eastAsia="Arial" w:hAnsi="Arial"/>
          <w:sz w:val="22"/>
          <w:szCs w:val="22"/>
          <w:b w:val="1"/>
          <w:bCs w:val="1"/>
          <w:color w:val="auto"/>
        </w:rPr>
      </w:pPr>
    </w:p>
    <w:p>
      <w:pPr>
        <w:ind w:right="700" w:firstLine="8"/>
        <w:spacing w:after="0" w:line="256"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Gross business wins were $329 million representing a gross book to bill of 1.43, net business wins were $257 million representing a net book to bill of 1.12.</w:t>
      </w:r>
    </w:p>
    <w:p>
      <w:pPr>
        <w:spacing w:after="0" w:line="163"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color w:val="auto"/>
        </w:rPr>
        <w:t>DUBLIN--(BUSINESS WIRE)--April 21, 2011--</w:t>
      </w:r>
      <w:r>
        <w:rPr>
          <w:rFonts w:ascii="Arial" w:cs="Arial" w:eastAsia="Arial" w:hAnsi="Arial"/>
          <w:sz w:val="22"/>
          <w:szCs w:val="22"/>
          <w:b w:val="1"/>
          <w:bCs w:val="1"/>
          <w:color w:val="auto"/>
        </w:rPr>
        <w:t>ICON (NASDAQ: ICLR) (ISIN:IE0005711209)</w:t>
      </w:r>
      <w:r>
        <w:rPr>
          <w:rFonts w:ascii="Arial" w:cs="Arial" w:eastAsia="Arial" w:hAnsi="Arial"/>
          <w:sz w:val="22"/>
          <w:szCs w:val="22"/>
          <w:color w:val="auto"/>
        </w:rPr>
        <w:t>, a global provider of outsourced development services to the pharmaceutical, biotechnology and medical device industries, today reported its financial results for the first quarter ended March 31, 2011.</w:t>
      </w:r>
    </w:p>
    <w:p>
      <w:pPr>
        <w:spacing w:after="0" w:line="183"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Net revenue for the quarter was $229 million, an increase of 4.6% on the prior year, a constant currency increase year on year of 5.5%.</w:t>
      </w:r>
    </w:p>
    <w:p>
      <w:pPr>
        <w:spacing w:after="0" w:line="173"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Before restructuring charges, income from operations was $16 million or 7% of revenue, compared to $26.8 million or 12.2% for the same quarter last year. Excluding restructuring charges, net income was $12.8 million or 21 cents per share on a diluted basis, compared with $22.2 million or 37 cents per share last year.</w:t>
      </w:r>
    </w:p>
    <w:p>
      <w:pPr>
        <w:spacing w:after="0" w:line="186" w:lineRule="exact"/>
        <w:rPr>
          <w:sz w:val="20"/>
          <w:szCs w:val="20"/>
          <w:color w:val="auto"/>
        </w:rPr>
      </w:pPr>
    </w:p>
    <w:p>
      <w:pPr>
        <w:jc w:val="both"/>
        <w:ind w:right="8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49 days at March 31, 2011, compared to 37 days at December 31, 2010.</w:t>
      </w:r>
    </w:p>
    <w:p>
      <w:pPr>
        <w:spacing w:after="0" w:line="173"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For the quarter ended March 31, 2011, cash used in operating activities was $5.3 million and capital expenditure was $6 million. In addition ICON paid an initial cash consideration of $27.7m for the acquisition of Oxford Outcomes. As a result, the company’s net cash amounted to $232 million at March 31, 2011, compared to net cash of $256 million at December 31, 2010.</w:t>
      </w:r>
    </w:p>
    <w:p>
      <w:pPr>
        <w:spacing w:after="0" w:line="134"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“2011 has started in line with expectations.” commented CEO Peter Gray. “With strong gross bookings of $329m, a strengthening pipeline of new opportunities and the Central Lab progressing as planned, we believe we are on track for a return to growth in the second half.”</w:t>
      </w:r>
    </w:p>
    <w:p>
      <w:pPr>
        <w:spacing w:after="0" w:line="18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During the quarter the company undertook a number of cost reduction steps which led to restructuring costs of $5 million. US GAAP income from operations after these items amounted to $11 million or 4.8% of revenue. US GAAP net income for the quarter is $8.3 million or 14 cents per share.</w:t>
      </w:r>
    </w:p>
    <w:p>
      <w:pPr>
        <w:spacing w:after="0" w:line="186"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 xml:space="preserve">The company will hold its first quarter conference call today, April 21, 2011 at 9:00 EST [14:00 Ireland &amp; UK]. This call and linked slide presentation can be accessed live from our website at </w:t>
      </w:r>
      <w:r>
        <w:rPr>
          <w:rFonts w:ascii="Arial" w:cs="Arial" w:eastAsia="Arial" w:hAnsi="Arial"/>
          <w:sz w:val="19"/>
          <w:szCs w:val="19"/>
          <w:u w:val="single" w:color="auto"/>
          <w:color w:val="auto"/>
        </w:rPr>
        <w:t>http://www.iconplc.com</w:t>
      </w:r>
      <w:r>
        <w:rPr>
          <w:rFonts w:ascii="Arial" w:cs="Arial" w:eastAsia="Arial" w:hAnsi="Arial"/>
          <w:sz w:val="19"/>
          <w:szCs w:val="19"/>
          <w:color w:val="auto"/>
        </w:rPr>
        <w:t>. A recording will also be available on the website for 90 days following the call. In addition, a calendar of company events, including upcoming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presentations, is available on our website, under “Investors”. This calendar will be updated regularly.</w:t>
      </w: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ind w:right="52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77 locations in 39 countries and has approximately 7,700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5" w:name="page6"/>
    <w:bookmarkEnd w:id="5"/>
    <w:p>
      <w:pPr>
        <w:jc w:val="center"/>
        <w:ind w:right="160"/>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Consolidated Income Statements (Unaudited) (Before Restructuring Charges)</w:t>
      </w:r>
    </w:p>
    <w:p>
      <w:pPr>
        <w:spacing w:after="0" w:line="190"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Three Months ended March 31, 2011 and March 31, 2010</w:t>
      </w:r>
    </w:p>
    <w:p>
      <w:pPr>
        <w:spacing w:after="0" w:line="25"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00" w:type="dxa"/>
            <w:vAlign w:val="bottom"/>
          </w:tcPr>
          <w:p>
            <w:pPr>
              <w:spacing w:after="0"/>
              <w:rPr>
                <w:sz w:val="15"/>
                <w:szCs w:val="15"/>
                <w:color w:val="auto"/>
              </w:rPr>
            </w:pPr>
          </w:p>
        </w:tc>
        <w:tc>
          <w:tcPr>
            <w:tcW w:w="2900" w:type="dxa"/>
            <w:vAlign w:val="bottom"/>
            <w:gridSpan w:val="4"/>
          </w:tcPr>
          <w:p>
            <w:pPr>
              <w:ind w:left="128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tcPr>
          <w:p>
            <w:pPr>
              <w:spacing w:after="0"/>
              <w:rPr>
                <w:sz w:val="15"/>
                <w:szCs w:val="15"/>
                <w:color w:val="auto"/>
              </w:rPr>
            </w:pPr>
          </w:p>
        </w:tc>
        <w:tc>
          <w:tcPr>
            <w:tcW w:w="2900" w:type="dxa"/>
            <w:vAlign w:val="bottom"/>
            <w:gridSpan w:val="4"/>
          </w:tcPr>
          <w:p>
            <w:pPr>
              <w:ind w:left="118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7400" w:type="dxa"/>
            <w:vAlign w:val="bottom"/>
          </w:tcPr>
          <w:p>
            <w:pPr>
              <w:spacing w:after="0"/>
              <w:rPr>
                <w:sz w:val="16"/>
                <w:szCs w:val="16"/>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351"/>
        </w:trPr>
        <w:tc>
          <w:tcPr>
            <w:tcW w:w="7400" w:type="dxa"/>
            <w:vAlign w:val="bottom"/>
          </w:tcPr>
          <w:p>
            <w:pPr>
              <w:spacing w:after="0"/>
              <w:rPr>
                <w:sz w:val="20"/>
                <w:szCs w:val="20"/>
                <w:color w:val="auto"/>
              </w:rPr>
            </w:pPr>
            <w:r>
              <w:rPr>
                <w:rFonts w:ascii="Arial" w:cs="Arial" w:eastAsia="Arial" w:hAnsi="Arial"/>
                <w:sz w:val="14"/>
                <w:szCs w:val="14"/>
                <w:color w:val="auto"/>
              </w:rPr>
              <w:t>Gross Revenue</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305,547</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309,551</w:t>
            </w:r>
          </w:p>
        </w:tc>
        <w:tc>
          <w:tcPr>
            <w:tcW w:w="0" w:type="dxa"/>
            <w:vAlign w:val="bottom"/>
          </w:tcPr>
          <w:p>
            <w:pPr>
              <w:spacing w:after="0"/>
              <w:rPr>
                <w:sz w:val="1"/>
                <w:szCs w:val="1"/>
                <w:color w:val="auto"/>
              </w:rPr>
            </w:pPr>
          </w:p>
        </w:tc>
      </w:tr>
      <w:tr>
        <w:trPr>
          <w:trHeight w:val="351"/>
        </w:trPr>
        <w:tc>
          <w:tcPr>
            <w:tcW w:w="7400" w:type="dxa"/>
            <w:vAlign w:val="bottom"/>
          </w:tcPr>
          <w:p>
            <w:pPr>
              <w:spacing w:after="0"/>
              <w:rPr>
                <w:sz w:val="20"/>
                <w:szCs w:val="20"/>
                <w:color w:val="auto"/>
              </w:rPr>
            </w:pPr>
            <w:r>
              <w:rPr>
                <w:rFonts w:ascii="Arial" w:cs="Arial" w:eastAsia="Arial" w:hAnsi="Arial"/>
                <w:sz w:val="14"/>
                <w:szCs w:val="14"/>
                <w:color w:val="auto"/>
              </w:rPr>
              <w:t>Reimbursable expenses</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76,250</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90,439</w:t>
            </w:r>
          </w:p>
        </w:tc>
        <w:tc>
          <w:tcPr>
            <w:tcW w:w="0" w:type="dxa"/>
            <w:vAlign w:val="bottom"/>
          </w:tcPr>
          <w:p>
            <w:pPr>
              <w:spacing w:after="0"/>
              <w:rPr>
                <w:sz w:val="1"/>
                <w:szCs w:val="1"/>
                <w:color w:val="auto"/>
              </w:rPr>
            </w:pPr>
          </w:p>
        </w:tc>
      </w:tr>
      <w:tr>
        <w:trPr>
          <w:trHeight w:val="174"/>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vMerge w:val="continue"/>
          </w:tcPr>
          <w:p>
            <w:pPr>
              <w:spacing w:after="0"/>
              <w:rPr>
                <w:sz w:val="15"/>
                <w:szCs w:val="15"/>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229,297</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219,112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4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400" w:type="dxa"/>
            <w:vAlign w:val="bottom"/>
          </w:tcPr>
          <w:p>
            <w:pPr>
              <w:spacing w:after="0"/>
              <w:rPr>
                <w:sz w:val="20"/>
                <w:szCs w:val="20"/>
                <w:color w:val="auto"/>
              </w:rPr>
            </w:pPr>
            <w:r>
              <w:rPr>
                <w:rFonts w:ascii="Arial" w:cs="Arial" w:eastAsia="Arial" w:hAnsi="Arial"/>
                <w:sz w:val="14"/>
                <w:szCs w:val="14"/>
                <w:color w:val="auto"/>
              </w:rPr>
              <w:t>Direct costs</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144,470</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131,318</w:t>
            </w:r>
          </w:p>
        </w:tc>
        <w:tc>
          <w:tcPr>
            <w:tcW w:w="0" w:type="dxa"/>
            <w:vAlign w:val="bottom"/>
          </w:tcPr>
          <w:p>
            <w:pPr>
              <w:spacing w:after="0"/>
              <w:rPr>
                <w:sz w:val="1"/>
                <w:szCs w:val="1"/>
                <w:color w:val="auto"/>
              </w:rPr>
            </w:pPr>
          </w:p>
        </w:tc>
      </w:tr>
      <w:tr>
        <w:trPr>
          <w:trHeight w:val="176"/>
        </w:trPr>
        <w:tc>
          <w:tcPr>
            <w:tcW w:w="740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59,883</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52,294</w:t>
            </w:r>
          </w:p>
        </w:tc>
        <w:tc>
          <w:tcPr>
            <w:tcW w:w="0" w:type="dxa"/>
            <w:vAlign w:val="bottom"/>
          </w:tcPr>
          <w:p>
            <w:pPr>
              <w:spacing w:after="0"/>
              <w:rPr>
                <w:sz w:val="1"/>
                <w:szCs w:val="1"/>
                <w:color w:val="auto"/>
              </w:rPr>
            </w:pPr>
          </w:p>
        </w:tc>
      </w:tr>
      <w:tr>
        <w:trPr>
          <w:trHeight w:val="182"/>
        </w:trPr>
        <w:tc>
          <w:tcPr>
            <w:tcW w:w="74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8,973</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8,722</w:t>
            </w:r>
          </w:p>
        </w:tc>
        <w:tc>
          <w:tcPr>
            <w:tcW w:w="0" w:type="dxa"/>
            <w:vAlign w:val="bottom"/>
          </w:tcPr>
          <w:p>
            <w:pPr>
              <w:spacing w:after="0"/>
              <w:rPr>
                <w:sz w:val="1"/>
                <w:szCs w:val="1"/>
                <w:color w:val="auto"/>
              </w:rPr>
            </w:pPr>
          </w:p>
        </w:tc>
      </w:tr>
      <w:tr>
        <w:trPr>
          <w:trHeight w:val="174"/>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vMerge w:val="continue"/>
          </w:tcPr>
          <w:p>
            <w:pPr>
              <w:spacing w:after="0"/>
              <w:rPr>
                <w:sz w:val="15"/>
                <w:szCs w:val="15"/>
                <w:color w:val="auto"/>
              </w:rPr>
            </w:pPr>
          </w:p>
        </w:tc>
        <w:tc>
          <w:tcPr>
            <w:tcW w:w="1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213,326</w:t>
            </w:r>
          </w:p>
        </w:tc>
        <w:tc>
          <w:tcPr>
            <w:tcW w:w="1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192,334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4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15,971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26,778</w:t>
            </w:r>
          </w:p>
        </w:tc>
        <w:tc>
          <w:tcPr>
            <w:tcW w:w="0" w:type="dxa"/>
            <w:vAlign w:val="bottom"/>
          </w:tcPr>
          <w:p>
            <w:pPr>
              <w:spacing w:after="0"/>
              <w:rPr>
                <w:sz w:val="1"/>
                <w:szCs w:val="1"/>
                <w:color w:val="auto"/>
              </w:rPr>
            </w:pPr>
          </w:p>
        </w:tc>
      </w:tr>
      <w:tr>
        <w:trPr>
          <w:trHeight w:val="351"/>
        </w:trPr>
        <w:tc>
          <w:tcPr>
            <w:tcW w:w="7400" w:type="dxa"/>
            <w:vAlign w:val="bottom"/>
          </w:tcPr>
          <w:p>
            <w:pPr>
              <w:spacing w:after="0"/>
              <w:rPr>
                <w:sz w:val="20"/>
                <w:szCs w:val="20"/>
                <w:color w:val="auto"/>
              </w:rPr>
            </w:pPr>
            <w:r>
              <w:rPr>
                <w:rFonts w:ascii="Arial" w:cs="Arial" w:eastAsia="Arial" w:hAnsi="Arial"/>
                <w:sz w:val="14"/>
                <w:szCs w:val="14"/>
                <w:color w:val="auto"/>
              </w:rPr>
              <w:t>Net interest income/(expense)</w:t>
            </w:r>
          </w:p>
        </w:tc>
        <w:tc>
          <w:tcPr>
            <w:tcW w:w="1820" w:type="dxa"/>
            <w:vAlign w:val="bottom"/>
          </w:tcPr>
          <w:p>
            <w:pPr>
              <w:jc w:val="right"/>
              <w:spacing w:after="0"/>
              <w:rPr>
                <w:sz w:val="20"/>
                <w:szCs w:val="20"/>
                <w:color w:val="auto"/>
              </w:rPr>
            </w:pPr>
            <w:r>
              <w:rPr>
                <w:rFonts w:ascii="Arial" w:cs="Arial" w:eastAsia="Arial" w:hAnsi="Arial"/>
                <w:sz w:val="14"/>
                <w:szCs w:val="14"/>
                <w:color w:val="auto"/>
              </w:rPr>
              <w:t>66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74"/>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84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00" w:type="dxa"/>
            <w:vAlign w:val="bottom"/>
            <w:vMerge w:val="continue"/>
          </w:tcPr>
          <w:p>
            <w:pPr>
              <w:spacing w:after="0"/>
              <w:rPr>
                <w:sz w:val="15"/>
                <w:szCs w:val="15"/>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16,037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26,586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74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3,231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169"/>
        </w:trPr>
        <w:tc>
          <w:tcPr>
            <w:tcW w:w="74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12,806</w:t>
            </w:r>
          </w:p>
        </w:tc>
        <w:tc>
          <w:tcPr>
            <w:tcW w:w="1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22,199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40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400" w:type="dxa"/>
            <w:vAlign w:val="bottom"/>
          </w:tcPr>
          <w:p>
            <w:pPr>
              <w:spacing w:after="0"/>
              <w:rPr>
                <w:sz w:val="20"/>
                <w:szCs w:val="20"/>
                <w:color w:val="auto"/>
              </w:rPr>
            </w:pPr>
            <w:r>
              <w:rPr>
                <w:rFonts w:ascii="Arial" w:cs="Arial" w:eastAsia="Arial" w:hAnsi="Arial"/>
                <w:sz w:val="14"/>
                <w:szCs w:val="14"/>
                <w:color w:val="auto"/>
              </w:rPr>
              <w:t>Basic</w:t>
            </w:r>
          </w:p>
        </w:tc>
        <w:tc>
          <w:tcPr>
            <w:tcW w:w="1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$0.21</w:t>
            </w:r>
          </w:p>
        </w:tc>
        <w:tc>
          <w:tcPr>
            <w:tcW w:w="1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400" w:type="dxa"/>
            <w:vAlign w:val="bottom"/>
          </w:tcPr>
          <w:p>
            <w:pPr>
              <w:spacing w:after="0"/>
              <w:rPr>
                <w:sz w:val="20"/>
                <w:szCs w:val="20"/>
                <w:color w:val="auto"/>
              </w:rPr>
            </w:pPr>
            <w:r>
              <w:rPr>
                <w:rFonts w:ascii="Arial" w:cs="Arial" w:eastAsia="Arial" w:hAnsi="Arial"/>
                <w:sz w:val="14"/>
                <w:szCs w:val="14"/>
                <w:color w:val="auto"/>
              </w:rPr>
              <w:t>Diluted</w:t>
            </w:r>
          </w:p>
        </w:tc>
        <w:tc>
          <w:tcPr>
            <w:tcW w:w="1840" w:type="dxa"/>
            <w:vAlign w:val="bottom"/>
            <w:gridSpan w:val="2"/>
          </w:tcPr>
          <w:p>
            <w:pPr>
              <w:jc w:val="right"/>
              <w:ind w:right="20"/>
              <w:spacing w:after="0"/>
              <w:rPr>
                <w:sz w:val="20"/>
                <w:szCs w:val="20"/>
                <w:color w:val="auto"/>
              </w:rPr>
            </w:pPr>
            <w:r>
              <w:rPr>
                <w:rFonts w:ascii="Arial" w:cs="Arial" w:eastAsia="Arial" w:hAnsi="Arial"/>
                <w:sz w:val="14"/>
                <w:szCs w:val="14"/>
                <w:color w:val="auto"/>
              </w:rPr>
              <w:t>$0.21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339"/>
        </w:trPr>
        <w:tc>
          <w:tcPr>
            <w:tcW w:w="740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400" w:type="dxa"/>
            <w:vAlign w:val="bottom"/>
          </w:tcPr>
          <w:p>
            <w:pPr>
              <w:spacing w:after="0"/>
              <w:rPr>
                <w:sz w:val="20"/>
                <w:szCs w:val="20"/>
                <w:color w:val="auto"/>
              </w:rPr>
            </w:pPr>
            <w:r>
              <w:rPr>
                <w:rFonts w:ascii="Arial" w:cs="Arial" w:eastAsia="Arial" w:hAnsi="Arial"/>
                <w:sz w:val="14"/>
                <w:szCs w:val="14"/>
                <w:color w:val="auto"/>
              </w:rPr>
              <w:t>Basic</w:t>
            </w:r>
          </w:p>
        </w:tc>
        <w:tc>
          <w:tcPr>
            <w:tcW w:w="1820" w:type="dxa"/>
            <w:vAlign w:val="bottom"/>
          </w:tcPr>
          <w:p>
            <w:pPr>
              <w:jc w:val="right"/>
              <w:spacing w:after="0"/>
              <w:rPr>
                <w:sz w:val="20"/>
                <w:szCs w:val="20"/>
                <w:color w:val="auto"/>
              </w:rPr>
            </w:pPr>
            <w:r>
              <w:rPr>
                <w:rFonts w:ascii="Arial" w:cs="Arial" w:eastAsia="Arial" w:hAnsi="Arial"/>
                <w:sz w:val="14"/>
                <w:szCs w:val="14"/>
                <w:color w:val="auto"/>
              </w:rPr>
              <w:t>60,283,078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59,122,650</w:t>
            </w:r>
          </w:p>
        </w:tc>
        <w:tc>
          <w:tcPr>
            <w:tcW w:w="0" w:type="dxa"/>
            <w:vAlign w:val="bottom"/>
          </w:tcPr>
          <w:p>
            <w:pPr>
              <w:spacing w:after="0"/>
              <w:rPr>
                <w:sz w:val="1"/>
                <w:szCs w:val="1"/>
                <w:color w:val="auto"/>
              </w:rPr>
            </w:pPr>
          </w:p>
        </w:tc>
      </w:tr>
      <w:tr>
        <w:trPr>
          <w:trHeight w:val="351"/>
        </w:trPr>
        <w:tc>
          <w:tcPr>
            <w:tcW w:w="7400" w:type="dxa"/>
            <w:vAlign w:val="bottom"/>
          </w:tcPr>
          <w:p>
            <w:pPr>
              <w:spacing w:after="0"/>
              <w:rPr>
                <w:sz w:val="20"/>
                <w:szCs w:val="20"/>
                <w:color w:val="auto"/>
              </w:rPr>
            </w:pPr>
            <w:r>
              <w:rPr>
                <w:rFonts w:ascii="Arial" w:cs="Arial" w:eastAsia="Arial" w:hAnsi="Arial"/>
                <w:sz w:val="14"/>
                <w:szCs w:val="14"/>
                <w:color w:val="auto"/>
              </w:rPr>
              <w:t>Diluted</w:t>
            </w:r>
          </w:p>
        </w:tc>
        <w:tc>
          <w:tcPr>
            <w:tcW w:w="1820" w:type="dxa"/>
            <w:vAlign w:val="bottom"/>
          </w:tcPr>
          <w:p>
            <w:pPr>
              <w:jc w:val="right"/>
              <w:spacing w:after="0"/>
              <w:rPr>
                <w:sz w:val="20"/>
                <w:szCs w:val="20"/>
                <w:color w:val="auto"/>
              </w:rPr>
            </w:pPr>
            <w:r>
              <w:rPr>
                <w:rFonts w:ascii="Arial" w:cs="Arial" w:eastAsia="Arial" w:hAnsi="Arial"/>
                <w:sz w:val="14"/>
                <w:szCs w:val="14"/>
                <w:color w:val="auto"/>
              </w:rPr>
              <w:t>60,982,948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60,313,774</w:t>
            </w:r>
          </w:p>
        </w:tc>
        <w:tc>
          <w:tcPr>
            <w:tcW w:w="0" w:type="dxa"/>
            <w:vAlign w:val="bottom"/>
          </w:tcPr>
          <w:p>
            <w:pPr>
              <w:spacing w:after="0"/>
              <w:rPr>
                <w:sz w:val="1"/>
                <w:szCs w:val="1"/>
                <w:color w:val="auto"/>
              </w:rPr>
            </w:pPr>
          </w:p>
        </w:tc>
      </w:tr>
      <w:tr>
        <w:trPr>
          <w:trHeight w:val="134"/>
        </w:trPr>
        <w:tc>
          <w:tcPr>
            <w:tcW w:w="740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40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6" w:name="page7"/>
    <w:bookmarkEnd w:id="6"/>
    <w:p>
      <w:pPr>
        <w:jc w:val="center"/>
        <w:ind w:right="200"/>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Consolidated Income Statements (Unaudited) (US GAAP)</w:t>
      </w:r>
    </w:p>
    <w:p>
      <w:pPr>
        <w:spacing w:after="0" w:line="190"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Three Months ended March 31, 2011 and March 31, 2010</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20" w:type="dxa"/>
            <w:vAlign w:val="bottom"/>
          </w:tcPr>
          <w:p>
            <w:pPr>
              <w:spacing w:after="0"/>
              <w:rPr>
                <w:sz w:val="15"/>
                <w:szCs w:val="15"/>
                <w:color w:val="auto"/>
              </w:rPr>
            </w:pPr>
          </w:p>
        </w:tc>
        <w:tc>
          <w:tcPr>
            <w:tcW w:w="2840" w:type="dxa"/>
            <w:vAlign w:val="bottom"/>
            <w:gridSpan w:val="3"/>
          </w:tcPr>
          <w:p>
            <w:pPr>
              <w:ind w:left="124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tcPr>
          <w:p>
            <w:pPr>
              <w:spacing w:after="0"/>
              <w:rPr>
                <w:sz w:val="15"/>
                <w:szCs w:val="15"/>
                <w:color w:val="auto"/>
              </w:rPr>
            </w:pPr>
          </w:p>
        </w:tc>
        <w:tc>
          <w:tcPr>
            <w:tcW w:w="2840" w:type="dxa"/>
            <w:vAlign w:val="bottom"/>
            <w:gridSpan w:val="3"/>
          </w:tcPr>
          <w:p>
            <w:pPr>
              <w:ind w:left="1160"/>
              <w:spacing w:after="0"/>
              <w:rPr>
                <w:sz w:val="20"/>
                <w:szCs w:val="20"/>
                <w:color w:val="auto"/>
              </w:rPr>
            </w:pPr>
            <w:r>
              <w:rPr>
                <w:rFonts w:ascii="Arial" w:cs="Arial" w:eastAsia="Arial" w:hAnsi="Arial"/>
                <w:sz w:val="14"/>
                <w:szCs w:val="14"/>
                <w:b w:val="1"/>
                <w:bCs w:val="1"/>
                <w:color w:val="auto"/>
              </w:rPr>
              <w:t>March 31,</w:t>
            </w: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74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0"/>
                <w:szCs w:val="20"/>
                <w:color w:val="auto"/>
              </w:rPr>
            </w:pPr>
            <w:r>
              <w:rPr>
                <w:rFonts w:ascii="Arial" w:cs="Arial" w:eastAsia="Arial" w:hAnsi="Arial"/>
                <w:sz w:val="14"/>
                <w:szCs w:val="14"/>
                <w:color w:val="auto"/>
              </w:rPr>
              <w:t>Gross Revenue</w:t>
            </w:r>
          </w:p>
        </w:tc>
        <w:tc>
          <w:tcPr>
            <w:tcW w:w="1820" w:type="dxa"/>
            <w:vAlign w:val="bottom"/>
          </w:tcPr>
          <w:p>
            <w:pPr>
              <w:jc w:val="right"/>
              <w:spacing w:after="0"/>
              <w:rPr>
                <w:sz w:val="20"/>
                <w:szCs w:val="20"/>
                <w:color w:val="auto"/>
              </w:rPr>
            </w:pPr>
            <w:r>
              <w:rPr>
                <w:rFonts w:ascii="Arial" w:cs="Arial" w:eastAsia="Arial" w:hAnsi="Arial"/>
                <w:sz w:val="14"/>
                <w:szCs w:val="14"/>
                <w:color w:val="auto"/>
              </w:rPr>
              <w:t>305,547</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309,551</w:t>
            </w: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0"/>
                <w:szCs w:val="20"/>
                <w:color w:val="auto"/>
              </w:rPr>
            </w:pPr>
            <w:r>
              <w:rPr>
                <w:rFonts w:ascii="Arial" w:cs="Arial" w:eastAsia="Arial" w:hAnsi="Arial"/>
                <w:sz w:val="14"/>
                <w:szCs w:val="14"/>
                <w:color w:val="auto"/>
              </w:rPr>
              <w:t>Reimbursable expenses</w:t>
            </w:r>
          </w:p>
        </w:tc>
        <w:tc>
          <w:tcPr>
            <w:tcW w:w="1820" w:type="dxa"/>
            <w:vAlign w:val="bottom"/>
          </w:tcPr>
          <w:p>
            <w:pPr>
              <w:jc w:val="right"/>
              <w:spacing w:after="0"/>
              <w:rPr>
                <w:sz w:val="20"/>
                <w:szCs w:val="20"/>
                <w:color w:val="auto"/>
              </w:rPr>
            </w:pPr>
            <w:r>
              <w:rPr>
                <w:rFonts w:ascii="Arial" w:cs="Arial" w:eastAsia="Arial" w:hAnsi="Arial"/>
                <w:sz w:val="14"/>
                <w:szCs w:val="14"/>
                <w:color w:val="auto"/>
              </w:rPr>
              <w:t>76,250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90,439</w:t>
            </w:r>
          </w:p>
        </w:tc>
        <w:tc>
          <w:tcPr>
            <w:tcW w:w="0" w:type="dxa"/>
            <w:vAlign w:val="bottom"/>
          </w:tcPr>
          <w:p>
            <w:pPr>
              <w:spacing w:after="0"/>
              <w:rPr>
                <w:sz w:val="1"/>
                <w:szCs w:val="1"/>
                <w:color w:val="auto"/>
              </w:rPr>
            </w:pPr>
          </w:p>
        </w:tc>
      </w:tr>
      <w:tr>
        <w:trPr>
          <w:trHeight w:val="174"/>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vMerge w:val="continue"/>
          </w:tcPr>
          <w:p>
            <w:pPr>
              <w:spacing w:after="0"/>
              <w:rPr>
                <w:sz w:val="15"/>
                <w:szCs w:val="15"/>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229,297</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219,112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42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420" w:type="dxa"/>
            <w:vAlign w:val="bottom"/>
          </w:tcPr>
          <w:p>
            <w:pPr>
              <w:spacing w:after="0"/>
              <w:rPr>
                <w:sz w:val="20"/>
                <w:szCs w:val="20"/>
                <w:color w:val="auto"/>
              </w:rPr>
            </w:pPr>
            <w:r>
              <w:rPr>
                <w:rFonts w:ascii="Arial" w:cs="Arial" w:eastAsia="Arial" w:hAnsi="Arial"/>
                <w:sz w:val="14"/>
                <w:szCs w:val="14"/>
                <w:color w:val="auto"/>
              </w:rPr>
              <w:t>Direct costs</w:t>
            </w:r>
          </w:p>
        </w:tc>
        <w:tc>
          <w:tcPr>
            <w:tcW w:w="1820" w:type="dxa"/>
            <w:vAlign w:val="bottom"/>
          </w:tcPr>
          <w:p>
            <w:pPr>
              <w:jc w:val="right"/>
              <w:spacing w:after="0"/>
              <w:rPr>
                <w:sz w:val="20"/>
                <w:szCs w:val="20"/>
                <w:color w:val="auto"/>
              </w:rPr>
            </w:pPr>
            <w:r>
              <w:rPr>
                <w:rFonts w:ascii="Arial" w:cs="Arial" w:eastAsia="Arial" w:hAnsi="Arial"/>
                <w:sz w:val="14"/>
                <w:szCs w:val="14"/>
                <w:color w:val="auto"/>
              </w:rPr>
              <w:t>144,470</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131,318</w:t>
            </w:r>
          </w:p>
        </w:tc>
        <w:tc>
          <w:tcPr>
            <w:tcW w:w="0" w:type="dxa"/>
            <w:vAlign w:val="bottom"/>
          </w:tcPr>
          <w:p>
            <w:pPr>
              <w:spacing w:after="0"/>
              <w:rPr>
                <w:sz w:val="1"/>
                <w:szCs w:val="1"/>
                <w:color w:val="auto"/>
              </w:rPr>
            </w:pPr>
          </w:p>
        </w:tc>
      </w:tr>
      <w:tr>
        <w:trPr>
          <w:trHeight w:val="176"/>
        </w:trPr>
        <w:tc>
          <w:tcPr>
            <w:tcW w:w="742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820" w:type="dxa"/>
            <w:vAlign w:val="bottom"/>
          </w:tcPr>
          <w:p>
            <w:pPr>
              <w:jc w:val="right"/>
              <w:spacing w:after="0"/>
              <w:rPr>
                <w:sz w:val="20"/>
                <w:szCs w:val="20"/>
                <w:color w:val="auto"/>
              </w:rPr>
            </w:pPr>
            <w:r>
              <w:rPr>
                <w:rFonts w:ascii="Arial" w:cs="Arial" w:eastAsia="Arial" w:hAnsi="Arial"/>
                <w:sz w:val="14"/>
                <w:szCs w:val="14"/>
                <w:color w:val="auto"/>
              </w:rPr>
              <w:t>59,883</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52,294</w:t>
            </w:r>
          </w:p>
        </w:tc>
        <w:tc>
          <w:tcPr>
            <w:tcW w:w="0" w:type="dxa"/>
            <w:vAlign w:val="bottom"/>
          </w:tcPr>
          <w:p>
            <w:pPr>
              <w:spacing w:after="0"/>
              <w:rPr>
                <w:sz w:val="1"/>
                <w:szCs w:val="1"/>
                <w:color w:val="auto"/>
              </w:rPr>
            </w:pPr>
          </w:p>
        </w:tc>
      </w:tr>
      <w:tr>
        <w:trPr>
          <w:trHeight w:val="176"/>
        </w:trPr>
        <w:tc>
          <w:tcPr>
            <w:tcW w:w="74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820" w:type="dxa"/>
            <w:vAlign w:val="bottom"/>
          </w:tcPr>
          <w:p>
            <w:pPr>
              <w:jc w:val="right"/>
              <w:spacing w:after="0"/>
              <w:rPr>
                <w:sz w:val="20"/>
                <w:szCs w:val="20"/>
                <w:color w:val="auto"/>
              </w:rPr>
            </w:pPr>
            <w:r>
              <w:rPr>
                <w:rFonts w:ascii="Arial" w:cs="Arial" w:eastAsia="Arial" w:hAnsi="Arial"/>
                <w:sz w:val="14"/>
                <w:szCs w:val="14"/>
                <w:color w:val="auto"/>
              </w:rPr>
              <w:t>8,973</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8,722</w:t>
            </w:r>
          </w:p>
        </w:tc>
        <w:tc>
          <w:tcPr>
            <w:tcW w:w="0" w:type="dxa"/>
            <w:vAlign w:val="bottom"/>
          </w:tcPr>
          <w:p>
            <w:pPr>
              <w:spacing w:after="0"/>
              <w:rPr>
                <w:sz w:val="1"/>
                <w:szCs w:val="1"/>
                <w:color w:val="auto"/>
              </w:rPr>
            </w:pPr>
          </w:p>
        </w:tc>
      </w:tr>
      <w:tr>
        <w:trPr>
          <w:trHeight w:val="181"/>
        </w:trPr>
        <w:tc>
          <w:tcPr>
            <w:tcW w:w="7420" w:type="dxa"/>
            <w:vAlign w:val="bottom"/>
          </w:tcPr>
          <w:p>
            <w:pPr>
              <w:spacing w:after="0"/>
              <w:rPr>
                <w:sz w:val="20"/>
                <w:szCs w:val="20"/>
                <w:color w:val="auto"/>
              </w:rPr>
            </w:pPr>
            <w:r>
              <w:rPr>
                <w:rFonts w:ascii="Arial" w:cs="Arial" w:eastAsia="Arial" w:hAnsi="Arial"/>
                <w:sz w:val="14"/>
                <w:szCs w:val="14"/>
                <w:color w:val="auto"/>
              </w:rPr>
              <w:t>Restructuring charges</w:t>
            </w:r>
          </w:p>
        </w:tc>
        <w:tc>
          <w:tcPr>
            <w:tcW w:w="1820" w:type="dxa"/>
            <w:vAlign w:val="bottom"/>
          </w:tcPr>
          <w:p>
            <w:pPr>
              <w:jc w:val="right"/>
              <w:spacing w:after="0"/>
              <w:rPr>
                <w:sz w:val="20"/>
                <w:szCs w:val="20"/>
                <w:color w:val="auto"/>
              </w:rPr>
            </w:pPr>
            <w:r>
              <w:rPr>
                <w:rFonts w:ascii="Arial" w:cs="Arial" w:eastAsia="Arial" w:hAnsi="Arial"/>
                <w:sz w:val="14"/>
                <w:szCs w:val="14"/>
                <w:color w:val="auto"/>
              </w:rPr>
              <w:t>5,002</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420" w:type="dxa"/>
            <w:vAlign w:val="bottom"/>
          </w:tcPr>
          <w:p>
            <w:pPr>
              <w:spacing w:after="0"/>
              <w:rPr>
                <w:sz w:val="20"/>
                <w:szCs w:val="20"/>
                <w:color w:val="auto"/>
              </w:rPr>
            </w:pPr>
            <w:r>
              <w:rPr>
                <w:rFonts w:ascii="Arial" w:cs="Arial" w:eastAsia="Arial" w:hAnsi="Arial"/>
                <w:sz w:val="14"/>
                <w:szCs w:val="14"/>
                <w:b w:val="1"/>
                <w:bCs w:val="1"/>
                <w:color w:val="auto"/>
              </w:rPr>
              <w:t>Total costs and expenses</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218,328</w:t>
            </w: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192,334</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42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820" w:type="dxa"/>
            <w:vAlign w:val="bottom"/>
          </w:tcPr>
          <w:p>
            <w:pPr>
              <w:jc w:val="right"/>
              <w:spacing w:after="0"/>
              <w:rPr>
                <w:sz w:val="20"/>
                <w:szCs w:val="20"/>
                <w:color w:val="auto"/>
              </w:rPr>
            </w:pPr>
            <w:r>
              <w:rPr>
                <w:rFonts w:ascii="Arial" w:cs="Arial" w:eastAsia="Arial" w:hAnsi="Arial"/>
                <w:sz w:val="14"/>
                <w:szCs w:val="14"/>
                <w:color w:val="auto"/>
              </w:rPr>
              <w:t>10,969</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26,778</w:t>
            </w: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0"/>
                <w:szCs w:val="20"/>
                <w:color w:val="auto"/>
              </w:rPr>
            </w:pPr>
            <w:r>
              <w:rPr>
                <w:rFonts w:ascii="Arial" w:cs="Arial" w:eastAsia="Arial" w:hAnsi="Arial"/>
                <w:sz w:val="14"/>
                <w:szCs w:val="14"/>
                <w:color w:val="auto"/>
              </w:rPr>
              <w:t>Net interest income/(expense)</w:t>
            </w:r>
          </w:p>
        </w:tc>
        <w:tc>
          <w:tcPr>
            <w:tcW w:w="1820" w:type="dxa"/>
            <w:vAlign w:val="bottom"/>
          </w:tcPr>
          <w:p>
            <w:pPr>
              <w:jc w:val="right"/>
              <w:spacing w:after="0"/>
              <w:rPr>
                <w:sz w:val="20"/>
                <w:szCs w:val="20"/>
                <w:color w:val="auto"/>
              </w:rPr>
            </w:pPr>
            <w:r>
              <w:rPr>
                <w:rFonts w:ascii="Arial" w:cs="Arial" w:eastAsia="Arial" w:hAnsi="Arial"/>
                <w:sz w:val="14"/>
                <w:szCs w:val="14"/>
                <w:color w:val="auto"/>
              </w:rPr>
              <w:t>66</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74"/>
        </w:trPr>
        <w:tc>
          <w:tcPr>
            <w:tcW w:w="742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20" w:type="dxa"/>
            <w:vAlign w:val="bottom"/>
            <w:vMerge w:val="continue"/>
          </w:tcPr>
          <w:p>
            <w:pPr>
              <w:spacing w:after="0"/>
              <w:rPr>
                <w:sz w:val="15"/>
                <w:szCs w:val="15"/>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11,035</w:t>
            </w:r>
          </w:p>
        </w:tc>
        <w:tc>
          <w:tcPr>
            <w:tcW w:w="1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26,586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742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820" w:type="dxa"/>
            <w:vAlign w:val="bottom"/>
          </w:tcPr>
          <w:p>
            <w:pPr>
              <w:jc w:val="right"/>
              <w:spacing w:after="0"/>
              <w:rPr>
                <w:sz w:val="20"/>
                <w:szCs w:val="20"/>
                <w:color w:val="auto"/>
              </w:rPr>
            </w:pPr>
            <w:r>
              <w:rPr>
                <w:rFonts w:ascii="Arial" w:cs="Arial" w:eastAsia="Arial" w:hAnsi="Arial"/>
                <w:sz w:val="14"/>
                <w:szCs w:val="14"/>
                <w:color w:val="auto"/>
              </w:rPr>
              <w:t>2,687</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4,387</w:t>
            </w:r>
          </w:p>
        </w:tc>
        <w:tc>
          <w:tcPr>
            <w:tcW w:w="0" w:type="dxa"/>
            <w:vAlign w:val="bottom"/>
          </w:tcPr>
          <w:p>
            <w:pPr>
              <w:spacing w:after="0"/>
              <w:rPr>
                <w:sz w:val="1"/>
                <w:szCs w:val="1"/>
                <w:color w:val="auto"/>
              </w:rPr>
            </w:pPr>
          </w:p>
        </w:tc>
      </w:tr>
      <w:tr>
        <w:trPr>
          <w:trHeight w:val="169"/>
        </w:trPr>
        <w:tc>
          <w:tcPr>
            <w:tcW w:w="742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8,348</w:t>
            </w:r>
          </w:p>
        </w:tc>
        <w:tc>
          <w:tcPr>
            <w:tcW w:w="160" w:type="dxa"/>
            <w:vAlign w:val="bottom"/>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22,199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42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420" w:type="dxa"/>
            <w:vAlign w:val="bottom"/>
          </w:tcPr>
          <w:p>
            <w:pPr>
              <w:spacing w:after="0"/>
              <w:rPr>
                <w:sz w:val="20"/>
                <w:szCs w:val="20"/>
                <w:color w:val="auto"/>
              </w:rPr>
            </w:pPr>
            <w:r>
              <w:rPr>
                <w:rFonts w:ascii="Arial" w:cs="Arial" w:eastAsia="Arial" w:hAnsi="Arial"/>
                <w:sz w:val="14"/>
                <w:szCs w:val="14"/>
                <w:color w:val="auto"/>
              </w:rPr>
              <w:t>Basic</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7420" w:type="dxa"/>
            <w:vAlign w:val="bottom"/>
          </w:tcPr>
          <w:p>
            <w:pPr>
              <w:spacing w:after="0"/>
              <w:rPr>
                <w:sz w:val="20"/>
                <w:szCs w:val="20"/>
                <w:color w:val="auto"/>
              </w:rPr>
            </w:pPr>
            <w:r>
              <w:rPr>
                <w:rFonts w:ascii="Arial" w:cs="Arial" w:eastAsia="Arial" w:hAnsi="Arial"/>
                <w:sz w:val="14"/>
                <w:szCs w:val="14"/>
                <w:color w:val="auto"/>
              </w:rPr>
              <w:t>Diluted</w:t>
            </w:r>
          </w:p>
        </w:tc>
        <w:tc>
          <w:tcPr>
            <w:tcW w:w="1820" w:type="dxa"/>
            <w:vAlign w:val="bottom"/>
          </w:tcPr>
          <w:p>
            <w:pPr>
              <w:jc w:val="right"/>
              <w:spacing w:after="0"/>
              <w:rPr>
                <w:sz w:val="20"/>
                <w:szCs w:val="20"/>
                <w:color w:val="auto"/>
              </w:rPr>
            </w:pPr>
            <w:r>
              <w:rPr>
                <w:rFonts w:ascii="Arial" w:cs="Arial" w:eastAsia="Arial" w:hAnsi="Arial"/>
                <w:sz w:val="14"/>
                <w:szCs w:val="14"/>
                <w:color w:val="auto"/>
              </w:rPr>
              <w:t>$0.14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339"/>
        </w:trPr>
        <w:tc>
          <w:tcPr>
            <w:tcW w:w="742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8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420" w:type="dxa"/>
            <w:vAlign w:val="bottom"/>
          </w:tcPr>
          <w:p>
            <w:pPr>
              <w:spacing w:after="0"/>
              <w:rPr>
                <w:sz w:val="20"/>
                <w:szCs w:val="20"/>
                <w:color w:val="auto"/>
              </w:rPr>
            </w:pPr>
            <w:r>
              <w:rPr>
                <w:rFonts w:ascii="Arial" w:cs="Arial" w:eastAsia="Arial" w:hAnsi="Arial"/>
                <w:sz w:val="14"/>
                <w:szCs w:val="14"/>
                <w:color w:val="auto"/>
              </w:rPr>
              <w:t>Basic</w:t>
            </w:r>
          </w:p>
        </w:tc>
        <w:tc>
          <w:tcPr>
            <w:tcW w:w="1820" w:type="dxa"/>
            <w:vAlign w:val="bottom"/>
          </w:tcPr>
          <w:p>
            <w:pPr>
              <w:jc w:val="right"/>
              <w:spacing w:after="0"/>
              <w:rPr>
                <w:sz w:val="20"/>
                <w:szCs w:val="20"/>
                <w:color w:val="auto"/>
              </w:rPr>
            </w:pPr>
            <w:r>
              <w:rPr>
                <w:rFonts w:ascii="Arial" w:cs="Arial" w:eastAsia="Arial" w:hAnsi="Arial"/>
                <w:sz w:val="14"/>
                <w:szCs w:val="14"/>
                <w:color w:val="auto"/>
              </w:rPr>
              <w:t>60,283,078</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59,122,650</w:t>
            </w:r>
          </w:p>
        </w:tc>
        <w:tc>
          <w:tcPr>
            <w:tcW w:w="0" w:type="dxa"/>
            <w:vAlign w:val="bottom"/>
          </w:tcPr>
          <w:p>
            <w:pPr>
              <w:spacing w:after="0"/>
              <w:rPr>
                <w:sz w:val="1"/>
                <w:szCs w:val="1"/>
                <w:color w:val="auto"/>
              </w:rPr>
            </w:pPr>
          </w:p>
        </w:tc>
      </w:tr>
      <w:tr>
        <w:trPr>
          <w:trHeight w:val="351"/>
        </w:trPr>
        <w:tc>
          <w:tcPr>
            <w:tcW w:w="7420" w:type="dxa"/>
            <w:vAlign w:val="bottom"/>
          </w:tcPr>
          <w:p>
            <w:pPr>
              <w:spacing w:after="0"/>
              <w:rPr>
                <w:sz w:val="20"/>
                <w:szCs w:val="20"/>
                <w:color w:val="auto"/>
              </w:rPr>
            </w:pPr>
            <w:r>
              <w:rPr>
                <w:rFonts w:ascii="Arial" w:cs="Arial" w:eastAsia="Arial" w:hAnsi="Arial"/>
                <w:sz w:val="14"/>
                <w:szCs w:val="14"/>
                <w:color w:val="auto"/>
              </w:rPr>
              <w:t>Diluted</w:t>
            </w:r>
          </w:p>
        </w:tc>
        <w:tc>
          <w:tcPr>
            <w:tcW w:w="1820" w:type="dxa"/>
            <w:vAlign w:val="bottom"/>
          </w:tcPr>
          <w:p>
            <w:pPr>
              <w:jc w:val="right"/>
              <w:spacing w:after="0"/>
              <w:rPr>
                <w:sz w:val="20"/>
                <w:szCs w:val="20"/>
                <w:color w:val="auto"/>
              </w:rPr>
            </w:pPr>
            <w:r>
              <w:rPr>
                <w:rFonts w:ascii="Arial" w:cs="Arial" w:eastAsia="Arial" w:hAnsi="Arial"/>
                <w:sz w:val="14"/>
                <w:szCs w:val="14"/>
                <w:color w:val="auto"/>
              </w:rPr>
              <w:t>60,982,948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60,313,774</w:t>
            </w:r>
          </w:p>
        </w:tc>
        <w:tc>
          <w:tcPr>
            <w:tcW w:w="0" w:type="dxa"/>
            <w:vAlign w:val="bottom"/>
          </w:tcPr>
          <w:p>
            <w:pPr>
              <w:spacing w:after="0"/>
              <w:rPr>
                <w:sz w:val="1"/>
                <w:szCs w:val="1"/>
                <w:color w:val="auto"/>
              </w:rPr>
            </w:pPr>
          </w:p>
        </w:tc>
      </w:tr>
      <w:tr>
        <w:trPr>
          <w:trHeight w:val="134"/>
        </w:trPr>
        <w:tc>
          <w:tcPr>
            <w:tcW w:w="7420" w:type="dxa"/>
            <w:vAlign w:val="bottom"/>
            <w:tcBorders>
              <w:bottom w:val="single" w:sz="8" w:color="9A9A9A"/>
            </w:tcBorders>
          </w:tcPr>
          <w:p>
            <w:pPr>
              <w:spacing w:after="0"/>
              <w:rPr>
                <w:sz w:val="11"/>
                <w:szCs w:val="11"/>
                <w:color w:val="auto"/>
              </w:rPr>
            </w:pPr>
          </w:p>
        </w:tc>
        <w:tc>
          <w:tcPr>
            <w:tcW w:w="18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420" w:type="dxa"/>
            <w:vAlign w:val="bottom"/>
            <w:tcBorders>
              <w:bottom w:val="single" w:sz="8" w:color="EEEEEE"/>
            </w:tcBorders>
          </w:tcPr>
          <w:p>
            <w:pPr>
              <w:spacing w:after="0" w:line="20" w:lineRule="exact"/>
              <w:rPr>
                <w:sz w:val="1"/>
                <w:szCs w:val="1"/>
                <w:color w:val="auto"/>
              </w:rPr>
            </w:pPr>
          </w:p>
        </w:tc>
        <w:tc>
          <w:tcPr>
            <w:tcW w:w="1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2011 and December 31, 2010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6640" w:type="dxa"/>
            <w:vAlign w:val="bottom"/>
          </w:tcPr>
          <w:p>
            <w:pPr>
              <w:jc w:val="right"/>
              <w:ind w:right="628"/>
              <w:spacing w:after="0"/>
              <w:rPr>
                <w:sz w:val="20"/>
                <w:szCs w:val="20"/>
                <w:color w:val="auto"/>
              </w:rPr>
            </w:pPr>
            <w:r>
              <w:rPr>
                <w:rFonts w:ascii="Arial" w:cs="Arial" w:eastAsia="Arial" w:hAnsi="Arial"/>
                <w:sz w:val="14"/>
                <w:szCs w:val="14"/>
                <w:b w:val="1"/>
                <w:bCs w:val="1"/>
                <w:color w:val="auto"/>
              </w:rPr>
              <w:t>March 31,</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3080" w:type="dxa"/>
            <w:vAlign w:val="bottom"/>
          </w:tcPr>
          <w:p>
            <w:pPr>
              <w:spacing w:after="0"/>
              <w:rPr>
                <w:sz w:val="15"/>
                <w:szCs w:val="15"/>
                <w:color w:val="auto"/>
              </w:rPr>
            </w:pPr>
          </w:p>
        </w:tc>
        <w:tc>
          <w:tcPr>
            <w:tcW w:w="6640" w:type="dxa"/>
            <w:vAlign w:val="bottom"/>
          </w:tcPr>
          <w:p>
            <w:pPr>
              <w:jc w:val="right"/>
              <w:ind w:right="608"/>
              <w:spacing w:after="0"/>
              <w:rPr>
                <w:sz w:val="20"/>
                <w:szCs w:val="20"/>
                <w:color w:val="auto"/>
              </w:rPr>
            </w:pPr>
            <w:r>
              <w:rPr>
                <w:rFonts w:ascii="Arial" w:cs="Arial" w:eastAsia="Arial" w:hAnsi="Arial"/>
                <w:sz w:val="14"/>
                <w:szCs w:val="14"/>
                <w:b w:val="1"/>
                <w:bCs w:val="1"/>
                <w:color w:val="auto"/>
              </w:rPr>
              <w:t>2011</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r>
      <w:tr>
        <w:trPr>
          <w:trHeight w:val="180"/>
        </w:trPr>
        <w:tc>
          <w:tcPr>
            <w:tcW w:w="3080" w:type="dxa"/>
            <w:vAlign w:val="bottom"/>
          </w:tcPr>
          <w:p>
            <w:pPr>
              <w:spacing w:after="0"/>
              <w:rPr>
                <w:sz w:val="15"/>
                <w:szCs w:val="15"/>
                <w:color w:val="auto"/>
              </w:rPr>
            </w:pPr>
          </w:p>
        </w:tc>
        <w:tc>
          <w:tcPr>
            <w:tcW w:w="6640" w:type="dxa"/>
            <w:vAlign w:val="bottom"/>
          </w:tcPr>
          <w:p>
            <w:pPr>
              <w:jc w:val="right"/>
              <w:ind w:right="628"/>
              <w:spacing w:after="0"/>
              <w:rPr>
                <w:sz w:val="20"/>
                <w:szCs w:val="20"/>
                <w:color w:val="auto"/>
              </w:rPr>
            </w:pPr>
            <w:r>
              <w:rPr>
                <w:rFonts w:ascii="Arial" w:cs="Arial" w:eastAsia="Arial" w:hAnsi="Arial"/>
                <w:sz w:val="14"/>
                <w:szCs w:val="14"/>
                <w:b w:val="1"/>
                <w:bCs w:val="1"/>
                <w:color w:val="auto"/>
              </w:rPr>
              <w:t>(Unaudited)</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182"/>
        </w:trPr>
        <w:tc>
          <w:tcPr>
            <w:tcW w:w="308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6640" w:type="dxa"/>
            <w:vAlign w:val="bottom"/>
          </w:tcPr>
          <w:p>
            <w:pPr>
              <w:jc w:val="right"/>
              <w:ind w:right="608"/>
              <w:spacing w:after="0"/>
              <w:rPr>
                <w:sz w:val="20"/>
                <w:szCs w:val="20"/>
                <w:color w:val="auto"/>
              </w:rPr>
            </w:pPr>
            <w:r>
              <w:rPr>
                <w:rFonts w:ascii="Arial" w:cs="Arial" w:eastAsia="Arial" w:hAnsi="Arial"/>
                <w:sz w:val="14"/>
                <w:szCs w:val="14"/>
                <w:color w:val="auto"/>
              </w:rPr>
              <w:t>231,813</w:t>
            </w:r>
          </w:p>
        </w:tc>
        <w:tc>
          <w:tcPr>
            <w:tcW w:w="1540" w:type="dxa"/>
            <w:vAlign w:val="bottom"/>
          </w:tcPr>
          <w:p>
            <w:pPr>
              <w:jc w:val="right"/>
              <w:spacing w:after="0"/>
              <w:rPr>
                <w:sz w:val="20"/>
                <w:szCs w:val="20"/>
                <w:color w:val="auto"/>
              </w:rPr>
            </w:pPr>
            <w:r>
              <w:rPr>
                <w:rFonts w:ascii="Arial" w:cs="Arial" w:eastAsia="Arial" w:hAnsi="Arial"/>
                <w:sz w:val="14"/>
                <w:szCs w:val="14"/>
                <w:color w:val="auto"/>
              </w:rPr>
              <w:t>255,706</w:t>
            </w:r>
          </w:p>
        </w:tc>
      </w:tr>
      <w:tr>
        <w:trPr>
          <w:trHeight w:val="344"/>
        </w:trPr>
        <w:tc>
          <w:tcPr>
            <w:tcW w:w="3080" w:type="dxa"/>
            <w:vAlign w:val="bottom"/>
          </w:tcPr>
          <w:p>
            <w:pPr>
              <w:spacing w:after="0"/>
              <w:rPr>
                <w:sz w:val="20"/>
                <w:szCs w:val="20"/>
                <w:color w:val="auto"/>
              </w:rPr>
            </w:pPr>
            <w:r>
              <w:rPr>
                <w:rFonts w:ascii="Arial" w:cs="Arial" w:eastAsia="Arial" w:hAnsi="Arial"/>
                <w:sz w:val="14"/>
                <w:szCs w:val="14"/>
                <w:color w:val="auto"/>
              </w:rPr>
              <w:t>Accounts receivable</w:t>
            </w:r>
          </w:p>
        </w:tc>
        <w:tc>
          <w:tcPr>
            <w:tcW w:w="6640" w:type="dxa"/>
            <w:vAlign w:val="bottom"/>
          </w:tcPr>
          <w:p>
            <w:pPr>
              <w:jc w:val="right"/>
              <w:ind w:right="608"/>
              <w:spacing w:after="0"/>
              <w:rPr>
                <w:sz w:val="20"/>
                <w:szCs w:val="20"/>
                <w:color w:val="auto"/>
              </w:rPr>
            </w:pPr>
            <w:r>
              <w:rPr>
                <w:rFonts w:ascii="Arial" w:cs="Arial" w:eastAsia="Arial" w:hAnsi="Arial"/>
                <w:sz w:val="14"/>
                <w:szCs w:val="14"/>
                <w:color w:val="auto"/>
              </w:rPr>
              <w:t>188,097</w:t>
            </w:r>
          </w:p>
        </w:tc>
        <w:tc>
          <w:tcPr>
            <w:tcW w:w="1540" w:type="dxa"/>
            <w:vAlign w:val="bottom"/>
          </w:tcPr>
          <w:p>
            <w:pPr>
              <w:jc w:val="right"/>
              <w:spacing w:after="0"/>
              <w:rPr>
                <w:sz w:val="20"/>
                <w:szCs w:val="20"/>
                <w:color w:val="auto"/>
              </w:rPr>
            </w:pPr>
            <w:r>
              <w:rPr>
                <w:rFonts w:ascii="Arial" w:cs="Arial" w:eastAsia="Arial" w:hAnsi="Arial"/>
                <w:sz w:val="14"/>
                <w:szCs w:val="14"/>
                <w:color w:val="auto"/>
              </w:rPr>
              <w:t>164,907</w:t>
            </w:r>
          </w:p>
        </w:tc>
      </w:tr>
      <w:tr>
        <w:trPr>
          <w:trHeight w:val="176"/>
        </w:trPr>
        <w:tc>
          <w:tcPr>
            <w:tcW w:w="3080" w:type="dxa"/>
            <w:vAlign w:val="bottom"/>
          </w:tcPr>
          <w:p>
            <w:pPr>
              <w:spacing w:after="0"/>
              <w:rPr>
                <w:sz w:val="20"/>
                <w:szCs w:val="20"/>
                <w:color w:val="auto"/>
              </w:rPr>
            </w:pPr>
            <w:r>
              <w:rPr>
                <w:rFonts w:ascii="Arial" w:cs="Arial" w:eastAsia="Arial" w:hAnsi="Arial"/>
                <w:sz w:val="14"/>
                <w:szCs w:val="14"/>
                <w:color w:val="auto"/>
              </w:rPr>
              <w:t>Unbilled revenue</w:t>
            </w:r>
          </w:p>
        </w:tc>
        <w:tc>
          <w:tcPr>
            <w:tcW w:w="6640" w:type="dxa"/>
            <w:vAlign w:val="bottom"/>
          </w:tcPr>
          <w:p>
            <w:pPr>
              <w:jc w:val="right"/>
              <w:ind w:right="608"/>
              <w:spacing w:after="0"/>
              <w:rPr>
                <w:sz w:val="20"/>
                <w:szCs w:val="20"/>
                <w:color w:val="auto"/>
              </w:rPr>
            </w:pPr>
            <w:r>
              <w:rPr>
                <w:rFonts w:ascii="Arial" w:cs="Arial" w:eastAsia="Arial" w:hAnsi="Arial"/>
                <w:sz w:val="14"/>
                <w:szCs w:val="14"/>
                <w:color w:val="auto"/>
              </w:rPr>
              <w:t>121,998</w:t>
            </w:r>
          </w:p>
        </w:tc>
        <w:tc>
          <w:tcPr>
            <w:tcW w:w="1540" w:type="dxa"/>
            <w:vAlign w:val="bottom"/>
          </w:tcPr>
          <w:p>
            <w:pPr>
              <w:jc w:val="right"/>
              <w:spacing w:after="0"/>
              <w:rPr>
                <w:sz w:val="20"/>
                <w:szCs w:val="20"/>
                <w:color w:val="auto"/>
              </w:rPr>
            </w:pPr>
            <w:r>
              <w:rPr>
                <w:rFonts w:ascii="Arial" w:cs="Arial" w:eastAsia="Arial" w:hAnsi="Arial"/>
                <w:sz w:val="14"/>
                <w:szCs w:val="14"/>
                <w:color w:val="auto"/>
              </w:rPr>
              <w:t>101,431</w:t>
            </w:r>
          </w:p>
        </w:tc>
      </w:tr>
      <w:tr>
        <w:trPr>
          <w:trHeight w:val="176"/>
        </w:trPr>
        <w:tc>
          <w:tcPr>
            <w:tcW w:w="3080" w:type="dxa"/>
            <w:vAlign w:val="bottom"/>
          </w:tcPr>
          <w:p>
            <w:pPr>
              <w:spacing w:after="0"/>
              <w:rPr>
                <w:sz w:val="20"/>
                <w:szCs w:val="20"/>
                <w:color w:val="auto"/>
              </w:rPr>
            </w:pPr>
            <w:r>
              <w:rPr>
                <w:rFonts w:ascii="Arial" w:cs="Arial" w:eastAsia="Arial" w:hAnsi="Arial"/>
                <w:sz w:val="14"/>
                <w:szCs w:val="14"/>
                <w:color w:val="auto"/>
              </w:rPr>
              <w:t>Payments on account</w:t>
            </w:r>
          </w:p>
        </w:tc>
        <w:tc>
          <w:tcPr>
            <w:tcW w:w="6640" w:type="dxa"/>
            <w:vAlign w:val="bottom"/>
          </w:tcPr>
          <w:p>
            <w:pPr>
              <w:jc w:val="right"/>
              <w:ind w:right="608"/>
              <w:spacing w:after="0"/>
              <w:rPr>
                <w:sz w:val="20"/>
                <w:szCs w:val="20"/>
                <w:color w:val="auto"/>
              </w:rPr>
            </w:pPr>
            <w:r>
              <w:rPr>
                <w:rFonts w:ascii="Arial" w:cs="Arial" w:eastAsia="Arial" w:hAnsi="Arial"/>
                <w:sz w:val="14"/>
                <w:szCs w:val="14"/>
                <w:color w:val="auto"/>
              </w:rPr>
              <w:t>(143,024)</w:t>
            </w:r>
          </w:p>
        </w:tc>
        <w:tc>
          <w:tcPr>
            <w:tcW w:w="1540" w:type="dxa"/>
            <w:vAlign w:val="bottom"/>
          </w:tcPr>
          <w:p>
            <w:pPr>
              <w:jc w:val="right"/>
              <w:spacing w:after="0"/>
              <w:rPr>
                <w:sz w:val="20"/>
                <w:szCs w:val="20"/>
                <w:color w:val="auto"/>
              </w:rPr>
            </w:pPr>
            <w:r>
              <w:rPr>
                <w:rFonts w:ascii="Arial" w:cs="Arial" w:eastAsia="Arial" w:hAnsi="Arial"/>
                <w:sz w:val="14"/>
                <w:szCs w:val="14"/>
                <w:color w:val="auto"/>
              </w:rPr>
              <w:t>(134,240)</w:t>
            </w:r>
          </w:p>
        </w:tc>
      </w:tr>
      <w:tr>
        <w:trPr>
          <w:trHeight w:val="182"/>
        </w:trPr>
        <w:tc>
          <w:tcPr>
            <w:tcW w:w="3080" w:type="dxa"/>
            <w:vAlign w:val="bottom"/>
          </w:tcPr>
          <w:p>
            <w:pPr>
              <w:spacing w:after="0"/>
              <w:rPr>
                <w:sz w:val="20"/>
                <w:szCs w:val="20"/>
                <w:color w:val="auto"/>
              </w:rPr>
            </w:pPr>
            <w:r>
              <w:rPr>
                <w:rFonts w:ascii="Arial" w:cs="Arial" w:eastAsia="Arial" w:hAnsi="Arial"/>
                <w:sz w:val="14"/>
                <w:szCs w:val="14"/>
                <w:color w:val="auto"/>
              </w:rPr>
              <w:t>Total</w:t>
            </w:r>
          </w:p>
        </w:tc>
        <w:tc>
          <w:tcPr>
            <w:tcW w:w="6640" w:type="dxa"/>
            <w:vAlign w:val="bottom"/>
          </w:tcPr>
          <w:p>
            <w:pPr>
              <w:jc w:val="right"/>
              <w:ind w:right="608"/>
              <w:spacing w:after="0"/>
              <w:rPr>
                <w:sz w:val="20"/>
                <w:szCs w:val="20"/>
                <w:color w:val="auto"/>
              </w:rPr>
            </w:pPr>
            <w:r>
              <w:rPr>
                <w:rFonts w:ascii="Arial" w:cs="Arial" w:eastAsia="Arial" w:hAnsi="Arial"/>
                <w:sz w:val="14"/>
                <w:szCs w:val="14"/>
                <w:color w:val="auto"/>
              </w:rPr>
              <w:t>167,071</w:t>
            </w:r>
          </w:p>
        </w:tc>
        <w:tc>
          <w:tcPr>
            <w:tcW w:w="1540" w:type="dxa"/>
            <w:vAlign w:val="bottom"/>
          </w:tcPr>
          <w:p>
            <w:pPr>
              <w:jc w:val="right"/>
              <w:spacing w:after="0"/>
              <w:rPr>
                <w:sz w:val="20"/>
                <w:szCs w:val="20"/>
                <w:color w:val="auto"/>
              </w:rPr>
            </w:pPr>
            <w:r>
              <w:rPr>
                <w:rFonts w:ascii="Arial" w:cs="Arial" w:eastAsia="Arial" w:hAnsi="Arial"/>
                <w:sz w:val="14"/>
                <w:szCs w:val="14"/>
                <w:color w:val="auto"/>
              </w:rPr>
              <w:t>132,098</w:t>
            </w:r>
          </w:p>
        </w:tc>
      </w:tr>
      <w:tr>
        <w:trPr>
          <w:trHeight w:val="351"/>
        </w:trPr>
        <w:tc>
          <w:tcPr>
            <w:tcW w:w="3080" w:type="dxa"/>
            <w:vAlign w:val="bottom"/>
          </w:tcPr>
          <w:p>
            <w:pPr>
              <w:spacing w:after="0"/>
              <w:rPr>
                <w:sz w:val="20"/>
                <w:szCs w:val="20"/>
                <w:color w:val="auto"/>
              </w:rPr>
            </w:pPr>
            <w:r>
              <w:rPr>
                <w:rFonts w:ascii="Arial" w:cs="Arial" w:eastAsia="Arial" w:hAnsi="Arial"/>
                <w:sz w:val="14"/>
                <w:szCs w:val="14"/>
                <w:color w:val="auto"/>
              </w:rPr>
              <w:t>Working Capital</w:t>
            </w:r>
          </w:p>
        </w:tc>
        <w:tc>
          <w:tcPr>
            <w:tcW w:w="6640" w:type="dxa"/>
            <w:vAlign w:val="bottom"/>
          </w:tcPr>
          <w:p>
            <w:pPr>
              <w:jc w:val="right"/>
              <w:ind w:right="608"/>
              <w:spacing w:after="0"/>
              <w:rPr>
                <w:sz w:val="20"/>
                <w:szCs w:val="20"/>
                <w:color w:val="auto"/>
              </w:rPr>
            </w:pPr>
            <w:r>
              <w:rPr>
                <w:rFonts w:ascii="Arial" w:cs="Arial" w:eastAsia="Arial" w:hAnsi="Arial"/>
                <w:sz w:val="14"/>
                <w:szCs w:val="14"/>
                <w:color w:val="auto"/>
              </w:rPr>
              <w:t>304,053</w:t>
            </w:r>
          </w:p>
        </w:tc>
        <w:tc>
          <w:tcPr>
            <w:tcW w:w="1540" w:type="dxa"/>
            <w:vAlign w:val="bottom"/>
          </w:tcPr>
          <w:p>
            <w:pPr>
              <w:jc w:val="right"/>
              <w:spacing w:after="0"/>
              <w:rPr>
                <w:sz w:val="20"/>
                <w:szCs w:val="20"/>
                <w:color w:val="auto"/>
              </w:rPr>
            </w:pPr>
            <w:r>
              <w:rPr>
                <w:rFonts w:ascii="Arial" w:cs="Arial" w:eastAsia="Arial" w:hAnsi="Arial"/>
                <w:sz w:val="14"/>
                <w:szCs w:val="14"/>
                <w:color w:val="auto"/>
              </w:rPr>
              <w:t>329,350</w:t>
            </w:r>
          </w:p>
        </w:tc>
      </w:tr>
      <w:tr>
        <w:trPr>
          <w:trHeight w:val="351"/>
        </w:trPr>
        <w:tc>
          <w:tcPr>
            <w:tcW w:w="3080" w:type="dxa"/>
            <w:vAlign w:val="bottom"/>
          </w:tcPr>
          <w:p>
            <w:pPr>
              <w:spacing w:after="0"/>
              <w:rPr>
                <w:sz w:val="20"/>
                <w:szCs w:val="20"/>
                <w:color w:val="auto"/>
              </w:rPr>
            </w:pPr>
            <w:r>
              <w:rPr>
                <w:rFonts w:ascii="Arial" w:cs="Arial" w:eastAsia="Arial" w:hAnsi="Arial"/>
                <w:sz w:val="14"/>
                <w:szCs w:val="14"/>
                <w:color w:val="auto"/>
              </w:rPr>
              <w:t>Total Assets</w:t>
            </w:r>
          </w:p>
        </w:tc>
        <w:tc>
          <w:tcPr>
            <w:tcW w:w="6640" w:type="dxa"/>
            <w:vAlign w:val="bottom"/>
          </w:tcPr>
          <w:p>
            <w:pPr>
              <w:jc w:val="right"/>
              <w:ind w:right="608"/>
              <w:spacing w:after="0"/>
              <w:rPr>
                <w:sz w:val="20"/>
                <w:szCs w:val="20"/>
                <w:color w:val="auto"/>
              </w:rPr>
            </w:pPr>
            <w:r>
              <w:rPr>
                <w:rFonts w:ascii="Arial" w:cs="Arial" w:eastAsia="Arial" w:hAnsi="Arial"/>
                <w:sz w:val="14"/>
                <w:szCs w:val="14"/>
                <w:color w:val="auto"/>
              </w:rPr>
              <w:t>1,013,685</w:t>
            </w:r>
          </w:p>
        </w:tc>
        <w:tc>
          <w:tcPr>
            <w:tcW w:w="1540" w:type="dxa"/>
            <w:vAlign w:val="bottom"/>
          </w:tcPr>
          <w:p>
            <w:pPr>
              <w:jc w:val="right"/>
              <w:spacing w:after="0"/>
              <w:rPr>
                <w:sz w:val="20"/>
                <w:szCs w:val="20"/>
                <w:color w:val="auto"/>
              </w:rPr>
            </w:pPr>
            <w:r>
              <w:rPr>
                <w:rFonts w:ascii="Arial" w:cs="Arial" w:eastAsia="Arial" w:hAnsi="Arial"/>
                <w:sz w:val="14"/>
                <w:szCs w:val="14"/>
                <w:color w:val="auto"/>
              </w:rPr>
              <w:t>949,538</w:t>
            </w:r>
          </w:p>
        </w:tc>
      </w:tr>
      <w:tr>
        <w:trPr>
          <w:trHeight w:val="351"/>
        </w:trPr>
        <w:tc>
          <w:tcPr>
            <w:tcW w:w="3080" w:type="dxa"/>
            <w:vAlign w:val="bottom"/>
          </w:tcPr>
          <w:p>
            <w:pPr>
              <w:spacing w:after="0"/>
              <w:rPr>
                <w:sz w:val="20"/>
                <w:szCs w:val="20"/>
                <w:color w:val="auto"/>
              </w:rPr>
            </w:pPr>
            <w:r>
              <w:rPr>
                <w:rFonts w:ascii="Arial" w:cs="Arial" w:eastAsia="Arial" w:hAnsi="Arial"/>
                <w:sz w:val="14"/>
                <w:szCs w:val="14"/>
                <w:color w:val="auto"/>
              </w:rPr>
              <w:t>Shareholder's Equity</w:t>
            </w:r>
          </w:p>
        </w:tc>
        <w:tc>
          <w:tcPr>
            <w:tcW w:w="6640" w:type="dxa"/>
            <w:vAlign w:val="bottom"/>
          </w:tcPr>
          <w:p>
            <w:pPr>
              <w:jc w:val="right"/>
              <w:ind w:right="608"/>
              <w:spacing w:after="0"/>
              <w:rPr>
                <w:sz w:val="20"/>
                <w:szCs w:val="20"/>
                <w:color w:val="auto"/>
              </w:rPr>
            </w:pPr>
            <w:r>
              <w:rPr>
                <w:rFonts w:ascii="Arial" w:cs="Arial" w:eastAsia="Arial" w:hAnsi="Arial"/>
                <w:sz w:val="14"/>
                <w:szCs w:val="14"/>
                <w:color w:val="auto"/>
              </w:rPr>
              <w:t>693,119</w:t>
            </w:r>
          </w:p>
        </w:tc>
        <w:tc>
          <w:tcPr>
            <w:tcW w:w="1540" w:type="dxa"/>
            <w:vAlign w:val="bottom"/>
          </w:tcPr>
          <w:p>
            <w:pPr>
              <w:jc w:val="right"/>
              <w:spacing w:after="0"/>
              <w:rPr>
                <w:sz w:val="20"/>
                <w:szCs w:val="20"/>
                <w:color w:val="auto"/>
              </w:rPr>
            </w:pPr>
            <w:r>
              <w:rPr>
                <w:rFonts w:ascii="Arial" w:cs="Arial" w:eastAsia="Arial" w:hAnsi="Arial"/>
                <w:sz w:val="14"/>
                <w:szCs w:val="14"/>
                <w:color w:val="auto"/>
              </w:rPr>
              <w:t>669,999</w:t>
            </w:r>
          </w:p>
        </w:tc>
      </w:tr>
      <w:tr>
        <w:trPr>
          <w:trHeight w:val="527"/>
        </w:trPr>
        <w:tc>
          <w:tcPr>
            <w:tcW w:w="308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6640" w:type="dxa"/>
            <w:vAlign w:val="bottom"/>
          </w:tcPr>
          <w:p>
            <w:pPr>
              <w:ind w:left="1160"/>
              <w:spacing w:after="0"/>
              <w:rPr>
                <w:sz w:val="20"/>
                <w:szCs w:val="20"/>
                <w:color w:val="auto"/>
              </w:rPr>
            </w:pPr>
            <w:r>
              <w:rPr>
                <w:rFonts w:ascii="Arial" w:cs="Arial" w:eastAsia="Arial" w:hAnsi="Arial"/>
                <w:sz w:val="14"/>
                <w:szCs w:val="14"/>
                <w:color w:val="auto"/>
              </w:rPr>
              <w:t>ICON plc</w:t>
            </w:r>
          </w:p>
        </w:tc>
        <w:tc>
          <w:tcPr>
            <w:tcW w:w="1540" w:type="dxa"/>
            <w:vAlign w:val="bottom"/>
          </w:tcPr>
          <w:p>
            <w:pPr>
              <w:spacing w:after="0"/>
              <w:rPr>
                <w:sz w:val="24"/>
                <w:szCs w:val="24"/>
                <w:color w:val="auto"/>
              </w:rPr>
            </w:pPr>
          </w:p>
        </w:tc>
      </w:tr>
      <w:tr>
        <w:trPr>
          <w:trHeight w:val="344"/>
        </w:trPr>
        <w:tc>
          <w:tcPr>
            <w:tcW w:w="308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6640" w:type="dxa"/>
            <w:vAlign w:val="bottom"/>
          </w:tcPr>
          <w:p>
            <w:pPr>
              <w:ind w:left="1160"/>
              <w:spacing w:after="0"/>
              <w:rPr>
                <w:sz w:val="20"/>
                <w:szCs w:val="20"/>
                <w:color w:val="auto"/>
              </w:rPr>
            </w:pPr>
            <w:r>
              <w:rPr>
                <w:rFonts w:ascii="Arial" w:cs="Arial" w:eastAsia="Arial" w:hAnsi="Arial"/>
                <w:sz w:val="14"/>
                <w:szCs w:val="14"/>
                <w:color w:val="auto"/>
              </w:rPr>
              <w:t>Investor Relations 1-888-381-7923 or</w:t>
            </w:r>
          </w:p>
        </w:tc>
        <w:tc>
          <w:tcPr>
            <w:tcW w:w="1540" w:type="dxa"/>
            <w:vAlign w:val="bottom"/>
          </w:tcPr>
          <w:p>
            <w:pPr>
              <w:spacing w:after="0"/>
              <w:rPr>
                <w:sz w:val="24"/>
                <w:szCs w:val="24"/>
                <w:color w:val="auto"/>
              </w:rPr>
            </w:pPr>
          </w:p>
        </w:tc>
      </w:tr>
      <w:tr>
        <w:trPr>
          <w:trHeight w:val="176"/>
        </w:trPr>
        <w:tc>
          <w:tcPr>
            <w:tcW w:w="3080" w:type="dxa"/>
            <w:vAlign w:val="bottom"/>
          </w:tcPr>
          <w:p>
            <w:pPr>
              <w:spacing w:after="0"/>
              <w:rPr>
                <w:sz w:val="15"/>
                <w:szCs w:val="15"/>
                <w:color w:val="auto"/>
              </w:rPr>
            </w:pPr>
          </w:p>
        </w:tc>
        <w:tc>
          <w:tcPr>
            <w:tcW w:w="6640" w:type="dxa"/>
            <w:vAlign w:val="bottom"/>
          </w:tcPr>
          <w:p>
            <w:pPr>
              <w:ind w:left="1160"/>
              <w:spacing w:after="0"/>
              <w:rPr>
                <w:sz w:val="20"/>
                <w:szCs w:val="20"/>
                <w:color w:val="auto"/>
              </w:rPr>
            </w:pPr>
            <w:r>
              <w:rPr>
                <w:rFonts w:ascii="Arial" w:cs="Arial" w:eastAsia="Arial" w:hAnsi="Arial"/>
                <w:sz w:val="14"/>
                <w:szCs w:val="14"/>
                <w:color w:val="auto"/>
              </w:rPr>
              <w:t>Ciaran Murray CFO + 353 1 291 2000</w:t>
            </w:r>
          </w:p>
        </w:tc>
        <w:tc>
          <w:tcPr>
            <w:tcW w:w="1540" w:type="dxa"/>
            <w:vAlign w:val="bottom"/>
          </w:tcPr>
          <w:p>
            <w:pPr>
              <w:spacing w:after="0"/>
              <w:rPr>
                <w:sz w:val="15"/>
                <w:szCs w:val="15"/>
                <w:color w:val="auto"/>
              </w:rPr>
            </w:pPr>
          </w:p>
        </w:tc>
      </w:tr>
      <w:tr>
        <w:trPr>
          <w:trHeight w:val="182"/>
        </w:trPr>
        <w:tc>
          <w:tcPr>
            <w:tcW w:w="3080" w:type="dxa"/>
            <w:vAlign w:val="bottom"/>
          </w:tcPr>
          <w:p>
            <w:pPr>
              <w:spacing w:after="0"/>
              <w:rPr>
                <w:sz w:val="15"/>
                <w:szCs w:val="15"/>
                <w:color w:val="auto"/>
              </w:rPr>
            </w:pPr>
          </w:p>
        </w:tc>
        <w:tc>
          <w:tcPr>
            <w:tcW w:w="6640" w:type="dxa"/>
            <w:vAlign w:val="bottom"/>
          </w:tcPr>
          <w:p>
            <w:pPr>
              <w:ind w:left="1160"/>
              <w:spacing w:after="0"/>
              <w:rPr>
                <w:sz w:val="20"/>
                <w:szCs w:val="20"/>
                <w:color w:val="auto"/>
              </w:rPr>
            </w:pPr>
            <w:r>
              <w:rPr>
                <w:rFonts w:ascii="Arial" w:cs="Arial" w:eastAsia="Arial" w:hAnsi="Arial"/>
                <w:sz w:val="14"/>
                <w:szCs w:val="14"/>
                <w:color w:val="auto"/>
              </w:rPr>
              <w:t>Brendan Brennan Snr VP Corp Fin + 353 1 291 2000</w:t>
            </w:r>
          </w:p>
        </w:tc>
        <w:tc>
          <w:tcPr>
            <w:tcW w:w="1540" w:type="dxa"/>
            <w:vAlign w:val="bottom"/>
          </w:tcPr>
          <w:p>
            <w:pPr>
              <w:spacing w:after="0"/>
              <w:rPr>
                <w:sz w:val="15"/>
                <w:szCs w:val="15"/>
                <w:color w:val="auto"/>
              </w:rPr>
            </w:pPr>
          </w:p>
        </w:tc>
      </w:tr>
    </w:tbl>
    <w:p>
      <w:pPr>
        <w:ind w:left="4240"/>
        <w:spacing w:after="0" w:line="229" w:lineRule="auto"/>
        <w:rPr>
          <w:sz w:val="20"/>
          <w:szCs w:val="20"/>
          <w:color w:val="auto"/>
        </w:rPr>
      </w:pPr>
      <w:r>
        <w:rPr>
          <w:rFonts w:ascii="Arial" w:cs="Arial" w:eastAsia="Arial" w:hAnsi="Arial"/>
          <w:sz w:val="14"/>
          <w:szCs w:val="14"/>
          <w:color w:val="auto"/>
        </w:rPr>
        <w:t>Sam Farthing VP IR +353 1 291 2000</w:t>
      </w:r>
    </w:p>
    <w:p>
      <w:pPr>
        <w:ind w:left="4240"/>
        <w:spacing w:after="0"/>
        <w:rPr>
          <w:sz w:val="20"/>
          <w:szCs w:val="20"/>
          <w:color w:val="auto"/>
        </w:rPr>
      </w:pPr>
      <w:r>
        <w:rPr>
          <w:rFonts w:ascii="Arial" w:cs="Arial" w:eastAsia="Arial" w:hAnsi="Arial"/>
          <w:sz w:val="14"/>
          <w:szCs w:val="14"/>
          <w:color w:val="auto"/>
        </w:rPr>
        <w:t>All at ICON.</w:t>
      </w:r>
    </w:p>
    <w:p>
      <w:pPr>
        <w:spacing w:after="0" w:line="178" w:lineRule="exact"/>
        <w:rPr>
          <w:sz w:val="20"/>
          <w:szCs w:val="20"/>
          <w:color w:val="auto"/>
        </w:rPr>
      </w:pPr>
    </w:p>
    <w:p>
      <w:pPr>
        <w:ind w:left="4240"/>
        <w:spacing w:after="0"/>
        <w:rPr>
          <w:sz w:val="20"/>
          <w:szCs w:val="20"/>
          <w:color w:val="auto"/>
        </w:rPr>
      </w:pPr>
      <w:r>
        <w:rPr>
          <w:rFonts w:ascii="Arial" w:cs="Arial" w:eastAsia="Arial" w:hAnsi="Arial"/>
          <w:sz w:val="14"/>
          <w:szCs w:val="14"/>
          <w:u w:val="single" w:color="auto"/>
          <w:color w:val="auto"/>
        </w:rPr>
        <w:t>http://www.iconplc.com</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Ciaran Murray</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640" w:firstLine="8"/>
        <w:spacing w:after="0" w:line="230" w:lineRule="auto"/>
        <w:tabs>
          <w:tab w:leader="none" w:pos="176"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353–1-291-2000 or</w:t>
      </w:r>
    </w:p>
    <w:p>
      <w:pPr>
        <w:spacing w:after="0" w:line="1" w:lineRule="exact"/>
        <w:rPr>
          <w:rFonts w:ascii="Arial" w:cs="Arial" w:eastAsia="Arial" w:hAnsi="Arial"/>
          <w:sz w:val="22"/>
          <w:szCs w:val="22"/>
          <w:color w:val="auto"/>
        </w:rPr>
      </w:pPr>
    </w:p>
    <w:p>
      <w:pPr>
        <w:jc w:val="both"/>
        <w:ind w:right="9740"/>
        <w:spacing w:after="0" w:line="267" w:lineRule="auto"/>
        <w:rPr>
          <w:rFonts w:ascii="Arial" w:cs="Arial" w:eastAsia="Arial" w:hAnsi="Arial"/>
          <w:sz w:val="22"/>
          <w:szCs w:val="22"/>
          <w:color w:val="auto"/>
        </w:rPr>
      </w:pPr>
      <w:r>
        <w:rPr>
          <w:rFonts w:ascii="Arial" w:cs="Arial" w:eastAsia="Arial" w:hAnsi="Arial"/>
          <w:sz w:val="19"/>
          <w:szCs w:val="19"/>
          <w:color w:val="auto"/>
        </w:rPr>
        <w:t>Brendan Brennan Snr VP Corp Fin</w:t>
      </w:r>
    </w:p>
    <w:p>
      <w:pPr>
        <w:ind w:right="9640" w:firstLine="8"/>
        <w:spacing w:after="0" w:line="230" w:lineRule="auto"/>
        <w:tabs>
          <w:tab w:leader="none" w:pos="176"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Sam Farthing</w:t>
      </w:r>
    </w:p>
    <w:p>
      <w:pPr>
        <w:spacing w:after="0" w:line="230" w:lineRule="auto"/>
        <w:rPr>
          <w:rFonts w:ascii="Arial" w:cs="Arial" w:eastAsia="Arial" w:hAnsi="Arial"/>
          <w:sz w:val="22"/>
          <w:szCs w:val="22"/>
          <w:color w:val="auto"/>
        </w:rPr>
      </w:pPr>
      <w:r>
        <w:rPr>
          <w:rFonts w:ascii="Arial" w:cs="Arial" w:eastAsia="Arial" w:hAnsi="Arial"/>
          <w:sz w:val="22"/>
          <w:szCs w:val="22"/>
          <w:color w:val="auto"/>
        </w:rPr>
        <w:t>VP Investor Relations</w:t>
      </w: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353–1-291-2000</w:t>
      </w:r>
    </w:p>
    <w:sectPr>
      <w:pgSz w:w="11900" w:h="16838" w:orient="portrait"/>
      <w:cols w:equalWidth="0" w:num="1">
        <w:col w:w="11260"/>
      </w:cols>
      <w:pgMar w:left="240" w:top="75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2019-12-10T17:45:34Z</dcterms:created>
  <dcterms:modified xsi:type="dcterms:W3CDTF">2019-12-10T17:45:34Z</dcterms:modified>
</cp:coreProperties>
</file>