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74"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For the month ended November, 2013</w:t>
      </w:r>
    </w:p>
    <w:p>
      <w:pPr>
        <w:spacing w:after="0" w:line="317"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5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2013 we had approximately 10,310 employees, in 77 locations in 38 countries. During the nine months ended September 30, 2013, we derived approximately 43.1%, 45.5% and 11.4%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February 15, 2013 the Company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 </w:t>
      </w:r>
      <w:r>
        <w:rPr>
          <w:rFonts w:ascii="Arial" w:cs="Arial" w:eastAsia="Arial" w:hAnsi="Arial"/>
          <w:sz w:val="17"/>
          <w:szCs w:val="17"/>
          <w:i w:val="1"/>
          <w:iCs w:val="1"/>
          <w:color w:val="auto"/>
        </w:rPr>
        <w:t>(see note 3 Business Combinations for further information).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SEPTEMBER 30, 2013 AND DECEMBER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2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156,459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114,047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59,889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360,129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285,419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Unbilled revenue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119,766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12,181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13,387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21,987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20,574</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29,742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23,155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12,975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775,378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663,748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162,822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168,373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360,648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315,441</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6,428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5,584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receivable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9,506</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deferred tax asset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6,175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5,009</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30,097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34,447</w:t>
            </w: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1,362,068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1,202,108</w:t>
            </w: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8,853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8,149</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Payments on account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282,549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219,467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180,298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181,092</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3,956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475,669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413,422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11,990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14,312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7,369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5,650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11,210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12,722</w:t>
            </w: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61,203,848 shares issued and outstanding at September 30, 2013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60,287,498 shares issued and outstanding at December 31, 2012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266,082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237,217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(8,776)</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590,299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520,967</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854,519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754,575</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1,362,068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1,202,108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2013 AND SEPTEMBER 30,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11"/>
          </w:tcPr>
          <w:p>
            <w:pPr>
              <w:jc w:val="right"/>
              <w:ind w:right="58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w w:val="98"/>
              </w:rPr>
              <w:t>September</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17"/>
          </w:tcPr>
          <w:p>
            <w:pPr>
              <w:jc w:val="right"/>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445,598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374,965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1,334,283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1,097,640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(105,788)</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(89,463)</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(343,465)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(282,798)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1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339,810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285,502</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990,818</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814,842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213,666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183,332</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630,258</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525,743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81,408</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70,690</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234,520</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207,615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10,601</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34,551</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Restructuring and other items</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9,033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costs and expenses</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306,649</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264,623</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908,362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771,227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33,161</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20,879</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82,456</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43,615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(279)</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(1,019)</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33,105</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20,627</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82,115</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43,097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(5,297)</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(2,889)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(12,783)</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27,808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17,738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69,332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34,673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61,069,260</w:t>
            </w:r>
          </w:p>
        </w:tc>
        <w:tc>
          <w:tcPr>
            <w:tcW w:w="1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0"/>
              </w:rPr>
              <w:t>59,754,010</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60,732,605</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59,939,570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62,473,645</w:t>
            </w:r>
          </w:p>
        </w:tc>
        <w:tc>
          <w:tcPr>
            <w:tcW w:w="1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0"/>
              </w:rPr>
              <w:t>60,366,137</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61,977,026</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60,391,199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2013 AND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2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Pr>
          <w:p>
            <w:pPr>
              <w:spacing w:after="0"/>
              <w:rPr>
                <w:sz w:val="20"/>
                <w:szCs w:val="20"/>
                <w:color w:val="auto"/>
              </w:rPr>
            </w:pPr>
          </w:p>
        </w:tc>
        <w:tc>
          <w:tcPr>
            <w:tcW w:w="15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(in thousands)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69,332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29,108</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5,443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Amortization of grants</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compensation expense</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9,588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accounts receivable</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(59,982)</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unbilled revenue</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other receivables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559</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prepayments and other current assets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non current assets</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payments on account</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61,724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current liabilities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28,515</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income taxes payable</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(4,014)</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Increase in accounts payable</w:t>
            </w:r>
          </w:p>
        </w:tc>
        <w:tc>
          <w:tcPr>
            <w:tcW w:w="1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2,244</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123,806</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101,473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(93,752)</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(79,727)</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95,852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in restricted cash, net</w:t>
            </w:r>
          </w:p>
        </w:tc>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Proceeds from exercise of share options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19,017</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issuance costs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397</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Share repurchase costs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Receipt of government grant</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Drawdown of bank credit lines and loan facilities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Repayment of bank credit lines and loan facilities</w:t>
            </w:r>
          </w:p>
        </w:tc>
        <w:tc>
          <w:tcPr>
            <w:tcW w:w="1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by/(used by) financing activities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19,346</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1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1,489</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42,412</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114,047</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119,237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156,459</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119,371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7"/>
              </w:rPr>
              <w:t>Additional</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Redemption</w:t>
            </w:r>
          </w:p>
        </w:tc>
        <w:tc>
          <w:tcPr>
            <w:tcW w:w="220" w:type="dxa"/>
            <w:vAlign w:val="bottom"/>
          </w:tcPr>
          <w:p>
            <w:pPr>
              <w:spacing w:after="0"/>
              <w:rPr>
                <w:sz w:val="17"/>
                <w:szCs w:val="17"/>
                <w:color w:val="auto"/>
              </w:rPr>
            </w:pPr>
          </w:p>
        </w:tc>
        <w:tc>
          <w:tcPr>
            <w:tcW w:w="1400" w:type="dxa"/>
            <w:vAlign w:val="bottom"/>
            <w:gridSpan w:val="5"/>
          </w:tcPr>
          <w:p>
            <w:pPr>
              <w:jc w:val="right"/>
              <w:ind w:right="200"/>
              <w:spacing w:after="0" w:line="196" w:lineRule="exact"/>
              <w:rPr>
                <w:sz w:val="20"/>
                <w:szCs w:val="20"/>
                <w:color w:val="auto"/>
              </w:rPr>
            </w:pPr>
            <w:r>
              <w:rPr>
                <w:rFonts w:ascii="Arial" w:cs="Arial" w:eastAsia="Arial" w:hAnsi="Arial"/>
                <w:sz w:val="18"/>
                <w:szCs w:val="18"/>
                <w:b w:val="1"/>
                <w:bCs w:val="1"/>
                <w:color w:val="auto"/>
                <w:w w:val="87"/>
              </w:rPr>
              <w:t>Comprehensive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9"/>
              </w:rPr>
              <w:t>Retained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3"/>
              </w:rPr>
              <w:t>Shares</w:t>
            </w:r>
          </w:p>
        </w:tc>
        <w:tc>
          <w:tcPr>
            <w:tcW w:w="400" w:type="dxa"/>
            <w:vAlign w:val="bottom"/>
          </w:tcPr>
          <w:p>
            <w:pPr>
              <w:spacing w:after="0"/>
              <w:rPr>
                <w:sz w:val="17"/>
                <w:szCs w:val="17"/>
                <w:color w:val="auto"/>
              </w:rPr>
            </w:pPr>
          </w:p>
        </w:tc>
        <w:tc>
          <w:tcPr>
            <w:tcW w:w="74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Amount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1"/>
              </w:rPr>
              <w:t>Reserve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w w:val="95"/>
              </w:rPr>
              <w:t>Income</w:t>
            </w:r>
          </w:p>
        </w:tc>
        <w:tc>
          <w:tcPr>
            <w:tcW w:w="16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96"/>
              </w:rPr>
              <w:t>Earnings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13"/>
          </w:tcPr>
          <w:p>
            <w:pPr>
              <w:jc w:val="right"/>
              <w:ind w:right="460"/>
              <w:spacing w:after="0"/>
              <w:rPr>
                <w:sz w:val="20"/>
                <w:szCs w:val="20"/>
                <w:color w:val="auto"/>
              </w:rPr>
            </w:pPr>
            <w:r>
              <w:rPr>
                <w:rFonts w:ascii="Arial" w:cs="Arial" w:eastAsia="Arial" w:hAnsi="Arial"/>
                <w:sz w:val="18"/>
                <w:szCs w:val="18"/>
                <w:b w:val="1"/>
                <w:bCs w:val="1"/>
                <w:color w:val="auto"/>
                <w:w w:val="90"/>
              </w:rPr>
              <w:t>(dollars in thousands, except share data)</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0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60,287,498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237,217</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(8,776)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520,967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754,575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69,332</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4,092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Currency impact of long term funding</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5"/>
          </w:tcPr>
          <w:p>
            <w:pPr>
              <w:jc w:val="right"/>
              <w:ind w:right="140"/>
              <w:spacing w:after="0"/>
              <w:rPr>
                <w:sz w:val="20"/>
                <w:szCs w:val="20"/>
                <w:color w:val="auto"/>
              </w:rPr>
            </w:pPr>
            <w:r>
              <w:rPr>
                <w:rFonts w:ascii="Arial" w:cs="Arial" w:eastAsia="Arial" w:hAnsi="Arial"/>
                <w:sz w:val="18"/>
                <w:szCs w:val="18"/>
                <w:color w:val="auto"/>
              </w:rPr>
              <w:t>(2,049)</w:t>
            </w: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 term</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Unrealized capital loss - investments</w:t>
            </w: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1,678</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69,332</w:t>
            </w: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71,010</w:t>
            </w:r>
          </w:p>
        </w:tc>
        <w:tc>
          <w:tcPr>
            <w:tcW w:w="0" w:type="dxa"/>
            <w:vAlign w:val="bottom"/>
          </w:tcPr>
          <w:p>
            <w:pPr>
              <w:spacing w:after="0"/>
              <w:rPr>
                <w:sz w:val="1"/>
                <w:szCs w:val="1"/>
                <w:color w:val="auto"/>
              </w:rPr>
            </w:pP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866,350</w:t>
            </w:r>
          </w:p>
        </w:tc>
        <w:tc>
          <w:tcPr>
            <w:tcW w:w="4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18,944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Issue of restricted share units</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Share issuance costs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2"/>
              </w:rPr>
              <w:t>Non-cash stock compensation expense</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2013</w:t>
            </w:r>
          </w:p>
        </w:tc>
        <w:tc>
          <w:tcPr>
            <w:tcW w:w="10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61,203,848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266,082</w:t>
            </w:r>
          </w:p>
        </w:tc>
        <w:tc>
          <w:tcPr>
            <w:tcW w:w="1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(7,098)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590,299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854,519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gridSpan w:val="23"/>
          </w:tcPr>
          <w:p>
            <w:pPr>
              <w:jc w:val="right"/>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4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2012. Operating results for the nine months ended September 30, 2013 are not necessarily indicative of the results that may be expected for the fiscal period ending December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5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315,441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253,393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43,877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4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52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360,648</w:t>
            </w: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315,441</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980" w:type="dxa"/>
            <w:vAlign w:val="bottom"/>
          </w:tcPr>
          <w:p>
            <w:pPr>
              <w:jc w:val="right"/>
              <w:ind w:right="301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 Clinical Trial Services Division of Cross Country Healthcare, Inc.</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15, 2013 the Company acquired the clinical trial services division of Cross Country Healthcare Inc. for an initial cash consideration of $51.9 million. The agreement provided for further consideration of up to $3.75 million which may become payable if certain performance milestones are achieved during the period ended December 31,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 Certain operating margin perfomance milestones in relation to ClinForce and Assent Consulting were not achieved during the period ended March 31, 2013 resulting in a reduction of $1.5 million to the contingent consideration. At September 30, 2013 the Company has recorded a liability of $2.25 million in respect of the additional consideration. At September 30, 2013 $2.25 million was held in escrow in relation to additional amounts potentially payable under the acquisition, and this is presented as resticted cash on the condensed consolidated balance sheet.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the clinical trial services division of Cross Country Healthcare, Inc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preliminary estimated fair values of the assets acquired and the liabilities assumed: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Accounts receivable</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Liability arising from contingent consideration arrangement</w:t>
            </w:r>
          </w:p>
        </w:tc>
        <w:tc>
          <w:tcPr>
            <w:tcW w:w="5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1"/>
        </w:trPr>
        <w:tc>
          <w:tcPr>
            <w:tcW w:w="436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3"/>
              </w:rPr>
              <w:t>Liabilities included in preliminary purchase price allocation</w:t>
            </w:r>
          </w:p>
        </w:tc>
        <w:tc>
          <w:tcPr>
            <w:tcW w:w="5960" w:type="dxa"/>
            <w:vAlign w:val="bottom"/>
          </w:tcPr>
          <w:p>
            <w:pPr>
              <w:jc w:val="right"/>
              <w:ind w:right="5690"/>
              <w:spacing w:after="0" w:line="201" w:lineRule="exact"/>
              <w:rPr>
                <w:sz w:val="20"/>
                <w:szCs w:val="20"/>
                <w:color w:val="auto"/>
              </w:rPr>
            </w:pPr>
            <w:r>
              <w:rPr>
                <w:rFonts w:ascii="Arial" w:cs="Arial" w:eastAsia="Arial" w:hAnsi="Arial"/>
                <w:sz w:val="18"/>
                <w:szCs w:val="18"/>
                <w:color w:val="auto"/>
                <w:w w:val="99"/>
              </w:rPr>
              <w:t>re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8"/>
        <w:spacing w:after="0" w:line="264"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Prior Period Acquisitions - Acquisition of PriceSpective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28,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December 31, 2012. On August 13, 2012 the Company paid $5.0 million in relation to performance milestones for the year ended December 31, 2011. On May 29, 2013 the Company paid $10.0 million in relation to the remaining performance milestones for the year ended December 31, 2012.</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PriceSpective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Unbilled revenue</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5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Liability arising from contingent consideration arrangement</w:t>
            </w:r>
          </w:p>
        </w:tc>
        <w:tc>
          <w:tcPr>
            <w:tcW w:w="5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37,098</w:t>
            </w:r>
          </w:p>
        </w:tc>
        <w:tc>
          <w:tcPr>
            <w:tcW w:w="0" w:type="dxa"/>
            <w:vAlign w:val="bottom"/>
          </w:tcPr>
          <w:p>
            <w:pPr>
              <w:spacing w:after="0"/>
              <w:rPr>
                <w:sz w:val="1"/>
                <w:szCs w:val="1"/>
                <w:color w:val="auto"/>
              </w:rPr>
            </w:pPr>
          </w:p>
        </w:tc>
      </w:tr>
      <w:tr>
        <w:trPr>
          <w:trHeight w:val="21"/>
        </w:trPr>
        <w:tc>
          <w:tcPr>
            <w:tcW w:w="436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4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5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Amount of total consideration</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Liabilities included in preliminary purchase price allocation</w:t>
            </w:r>
          </w:p>
        </w:tc>
        <w:tc>
          <w:tcPr>
            <w:tcW w:w="5960" w:type="dxa"/>
            <w:vAlign w:val="bottom"/>
            <w:shd w:val="clear" w:color="auto" w:fill="CCEEFF"/>
          </w:tcPr>
          <w:p>
            <w:pPr>
              <w:jc w:val="right"/>
              <w:ind w:right="5690"/>
              <w:spacing w:after="0" w:line="201" w:lineRule="exact"/>
              <w:rPr>
                <w:sz w:val="20"/>
                <w:szCs w:val="20"/>
                <w:color w:val="auto"/>
              </w:rPr>
            </w:pPr>
            <w:r>
              <w:rPr>
                <w:rFonts w:ascii="Arial" w:cs="Arial" w:eastAsia="Arial" w:hAnsi="Arial"/>
                <w:sz w:val="18"/>
                <w:szCs w:val="18"/>
                <w:color w:val="auto"/>
                <w:w w:val="99"/>
              </w:rPr>
              <w:t>re</w:t>
            </w: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BeijingWits Medical</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15,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On June 13, 2013 the Company paid $3.8 million in relation to the remaining performance milestones for the year ended December 31, 2012. At September 30, 2013 the Company has recorded a liability of $3.2 million in respect of the additional consideration.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 xml:space="preserve">The acquisition of BeijingWits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Unbilled revenue</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9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2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Liabilities included in preliminary purchase price allocation re</w:t>
            </w:r>
          </w:p>
        </w:tc>
        <w:tc>
          <w:tcPr>
            <w:tcW w:w="2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execution and regulatory processes in China and is not tax deductible.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items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items recognized comprise: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11"/>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non-recurring items</w:t>
            </w:r>
          </w:p>
        </w:tc>
        <w:tc>
          <w:tcPr>
            <w:tcW w:w="2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2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During the three months ended June 30, 2013 the Company implemented a further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 During the three months ended September 30, 2013 the Company did not recognize any restructuring charge.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Details of the movement in this restructuring plan recognized are as follows:</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Q2 Plan - Initial provision recognized</w:t>
            </w:r>
          </w:p>
        </w:tc>
        <w:tc>
          <w:tcPr>
            <w:tcW w:w="1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393</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recognised</w:t>
            </w: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8,131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payments</w:t>
            </w:r>
          </w:p>
        </w:tc>
        <w:tc>
          <w:tcPr>
            <w:tcW w:w="1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6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at September 30, 2013</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2,474</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703</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Restructuring charges of $4.5 million were recorded during year ended December 31, 2012 (inclusive of the release of $0.1 million relating to the 2011 Restructuring Plans) under a restructuring plan (“the 2012 restructuring plan”) adopted following a review by the Company of its operations. The 2012 restructuring plan included resource rationalizations in certain areas of the business and a re-organization of available office space at the Company’s Philadelphia facility. The restructuring plan recognized included $3.4 million in respect of resource rationalizations and $1.2 million in respect of lease termination and exit costs associated with the re-organization of available space at the Company’s Philadelphia facility.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Details of the movement in the 2012 restructuring plan are as follows:</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recognized</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3,394</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 payments</w:t>
            </w:r>
          </w:p>
        </w:tc>
        <w:tc>
          <w:tcPr>
            <w:tcW w:w="2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Provision at December 31, 2012</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426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30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Provision at September 30, 2013</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00" w:type="dxa"/>
            <w:vAlign w:val="bottom"/>
          </w:tcPr>
          <w:p>
            <w:pPr>
              <w:jc w:val="right"/>
              <w:ind w:right="175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Other Charges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30, 2011 Mr. Peter Gray, Vice-Chairman of the Board, retired as Chief Executive Officer (“CEO”) of the Company, in accordance with the provisions of his service agreement, which was terminable on twelve months notice by either party. On June 11, 2012 the Company entered into an agreement with Mr. Gray whereby Mr. Gray’s employment and directorship of ICON plc and other ICON group companies would terminate on July 19,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recognized a share-based compensation charge of $620,000 in respect of these options during the three months ended June 30,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and nine months ended September 30, 2013 comprise: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11"/>
          </w:tcPr>
          <w:p>
            <w:pPr>
              <w:jc w:val="right"/>
              <w:ind w:right="58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w w:val="98"/>
              </w:rPr>
              <w:t>September</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restructuring and other items</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14,633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(1,850)</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after restructuring and other items</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12,783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September 30, 2013 the Company maintains a $7.3 million liability (December 31, 2012: $8.3 million) for unrecognized tax benefit, which is comprised of $6.2 million (December 31, 2012: $7.2 million) related to items generating unrecognized tax benefits and $1.1 million (December 31, 2012: $1.1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2008 through 2012 tax years. The Company does not believe that the outcome of any examination will have a material impact on its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10"/>
          </w:tcPr>
          <w:p>
            <w:pPr>
              <w:ind w:left="1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Arial" w:cs="Arial" w:eastAsia="Arial" w:hAnsi="Arial"/>
                <w:sz w:val="18"/>
                <w:szCs w:val="18"/>
                <w:b w:val="1"/>
                <w:bCs w:val="1"/>
                <w:color w:val="auto"/>
              </w:rPr>
              <w:t>September</w:t>
            </w:r>
          </w:p>
        </w:tc>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5"/>
          </w:tcPr>
          <w:p>
            <w:pPr>
              <w:jc w:val="right"/>
              <w:ind w:right="520"/>
              <w:spacing w:after="0" w:line="196" w:lineRule="exact"/>
              <w:rPr>
                <w:sz w:val="20"/>
                <w:szCs w:val="20"/>
                <w:color w:val="auto"/>
              </w:rPr>
            </w:pPr>
            <w:r>
              <w:rPr>
                <w:rFonts w:ascii="Arial" w:cs="Arial" w:eastAsia="Arial" w:hAnsi="Arial"/>
                <w:sz w:val="18"/>
                <w:szCs w:val="18"/>
                <w:b w:val="1"/>
                <w:bCs w:val="1"/>
                <w:color w:val="auto"/>
              </w:rPr>
              <w:t>30,</w:t>
            </w: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0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3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Arial" w:cs="Arial" w:eastAsia="Arial" w:hAnsi="Arial"/>
                <w:sz w:val="18"/>
                <w:szCs w:val="18"/>
                <w:b w:val="1"/>
                <w:bCs w:val="1"/>
                <w:color w:val="auto"/>
              </w:rPr>
              <w:t>2013</w:t>
            </w: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ordinary shares outstanding for basic net income per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61,069,260</w:t>
            </w:r>
          </w:p>
        </w:tc>
        <w:tc>
          <w:tcPr>
            <w:tcW w:w="164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59,754,010</w:t>
            </w:r>
          </w:p>
        </w:tc>
        <w:tc>
          <w:tcPr>
            <w:tcW w:w="160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60,732,605</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59,939,570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dilutive share options outstanding</w:t>
            </w:r>
          </w:p>
        </w:tc>
        <w:tc>
          <w:tcPr>
            <w:tcW w:w="10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1,404,385</w:t>
            </w:r>
          </w:p>
        </w:tc>
        <w:tc>
          <w:tcPr>
            <w:tcW w:w="1640" w:type="dxa"/>
            <w:vAlign w:val="bottom"/>
            <w:tcBorders>
              <w:bottom w:val="single" w:sz="8" w:color="auto"/>
            </w:tcBorders>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612,127</w:t>
            </w:r>
          </w:p>
        </w:tc>
        <w:tc>
          <w:tcPr>
            <w:tcW w:w="1600" w:type="dxa"/>
            <w:vAlign w:val="bottom"/>
            <w:tcBorders>
              <w:bottom w:val="single" w:sz="8" w:color="auto"/>
            </w:tcBorders>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1,244,421</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451,629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w w:val="96"/>
              </w:rPr>
              <w:t>Weighted average number of ordinary shares for diluted net income per ordinary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w:t>
            </w: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62,473,645</w:t>
            </w:r>
          </w:p>
        </w:tc>
        <w:tc>
          <w:tcPr>
            <w:tcW w:w="16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color w:val="auto"/>
              </w:rPr>
              <w:t>60,366,137</w:t>
            </w:r>
          </w:p>
        </w:tc>
        <w:tc>
          <w:tcPr>
            <w:tcW w:w="16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color w:val="auto"/>
              </w:rPr>
              <w:t>61,977,026</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w w:val="90"/>
              </w:rPr>
              <w:t>60,391,199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2013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44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44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44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2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4,350,631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9.17</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254,650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12.03</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Exercised</w:t>
            </w:r>
          </w:p>
        </w:tc>
        <w:tc>
          <w:tcPr>
            <w:tcW w:w="2620" w:type="dxa"/>
            <w:vAlign w:val="bottom"/>
          </w:tcPr>
          <w:p>
            <w:pPr>
              <w:jc w:val="right"/>
              <w:spacing w:after="0"/>
              <w:rPr>
                <w:sz w:val="20"/>
                <w:szCs w:val="20"/>
                <w:color w:val="auto"/>
              </w:rPr>
            </w:pPr>
            <w:r>
              <w:rPr>
                <w:rFonts w:ascii="Arial" w:cs="Arial" w:eastAsia="Arial" w:hAnsi="Arial"/>
                <w:sz w:val="18"/>
                <w:szCs w:val="18"/>
                <w:color w:val="auto"/>
              </w:rPr>
              <w:t>(866,350)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21.95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8.75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(335,250)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10.09</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2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3,403,681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9.40</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September 30, 2013</w:t>
            </w:r>
          </w:p>
        </w:tc>
        <w:tc>
          <w:tcPr>
            <w:tcW w:w="2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1,858,811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24.24</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8.72</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$8.19 per option. The Company issues ordinary shares for all options exercised. The total amount of fully vested share options which remained outstanding at September 30, 2013, was 1,858,811. Fully vested share options at September 30, 2013 have an average remaining contractual term of 3.17 years, an average exercise price of $24.24 and a total intrinsic value of $31.0 million. The total intrinsic value of options exercised during the nine months ended September 30, 2013 was $29.5 million (September 30, 2012: $4.8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nine months ended September 30,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7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2012</w:t>
            </w:r>
          </w:p>
        </w:tc>
        <w:tc>
          <w:tcPr>
            <w:tcW w:w="3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2,094,533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254,650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Vested</w:t>
            </w:r>
          </w:p>
        </w:tc>
        <w:tc>
          <w:tcPr>
            <w:tcW w:w="3760" w:type="dxa"/>
            <w:vAlign w:val="bottom"/>
          </w:tcPr>
          <w:p>
            <w:pPr>
              <w:jc w:val="right"/>
              <w:spacing w:after="0"/>
              <w:rPr>
                <w:sz w:val="20"/>
                <w:szCs w:val="20"/>
                <w:color w:val="auto"/>
              </w:rPr>
            </w:pPr>
            <w:r>
              <w:rPr>
                <w:rFonts w:ascii="Arial" w:cs="Arial" w:eastAsia="Arial" w:hAnsi="Arial"/>
                <w:sz w:val="18"/>
                <w:szCs w:val="18"/>
                <w:color w:val="auto"/>
              </w:rPr>
              <w:t>(592,483)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24.80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September 30, 2013</w:t>
            </w:r>
          </w:p>
        </w:tc>
        <w:tc>
          <w:tcPr>
            <w:tcW w:w="3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1,544,780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760" w:type="dxa"/>
            <w:vAlign w:val="bottom"/>
          </w:tcPr>
          <w:p>
            <w:pPr>
              <w:jc w:val="right"/>
              <w:ind w:right="23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options were granted during the three months to September 30, 2013. The weighted average fair value of options granted during the nine months ended September 30, 2013 and September 30, 2012 was calculated using the Black-Scholes option pricing model. The weighted average fair values and assumptions used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Nine Months Ended</w:t>
            </w:r>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24"/>
                <w:szCs w:val="24"/>
                <w:color w:val="auto"/>
              </w:rPr>
            </w:pPr>
          </w:p>
        </w:tc>
        <w:tc>
          <w:tcPr>
            <w:tcW w:w="136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84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385"/>
        </w:trPr>
        <w:tc>
          <w:tcPr>
            <w:tcW w:w="5380" w:type="dxa"/>
            <w:vAlign w:val="bottom"/>
            <w:gridSpan w:val="3"/>
          </w:tcPr>
          <w:p>
            <w:pPr>
              <w:spacing w:after="0"/>
              <w:rPr>
                <w:sz w:val="20"/>
                <w:szCs w:val="20"/>
                <w:color w:val="auto"/>
              </w:rPr>
            </w:pPr>
            <w:r>
              <w:rPr>
                <w:rFonts w:ascii="Arial" w:cs="Arial" w:eastAsia="Arial" w:hAnsi="Arial"/>
                <w:sz w:val="18"/>
                <w:szCs w:val="18"/>
                <w:color w:val="auto"/>
              </w:rPr>
              <w:t>Assumptions:</w:t>
            </w:r>
          </w:p>
        </w:tc>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3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5 years</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23, 2013 the Company adopted the 2013 Employees Restricted Share Unit and Performance Share Unit Plan (the “2013 RSU and PSU Plan”) pursuant to which the Compensation and Organization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and PSU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activity for the nine months ended September 30,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PSU</w:t>
            </w:r>
          </w:p>
        </w:tc>
        <w:tc>
          <w:tcPr>
            <w:tcW w:w="3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496,000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20.26</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359,570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33.09</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393,683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34.40</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Shares vested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22.30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359,570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33.09</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839,683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26.77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nine months ended September 30, 2013 totaled $1.1 million (No RSU’s vested during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during either the first nine months of 2013 or the full year 2012.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PSU’s vest based on service and specified EPS targets. The maximum number of PSU’s that could vest based on PSU’s outstanding is 359,570, based on attaining cumulative EPS targets over the period 2013 –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nine months ended September 30, 2013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11"/>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r>
      <w:tr>
        <w:trPr>
          <w:trHeight w:val="20"/>
        </w:trPr>
        <w:tc>
          <w:tcPr>
            <w:tcW w:w="1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8"/>
              </w:rPr>
              <w:t>September</w:t>
            </w:r>
          </w:p>
        </w:tc>
      </w:tr>
      <w:tr>
        <w:trPr>
          <w:trHeight w:val="20"/>
        </w:trPr>
        <w:tc>
          <w:tcPr>
            <w:tcW w:w="1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1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1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7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4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4,526</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1,851</w:t>
            </w:r>
          </w:p>
        </w:tc>
        <w:tc>
          <w:tcPr>
            <w:tcW w:w="54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1,338</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8"/>
                <w:szCs w:val="18"/>
                <w:color w:val="auto"/>
              </w:rPr>
              <w:t>4,305</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3,688</w:t>
            </w:r>
          </w:p>
        </w:tc>
      </w:tr>
      <w:tr>
        <w:trPr>
          <w:trHeight w:val="257"/>
        </w:trPr>
        <w:tc>
          <w:tcPr>
            <w:tcW w:w="1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Restructuring and other</w:t>
            </w:r>
          </w:p>
        </w:tc>
        <w:tc>
          <w:tcPr>
            <w:tcW w:w="4520" w:type="dxa"/>
            <w:vAlign w:val="bottom"/>
            <w:tcBorders>
              <w:bottom w:val="single" w:sz="8" w:color="auto"/>
            </w:tcBorders>
            <w:shd w:val="clear" w:color="auto" w:fill="CCEEFF"/>
          </w:tcPr>
          <w:p>
            <w:pPr>
              <w:jc w:val="right"/>
              <w:ind w:right="3390"/>
              <w:spacing w:after="0"/>
              <w:rPr>
                <w:sz w:val="20"/>
                <w:szCs w:val="20"/>
                <w:color w:val="auto"/>
              </w:rPr>
            </w:pPr>
            <w:r>
              <w:rPr>
                <w:rFonts w:ascii="Arial" w:cs="Arial" w:eastAsia="Arial" w:hAnsi="Arial"/>
                <w:sz w:val="18"/>
                <w:szCs w:val="18"/>
                <w:color w:val="auto"/>
                <w:w w:val="92"/>
              </w:rPr>
              <w:t>items (note 4)</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10"/>
        </w:trPr>
        <w:tc>
          <w:tcPr>
            <w:tcW w:w="17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760" w:type="dxa"/>
            <w:vAlign w:val="bottom"/>
            <w:tcBorders>
              <w:bottom w:val="single" w:sz="8" w:color="auto"/>
            </w:tcBorders>
            <w:shd w:val="clear" w:color="auto" w:fill="CCEEFF"/>
          </w:tcPr>
          <w:p>
            <w:pPr>
              <w:spacing w:after="0"/>
              <w:rPr>
                <w:sz w:val="22"/>
                <w:szCs w:val="22"/>
                <w:color w:val="auto"/>
              </w:rPr>
            </w:pPr>
          </w:p>
        </w:tc>
        <w:tc>
          <w:tcPr>
            <w:tcW w:w="4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9,588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8,834</w:t>
            </w:r>
          </w:p>
        </w:tc>
      </w:tr>
    </w:tbl>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non-cash stock compensation expense not yet recognized at September 30, 2013 amounted to $38.5 million. The weighted average period over which this is expected to be recognized is 2.7 years. Total tax benefit recognized in additional paid in capital related to the non-cash compensation expense amounted to $0.4 million for the nine months ended September 30, 2013 (September 30, 2012: $0.9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the Group organized, operated and assessed its business in two segments, the clinical research segment and the central laboratory segment. In 2013 the Group have consolidated and reclassified the results of the former central laboratory segment into the clinical research segment as the central laboratory segment does not reach the thresholds of net revenue, income from operations and total assets as a requirement for being reported as a separate segment. Management have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Belgium, Poland, Czech Republic, Lithuania, Latvia, Russia, Ukraine, Hungary, Turkey, Israel, Romania, Canada, Mexico, Brazil, Colombia, Argentina, Chile, Peru, India, China, South Korea, Japan, Thailand, Taiwan, Singapore, The Philippines, Australia, New Zealand, and South Africa.</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Segment information as at September 30, 2013 and December 31, 2012 and for the three and nine months ended September 30, 2013 and September 30, 2012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5"/>
              </w:rPr>
              <w:t>a) The distribution of net revenue by geographical area was as follows:</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10"/>
          </w:tcPr>
          <w:p>
            <w:pPr>
              <w:ind w:left="2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1360" w:type="dxa"/>
            <w:vAlign w:val="bottom"/>
            <w:gridSpan w:val="6"/>
          </w:tcPr>
          <w:p>
            <w:pPr>
              <w:ind w:left="16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ind w:left="16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2013</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jc w:val="right"/>
              <w:spacing w:after="0" w:line="183"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4"/>
          </w:tcPr>
          <w:p>
            <w:pPr>
              <w:jc w:val="right"/>
              <w:ind w:right="100"/>
              <w:spacing w:after="0" w:line="183"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4"/>
          </w:tcPr>
          <w:p>
            <w:pPr>
              <w:jc w:val="right"/>
              <w:ind w:right="100"/>
              <w:spacing w:after="0" w:line="183"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70,368</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41,129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200,699</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110,891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Rest of Europe</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80,417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80,466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250,275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253,740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129,564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427,359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351,548</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36,599</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34,343</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112,485</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98,663</w:t>
            </w:r>
          </w:p>
        </w:tc>
        <w:tc>
          <w:tcPr>
            <w:tcW w:w="0" w:type="dxa"/>
            <w:vAlign w:val="bottom"/>
          </w:tcPr>
          <w:p>
            <w:pPr>
              <w:spacing w:after="0"/>
              <w:rPr>
                <w:sz w:val="1"/>
                <w:szCs w:val="1"/>
                <w:color w:val="auto"/>
              </w:rPr>
            </w:pPr>
          </w:p>
        </w:tc>
      </w:tr>
      <w:tr>
        <w:trPr>
          <w:trHeight w:val="473"/>
        </w:trPr>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339,810</w:t>
            </w:r>
          </w:p>
        </w:tc>
        <w:tc>
          <w:tcPr>
            <w:tcW w:w="1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285,502</w:t>
            </w:r>
          </w:p>
        </w:tc>
        <w:tc>
          <w:tcPr>
            <w:tcW w:w="3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990,818</w:t>
            </w:r>
          </w:p>
        </w:tc>
        <w:tc>
          <w:tcPr>
            <w:tcW w:w="62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814,842</w:t>
            </w:r>
          </w:p>
        </w:tc>
        <w:tc>
          <w:tcPr>
            <w:tcW w:w="0" w:type="dxa"/>
            <w:vAlign w:val="bottom"/>
          </w:tcPr>
          <w:p>
            <w:pPr>
              <w:spacing w:after="0"/>
              <w:rPr>
                <w:sz w:val="1"/>
                <w:szCs w:val="1"/>
                <w:color w:val="auto"/>
              </w:rPr>
            </w:pPr>
          </w:p>
        </w:tc>
      </w:tr>
      <w:tr>
        <w:trPr>
          <w:trHeight w:val="224"/>
        </w:trPr>
        <w:tc>
          <w:tcPr>
            <w:tcW w:w="5380" w:type="dxa"/>
            <w:vAlign w:val="bottom"/>
          </w:tcPr>
          <w:p>
            <w:pPr>
              <w:ind w:left="660"/>
              <w:spacing w:after="0"/>
              <w:rPr>
                <w:sz w:val="20"/>
                <w:szCs w:val="20"/>
                <w:color w:val="auto"/>
              </w:rPr>
            </w:pPr>
            <w:r>
              <w:rPr>
                <w:rFonts w:ascii="Arial" w:cs="Arial" w:eastAsia="Arial" w:hAnsi="Arial"/>
                <w:sz w:val="18"/>
                <w:szCs w:val="18"/>
                <w:color w:val="auto"/>
              </w:rPr>
              <w:t>* All sales shown for Ireland are export sales.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5380" w:type="dxa"/>
            <w:vAlign w:val="bottom"/>
          </w:tcPr>
          <w:p>
            <w:pPr>
              <w:spacing w:after="0"/>
              <w:rPr>
                <w:sz w:val="24"/>
                <w:szCs w:val="24"/>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 The distribution of income from operations, including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36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September 30,</w:t>
            </w:r>
          </w:p>
        </w:tc>
      </w:tr>
      <w:tr>
        <w:trPr>
          <w:trHeight w:val="20"/>
        </w:trPr>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20,105</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(7,036)</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Rest of Europe</w:t>
            </w:r>
          </w:p>
        </w:tc>
        <w:tc>
          <w:tcPr>
            <w:tcW w:w="2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7,023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21,683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13,956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24,412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22,225</w:t>
            </w: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2,215</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6,073</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6,743</w:t>
            </w:r>
          </w:p>
        </w:tc>
      </w:tr>
      <w:tr>
        <w:trPr>
          <w:trHeight w:val="473"/>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33,161</w:t>
            </w:r>
          </w:p>
        </w:tc>
        <w:tc>
          <w:tcPr>
            <w:tcW w:w="62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20,879</w:t>
            </w:r>
          </w:p>
        </w:tc>
        <w:tc>
          <w:tcPr>
            <w:tcW w:w="36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66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43,615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36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September 30,</w:t>
            </w:r>
          </w:p>
        </w:tc>
      </w:tr>
      <w:tr>
        <w:trPr>
          <w:trHeight w:val="20"/>
        </w:trPr>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20,105</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46,002</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(4,961)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Rest of Europe</w:t>
            </w:r>
          </w:p>
        </w:tc>
        <w:tc>
          <w:tcPr>
            <w:tcW w:w="2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10,461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22,229</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13,956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28,504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24,875</w:t>
            </w: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2,215</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6,522</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7,108</w:t>
            </w:r>
          </w:p>
        </w:tc>
      </w:tr>
      <w:tr>
        <w:trPr>
          <w:trHeight w:val="473"/>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33,161</w:t>
            </w:r>
          </w:p>
        </w:tc>
        <w:tc>
          <w:tcPr>
            <w:tcW w:w="62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20,879</w:t>
            </w:r>
          </w:p>
        </w:tc>
        <w:tc>
          <w:tcPr>
            <w:tcW w:w="36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91,489</w:t>
            </w:r>
          </w:p>
        </w:tc>
        <w:tc>
          <w:tcPr>
            <w:tcW w:w="66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49,251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r>
      <w:tr>
        <w:trPr>
          <w:trHeight w:val="196"/>
        </w:trPr>
        <w:tc>
          <w:tcPr>
            <w:tcW w:w="3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3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105,422</w:t>
            </w: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110,369</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15,134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16,115</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34,311</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32,400</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9,489</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162,822</w:t>
            </w:r>
          </w:p>
        </w:tc>
        <w:tc>
          <w:tcPr>
            <w:tcW w:w="100" w:type="dxa"/>
            <w:vAlign w:val="bottom"/>
            <w:tcBorders>
              <w:left w:val="single" w:sz="8" w:color="CCEEFF"/>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168,373</w:t>
            </w:r>
          </w:p>
        </w:tc>
      </w:tr>
      <w:tr>
        <w:trPr>
          <w:trHeight w:val="453"/>
        </w:trPr>
        <w:tc>
          <w:tcPr>
            <w:tcW w:w="6520" w:type="dxa"/>
            <w:vAlign w:val="bottom"/>
            <w:gridSpan w:val="3"/>
          </w:tcPr>
          <w:p>
            <w:pPr>
              <w:spacing w:after="0"/>
              <w:rPr>
                <w:sz w:val="20"/>
                <w:szCs w:val="20"/>
                <w:color w:val="auto"/>
              </w:rPr>
            </w:pPr>
            <w:r>
              <w:rPr>
                <w:rFonts w:ascii="Arial" w:cs="Arial" w:eastAsia="Arial" w:hAnsi="Arial"/>
                <w:sz w:val="18"/>
                <w:szCs w:val="18"/>
                <w:color w:val="auto"/>
                <w:w w:val="92"/>
              </w:rPr>
              <w:t>e) The distribution of depreciation and amortization by geographical area was as follows:</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11"/>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3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80" w:type="dxa"/>
            <w:vAlign w:val="bottom"/>
            <w:gridSpan w:val="6"/>
          </w:tcPr>
          <w:p>
            <w:pPr>
              <w:ind w:left="28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7"/>
          </w:tcPr>
          <w:p>
            <w:pPr>
              <w:jc w:val="right"/>
              <w:ind w:right="100"/>
              <w:spacing w:after="0" w:line="196" w:lineRule="exact"/>
              <w:rPr>
                <w:sz w:val="20"/>
                <w:szCs w:val="20"/>
                <w:color w:val="auto"/>
              </w:rPr>
            </w:pPr>
            <w:r>
              <w:rPr>
                <w:rFonts w:ascii="Arial" w:cs="Arial" w:eastAsia="Arial" w:hAnsi="Arial"/>
                <w:sz w:val="18"/>
                <w:szCs w:val="18"/>
                <w:b w:val="1"/>
                <w:bCs w:val="1"/>
                <w:color w:val="auto"/>
              </w:rPr>
              <w:t>September 30,</w:t>
            </w:r>
          </w:p>
        </w:tc>
      </w:tr>
      <w:tr>
        <w:trPr>
          <w:trHeight w:val="196"/>
        </w:trPr>
        <w:tc>
          <w:tcPr>
            <w:tcW w:w="3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r>
      <w:tr>
        <w:trPr>
          <w:trHeight w:val="20"/>
        </w:trPr>
        <w:tc>
          <w:tcPr>
            <w:tcW w:w="3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1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4,380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14,791</w:t>
            </w:r>
          </w:p>
        </w:tc>
        <w:tc>
          <w:tcPr>
            <w:tcW w:w="6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13,381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1,580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1,691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5,430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10,568</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899</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2,854</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7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10,601</w:t>
            </w:r>
          </w:p>
        </w:tc>
        <w:tc>
          <w:tcPr>
            <w:tcW w:w="3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34,551</w:t>
            </w:r>
          </w:p>
        </w:tc>
        <w:tc>
          <w:tcPr>
            <w:tcW w:w="620" w:type="dxa"/>
            <w:vAlign w:val="bottom"/>
            <w:tcBorders>
              <w:bottom w:val="single" w:sz="8" w:color="auto"/>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32,233</w:t>
            </w:r>
          </w:p>
        </w:tc>
      </w:tr>
      <w:tr>
        <w:trPr>
          <w:trHeight w:val="601"/>
        </w:trPr>
        <w:tc>
          <w:tcPr>
            <w:tcW w:w="3360" w:type="dxa"/>
            <w:vAlign w:val="bottom"/>
          </w:tcPr>
          <w:p>
            <w:pPr>
              <w:spacing w:after="0"/>
              <w:rPr>
                <w:sz w:val="24"/>
                <w:szCs w:val="24"/>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w w:val="95"/>
              </w:rPr>
              <w:t>f) The distribution of total assets by geographical area was as follows:</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5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196"/>
        </w:trPr>
        <w:tc>
          <w:tcPr>
            <w:tcW w:w="53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8"/>
          </w:tcPr>
          <w:p>
            <w:pPr>
              <w:ind w:left="4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521,287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476,159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314,829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236,305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473,510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437,756</w:t>
            </w:r>
          </w:p>
        </w:tc>
      </w:tr>
      <w:tr>
        <w:trPr>
          <w:trHeight w:val="223"/>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52,442</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51,888</w:t>
            </w:r>
          </w:p>
        </w:tc>
      </w:tr>
      <w:tr>
        <w:trPr>
          <w:trHeight w:val="473"/>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1,362,068</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1,202,108</w:t>
            </w:r>
          </w:p>
        </w:tc>
      </w:tr>
      <w:tr>
        <w:trPr>
          <w:trHeight w:val="601"/>
        </w:trPr>
        <w:tc>
          <w:tcPr>
            <w:tcW w:w="5340" w:type="dxa"/>
            <w:vAlign w:val="bottom"/>
          </w:tcPr>
          <w:p>
            <w:pPr>
              <w:spacing w:after="0"/>
              <w:rPr>
                <w:sz w:val="24"/>
                <w:szCs w:val="24"/>
                <w:color w:val="auto"/>
              </w:rPr>
            </w:pPr>
          </w:p>
        </w:tc>
        <w:tc>
          <w:tcPr>
            <w:tcW w:w="3520" w:type="dxa"/>
            <w:vAlign w:val="bottom"/>
          </w:tcPr>
          <w:p>
            <w:pPr>
              <w:jc w:val="right"/>
              <w:ind w:right="297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34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2012.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2013, we had approximately 10,310 employees, in 77 locations in 38 countries. During the nine months ended September 30, 2013 we derived approximately 43.1%, 45.5% and 11.4%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 The Company’s results of operations and cash flows are therefore not materially impacted by project cancellations or delays.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September 30, 2013 we had a backlog of approximately $3.0 billion, compared with approximately $2.8 billion at December 31, 2012.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compared with Three Months Ended September 30, 2012</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8"/>
          </w:tcPr>
          <w:p>
            <w:pPr>
              <w:jc w:val="right"/>
              <w:ind w:right="102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420" w:type="dxa"/>
            <w:vAlign w:val="bottom"/>
            <w:gridSpan w:val="5"/>
          </w:tcPr>
          <w:p>
            <w:pPr>
              <w:jc w:val="right"/>
              <w:ind w:right="32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660" w:type="dxa"/>
            <w:vAlign w:val="bottom"/>
            <w:gridSpan w:val="5"/>
          </w:tcPr>
          <w:p>
            <w:pPr>
              <w:jc w:val="right"/>
              <w:ind w:right="56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320" w:type="dxa"/>
            <w:vAlign w:val="bottom"/>
          </w:tcPr>
          <w:p>
            <w:pPr>
              <w:spacing w:after="0"/>
              <w:rPr>
                <w:sz w:val="17"/>
                <w:szCs w:val="17"/>
                <w:color w:val="auto"/>
              </w:rPr>
            </w:pPr>
          </w:p>
        </w:tc>
        <w:tc>
          <w:tcPr>
            <w:tcW w:w="11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w w:val="86"/>
              </w:rPr>
              <w:t>to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3080" w:type="dxa"/>
            <w:vAlign w:val="bottom"/>
            <w:gridSpan w:val="10"/>
          </w:tcPr>
          <w:p>
            <w:pPr>
              <w:jc w:val="right"/>
              <w:ind w:right="800"/>
              <w:spacing w:after="0" w:line="196" w:lineRule="exact"/>
              <w:rPr>
                <w:sz w:val="20"/>
                <w:szCs w:val="20"/>
                <w:color w:val="auto"/>
              </w:rPr>
            </w:pPr>
            <w:r>
              <w:rPr>
                <w:rFonts w:ascii="Arial" w:cs="Arial" w:eastAsia="Arial" w:hAnsi="Arial"/>
                <w:sz w:val="18"/>
                <w:szCs w:val="18"/>
                <w:b w:val="1"/>
                <w:bCs w:val="1"/>
                <w:color w:val="auto"/>
                <w:w w:val="96"/>
              </w:rPr>
              <w:t>Percentage of Net Revenue</w:t>
            </w:r>
          </w:p>
        </w:tc>
        <w:tc>
          <w:tcPr>
            <w:tcW w:w="100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42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6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392"/>
        </w:trPr>
        <w:tc>
          <w:tcPr>
            <w:tcW w:w="73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14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16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64.2%</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gridSpan w:val="5"/>
          </w:tcPr>
          <w:p>
            <w:pPr>
              <w:jc w:val="right"/>
              <w:ind w:right="160"/>
              <w:spacing w:after="0"/>
              <w:rPr>
                <w:sz w:val="20"/>
                <w:szCs w:val="20"/>
                <w:color w:val="auto"/>
              </w:rPr>
            </w:pPr>
            <w:r>
              <w:rPr>
                <w:rFonts w:ascii="Arial" w:cs="Arial" w:eastAsia="Arial" w:hAnsi="Arial"/>
                <w:sz w:val="18"/>
                <w:szCs w:val="18"/>
                <w:color w:val="auto"/>
              </w:rPr>
              <w:t>23.9%</w:t>
            </w:r>
          </w:p>
        </w:tc>
        <w:tc>
          <w:tcPr>
            <w:tcW w:w="1660" w:type="dxa"/>
            <w:vAlign w:val="bottom"/>
            <w:gridSpan w:val="5"/>
          </w:tcPr>
          <w:p>
            <w:pPr>
              <w:jc w:val="right"/>
              <w:ind w:right="420"/>
              <w:spacing w:after="0"/>
              <w:rPr>
                <w:sz w:val="20"/>
                <w:szCs w:val="20"/>
                <w:color w:val="auto"/>
              </w:rPr>
            </w:pPr>
            <w:r>
              <w:rPr>
                <w:rFonts w:ascii="Arial" w:cs="Arial" w:eastAsia="Arial" w:hAnsi="Arial"/>
                <w:sz w:val="18"/>
                <w:szCs w:val="18"/>
                <w:color w:val="auto"/>
              </w:rPr>
              <w:t>24.8%</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66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1420" w:type="dxa"/>
            <w:vAlign w:val="bottom"/>
            <w:gridSpan w:val="5"/>
          </w:tcPr>
          <w:p>
            <w:pPr>
              <w:jc w:val="right"/>
              <w:ind w:right="160"/>
              <w:spacing w:after="0"/>
              <w:rPr>
                <w:sz w:val="20"/>
                <w:szCs w:val="20"/>
                <w:color w:val="auto"/>
              </w:rPr>
            </w:pPr>
            <w:r>
              <w:rPr>
                <w:rFonts w:ascii="Arial" w:cs="Arial" w:eastAsia="Arial" w:hAnsi="Arial"/>
                <w:sz w:val="18"/>
                <w:szCs w:val="18"/>
                <w:color w:val="auto"/>
              </w:rPr>
              <w:t>9.8%</w:t>
            </w:r>
          </w:p>
        </w:tc>
        <w:tc>
          <w:tcPr>
            <w:tcW w:w="1660" w:type="dxa"/>
            <w:vAlign w:val="bottom"/>
            <w:gridSpan w:val="5"/>
          </w:tcPr>
          <w:p>
            <w:pPr>
              <w:jc w:val="right"/>
              <w:ind w:right="420"/>
              <w:spacing w:after="0"/>
              <w:rPr>
                <w:sz w:val="20"/>
                <w:szCs w:val="20"/>
                <w:color w:val="auto"/>
              </w:rPr>
            </w:pPr>
            <w:r>
              <w:rPr>
                <w:rFonts w:ascii="Arial" w:cs="Arial" w:eastAsia="Arial" w:hAnsi="Arial"/>
                <w:sz w:val="18"/>
                <w:szCs w:val="18"/>
                <w:color w:val="auto"/>
              </w:rPr>
              <w:t>7.3%</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Income from operations (including restructuring and other items )</w:t>
            </w:r>
          </w:p>
        </w:tc>
        <w:tc>
          <w:tcPr>
            <w:tcW w:w="14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rPr>
              <w:t>9.8%</w:t>
            </w:r>
          </w:p>
        </w:tc>
        <w:tc>
          <w:tcPr>
            <w:tcW w:w="16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color w:val="auto"/>
              </w:rPr>
              <w:t>7.3%</w:t>
            </w: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revenue for the period increased by $54.3 million, or 19.0%, from $285.5 million for the three months ended September 30, 2012 to $339.8 million for the three months ended September 30, 2013. For the three months ended September 30, 2013 we derived approximately 44.8%, 44.4% and 10.8% of our net revenue in the United States, Europe and Rest of World, respectively.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revenue in Ireland increased from $41.1 million for the three months ended September 30, 2012 to $70.3 million for the three months ended September 30, 2013.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 Increased revenue flows in the current period, driven by this upfront investment, has led to an increase in net revenue in Ireland in the current period.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6"/>
          <w:szCs w:val="16"/>
          <w:color w:val="auto"/>
        </w:rPr>
        <w:t>Direct costs for the period increased by $30.4 million, or 16.5%, from $183.3 million for the three months ended September 30, 2012 to $213.7 million for the three months ended September 30, 2013. Direct costs consist primarily of compensation, associated fringe benefits and share based compensation expense for project-related employees and other direct project driven costs. The increase in direct costs during the period arose from an increase in personnel related expenditure of $33.7 million and a decrease in other direct project related costs of $3.3 million. As a percentage of net revenue, direct costs have decreased from 64.2% for the three months ended September 30, 2012 to 62.9% for the three months ended September 30, 2013.</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for the period increased by $10.7 million, or 15.2%, from $70.7 million for the three months ended September 30, 2012 to $81.4 million for the three months ended September 30, 2013.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$5.1 million, an increase in facilities and related costs expenditure of $1.6 million and an increase in general and administrative expenses of $4.0 million. As a percentage of net revenue, selling, general and administrative expenses, decreased from 24.8% for the three months ended September 30, 2012 to 23.9% for the three months ended September 30, 2013.</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increased by $1.1 million, or 13.4%, from $8.6 million for the three months ended September 30, 2012 to $9.7 million for the three months ended September 30, 2013 and principally arises from an investment in facilities, information systems and equipment to support the Company’s growth. As a percentage of net revenue, depreciation expense decreased from 3.0% of net revenues for the three months ended September 30, 2012 to 2.9% for the three months ended September 30, 2013. Amortization expense for the period decreased by $0.2 million, or 8.9%, from $2.0 million for the three months ended September 30, 2012 to $1.8 million for the three months ended September 30, 2013. Amortization expense represents the amortization of intangible assets acquired on business combinations. The decrease in the amortization expense in the current period is primarily a result of certain intangible assets acquired from the acquisitions of Firecrest and Oxford Outcomes being fully amortized during the year ended 31 December 2012. This was offset by the intangible assets acquired from the acquisition of the clinical trial services division of Cross Country Healthcare Inc. during the three months ended March 31, 2013. As a percentage of net revenue, amortization expense decreased from 0.7% of net revenues for the three months ended September 30, 2012 to 0.5% of net revenues for the three months ended September 30, 2013.</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result of the above, income from operations increased by $12.3 million, or 58.8%, from $20.9 million for the three months ended September 30, 2012 to $33.2 million for the three months ended September 30, 2013. As a percentage of net revenue, income from operations increased from 7.3% of net revenues for the three months ended September 30, 2012 to 9.8% of net revenues for the three months ended September 30, 2013.</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from operations in Ireland increased from a loss of $0.4 million for the three months ended September 30, 2012 to a profit of $20.1 million for the three months ended September 30, 2013. Income/ (losses) from operations in Ireland are impacted by the Group’s global transfer pricing model.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resulted in increased profits from operations in the current quarter.</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decreased from $0.5 million for the three months ended September 30, 2012 to $0.3 million for the three months ended September 30, 2013. Interest income for the three months ended September 30, 2013 was $0.2 million for the three months ended September 30, 2012 and the three months ended September 30, 2013.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period increased from $2.9 million for the three months ended September 30, 2012 to $5.3 million for the three months ended September 30, 2013. The Company’s effective tax rate for the three months ended September 30, 2013 was 16.0% compared with 14.0% for the three months ended September 30, 2012. The Company’s effective tax rate is principally a function of the distribution of pre-tax profits amongst the territories in which it operates.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Nine Months Ended September 30, 2013 compared with Nine Months Ended September 30, 2012</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06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420" w:type="dxa"/>
            <w:vAlign w:val="bottom"/>
            <w:gridSpan w:val="5"/>
          </w:tcPr>
          <w:p>
            <w:pPr>
              <w:jc w:val="right"/>
              <w:ind w:right="32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660" w:type="dxa"/>
            <w:vAlign w:val="bottom"/>
            <w:gridSpan w:val="5"/>
          </w:tcPr>
          <w:p>
            <w:pPr>
              <w:jc w:val="right"/>
              <w:ind w:right="56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320" w:type="dxa"/>
            <w:vAlign w:val="bottom"/>
          </w:tcPr>
          <w:p>
            <w:pPr>
              <w:spacing w:after="0"/>
              <w:rPr>
                <w:sz w:val="17"/>
                <w:szCs w:val="17"/>
                <w:color w:val="auto"/>
              </w:rPr>
            </w:pPr>
          </w:p>
        </w:tc>
        <w:tc>
          <w:tcPr>
            <w:tcW w:w="11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w w:val="86"/>
              </w:rPr>
              <w:t>to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3080" w:type="dxa"/>
            <w:vAlign w:val="bottom"/>
            <w:gridSpan w:val="10"/>
          </w:tcPr>
          <w:p>
            <w:pPr>
              <w:jc w:val="center"/>
              <w:ind w:right="58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200" w:type="dxa"/>
            <w:vAlign w:val="bottom"/>
          </w:tcPr>
          <w:p>
            <w:pPr>
              <w:spacing w:after="0"/>
              <w:rPr>
                <w:sz w:val="17"/>
                <w:szCs w:val="17"/>
                <w:color w:val="auto"/>
              </w:rPr>
            </w:pPr>
          </w:p>
        </w:tc>
        <w:tc>
          <w:tcPr>
            <w:tcW w:w="80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42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6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392"/>
        </w:trPr>
        <w:tc>
          <w:tcPr>
            <w:tcW w:w="73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14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16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64.5%</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gridSpan w:val="5"/>
          </w:tcPr>
          <w:p>
            <w:pPr>
              <w:jc w:val="right"/>
              <w:ind w:right="160"/>
              <w:spacing w:after="0"/>
              <w:rPr>
                <w:sz w:val="20"/>
                <w:szCs w:val="20"/>
                <w:color w:val="auto"/>
              </w:rPr>
            </w:pPr>
            <w:r>
              <w:rPr>
                <w:rFonts w:ascii="Arial" w:cs="Arial" w:eastAsia="Arial" w:hAnsi="Arial"/>
                <w:sz w:val="18"/>
                <w:szCs w:val="18"/>
                <w:color w:val="auto"/>
              </w:rPr>
              <w:t>23.7%</w:t>
            </w:r>
          </w:p>
        </w:tc>
        <w:tc>
          <w:tcPr>
            <w:tcW w:w="1660" w:type="dxa"/>
            <w:vAlign w:val="bottom"/>
            <w:gridSpan w:val="5"/>
          </w:tcPr>
          <w:p>
            <w:pPr>
              <w:jc w:val="right"/>
              <w:ind w:right="420"/>
              <w:spacing w:after="0"/>
              <w:rPr>
                <w:sz w:val="20"/>
                <w:szCs w:val="20"/>
                <w:color w:val="auto"/>
              </w:rPr>
            </w:pPr>
            <w:r>
              <w:rPr>
                <w:rFonts w:ascii="Arial" w:cs="Arial" w:eastAsia="Arial" w:hAnsi="Arial"/>
                <w:sz w:val="18"/>
                <w:szCs w:val="18"/>
                <w:color w:val="auto"/>
              </w:rPr>
              <w:t>25.5%</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66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1420" w:type="dxa"/>
            <w:vAlign w:val="bottom"/>
            <w:gridSpan w:val="5"/>
          </w:tcPr>
          <w:p>
            <w:pPr>
              <w:jc w:val="right"/>
              <w:ind w:right="160"/>
              <w:spacing w:after="0"/>
              <w:rPr>
                <w:sz w:val="20"/>
                <w:szCs w:val="20"/>
                <w:color w:val="auto"/>
              </w:rPr>
            </w:pPr>
            <w:r>
              <w:rPr>
                <w:rFonts w:ascii="Arial" w:cs="Arial" w:eastAsia="Arial" w:hAnsi="Arial"/>
                <w:sz w:val="18"/>
                <w:szCs w:val="18"/>
                <w:color w:val="auto"/>
              </w:rPr>
              <w:t>9.2%</w:t>
            </w:r>
          </w:p>
        </w:tc>
        <w:tc>
          <w:tcPr>
            <w:tcW w:w="1660" w:type="dxa"/>
            <w:vAlign w:val="bottom"/>
            <w:gridSpan w:val="5"/>
          </w:tcPr>
          <w:p>
            <w:pPr>
              <w:jc w:val="right"/>
              <w:ind w:right="420"/>
              <w:spacing w:after="0"/>
              <w:rPr>
                <w:sz w:val="20"/>
                <w:szCs w:val="20"/>
                <w:color w:val="auto"/>
              </w:rPr>
            </w:pPr>
            <w:r>
              <w:rPr>
                <w:rFonts w:ascii="Arial" w:cs="Arial" w:eastAsia="Arial" w:hAnsi="Arial"/>
                <w:sz w:val="18"/>
                <w:szCs w:val="18"/>
                <w:color w:val="auto"/>
              </w:rPr>
              <w:t>6.0%</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142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66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432"/>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Income from operations (including restructuring and other items )</w:t>
            </w:r>
          </w:p>
        </w:tc>
        <w:tc>
          <w:tcPr>
            <w:tcW w:w="14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rPr>
              <w:t>8.3%</w:t>
            </w:r>
          </w:p>
        </w:tc>
        <w:tc>
          <w:tcPr>
            <w:tcW w:w="16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color w:val="auto"/>
              </w:rPr>
              <w:t>5.3%</w:t>
            </w: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Net revenue for the period increased by $176.0 million, or 21.6%, from $814.8 million for the nine months ended September 30, 2012 to $990.8 million for the nine months ended September 30, 2013. For the nine months ended September 30, 2013 we derived approximately 43.1%, 45.5% and 11.4% of our net revenue in the United States, Europe and Rest of World, respectively.</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revenue in Ireland increased from $110.9 million for the nine months ended September 30, 2012 to $200.7 million for the nine months ended September 30, 2013.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Direct costs for the period increased by $104.5 million, or 19.9%, from $525.7 million for the nine months ended September 30, 2012 to $630.2 million for the nine months ended September 30, 2013. Direct costs consist primarily of compensation, associated fringe benefits and share based compensation expense for project-related employees and other direct project driven costs. The increase in direct costs during the period arose from an increase in personnel related expenditure of $103.8 million and an increase in other direct project related costs of $0.7 million. As a percentage of net revenue, direct costs have decreased from 64.5% for the nine months ended September 30, 2012 to 63.6% for the nine months ended September 30, 2013.</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for the period increased by $26.9 million, or 13.0%, from $207.6 million for the nine months ended September 30, 2012 to $234.5 million for the nine months ended September 30, 2013.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$16.5 million, an increase in facilities and related costs expenditure of $3.8 million and an increase in general and administrative expenses of $6.6 million. As a percentage of net revenue, selling, general and administrative expenses decreased from 25.5% for the nine months ended September 30, 2012 to 23.7% for the nine months ended September 30, 2013.</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Depreciation expense for the period increased by $2.9 million, or 11.3%, from $26.2 million for the nine months ended September 30, 2012 to $29.1 million for the nine months ended September 30, 2013 and principally arises from an investment in facilities, information systems and equipment to support the Company’s growth. As a percentage of net revenue, depreciation expense decreased from 3.2% of net revenues for the nine months ended September 30, 2012 to 2.9% for the nine months ended September 30, 2013. Amortization expense for the period decreased by $0.6 million, or 10.5%, from $6.0 million for the nine months ended September 30, 2012 to $5.4 million for the nine months ended September 30, 2013. Amortization expense represents the amortization of intangible assets acquired on business combinations. The decrease in the amortization expense in the current period is primarily a result of certain intangible assets acquired from the acquisitions of Firecrest and Oxford Outcomes being fully amortized during the year ended 31 December 2012. This was offset by the intangible assets acquired from the acquisition of the clinical trial services division of Cross Country Healthcare Inc. during the three months ended March 31, 2013. As a percentage of net revenue, amortization expense decreased from 0.8% of net revenues for the nine months ended September 30, 2012 to 0.6% of net revenues for the nine months ended September 30, 2013.</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During the three months ended June 30, 2013 the Company implemented a further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 (s</w:t>
      </w:r>
      <w:r>
        <w:rPr>
          <w:rFonts w:ascii="Arial" w:cs="Arial" w:eastAsia="Arial" w:hAnsi="Arial"/>
          <w:sz w:val="17"/>
          <w:szCs w:val="17"/>
          <w:i w:val="1"/>
          <w:iCs w:val="1"/>
          <w:color w:val="auto"/>
        </w:rPr>
        <w:t>ee note 4 Restructuring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items for further information).</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and other non-recurring items of $5.6 million were recorded during the nine months ended September 30, 2012 (inclusive of the release of $0.1 million relating to the 2011 Restructuring Plans). During the three months ended September 30,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three months ended September 30, 2012; $3.4 million in respect of resource rationalizations and $1.2 million in respect of lease termination and exit costs. The Company also incurred certain other charges in relation to the retirement of Mr. Peter Gray, Vice Chairman of the Board and former CEO. A charge of $1.1 million was recognized in respect of this during the three months ended September 30, 2012 (s</w:t>
      </w:r>
      <w:r>
        <w:rPr>
          <w:rFonts w:ascii="Arial" w:cs="Arial" w:eastAsia="Arial" w:hAnsi="Arial"/>
          <w:sz w:val="18"/>
          <w:szCs w:val="18"/>
          <w:i w:val="1"/>
          <w:iCs w:val="1"/>
          <w:color w:val="auto"/>
        </w:rPr>
        <w:t>ee note 4 Restructuring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items for further information).</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the above, income from operations increased by $38.8 million, or 89.1%, from $43.6 million for the nine months ended September 30, 2012 ($49.3 million excluding restructuring charges) to $82.5 million for the nine months ended September 30, 2013 ($91.5 million, or 85.8% excluding restructuring charges). As a percentage of net revenue, income from operations increased from 5.3% of net revenues for the nine months ended September 30, 2012 (6.0% excluding restructuring charges) to 8.3% of net revenues for the nine months ended September 30, 2013 (9.2% excluding restructuring charges).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 Ireland increased from a loss of $7.0 million for the nine months ended September 30, 2012 ($5.0 million excluding restructuring charges), to a profit of $44.9 million ($46.0 million excluding restructuring charges) for the nine months ended September 30, 2013. Income/ (losses) from operations in Ireland are impacted by the Group’s global transfer pricing model.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resulted in increased profits from operations in the current quarter.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decreased from $1.5 million for the nine months ended September 30, 2012 to $1.0 million for the nine months ended September 30, 2013. Interest expense for the nine months ended September 30, 2013 includes $0.2 million in respect of non-cash finance charges relating to acquisition contingent consideration. Interest income for the nine months ended September 30, 2013 decreased from $0.9 million for the nine months ended September 30, 2012 to $0.7 million for the nine months ended September 30, 2013.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7"/>
          <w:szCs w:val="17"/>
          <w:color w:val="auto"/>
        </w:rPr>
        <w:t>Provision for income taxes for the period increased from $8.4 million for the nine months ended September 30, 2012 ($9.1 million excluding the impact of restructuring charges) to $12.8 million ($14.6 million excluding the impact of restructuring charges) for the nine months ended September 30, 2013. The Company’s effective tax rate for the nine months ended September 30, 2013 was 15.6% (16.1% excluding the impact of restructuring charges) compared with 19.5% for the nine months ended September 30, 2012 (18.7% excluding the impact of restructuring charges). The Company’s effective tax rate is principally a function of the distribution of pre-tax profits amongst the territories in which it operates.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cash and short term investment balances at September 30, 2013 amounted to $218.6 million compared with cash and short term investment balances of $190.2 million at December 31, 2012. The Company’s cash and short term investment balances at September 30, 2013 comprised cash and cash equivalents $156.5 million, restricted cash $2.25 million and short-term investments $59.9 million. During the nine months ended September 30, 2013 the Company completed the acquisition of the clinical trial services division of Cross Country Healthcare Inc. At September 30, 2013 the Company held $2.25 million in restricted cash in relation to additional amounts potentially payable for the acquisition. The Company’s cash and short-term investment balances at December 31, 2012 comprised cash and cash equivalents $114.0 million and short-term investments $76.2 million.</w:t>
      </w:r>
    </w:p>
    <w:p>
      <w:pPr>
        <w:spacing w:after="0" w:line="19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September 30, 2013 compared with $150.0 million at December 31, 2012.</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$123.8 million for the nine months ended September 30, 2013 compared with cash provided by operating activities of $101.5 million for the nine months ended September 30, 2012.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2013 was 40 days compared to 40 days at December 31, 2012. The number of days revenue outstanding at September 30, 2012 was 38 days compared to 47 days at December 31, 2011.</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$102.2 million for the nine months ended September 30, 2013 compared to net cash used in investing activities of $93.3 million for the nine months ended September 30, 2012. Net cash used in the nine months ended September 30, 2013 arose principally from cash paid for acquisitions, capital expenditures and the purchase of short-term investments.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 xml:space="preserve">During the nine months ended September 30, 2013 the Company completed the acquisition of the clinical trial services division of Cross Country Healthcare Inc. for an initial cash consideration of $51.9 million, with $1.0 million in cash received on acquisition. Additional amounts payable at September 30, 2013 in relation to acquisitions include $5.45 million payable contingent upon the results of acquired businesses; including Cross Country Healthcare Inc. ($2.25million), BeijingWits Medical ($3.2 million). </w:t>
      </w:r>
      <w:r>
        <w:rPr>
          <w:rFonts w:ascii="Arial" w:cs="Arial" w:eastAsia="Arial" w:hAnsi="Arial"/>
          <w:sz w:val="18"/>
          <w:szCs w:val="18"/>
          <w:i w:val="1"/>
          <w:iCs w:val="1"/>
          <w:color w:val="auto"/>
        </w:rPr>
        <w:t>(See note 3 Business Combinations for further information relating to acquisitions and amounts payable</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contingent upon the future results of acquired businesses).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 for the nine months ended September 30, 2013 amounted to $23.4 million and comprised mainly of expenditure on global infrastructure and information technology systems to support the Company’s growth. During the nine months ended September 30, 2013 the Company received a net $16.1 million from the sale of short-term investments.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during the nine months ended September 30, 2013 amounted to $19.3 million compared with net cash used by financing activities of $9.4 million for the nine months ended September 31, 2012. Net cash provided by financing activities during the nine months ended September 30, 2013 arose primarily from the $19.0 million received from the exercise of stock options. Net cash used by financing activities during the nine months ended September 30, 2012 arose primarily from payments amounting to $15.6 million to repurchase shares under the Company’s share repurchase plans. This was offset by $5.3 million received from the exercise of stock options.</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these cash flows, cash and cash equivalents increased by $42.4 million for the nine months ended September 30, 2013 compared to an increase of $0.1 million for the nine months ended September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80" w:type="dxa"/>
            <w:vAlign w:val="bottom"/>
            <w:tcBorders>
              <w:top w:val="single" w:sz="8" w:color="auto"/>
            </w:tcBorders>
          </w:tcPr>
          <w:p>
            <w:pPr>
              <w:spacing w:after="0"/>
              <w:rPr>
                <w:sz w:val="21"/>
                <w:szCs w:val="21"/>
                <w:color w:val="auto"/>
              </w:rPr>
            </w:pPr>
          </w:p>
        </w:tc>
        <w:tc>
          <w:tcPr>
            <w:tcW w:w="3880" w:type="dxa"/>
            <w:vAlign w:val="bottom"/>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Date: November 7, 2013</w:t>
            </w:r>
          </w:p>
        </w:tc>
        <w:tc>
          <w:tcPr>
            <w:tcW w:w="388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37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2019-12-06T19:52:26Z</dcterms:created>
  <dcterms:modified xsi:type="dcterms:W3CDTF">2019-12-06T19:52:26Z</dcterms:modified>
</cp:coreProperties>
</file>