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9"/>
        <w:spacing w:after="0"/>
        <w:rPr>
          <w:sz w:val="20"/>
          <w:szCs w:val="20"/>
          <w:color w:val="auto"/>
        </w:rPr>
      </w:pPr>
      <w:r>
        <w:rPr>
          <w:rFonts w:ascii="Arial" w:cs="Arial" w:eastAsia="Arial" w:hAnsi="Arial"/>
          <w:sz w:val="22"/>
          <w:szCs w:val="22"/>
          <w:b w:val="1"/>
          <w:bCs w:val="1"/>
          <w:color w:val="auto"/>
        </w:rPr>
        <w:t>FORM 6-K</w:t>
      </w:r>
    </w:p>
    <w:p>
      <w:pPr>
        <w:spacing w:after="0" w:line="233" w:lineRule="exact"/>
        <w:rPr>
          <w:sz w:val="24"/>
          <w:szCs w:val="24"/>
          <w:color w:val="auto"/>
        </w:rPr>
      </w:pPr>
    </w:p>
    <w:p>
      <w:pPr>
        <w:ind w:left="3380"/>
        <w:spacing w:after="0"/>
        <w:rPr>
          <w:sz w:val="20"/>
          <w:szCs w:val="20"/>
          <w:color w:val="auto"/>
        </w:rPr>
      </w:pPr>
      <w:r>
        <w:rPr>
          <w:rFonts w:ascii="Arial" w:cs="Arial" w:eastAsia="Arial" w:hAnsi="Arial"/>
          <w:sz w:val="22"/>
          <w:szCs w:val="22"/>
          <w:b w:val="1"/>
          <w:bCs w:val="1"/>
          <w:color w:val="auto"/>
        </w:rPr>
        <w:t>SECURITIES AND EXCHANGE COMMISSION</w:t>
      </w:r>
    </w:p>
    <w:p>
      <w:pPr>
        <w:spacing w:after="0" w:line="300"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Washington, D.C. 20549</w:t>
      </w:r>
    </w:p>
    <w:p>
      <w:pPr>
        <w:spacing w:after="0" w:line="302"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Pursuant to Rule 13a-16 under</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92"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For the month ended August, 2015</w:t>
      </w:r>
    </w:p>
    <w:p>
      <w:pPr>
        <w:spacing w:after="0" w:line="293"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ICON plc</w:t>
      </w:r>
    </w:p>
    <w:p>
      <w:pPr>
        <w:spacing w:after="0" w:line="19"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(Registrant's name)</w:t>
      </w:r>
    </w:p>
    <w:p>
      <w:pPr>
        <w:spacing w:after="0" w:line="290"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333-08704</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(Commission file number)</w:t>
      </w:r>
    </w:p>
    <w:p>
      <w:pPr>
        <w:spacing w:after="0" w:line="292"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(Address of principal executive offices)</w:t>
      </w:r>
    </w:p>
    <w:p>
      <w:pPr>
        <w:spacing w:after="0" w:line="292"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Brendan Brennan, CFO</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Brendan.Brennan@iconplc.com</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011-353-1-291-2000</w:t>
      </w:r>
    </w:p>
    <w:p>
      <w:pPr>
        <w:spacing w:after="0" w:line="9"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(Name, telephone number, email and/or facsimile number and address of Company contact person)</w:t>
      </w:r>
    </w:p>
    <w:p>
      <w:pPr>
        <w:spacing w:after="0" w:line="29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460"/>
        <w:spacing w:after="0"/>
        <w:tabs>
          <w:tab w:leader="none" w:pos="6960" w:val="left"/>
        </w:tabs>
        <w:rPr>
          <w:sz w:val="20"/>
          <w:szCs w:val="20"/>
          <w:color w:val="auto"/>
        </w:rPr>
      </w:pPr>
      <w:r>
        <w:rPr>
          <w:rFonts w:ascii="Arial" w:cs="Arial" w:eastAsia="Arial" w:hAnsi="Arial"/>
          <w:sz w:val="18"/>
          <w:szCs w:val="18"/>
          <w:color w:val="auto"/>
        </w:rPr>
        <w:t>Yes___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_</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460"/>
        <w:spacing w:after="0"/>
        <w:tabs>
          <w:tab w:leader="none" w:pos="696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460"/>
        <w:spacing w:after="0"/>
        <w:tabs>
          <w:tab w:leader="none" w:pos="696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460"/>
        <w:spacing w:after="0"/>
        <w:tabs>
          <w:tab w:leader="none" w:pos="696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461010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220" w:right="1039" w:bottom="1440" w:gutter="0" w:footer="0" w:header="0"/>
        </w:sectPr>
      </w:pPr>
    </w:p>
    <w:bookmarkStart w:id="1" w:name="page2"/>
    <w:bookmarkEnd w:id="1"/>
    <w:p>
      <w:pPr>
        <w:ind w:left="5100"/>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2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Unaudited Interim Financial Statements (IFRS Single Company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9"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440"/>
        <w:spacing w:after="0"/>
        <w:rPr>
          <w:sz w:val="20"/>
          <w:szCs w:val="20"/>
          <w:color w:val="auto"/>
        </w:rPr>
      </w:pPr>
      <w:r>
        <w:rPr>
          <w:rFonts w:ascii="Arial" w:cs="Arial" w:eastAsia="Arial" w:hAnsi="Arial"/>
          <w:sz w:val="18"/>
          <w:szCs w:val="18"/>
          <w:u w:val="single" w:color="auto"/>
          <w:color w:val="auto"/>
        </w:rPr>
        <w:t>/s/ Brendan Brennan</w:t>
      </w:r>
    </w:p>
    <w:p>
      <w:pPr>
        <w:spacing w:after="0" w:line="23" w:lineRule="exact"/>
        <w:rPr>
          <w:sz w:val="20"/>
          <w:szCs w:val="20"/>
          <w:color w:val="auto"/>
        </w:rPr>
      </w:pPr>
    </w:p>
    <w:p>
      <w:pPr>
        <w:ind w:left="7440" w:right="2160" w:hanging="7427"/>
        <w:spacing w:after="0" w:line="290" w:lineRule="auto"/>
        <w:tabs>
          <w:tab w:leader="none" w:pos="7420" w:val="left"/>
        </w:tabs>
        <w:rPr>
          <w:sz w:val="20"/>
          <w:szCs w:val="20"/>
          <w:color w:val="auto"/>
        </w:rPr>
      </w:pPr>
      <w:r>
        <w:rPr>
          <w:rFonts w:ascii="Arial" w:cs="Arial" w:eastAsia="Arial" w:hAnsi="Arial"/>
          <w:sz w:val="18"/>
          <w:szCs w:val="18"/>
          <w:color w:val="auto"/>
        </w:rPr>
        <w:t>Date: August 27, 2015</w:t>
      </w:r>
      <w:r>
        <w:rPr>
          <w:sz w:val="20"/>
          <w:szCs w:val="20"/>
          <w:color w:val="auto"/>
        </w:rPr>
        <w:tab/>
      </w:r>
      <w:r>
        <w:rPr>
          <w:rFonts w:ascii="Arial" w:cs="Arial" w:eastAsia="Arial" w:hAnsi="Arial"/>
          <w:sz w:val="17"/>
          <w:szCs w:val="17"/>
          <w:color w:val="auto"/>
        </w:rPr>
        <w:t>Brendan Brennan Chief Financial Officer</w:t>
      </w:r>
    </w:p>
    <w:p>
      <w:pPr>
        <w:sectPr>
          <w:pgSz w:w="11900" w:h="16838" w:orient="portrait"/>
          <w:cols w:equalWidth="0" w:num="1">
            <w:col w:w="11280"/>
          </w:cols>
          <w:pgMar w:left="240" w:top="513" w:right="37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ICON Plc</w:t>
      </w:r>
    </w:p>
    <w:p>
      <w:pPr>
        <w:spacing w:after="0" w:line="225"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Unaudited Interim Financial Statements</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For the Interim Period from 1 January 2015 to 31 July 2015</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240"/>
        <w:spacing w:after="0"/>
        <w:rPr>
          <w:sz w:val="20"/>
          <w:szCs w:val="20"/>
          <w:color w:val="auto"/>
        </w:rPr>
      </w:pPr>
      <w:r>
        <w:rPr>
          <w:rFonts w:ascii="Arial" w:cs="Arial" w:eastAsia="Arial" w:hAnsi="Arial"/>
          <w:sz w:val="18"/>
          <w:szCs w:val="18"/>
          <w:b w:val="1"/>
          <w:bCs w:val="1"/>
          <w:i w:val="1"/>
          <w:iCs w:val="1"/>
          <w:color w:val="auto"/>
        </w:rPr>
        <w:t>Registered number: 145835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3256280</wp:posOffset>
            </wp:positionV>
            <wp:extent cx="5068570" cy="995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68570" cy="995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720" w:right="659"/>
        <w:spacing w:after="0" w:line="297" w:lineRule="auto"/>
        <w:rPr>
          <w:sz w:val="20"/>
          <w:szCs w:val="20"/>
          <w:color w:val="auto"/>
        </w:rPr>
      </w:pPr>
      <w:r>
        <w:rPr>
          <w:rFonts w:ascii="Arial" w:cs="Arial" w:eastAsia="Arial" w:hAnsi="Arial"/>
          <w:sz w:val="16"/>
          <w:szCs w:val="16"/>
          <w:color w:val="auto"/>
        </w:rPr>
        <w:t>These unaudited interim financial statements have been prepared solely to present information about the Company on a stand-alone basis for filing with the Companies Registration Office. Separately prepared statutory annual financial statements for the year ended 31 December 2014 have been prepared in accordance with Company Law and were laid before the members at an Annual General Meeting on 24th July 2015 and will be filed with the Companies Registration Office together with its 2014 Annual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535940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 w:name="page5"/>
    <w:bookmarkEnd w:id="4"/>
    <w:p>
      <w:pPr>
        <w:spacing w:after="0"/>
        <w:rPr>
          <w:sz w:val="20"/>
          <w:szCs w:val="20"/>
          <w:color w:val="auto"/>
        </w:rPr>
      </w:pPr>
      <w:r>
        <w:rPr>
          <w:rFonts w:ascii="Arial" w:cs="Arial" w:eastAsia="Arial" w:hAnsi="Arial"/>
          <w:sz w:val="29"/>
          <w:szCs w:val="29"/>
          <w:color w:val="auto"/>
        </w:rPr>
        <w:t>ICON Plc</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Unaudited Interim financial statements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60" w:type="dxa"/>
            <w:vAlign w:val="bottom"/>
          </w:tcPr>
          <w:p>
            <w:pPr>
              <w:spacing w:after="0"/>
              <w:rPr>
                <w:sz w:val="20"/>
                <w:szCs w:val="20"/>
                <w:color w:val="auto"/>
              </w:rPr>
            </w:pPr>
            <w:r>
              <w:rPr>
                <w:rFonts w:ascii="Arial" w:cs="Arial" w:eastAsia="Arial" w:hAnsi="Arial"/>
                <w:sz w:val="18"/>
                <w:szCs w:val="18"/>
                <w:i w:val="1"/>
                <w:iCs w:val="1"/>
                <w:color w:val="auto"/>
              </w:rPr>
              <w:t>Contents</w:t>
            </w:r>
          </w:p>
        </w:tc>
        <w:tc>
          <w:tcPr>
            <w:tcW w:w="3960" w:type="dxa"/>
            <w:vAlign w:val="bottom"/>
          </w:tcPr>
          <w:p>
            <w:pPr>
              <w:jc w:val="right"/>
              <w:spacing w:after="0"/>
              <w:rPr>
                <w:sz w:val="20"/>
                <w:szCs w:val="20"/>
                <w:color w:val="auto"/>
              </w:rPr>
            </w:pPr>
            <w:r>
              <w:rPr>
                <w:rFonts w:ascii="Arial" w:cs="Arial" w:eastAsia="Arial" w:hAnsi="Arial"/>
                <w:sz w:val="18"/>
                <w:szCs w:val="18"/>
                <w:i w:val="1"/>
                <w:iCs w:val="1"/>
                <w:color w:val="auto"/>
              </w:rPr>
              <w:t>Page</w:t>
            </w:r>
          </w:p>
        </w:tc>
      </w:tr>
      <w:tr>
        <w:trPr>
          <w:trHeight w:val="432"/>
        </w:trPr>
        <w:tc>
          <w:tcPr>
            <w:tcW w:w="7460" w:type="dxa"/>
            <w:vAlign w:val="bottom"/>
          </w:tcPr>
          <w:p>
            <w:pPr>
              <w:spacing w:after="0"/>
              <w:rPr>
                <w:sz w:val="20"/>
                <w:szCs w:val="20"/>
                <w:color w:val="auto"/>
              </w:rPr>
            </w:pPr>
            <w:r>
              <w:rPr>
                <w:rFonts w:ascii="Arial" w:cs="Arial" w:eastAsia="Arial" w:hAnsi="Arial"/>
                <w:sz w:val="18"/>
                <w:szCs w:val="18"/>
                <w:color w:val="auto"/>
              </w:rPr>
              <w:t>Directors and other information</w:t>
            </w:r>
          </w:p>
        </w:tc>
        <w:tc>
          <w:tcPr>
            <w:tcW w:w="3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7460" w:type="dxa"/>
            <w:vAlign w:val="bottom"/>
          </w:tcPr>
          <w:p>
            <w:pPr>
              <w:spacing w:after="0"/>
              <w:rPr>
                <w:sz w:val="20"/>
                <w:szCs w:val="20"/>
                <w:color w:val="auto"/>
              </w:rPr>
            </w:pPr>
            <w:r>
              <w:rPr>
                <w:rFonts w:ascii="Arial" w:cs="Arial" w:eastAsia="Arial" w:hAnsi="Arial"/>
                <w:sz w:val="18"/>
                <w:szCs w:val="18"/>
                <w:color w:val="auto"/>
              </w:rPr>
              <w:t>Unaudited interim income statement</w:t>
            </w:r>
          </w:p>
        </w:tc>
        <w:tc>
          <w:tcPr>
            <w:tcW w:w="3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7460" w:type="dxa"/>
            <w:vAlign w:val="bottom"/>
          </w:tcPr>
          <w:p>
            <w:pPr>
              <w:spacing w:after="0"/>
              <w:rPr>
                <w:sz w:val="20"/>
                <w:szCs w:val="20"/>
                <w:color w:val="auto"/>
              </w:rPr>
            </w:pPr>
            <w:r>
              <w:rPr>
                <w:rFonts w:ascii="Arial" w:cs="Arial" w:eastAsia="Arial" w:hAnsi="Arial"/>
                <w:sz w:val="18"/>
                <w:szCs w:val="18"/>
                <w:color w:val="auto"/>
              </w:rPr>
              <w:t>Unaudited interim statement of comprehensive income</w:t>
            </w:r>
          </w:p>
        </w:tc>
        <w:tc>
          <w:tcPr>
            <w:tcW w:w="3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7460" w:type="dxa"/>
            <w:vAlign w:val="bottom"/>
          </w:tcPr>
          <w:p>
            <w:pPr>
              <w:spacing w:after="0"/>
              <w:rPr>
                <w:sz w:val="20"/>
                <w:szCs w:val="20"/>
                <w:color w:val="auto"/>
              </w:rPr>
            </w:pPr>
            <w:r>
              <w:rPr>
                <w:rFonts w:ascii="Arial" w:cs="Arial" w:eastAsia="Arial" w:hAnsi="Arial"/>
                <w:sz w:val="18"/>
                <w:szCs w:val="18"/>
                <w:color w:val="auto"/>
              </w:rPr>
              <w:t>Unaudited interim statement of financial position</w:t>
            </w:r>
          </w:p>
        </w:tc>
        <w:tc>
          <w:tcPr>
            <w:tcW w:w="3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7460" w:type="dxa"/>
            <w:vAlign w:val="bottom"/>
          </w:tcPr>
          <w:p>
            <w:pPr>
              <w:spacing w:after="0"/>
              <w:rPr>
                <w:sz w:val="20"/>
                <w:szCs w:val="20"/>
                <w:color w:val="auto"/>
              </w:rPr>
            </w:pPr>
            <w:r>
              <w:rPr>
                <w:rFonts w:ascii="Arial" w:cs="Arial" w:eastAsia="Arial" w:hAnsi="Arial"/>
                <w:sz w:val="18"/>
                <w:szCs w:val="18"/>
                <w:color w:val="auto"/>
              </w:rPr>
              <w:t>Unaudited interim statement of cash flows</w:t>
            </w:r>
          </w:p>
        </w:tc>
        <w:tc>
          <w:tcPr>
            <w:tcW w:w="3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7460" w:type="dxa"/>
            <w:vAlign w:val="bottom"/>
          </w:tcPr>
          <w:p>
            <w:pPr>
              <w:spacing w:after="0"/>
              <w:rPr>
                <w:sz w:val="20"/>
                <w:szCs w:val="20"/>
                <w:color w:val="auto"/>
              </w:rPr>
            </w:pPr>
            <w:r>
              <w:rPr>
                <w:rFonts w:ascii="Arial" w:cs="Arial" w:eastAsia="Arial" w:hAnsi="Arial"/>
                <w:sz w:val="18"/>
                <w:szCs w:val="18"/>
                <w:color w:val="auto"/>
              </w:rPr>
              <w:t>Unaudited interim statement of changes in equity</w:t>
            </w:r>
          </w:p>
        </w:tc>
        <w:tc>
          <w:tcPr>
            <w:tcW w:w="3960" w:type="dxa"/>
            <w:vAlign w:val="bottom"/>
          </w:tcPr>
          <w:p>
            <w:pPr>
              <w:jc w:val="right"/>
              <w:spacing w:after="0"/>
              <w:rPr>
                <w:sz w:val="20"/>
                <w:szCs w:val="20"/>
                <w:color w:val="auto"/>
              </w:rPr>
            </w:pPr>
            <w:r>
              <w:rPr>
                <w:rFonts w:ascii="Arial" w:cs="Arial" w:eastAsia="Arial" w:hAnsi="Arial"/>
                <w:sz w:val="18"/>
                <w:szCs w:val="18"/>
                <w:color w:val="auto"/>
              </w:rPr>
              <w:t>6 –7</w:t>
            </w:r>
          </w:p>
        </w:tc>
      </w:tr>
      <w:tr>
        <w:trPr>
          <w:trHeight w:val="432"/>
        </w:trPr>
        <w:tc>
          <w:tcPr>
            <w:tcW w:w="7460" w:type="dxa"/>
            <w:vAlign w:val="bottom"/>
          </w:tcPr>
          <w:p>
            <w:pPr>
              <w:spacing w:after="0"/>
              <w:rPr>
                <w:sz w:val="20"/>
                <w:szCs w:val="20"/>
                <w:color w:val="auto"/>
              </w:rPr>
            </w:pPr>
            <w:r>
              <w:rPr>
                <w:rFonts w:ascii="Arial" w:cs="Arial" w:eastAsia="Arial" w:hAnsi="Arial"/>
                <w:sz w:val="18"/>
                <w:szCs w:val="18"/>
                <w:color w:val="auto"/>
              </w:rPr>
              <w:t>Notes forming part of the interim financial statements</w:t>
            </w:r>
          </w:p>
        </w:tc>
        <w:tc>
          <w:tcPr>
            <w:tcW w:w="3960" w:type="dxa"/>
            <w:vAlign w:val="bottom"/>
          </w:tcPr>
          <w:p>
            <w:pPr>
              <w:jc w:val="right"/>
              <w:spacing w:after="0"/>
              <w:rPr>
                <w:sz w:val="20"/>
                <w:szCs w:val="20"/>
                <w:color w:val="auto"/>
              </w:rPr>
            </w:pPr>
            <w:r>
              <w:rPr>
                <w:rFonts w:ascii="Arial" w:cs="Arial" w:eastAsia="Arial" w:hAnsi="Arial"/>
                <w:sz w:val="18"/>
                <w:szCs w:val="18"/>
                <w:color w:val="auto"/>
              </w:rPr>
              <w:t>8 – 30</w:t>
            </w:r>
          </w:p>
        </w:tc>
      </w:tr>
      <w:tr>
        <w:trPr>
          <w:trHeight w:val="659"/>
        </w:trPr>
        <w:tc>
          <w:tcPr>
            <w:tcW w:w="7460" w:type="dxa"/>
            <w:vAlign w:val="bottom"/>
            <w:tcBorders>
              <w:bottom w:val="single" w:sz="8" w:color="808080"/>
            </w:tcBorders>
          </w:tcPr>
          <w:p>
            <w:pPr>
              <w:spacing w:after="0"/>
              <w:rPr>
                <w:sz w:val="24"/>
                <w:szCs w:val="24"/>
                <w:color w:val="auto"/>
              </w:rPr>
            </w:pPr>
          </w:p>
        </w:tc>
        <w:tc>
          <w:tcPr>
            <w:tcW w:w="39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5" w:name="page6"/>
    <w:bookmarkEnd w:id="5"/>
    <w:p>
      <w:pPr>
        <w:spacing w:after="0"/>
        <w:rPr>
          <w:sz w:val="20"/>
          <w:szCs w:val="20"/>
          <w:color w:val="auto"/>
        </w:rPr>
      </w:pPr>
      <w:r>
        <w:rPr>
          <w:rFonts w:ascii="Arial" w:cs="Arial" w:eastAsia="Arial" w:hAnsi="Arial"/>
          <w:sz w:val="29"/>
          <w:szCs w:val="29"/>
          <w:color w:val="auto"/>
        </w:rPr>
        <w:t>ICON Plc</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Directors and other information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80" w:type="dxa"/>
            <w:vAlign w:val="bottom"/>
          </w:tcPr>
          <w:p>
            <w:pPr>
              <w:spacing w:after="0"/>
              <w:rPr>
                <w:sz w:val="20"/>
                <w:szCs w:val="20"/>
                <w:color w:val="auto"/>
              </w:rPr>
            </w:pPr>
            <w:r>
              <w:rPr>
                <w:rFonts w:ascii="Arial" w:cs="Arial" w:eastAsia="Arial" w:hAnsi="Arial"/>
                <w:sz w:val="18"/>
                <w:szCs w:val="18"/>
                <w:b w:val="1"/>
                <w:bCs w:val="1"/>
                <w:color w:val="auto"/>
              </w:rPr>
              <w:t>Directors</w:t>
            </w:r>
          </w:p>
        </w:tc>
        <w:tc>
          <w:tcPr>
            <w:tcW w:w="7940" w:type="dxa"/>
            <w:vAlign w:val="bottom"/>
          </w:tcPr>
          <w:p>
            <w:pPr>
              <w:ind w:left="2240"/>
              <w:spacing w:after="0"/>
              <w:rPr>
                <w:sz w:val="20"/>
                <w:szCs w:val="20"/>
                <w:color w:val="auto"/>
              </w:rPr>
            </w:pPr>
            <w:r>
              <w:rPr>
                <w:rFonts w:ascii="Arial" w:cs="Arial" w:eastAsia="Arial" w:hAnsi="Arial"/>
                <w:sz w:val="18"/>
                <w:szCs w:val="18"/>
                <w:color w:val="auto"/>
              </w:rPr>
              <w:t>Thomas Lynch (British)</w:t>
            </w:r>
          </w:p>
        </w:tc>
      </w:tr>
      <w:tr>
        <w:trPr>
          <w:trHeight w:val="216"/>
        </w:trPr>
        <w:tc>
          <w:tcPr>
            <w:tcW w:w="3480" w:type="dxa"/>
            <w:vAlign w:val="bottom"/>
          </w:tcPr>
          <w:p>
            <w:pPr>
              <w:spacing w:after="0"/>
              <w:rPr>
                <w:sz w:val="18"/>
                <w:szCs w:val="18"/>
                <w:color w:val="auto"/>
              </w:rPr>
            </w:pPr>
          </w:p>
        </w:tc>
        <w:tc>
          <w:tcPr>
            <w:tcW w:w="7940" w:type="dxa"/>
            <w:vAlign w:val="bottom"/>
          </w:tcPr>
          <w:p>
            <w:pPr>
              <w:ind w:left="2240"/>
              <w:spacing w:after="0"/>
              <w:rPr>
                <w:sz w:val="20"/>
                <w:szCs w:val="20"/>
                <w:color w:val="auto"/>
              </w:rPr>
            </w:pPr>
            <w:r>
              <w:rPr>
                <w:rFonts w:ascii="Arial" w:cs="Arial" w:eastAsia="Arial" w:hAnsi="Arial"/>
                <w:sz w:val="18"/>
                <w:szCs w:val="18"/>
                <w:color w:val="auto"/>
              </w:rPr>
              <w:t>Ciaran Murray</w:t>
            </w:r>
          </w:p>
        </w:tc>
      </w:tr>
      <w:tr>
        <w:trPr>
          <w:trHeight w:val="216"/>
        </w:trPr>
        <w:tc>
          <w:tcPr>
            <w:tcW w:w="3480" w:type="dxa"/>
            <w:vAlign w:val="bottom"/>
          </w:tcPr>
          <w:p>
            <w:pPr>
              <w:spacing w:after="0"/>
              <w:rPr>
                <w:sz w:val="18"/>
                <w:szCs w:val="18"/>
                <w:color w:val="auto"/>
              </w:rPr>
            </w:pPr>
          </w:p>
        </w:tc>
        <w:tc>
          <w:tcPr>
            <w:tcW w:w="7940" w:type="dxa"/>
            <w:vAlign w:val="bottom"/>
          </w:tcPr>
          <w:p>
            <w:pPr>
              <w:ind w:left="2240"/>
              <w:spacing w:after="0"/>
              <w:rPr>
                <w:sz w:val="20"/>
                <w:szCs w:val="20"/>
                <w:color w:val="auto"/>
              </w:rPr>
            </w:pPr>
            <w:r>
              <w:rPr>
                <w:rFonts w:ascii="Arial" w:cs="Arial" w:eastAsia="Arial" w:hAnsi="Arial"/>
                <w:sz w:val="18"/>
                <w:szCs w:val="18"/>
                <w:color w:val="auto"/>
              </w:rPr>
              <w:t>Dr. John Climax</w:t>
            </w:r>
          </w:p>
        </w:tc>
      </w:tr>
      <w:tr>
        <w:trPr>
          <w:trHeight w:val="216"/>
        </w:trPr>
        <w:tc>
          <w:tcPr>
            <w:tcW w:w="3480" w:type="dxa"/>
            <w:vAlign w:val="bottom"/>
          </w:tcPr>
          <w:p>
            <w:pPr>
              <w:spacing w:after="0"/>
              <w:rPr>
                <w:sz w:val="18"/>
                <w:szCs w:val="18"/>
                <w:color w:val="auto"/>
              </w:rPr>
            </w:pPr>
          </w:p>
        </w:tc>
        <w:tc>
          <w:tcPr>
            <w:tcW w:w="7940" w:type="dxa"/>
            <w:vAlign w:val="bottom"/>
          </w:tcPr>
          <w:p>
            <w:pPr>
              <w:ind w:left="2240"/>
              <w:spacing w:after="0"/>
              <w:rPr>
                <w:sz w:val="20"/>
                <w:szCs w:val="20"/>
                <w:color w:val="auto"/>
              </w:rPr>
            </w:pPr>
            <w:r>
              <w:rPr>
                <w:rFonts w:ascii="Arial" w:cs="Arial" w:eastAsia="Arial" w:hAnsi="Arial"/>
                <w:sz w:val="18"/>
                <w:szCs w:val="18"/>
                <w:color w:val="auto"/>
              </w:rPr>
              <w:t>Dr. Ronan Lambe</w:t>
            </w:r>
          </w:p>
        </w:tc>
      </w:tr>
      <w:tr>
        <w:trPr>
          <w:trHeight w:val="216"/>
        </w:trPr>
        <w:tc>
          <w:tcPr>
            <w:tcW w:w="3480" w:type="dxa"/>
            <w:vAlign w:val="bottom"/>
          </w:tcPr>
          <w:p>
            <w:pPr>
              <w:spacing w:after="0"/>
              <w:rPr>
                <w:sz w:val="18"/>
                <w:szCs w:val="18"/>
                <w:color w:val="auto"/>
              </w:rPr>
            </w:pPr>
          </w:p>
        </w:tc>
        <w:tc>
          <w:tcPr>
            <w:tcW w:w="7940" w:type="dxa"/>
            <w:vAlign w:val="bottom"/>
          </w:tcPr>
          <w:p>
            <w:pPr>
              <w:ind w:left="2240"/>
              <w:spacing w:after="0"/>
              <w:rPr>
                <w:sz w:val="20"/>
                <w:szCs w:val="20"/>
                <w:color w:val="auto"/>
              </w:rPr>
            </w:pPr>
            <w:r>
              <w:rPr>
                <w:rFonts w:ascii="Arial" w:cs="Arial" w:eastAsia="Arial" w:hAnsi="Arial"/>
                <w:sz w:val="18"/>
                <w:szCs w:val="18"/>
                <w:color w:val="auto"/>
              </w:rPr>
              <w:t>Prof. Dermot Kelleher</w:t>
            </w:r>
          </w:p>
        </w:tc>
      </w:tr>
      <w:tr>
        <w:trPr>
          <w:trHeight w:val="216"/>
        </w:trPr>
        <w:tc>
          <w:tcPr>
            <w:tcW w:w="3480" w:type="dxa"/>
            <w:vAlign w:val="bottom"/>
          </w:tcPr>
          <w:p>
            <w:pPr>
              <w:spacing w:after="0"/>
              <w:rPr>
                <w:sz w:val="18"/>
                <w:szCs w:val="18"/>
                <w:color w:val="auto"/>
              </w:rPr>
            </w:pPr>
          </w:p>
        </w:tc>
        <w:tc>
          <w:tcPr>
            <w:tcW w:w="7940" w:type="dxa"/>
            <w:vAlign w:val="bottom"/>
          </w:tcPr>
          <w:p>
            <w:pPr>
              <w:ind w:left="2240"/>
              <w:spacing w:after="0"/>
              <w:rPr>
                <w:sz w:val="20"/>
                <w:szCs w:val="20"/>
                <w:color w:val="auto"/>
              </w:rPr>
            </w:pPr>
            <w:r>
              <w:rPr>
                <w:rFonts w:ascii="Arial" w:cs="Arial" w:eastAsia="Arial" w:hAnsi="Arial"/>
                <w:sz w:val="18"/>
                <w:szCs w:val="18"/>
                <w:color w:val="auto"/>
              </w:rPr>
              <w:t>Declan McKeon</w:t>
            </w:r>
          </w:p>
        </w:tc>
      </w:tr>
      <w:tr>
        <w:trPr>
          <w:trHeight w:val="216"/>
        </w:trPr>
        <w:tc>
          <w:tcPr>
            <w:tcW w:w="3480" w:type="dxa"/>
            <w:vAlign w:val="bottom"/>
          </w:tcPr>
          <w:p>
            <w:pPr>
              <w:spacing w:after="0"/>
              <w:rPr>
                <w:sz w:val="18"/>
                <w:szCs w:val="18"/>
                <w:color w:val="auto"/>
              </w:rPr>
            </w:pPr>
          </w:p>
        </w:tc>
        <w:tc>
          <w:tcPr>
            <w:tcW w:w="7940" w:type="dxa"/>
            <w:vAlign w:val="bottom"/>
          </w:tcPr>
          <w:p>
            <w:pPr>
              <w:ind w:left="2240"/>
              <w:spacing w:after="0"/>
              <w:rPr>
                <w:sz w:val="20"/>
                <w:szCs w:val="20"/>
                <w:color w:val="auto"/>
              </w:rPr>
            </w:pPr>
            <w:r>
              <w:rPr>
                <w:rFonts w:ascii="Arial" w:cs="Arial" w:eastAsia="Arial" w:hAnsi="Arial"/>
                <w:sz w:val="18"/>
                <w:szCs w:val="18"/>
                <w:color w:val="auto"/>
              </w:rPr>
              <w:t>Mary Pendergast (American)</w:t>
            </w:r>
          </w:p>
        </w:tc>
      </w:tr>
      <w:tr>
        <w:trPr>
          <w:trHeight w:val="216"/>
        </w:trPr>
        <w:tc>
          <w:tcPr>
            <w:tcW w:w="3480" w:type="dxa"/>
            <w:vAlign w:val="bottom"/>
          </w:tcPr>
          <w:p>
            <w:pPr>
              <w:spacing w:after="0"/>
              <w:rPr>
                <w:sz w:val="18"/>
                <w:szCs w:val="18"/>
                <w:color w:val="auto"/>
              </w:rPr>
            </w:pPr>
          </w:p>
        </w:tc>
        <w:tc>
          <w:tcPr>
            <w:tcW w:w="7940" w:type="dxa"/>
            <w:vAlign w:val="bottom"/>
          </w:tcPr>
          <w:p>
            <w:pPr>
              <w:ind w:left="2240"/>
              <w:spacing w:after="0"/>
              <w:rPr>
                <w:sz w:val="20"/>
                <w:szCs w:val="20"/>
                <w:color w:val="auto"/>
              </w:rPr>
            </w:pPr>
            <w:r>
              <w:rPr>
                <w:rFonts w:ascii="Arial" w:cs="Arial" w:eastAsia="Arial" w:hAnsi="Arial"/>
                <w:sz w:val="18"/>
                <w:szCs w:val="18"/>
                <w:color w:val="auto"/>
              </w:rPr>
              <w:t>Prof. William Hall</w:t>
            </w:r>
          </w:p>
        </w:tc>
      </w:tr>
      <w:tr>
        <w:trPr>
          <w:trHeight w:val="230"/>
        </w:trPr>
        <w:tc>
          <w:tcPr>
            <w:tcW w:w="3480" w:type="dxa"/>
            <w:vAlign w:val="bottom"/>
          </w:tcPr>
          <w:p>
            <w:pPr>
              <w:spacing w:after="0"/>
              <w:rPr>
                <w:sz w:val="20"/>
                <w:szCs w:val="20"/>
                <w:color w:val="auto"/>
              </w:rPr>
            </w:pPr>
          </w:p>
        </w:tc>
        <w:tc>
          <w:tcPr>
            <w:tcW w:w="7940" w:type="dxa"/>
            <w:vAlign w:val="bottom"/>
          </w:tcPr>
          <w:p>
            <w:pPr>
              <w:ind w:left="2240"/>
              <w:spacing w:after="0"/>
              <w:rPr>
                <w:sz w:val="20"/>
                <w:szCs w:val="20"/>
                <w:color w:val="auto"/>
              </w:rPr>
            </w:pPr>
            <w:r>
              <w:rPr>
                <w:rFonts w:ascii="Arial" w:cs="Arial" w:eastAsia="Arial" w:hAnsi="Arial"/>
                <w:sz w:val="18"/>
                <w:szCs w:val="18"/>
                <w:color w:val="auto"/>
              </w:rPr>
              <w:t>Dr. Hugh Brady</w:t>
            </w:r>
          </w:p>
        </w:tc>
      </w:tr>
      <w:tr>
        <w:trPr>
          <w:trHeight w:val="432"/>
        </w:trPr>
        <w:tc>
          <w:tcPr>
            <w:tcW w:w="3480" w:type="dxa"/>
            <w:vAlign w:val="bottom"/>
          </w:tcPr>
          <w:p>
            <w:pPr>
              <w:spacing w:after="0"/>
              <w:rPr>
                <w:sz w:val="20"/>
                <w:szCs w:val="20"/>
                <w:color w:val="auto"/>
              </w:rPr>
            </w:pPr>
            <w:r>
              <w:rPr>
                <w:rFonts w:ascii="Arial" w:cs="Arial" w:eastAsia="Arial" w:hAnsi="Arial"/>
                <w:sz w:val="18"/>
                <w:szCs w:val="18"/>
                <w:b w:val="1"/>
                <w:bCs w:val="1"/>
                <w:color w:val="auto"/>
              </w:rPr>
              <w:t>Secretary</w:t>
            </w:r>
          </w:p>
        </w:tc>
        <w:tc>
          <w:tcPr>
            <w:tcW w:w="7940" w:type="dxa"/>
            <w:vAlign w:val="bottom"/>
          </w:tcPr>
          <w:p>
            <w:pPr>
              <w:ind w:left="2240"/>
              <w:spacing w:after="0"/>
              <w:rPr>
                <w:sz w:val="20"/>
                <w:szCs w:val="20"/>
                <w:color w:val="auto"/>
              </w:rPr>
            </w:pPr>
            <w:r>
              <w:rPr>
                <w:rFonts w:ascii="Arial" w:cs="Arial" w:eastAsia="Arial" w:hAnsi="Arial"/>
                <w:sz w:val="18"/>
                <w:szCs w:val="18"/>
                <w:color w:val="auto"/>
              </w:rPr>
              <w:t>Diarmaid Cunningham</w:t>
            </w:r>
          </w:p>
        </w:tc>
      </w:tr>
      <w:tr>
        <w:trPr>
          <w:trHeight w:val="418"/>
        </w:trPr>
        <w:tc>
          <w:tcPr>
            <w:tcW w:w="3480" w:type="dxa"/>
            <w:vAlign w:val="bottom"/>
          </w:tcPr>
          <w:p>
            <w:pPr>
              <w:spacing w:after="0"/>
              <w:rPr>
                <w:sz w:val="20"/>
                <w:szCs w:val="20"/>
                <w:color w:val="auto"/>
              </w:rPr>
            </w:pPr>
            <w:r>
              <w:rPr>
                <w:rFonts w:ascii="Arial" w:cs="Arial" w:eastAsia="Arial" w:hAnsi="Arial"/>
                <w:sz w:val="18"/>
                <w:szCs w:val="18"/>
                <w:b w:val="1"/>
                <w:bCs w:val="1"/>
                <w:color w:val="auto"/>
              </w:rPr>
              <w:t>Registered office</w:t>
            </w:r>
          </w:p>
        </w:tc>
        <w:tc>
          <w:tcPr>
            <w:tcW w:w="7940" w:type="dxa"/>
            <w:vAlign w:val="bottom"/>
          </w:tcPr>
          <w:p>
            <w:pPr>
              <w:ind w:left="2240"/>
              <w:spacing w:after="0"/>
              <w:rPr>
                <w:sz w:val="20"/>
                <w:szCs w:val="20"/>
                <w:color w:val="auto"/>
              </w:rPr>
            </w:pPr>
            <w:r>
              <w:rPr>
                <w:rFonts w:ascii="Arial" w:cs="Arial" w:eastAsia="Arial" w:hAnsi="Arial"/>
                <w:sz w:val="18"/>
                <w:szCs w:val="18"/>
                <w:color w:val="auto"/>
              </w:rPr>
              <w:t>South County Business Park</w:t>
            </w:r>
          </w:p>
        </w:tc>
      </w:tr>
      <w:tr>
        <w:trPr>
          <w:trHeight w:val="216"/>
        </w:trPr>
        <w:tc>
          <w:tcPr>
            <w:tcW w:w="3480" w:type="dxa"/>
            <w:vAlign w:val="bottom"/>
          </w:tcPr>
          <w:p>
            <w:pPr>
              <w:spacing w:after="0"/>
              <w:rPr>
                <w:sz w:val="18"/>
                <w:szCs w:val="18"/>
                <w:color w:val="auto"/>
              </w:rPr>
            </w:pPr>
          </w:p>
        </w:tc>
        <w:tc>
          <w:tcPr>
            <w:tcW w:w="7940" w:type="dxa"/>
            <w:vAlign w:val="bottom"/>
          </w:tcPr>
          <w:p>
            <w:pPr>
              <w:ind w:left="2240"/>
              <w:spacing w:after="0"/>
              <w:rPr>
                <w:sz w:val="20"/>
                <w:szCs w:val="20"/>
                <w:color w:val="auto"/>
              </w:rPr>
            </w:pPr>
            <w:r>
              <w:rPr>
                <w:rFonts w:ascii="Arial" w:cs="Arial" w:eastAsia="Arial" w:hAnsi="Arial"/>
                <w:sz w:val="18"/>
                <w:szCs w:val="18"/>
                <w:color w:val="auto"/>
              </w:rPr>
              <w:t>Leopardstown</w:t>
            </w:r>
          </w:p>
        </w:tc>
      </w:tr>
      <w:tr>
        <w:trPr>
          <w:trHeight w:val="230"/>
        </w:trPr>
        <w:tc>
          <w:tcPr>
            <w:tcW w:w="3480" w:type="dxa"/>
            <w:vAlign w:val="bottom"/>
          </w:tcPr>
          <w:p>
            <w:pPr>
              <w:spacing w:after="0"/>
              <w:rPr>
                <w:sz w:val="20"/>
                <w:szCs w:val="20"/>
                <w:color w:val="auto"/>
              </w:rPr>
            </w:pPr>
          </w:p>
        </w:tc>
        <w:tc>
          <w:tcPr>
            <w:tcW w:w="7940" w:type="dxa"/>
            <w:vAlign w:val="bottom"/>
          </w:tcPr>
          <w:p>
            <w:pPr>
              <w:ind w:left="2240"/>
              <w:spacing w:after="0"/>
              <w:rPr>
                <w:sz w:val="20"/>
                <w:szCs w:val="20"/>
                <w:color w:val="auto"/>
              </w:rPr>
            </w:pPr>
            <w:r>
              <w:rPr>
                <w:rFonts w:ascii="Arial" w:cs="Arial" w:eastAsia="Arial" w:hAnsi="Arial"/>
                <w:sz w:val="18"/>
                <w:szCs w:val="18"/>
                <w:color w:val="auto"/>
              </w:rPr>
              <w:t>Dublin 18</w:t>
            </w:r>
          </w:p>
        </w:tc>
      </w:tr>
      <w:tr>
        <w:trPr>
          <w:trHeight w:val="418"/>
        </w:trPr>
        <w:tc>
          <w:tcPr>
            <w:tcW w:w="3480" w:type="dxa"/>
            <w:vAlign w:val="bottom"/>
          </w:tcPr>
          <w:p>
            <w:pPr>
              <w:spacing w:after="0"/>
              <w:rPr>
                <w:sz w:val="20"/>
                <w:szCs w:val="20"/>
                <w:color w:val="auto"/>
              </w:rPr>
            </w:pPr>
            <w:r>
              <w:rPr>
                <w:rFonts w:ascii="Arial" w:cs="Arial" w:eastAsia="Arial" w:hAnsi="Arial"/>
                <w:sz w:val="18"/>
                <w:szCs w:val="18"/>
                <w:b w:val="1"/>
                <w:bCs w:val="1"/>
                <w:color w:val="auto"/>
              </w:rPr>
              <w:t>Solicitors</w:t>
            </w:r>
          </w:p>
        </w:tc>
        <w:tc>
          <w:tcPr>
            <w:tcW w:w="7940" w:type="dxa"/>
            <w:vAlign w:val="bottom"/>
          </w:tcPr>
          <w:p>
            <w:pPr>
              <w:ind w:left="2240"/>
              <w:spacing w:after="0"/>
              <w:rPr>
                <w:sz w:val="20"/>
                <w:szCs w:val="20"/>
                <w:color w:val="auto"/>
              </w:rPr>
            </w:pPr>
            <w:r>
              <w:rPr>
                <w:rFonts w:ascii="Arial" w:cs="Arial" w:eastAsia="Arial" w:hAnsi="Arial"/>
                <w:sz w:val="18"/>
                <w:szCs w:val="18"/>
                <w:color w:val="auto"/>
              </w:rPr>
              <w:t>A &amp; L Goodbody</w:t>
            </w:r>
          </w:p>
        </w:tc>
      </w:tr>
      <w:tr>
        <w:trPr>
          <w:trHeight w:val="216"/>
        </w:trPr>
        <w:tc>
          <w:tcPr>
            <w:tcW w:w="3480" w:type="dxa"/>
            <w:vAlign w:val="bottom"/>
          </w:tcPr>
          <w:p>
            <w:pPr>
              <w:spacing w:after="0"/>
              <w:rPr>
                <w:sz w:val="18"/>
                <w:szCs w:val="18"/>
                <w:color w:val="auto"/>
              </w:rPr>
            </w:pPr>
          </w:p>
        </w:tc>
        <w:tc>
          <w:tcPr>
            <w:tcW w:w="7940" w:type="dxa"/>
            <w:vAlign w:val="bottom"/>
          </w:tcPr>
          <w:p>
            <w:pPr>
              <w:ind w:left="2240"/>
              <w:spacing w:after="0"/>
              <w:rPr>
                <w:sz w:val="20"/>
                <w:szCs w:val="20"/>
                <w:color w:val="auto"/>
              </w:rPr>
            </w:pPr>
            <w:r>
              <w:rPr>
                <w:rFonts w:ascii="Arial" w:cs="Arial" w:eastAsia="Arial" w:hAnsi="Arial"/>
                <w:sz w:val="18"/>
                <w:szCs w:val="18"/>
                <w:color w:val="auto"/>
              </w:rPr>
              <w:t>IFSC</w:t>
            </w:r>
          </w:p>
        </w:tc>
      </w:tr>
      <w:tr>
        <w:trPr>
          <w:trHeight w:val="216"/>
        </w:trPr>
        <w:tc>
          <w:tcPr>
            <w:tcW w:w="3480" w:type="dxa"/>
            <w:vAlign w:val="bottom"/>
          </w:tcPr>
          <w:p>
            <w:pPr>
              <w:spacing w:after="0"/>
              <w:rPr>
                <w:sz w:val="18"/>
                <w:szCs w:val="18"/>
                <w:color w:val="auto"/>
              </w:rPr>
            </w:pPr>
          </w:p>
        </w:tc>
        <w:tc>
          <w:tcPr>
            <w:tcW w:w="7940" w:type="dxa"/>
            <w:vAlign w:val="bottom"/>
          </w:tcPr>
          <w:p>
            <w:pPr>
              <w:ind w:left="2240"/>
              <w:spacing w:after="0"/>
              <w:rPr>
                <w:sz w:val="20"/>
                <w:szCs w:val="20"/>
                <w:color w:val="auto"/>
              </w:rPr>
            </w:pPr>
            <w:r>
              <w:rPr>
                <w:rFonts w:ascii="Arial" w:cs="Arial" w:eastAsia="Arial" w:hAnsi="Arial"/>
                <w:sz w:val="18"/>
                <w:szCs w:val="18"/>
                <w:color w:val="auto"/>
              </w:rPr>
              <w:t>25-28 North Wall Quay</w:t>
            </w:r>
          </w:p>
        </w:tc>
      </w:tr>
      <w:tr>
        <w:trPr>
          <w:trHeight w:val="230"/>
        </w:trPr>
        <w:tc>
          <w:tcPr>
            <w:tcW w:w="3480" w:type="dxa"/>
            <w:vAlign w:val="bottom"/>
          </w:tcPr>
          <w:p>
            <w:pPr>
              <w:spacing w:after="0"/>
              <w:rPr>
                <w:sz w:val="20"/>
                <w:szCs w:val="20"/>
                <w:color w:val="auto"/>
              </w:rPr>
            </w:pPr>
          </w:p>
        </w:tc>
        <w:tc>
          <w:tcPr>
            <w:tcW w:w="7940" w:type="dxa"/>
            <w:vAlign w:val="bottom"/>
          </w:tcPr>
          <w:p>
            <w:pPr>
              <w:ind w:left="2240"/>
              <w:spacing w:after="0"/>
              <w:rPr>
                <w:sz w:val="20"/>
                <w:szCs w:val="20"/>
                <w:color w:val="auto"/>
              </w:rPr>
            </w:pPr>
            <w:r>
              <w:rPr>
                <w:rFonts w:ascii="Arial" w:cs="Arial" w:eastAsia="Arial" w:hAnsi="Arial"/>
                <w:sz w:val="18"/>
                <w:szCs w:val="18"/>
                <w:color w:val="auto"/>
              </w:rPr>
              <w:t>Dublin 1</w:t>
            </w:r>
          </w:p>
        </w:tc>
      </w:tr>
      <w:tr>
        <w:trPr>
          <w:trHeight w:val="418"/>
        </w:trPr>
        <w:tc>
          <w:tcPr>
            <w:tcW w:w="3480" w:type="dxa"/>
            <w:vAlign w:val="bottom"/>
          </w:tcPr>
          <w:p>
            <w:pPr>
              <w:spacing w:after="0"/>
              <w:rPr>
                <w:sz w:val="24"/>
                <w:szCs w:val="24"/>
                <w:color w:val="auto"/>
              </w:rPr>
            </w:pPr>
          </w:p>
        </w:tc>
        <w:tc>
          <w:tcPr>
            <w:tcW w:w="7940" w:type="dxa"/>
            <w:vAlign w:val="bottom"/>
          </w:tcPr>
          <w:p>
            <w:pPr>
              <w:ind w:left="2240"/>
              <w:spacing w:after="0"/>
              <w:rPr>
                <w:sz w:val="20"/>
                <w:szCs w:val="20"/>
                <w:color w:val="auto"/>
              </w:rPr>
            </w:pPr>
            <w:r>
              <w:rPr>
                <w:rFonts w:ascii="Arial" w:cs="Arial" w:eastAsia="Arial" w:hAnsi="Arial"/>
                <w:sz w:val="18"/>
                <w:szCs w:val="18"/>
                <w:color w:val="auto"/>
              </w:rPr>
              <w:t>Cahill Gordon Reindel LLP</w:t>
            </w:r>
          </w:p>
        </w:tc>
      </w:tr>
      <w:tr>
        <w:trPr>
          <w:trHeight w:val="216"/>
        </w:trPr>
        <w:tc>
          <w:tcPr>
            <w:tcW w:w="3480" w:type="dxa"/>
            <w:vAlign w:val="bottom"/>
          </w:tcPr>
          <w:p>
            <w:pPr>
              <w:spacing w:after="0"/>
              <w:rPr>
                <w:sz w:val="18"/>
                <w:szCs w:val="18"/>
                <w:color w:val="auto"/>
              </w:rPr>
            </w:pPr>
          </w:p>
        </w:tc>
        <w:tc>
          <w:tcPr>
            <w:tcW w:w="7940" w:type="dxa"/>
            <w:vAlign w:val="bottom"/>
          </w:tcPr>
          <w:p>
            <w:pPr>
              <w:ind w:left="2240"/>
              <w:spacing w:after="0"/>
              <w:rPr>
                <w:sz w:val="20"/>
                <w:szCs w:val="20"/>
                <w:color w:val="auto"/>
              </w:rPr>
            </w:pPr>
            <w:r>
              <w:rPr>
                <w:rFonts w:ascii="Arial" w:cs="Arial" w:eastAsia="Arial" w:hAnsi="Arial"/>
                <w:sz w:val="18"/>
                <w:szCs w:val="18"/>
                <w:color w:val="auto"/>
              </w:rPr>
              <w:t>80 Pine Street</w:t>
            </w:r>
          </w:p>
        </w:tc>
      </w:tr>
      <w:tr>
        <w:trPr>
          <w:trHeight w:val="216"/>
        </w:trPr>
        <w:tc>
          <w:tcPr>
            <w:tcW w:w="3480" w:type="dxa"/>
            <w:vAlign w:val="bottom"/>
          </w:tcPr>
          <w:p>
            <w:pPr>
              <w:spacing w:after="0"/>
              <w:rPr>
                <w:sz w:val="18"/>
                <w:szCs w:val="18"/>
                <w:color w:val="auto"/>
              </w:rPr>
            </w:pPr>
          </w:p>
        </w:tc>
        <w:tc>
          <w:tcPr>
            <w:tcW w:w="7940" w:type="dxa"/>
            <w:vAlign w:val="bottom"/>
          </w:tcPr>
          <w:p>
            <w:pPr>
              <w:ind w:left="2240"/>
              <w:spacing w:after="0"/>
              <w:rPr>
                <w:sz w:val="20"/>
                <w:szCs w:val="20"/>
                <w:color w:val="auto"/>
              </w:rPr>
            </w:pPr>
            <w:r>
              <w:rPr>
                <w:rFonts w:ascii="Arial" w:cs="Arial" w:eastAsia="Arial" w:hAnsi="Arial"/>
                <w:sz w:val="18"/>
                <w:szCs w:val="18"/>
                <w:color w:val="auto"/>
              </w:rPr>
              <w:t>NY 10005</w:t>
            </w:r>
          </w:p>
        </w:tc>
      </w:tr>
      <w:tr>
        <w:trPr>
          <w:trHeight w:val="230"/>
        </w:trPr>
        <w:tc>
          <w:tcPr>
            <w:tcW w:w="3480" w:type="dxa"/>
            <w:vAlign w:val="bottom"/>
          </w:tcPr>
          <w:p>
            <w:pPr>
              <w:spacing w:after="0"/>
              <w:rPr>
                <w:sz w:val="20"/>
                <w:szCs w:val="20"/>
                <w:color w:val="auto"/>
              </w:rPr>
            </w:pPr>
          </w:p>
        </w:tc>
        <w:tc>
          <w:tcPr>
            <w:tcW w:w="7940" w:type="dxa"/>
            <w:vAlign w:val="bottom"/>
          </w:tcPr>
          <w:p>
            <w:pPr>
              <w:ind w:left="2240"/>
              <w:spacing w:after="0"/>
              <w:rPr>
                <w:sz w:val="20"/>
                <w:szCs w:val="20"/>
                <w:color w:val="auto"/>
              </w:rPr>
            </w:pPr>
            <w:r>
              <w:rPr>
                <w:rFonts w:ascii="Arial" w:cs="Arial" w:eastAsia="Arial" w:hAnsi="Arial"/>
                <w:sz w:val="18"/>
                <w:szCs w:val="18"/>
                <w:color w:val="auto"/>
              </w:rPr>
              <w:t>USA</w:t>
            </w:r>
          </w:p>
        </w:tc>
      </w:tr>
      <w:tr>
        <w:trPr>
          <w:trHeight w:val="418"/>
        </w:trPr>
        <w:tc>
          <w:tcPr>
            <w:tcW w:w="3480" w:type="dxa"/>
            <w:vAlign w:val="bottom"/>
          </w:tcPr>
          <w:p>
            <w:pPr>
              <w:spacing w:after="0"/>
              <w:rPr>
                <w:sz w:val="20"/>
                <w:szCs w:val="20"/>
                <w:color w:val="auto"/>
              </w:rPr>
            </w:pPr>
            <w:r>
              <w:rPr>
                <w:rFonts w:ascii="Arial" w:cs="Arial" w:eastAsia="Arial" w:hAnsi="Arial"/>
                <w:sz w:val="18"/>
                <w:szCs w:val="18"/>
                <w:b w:val="1"/>
                <w:bCs w:val="1"/>
                <w:color w:val="auto"/>
              </w:rPr>
              <w:t>Registrars</w:t>
            </w:r>
          </w:p>
        </w:tc>
        <w:tc>
          <w:tcPr>
            <w:tcW w:w="7940" w:type="dxa"/>
            <w:vAlign w:val="bottom"/>
          </w:tcPr>
          <w:p>
            <w:pPr>
              <w:ind w:left="2240"/>
              <w:spacing w:after="0"/>
              <w:rPr>
                <w:sz w:val="20"/>
                <w:szCs w:val="20"/>
                <w:color w:val="auto"/>
              </w:rPr>
            </w:pPr>
            <w:r>
              <w:rPr>
                <w:rFonts w:ascii="Arial" w:cs="Arial" w:eastAsia="Arial" w:hAnsi="Arial"/>
                <w:sz w:val="18"/>
                <w:szCs w:val="18"/>
                <w:color w:val="auto"/>
              </w:rPr>
              <w:t>Computershare Investor Services (Ireland) Limited</w:t>
            </w:r>
          </w:p>
        </w:tc>
      </w:tr>
      <w:tr>
        <w:trPr>
          <w:trHeight w:val="216"/>
        </w:trPr>
        <w:tc>
          <w:tcPr>
            <w:tcW w:w="3480" w:type="dxa"/>
            <w:vAlign w:val="bottom"/>
          </w:tcPr>
          <w:p>
            <w:pPr>
              <w:spacing w:after="0"/>
              <w:rPr>
                <w:sz w:val="18"/>
                <w:szCs w:val="18"/>
                <w:color w:val="auto"/>
              </w:rPr>
            </w:pPr>
          </w:p>
        </w:tc>
        <w:tc>
          <w:tcPr>
            <w:tcW w:w="7940" w:type="dxa"/>
            <w:vAlign w:val="bottom"/>
          </w:tcPr>
          <w:p>
            <w:pPr>
              <w:ind w:left="2240"/>
              <w:spacing w:after="0"/>
              <w:rPr>
                <w:sz w:val="20"/>
                <w:szCs w:val="20"/>
                <w:color w:val="auto"/>
              </w:rPr>
            </w:pPr>
            <w:r>
              <w:rPr>
                <w:rFonts w:ascii="Arial" w:cs="Arial" w:eastAsia="Arial" w:hAnsi="Arial"/>
                <w:sz w:val="18"/>
                <w:szCs w:val="18"/>
                <w:color w:val="auto"/>
              </w:rPr>
              <w:t>Herron House</w:t>
            </w:r>
          </w:p>
        </w:tc>
      </w:tr>
      <w:tr>
        <w:trPr>
          <w:trHeight w:val="216"/>
        </w:trPr>
        <w:tc>
          <w:tcPr>
            <w:tcW w:w="3480" w:type="dxa"/>
            <w:vAlign w:val="bottom"/>
          </w:tcPr>
          <w:p>
            <w:pPr>
              <w:spacing w:after="0"/>
              <w:rPr>
                <w:sz w:val="18"/>
                <w:szCs w:val="18"/>
                <w:color w:val="auto"/>
              </w:rPr>
            </w:pPr>
          </w:p>
        </w:tc>
        <w:tc>
          <w:tcPr>
            <w:tcW w:w="7940" w:type="dxa"/>
            <w:vAlign w:val="bottom"/>
          </w:tcPr>
          <w:p>
            <w:pPr>
              <w:ind w:left="2240"/>
              <w:spacing w:after="0"/>
              <w:rPr>
                <w:sz w:val="20"/>
                <w:szCs w:val="20"/>
                <w:color w:val="auto"/>
              </w:rPr>
            </w:pPr>
            <w:r>
              <w:rPr>
                <w:rFonts w:ascii="Arial" w:cs="Arial" w:eastAsia="Arial" w:hAnsi="Arial"/>
                <w:sz w:val="18"/>
                <w:szCs w:val="18"/>
                <w:color w:val="auto"/>
              </w:rPr>
              <w:t>Corrig Road</w:t>
            </w:r>
          </w:p>
        </w:tc>
      </w:tr>
      <w:tr>
        <w:trPr>
          <w:trHeight w:val="216"/>
        </w:trPr>
        <w:tc>
          <w:tcPr>
            <w:tcW w:w="3480" w:type="dxa"/>
            <w:vAlign w:val="bottom"/>
          </w:tcPr>
          <w:p>
            <w:pPr>
              <w:spacing w:after="0"/>
              <w:rPr>
                <w:sz w:val="18"/>
                <w:szCs w:val="18"/>
                <w:color w:val="auto"/>
              </w:rPr>
            </w:pPr>
          </w:p>
        </w:tc>
        <w:tc>
          <w:tcPr>
            <w:tcW w:w="7940" w:type="dxa"/>
            <w:vAlign w:val="bottom"/>
          </w:tcPr>
          <w:p>
            <w:pPr>
              <w:ind w:left="2240"/>
              <w:spacing w:after="0"/>
              <w:rPr>
                <w:sz w:val="20"/>
                <w:szCs w:val="20"/>
                <w:color w:val="auto"/>
              </w:rPr>
            </w:pPr>
            <w:r>
              <w:rPr>
                <w:rFonts w:ascii="Arial" w:cs="Arial" w:eastAsia="Arial" w:hAnsi="Arial"/>
                <w:sz w:val="18"/>
                <w:szCs w:val="18"/>
                <w:color w:val="auto"/>
              </w:rPr>
              <w:t>Sandyford Industrial Estate</w:t>
            </w:r>
          </w:p>
        </w:tc>
      </w:tr>
      <w:tr>
        <w:trPr>
          <w:trHeight w:val="230"/>
        </w:trPr>
        <w:tc>
          <w:tcPr>
            <w:tcW w:w="3480" w:type="dxa"/>
            <w:vAlign w:val="bottom"/>
          </w:tcPr>
          <w:p>
            <w:pPr>
              <w:spacing w:after="0"/>
              <w:rPr>
                <w:sz w:val="20"/>
                <w:szCs w:val="20"/>
                <w:color w:val="auto"/>
              </w:rPr>
            </w:pPr>
          </w:p>
        </w:tc>
        <w:tc>
          <w:tcPr>
            <w:tcW w:w="7940" w:type="dxa"/>
            <w:vAlign w:val="bottom"/>
          </w:tcPr>
          <w:p>
            <w:pPr>
              <w:ind w:left="2240"/>
              <w:spacing w:after="0"/>
              <w:rPr>
                <w:sz w:val="20"/>
                <w:szCs w:val="20"/>
                <w:color w:val="auto"/>
              </w:rPr>
            </w:pPr>
            <w:r>
              <w:rPr>
                <w:rFonts w:ascii="Arial" w:cs="Arial" w:eastAsia="Arial" w:hAnsi="Arial"/>
                <w:sz w:val="18"/>
                <w:szCs w:val="18"/>
                <w:color w:val="auto"/>
              </w:rPr>
              <w:t>Dublin 18</w:t>
            </w:r>
          </w:p>
        </w:tc>
      </w:tr>
      <w:tr>
        <w:trPr>
          <w:trHeight w:val="418"/>
        </w:trPr>
        <w:tc>
          <w:tcPr>
            <w:tcW w:w="3480" w:type="dxa"/>
            <w:vAlign w:val="bottom"/>
          </w:tcPr>
          <w:p>
            <w:pPr>
              <w:spacing w:after="0"/>
              <w:rPr>
                <w:sz w:val="20"/>
                <w:szCs w:val="20"/>
                <w:color w:val="auto"/>
              </w:rPr>
            </w:pPr>
            <w:r>
              <w:rPr>
                <w:rFonts w:ascii="Arial" w:cs="Arial" w:eastAsia="Arial" w:hAnsi="Arial"/>
                <w:sz w:val="18"/>
                <w:szCs w:val="18"/>
                <w:b w:val="1"/>
                <w:bCs w:val="1"/>
                <w:color w:val="auto"/>
              </w:rPr>
              <w:t>Bankers</w:t>
            </w:r>
          </w:p>
        </w:tc>
        <w:tc>
          <w:tcPr>
            <w:tcW w:w="7940" w:type="dxa"/>
            <w:vAlign w:val="bottom"/>
          </w:tcPr>
          <w:p>
            <w:pPr>
              <w:ind w:left="2240"/>
              <w:spacing w:after="0"/>
              <w:rPr>
                <w:sz w:val="20"/>
                <w:szCs w:val="20"/>
                <w:color w:val="auto"/>
              </w:rPr>
            </w:pPr>
            <w:r>
              <w:rPr>
                <w:rFonts w:ascii="Arial" w:cs="Arial" w:eastAsia="Arial" w:hAnsi="Arial"/>
                <w:sz w:val="18"/>
                <w:szCs w:val="18"/>
                <w:color w:val="auto"/>
              </w:rPr>
              <w:t>Citibank</w:t>
            </w:r>
          </w:p>
        </w:tc>
      </w:tr>
      <w:tr>
        <w:trPr>
          <w:trHeight w:val="216"/>
        </w:trPr>
        <w:tc>
          <w:tcPr>
            <w:tcW w:w="3480" w:type="dxa"/>
            <w:vAlign w:val="bottom"/>
          </w:tcPr>
          <w:p>
            <w:pPr>
              <w:spacing w:after="0"/>
              <w:rPr>
                <w:sz w:val="18"/>
                <w:szCs w:val="18"/>
                <w:color w:val="auto"/>
              </w:rPr>
            </w:pPr>
          </w:p>
        </w:tc>
        <w:tc>
          <w:tcPr>
            <w:tcW w:w="7940" w:type="dxa"/>
            <w:vAlign w:val="bottom"/>
          </w:tcPr>
          <w:p>
            <w:pPr>
              <w:ind w:left="2240"/>
              <w:spacing w:after="0"/>
              <w:rPr>
                <w:sz w:val="20"/>
                <w:szCs w:val="20"/>
                <w:color w:val="auto"/>
              </w:rPr>
            </w:pPr>
            <w:r>
              <w:rPr>
                <w:rFonts w:ascii="Arial" w:cs="Arial" w:eastAsia="Arial" w:hAnsi="Arial"/>
                <w:sz w:val="18"/>
                <w:szCs w:val="18"/>
                <w:color w:val="auto"/>
              </w:rPr>
              <w:t>Canada Square Canary Wharf</w:t>
            </w:r>
          </w:p>
        </w:tc>
      </w:tr>
      <w:tr>
        <w:trPr>
          <w:trHeight w:val="216"/>
        </w:trPr>
        <w:tc>
          <w:tcPr>
            <w:tcW w:w="3480" w:type="dxa"/>
            <w:vAlign w:val="bottom"/>
          </w:tcPr>
          <w:p>
            <w:pPr>
              <w:spacing w:after="0"/>
              <w:rPr>
                <w:sz w:val="18"/>
                <w:szCs w:val="18"/>
                <w:color w:val="auto"/>
              </w:rPr>
            </w:pPr>
          </w:p>
        </w:tc>
        <w:tc>
          <w:tcPr>
            <w:tcW w:w="7940" w:type="dxa"/>
            <w:vAlign w:val="bottom"/>
          </w:tcPr>
          <w:p>
            <w:pPr>
              <w:ind w:left="2240"/>
              <w:spacing w:after="0"/>
              <w:rPr>
                <w:sz w:val="20"/>
                <w:szCs w:val="20"/>
                <w:color w:val="auto"/>
              </w:rPr>
            </w:pPr>
            <w:r>
              <w:rPr>
                <w:rFonts w:ascii="Arial" w:cs="Arial" w:eastAsia="Arial" w:hAnsi="Arial"/>
                <w:sz w:val="18"/>
                <w:szCs w:val="18"/>
                <w:color w:val="auto"/>
              </w:rPr>
              <w:t>London E145LB</w:t>
            </w:r>
          </w:p>
        </w:tc>
      </w:tr>
      <w:tr>
        <w:trPr>
          <w:trHeight w:val="230"/>
        </w:trPr>
        <w:tc>
          <w:tcPr>
            <w:tcW w:w="3480" w:type="dxa"/>
            <w:vAlign w:val="bottom"/>
          </w:tcPr>
          <w:p>
            <w:pPr>
              <w:spacing w:after="0"/>
              <w:rPr>
                <w:sz w:val="20"/>
                <w:szCs w:val="20"/>
                <w:color w:val="auto"/>
              </w:rPr>
            </w:pPr>
          </w:p>
        </w:tc>
        <w:tc>
          <w:tcPr>
            <w:tcW w:w="7940" w:type="dxa"/>
            <w:vAlign w:val="bottom"/>
          </w:tcPr>
          <w:p>
            <w:pPr>
              <w:ind w:left="2240"/>
              <w:spacing w:after="0"/>
              <w:rPr>
                <w:sz w:val="20"/>
                <w:szCs w:val="20"/>
                <w:color w:val="auto"/>
              </w:rPr>
            </w:pPr>
            <w:r>
              <w:rPr>
                <w:rFonts w:ascii="Arial" w:cs="Arial" w:eastAsia="Arial" w:hAnsi="Arial"/>
                <w:sz w:val="18"/>
                <w:szCs w:val="18"/>
                <w:color w:val="auto"/>
              </w:rPr>
              <w:t>United Kingdom</w:t>
            </w:r>
          </w:p>
        </w:tc>
      </w:tr>
      <w:tr>
        <w:trPr>
          <w:trHeight w:val="824"/>
        </w:trPr>
        <w:tc>
          <w:tcPr>
            <w:tcW w:w="3480" w:type="dxa"/>
            <w:vAlign w:val="bottom"/>
          </w:tcPr>
          <w:p>
            <w:pPr>
              <w:spacing w:after="0"/>
              <w:rPr>
                <w:sz w:val="24"/>
                <w:szCs w:val="24"/>
                <w:color w:val="auto"/>
              </w:rPr>
            </w:pPr>
          </w:p>
        </w:tc>
        <w:tc>
          <w:tcPr>
            <w:tcW w:w="7940" w:type="dxa"/>
            <w:vAlign w:val="bottom"/>
          </w:tcPr>
          <w:p>
            <w:pPr>
              <w:ind w:left="2180"/>
              <w:spacing w:after="0"/>
              <w:rPr>
                <w:sz w:val="20"/>
                <w:szCs w:val="20"/>
                <w:color w:val="auto"/>
              </w:rPr>
            </w:pPr>
            <w:r>
              <w:rPr>
                <w:rFonts w:ascii="Arial" w:cs="Arial" w:eastAsia="Arial" w:hAnsi="Arial"/>
                <w:sz w:val="18"/>
                <w:szCs w:val="18"/>
                <w:color w:val="auto"/>
              </w:rPr>
              <w:t>1</w:t>
            </w:r>
          </w:p>
        </w:tc>
      </w:tr>
      <w:tr>
        <w:trPr>
          <w:trHeight w:val="118"/>
        </w:trPr>
        <w:tc>
          <w:tcPr>
            <w:tcW w:w="3480" w:type="dxa"/>
            <w:vAlign w:val="bottom"/>
            <w:tcBorders>
              <w:bottom w:val="single" w:sz="8" w:color="808080"/>
            </w:tcBorders>
          </w:tcPr>
          <w:p>
            <w:pPr>
              <w:spacing w:after="0"/>
              <w:rPr>
                <w:sz w:val="10"/>
                <w:szCs w:val="10"/>
                <w:color w:val="auto"/>
              </w:rPr>
            </w:pPr>
          </w:p>
        </w:tc>
        <w:tc>
          <w:tcPr>
            <w:tcW w:w="79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93" w:right="239" w:bottom="1440" w:gutter="0" w:footer="0" w:header="0"/>
        </w:sectPr>
      </w:pPr>
    </w:p>
    <w:bookmarkStart w:id="6" w:name="page7"/>
    <w:bookmarkEnd w:id="6"/>
    <w:p>
      <w:pPr>
        <w:spacing w:after="0"/>
        <w:rPr>
          <w:sz w:val="20"/>
          <w:szCs w:val="20"/>
          <w:color w:val="auto"/>
        </w:rPr>
      </w:pPr>
      <w:r>
        <w:rPr>
          <w:rFonts w:ascii="Arial" w:cs="Arial" w:eastAsia="Arial" w:hAnsi="Arial"/>
          <w:sz w:val="29"/>
          <w:szCs w:val="29"/>
          <w:color w:val="auto"/>
        </w:rPr>
        <w:t>ICON Plc</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Unaudited interim income statement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period ended 31 July 2015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3400" w:type="dxa"/>
            <w:vAlign w:val="bottom"/>
          </w:tcPr>
          <w:p>
            <w:pPr>
              <w:jc w:val="right"/>
              <w:ind w:right="370"/>
              <w:spacing w:after="0"/>
              <w:rPr>
                <w:sz w:val="20"/>
                <w:szCs w:val="20"/>
                <w:color w:val="auto"/>
              </w:rPr>
            </w:pPr>
            <w:r>
              <w:rPr>
                <w:rFonts w:ascii="Arial" w:cs="Arial" w:eastAsia="Arial" w:hAnsi="Arial"/>
                <w:sz w:val="18"/>
                <w:szCs w:val="18"/>
                <w:i w:val="1"/>
                <w:iCs w:val="1"/>
                <w:color w:val="auto"/>
              </w:rPr>
              <w:t>Note</w:t>
            </w:r>
          </w:p>
        </w:tc>
        <w:tc>
          <w:tcPr>
            <w:tcW w:w="2000" w:type="dxa"/>
            <w:vAlign w:val="bottom"/>
          </w:tcPr>
          <w:p>
            <w:pPr>
              <w:jc w:val="right"/>
              <w:ind w:right="410"/>
              <w:spacing w:after="0"/>
              <w:rPr>
                <w:sz w:val="20"/>
                <w:szCs w:val="20"/>
                <w:color w:val="auto"/>
              </w:rPr>
            </w:pPr>
            <w:r>
              <w:rPr>
                <w:rFonts w:ascii="Arial" w:cs="Arial" w:eastAsia="Arial" w:hAnsi="Arial"/>
                <w:sz w:val="18"/>
                <w:szCs w:val="18"/>
                <w:b w:val="1"/>
                <w:bCs w:val="1"/>
                <w:color w:val="auto"/>
              </w:rPr>
              <w:t>Period ended</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0" w:type="dxa"/>
            <w:vAlign w:val="bottom"/>
          </w:tcPr>
          <w:p>
            <w:pPr>
              <w:jc w:val="right"/>
              <w:ind w:right="410"/>
              <w:spacing w:after="0"/>
              <w:rPr>
                <w:sz w:val="20"/>
                <w:szCs w:val="20"/>
                <w:color w:val="auto"/>
              </w:rPr>
            </w:pPr>
            <w:r>
              <w:rPr>
                <w:rFonts w:ascii="Arial" w:cs="Arial" w:eastAsia="Arial" w:hAnsi="Arial"/>
                <w:sz w:val="18"/>
                <w:szCs w:val="18"/>
                <w:b w:val="1"/>
                <w:bCs w:val="1"/>
                <w:color w:val="auto"/>
              </w:rPr>
              <w:t>31 July</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0" w:type="dxa"/>
            <w:vAlign w:val="bottom"/>
          </w:tcPr>
          <w:p>
            <w:pPr>
              <w:jc w:val="right"/>
              <w:ind w:right="410"/>
              <w:spacing w:after="0"/>
              <w:rPr>
                <w:sz w:val="20"/>
                <w:szCs w:val="20"/>
                <w:color w:val="auto"/>
              </w:rPr>
            </w:pPr>
            <w:r>
              <w:rPr>
                <w:rFonts w:ascii="Arial" w:cs="Arial" w:eastAsia="Arial" w:hAnsi="Arial"/>
                <w:sz w:val="18"/>
                <w:szCs w:val="18"/>
                <w:b w:val="1"/>
                <w:bCs w:val="1"/>
                <w:color w:val="auto"/>
              </w:rPr>
              <w:t>Unaudited</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Audited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000" w:type="dxa"/>
            <w:vAlign w:val="bottom"/>
          </w:tcPr>
          <w:p>
            <w:pPr>
              <w:jc w:val="right"/>
              <w:ind w:right="410"/>
              <w:spacing w:after="0"/>
              <w:rPr>
                <w:sz w:val="20"/>
                <w:szCs w:val="20"/>
                <w:color w:val="auto"/>
              </w:rPr>
            </w:pPr>
            <w:r>
              <w:rPr>
                <w:rFonts w:ascii="Arial" w:cs="Arial" w:eastAsia="Arial" w:hAnsi="Arial"/>
                <w:sz w:val="18"/>
                <w:szCs w:val="18"/>
                <w:b w:val="1"/>
                <w:bCs w:val="1"/>
                <w:color w:val="auto"/>
              </w:rPr>
              <w:t>$’000</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Turnover – continuing operations</w:t>
            </w:r>
          </w:p>
        </w:tc>
        <w:tc>
          <w:tcPr>
            <w:tcW w:w="3400" w:type="dxa"/>
            <w:vAlign w:val="bottom"/>
            <w:shd w:val="clear" w:color="auto" w:fill="CCEEFF"/>
          </w:tcPr>
          <w:p>
            <w:pPr>
              <w:jc w:val="right"/>
              <w:ind w:right="370"/>
              <w:spacing w:after="0"/>
              <w:rPr>
                <w:sz w:val="20"/>
                <w:szCs w:val="20"/>
                <w:color w:val="auto"/>
              </w:rPr>
            </w:pPr>
            <w:r>
              <w:rPr>
                <w:rFonts w:ascii="Arial" w:cs="Arial" w:eastAsia="Arial" w:hAnsi="Arial"/>
                <w:sz w:val="18"/>
                <w:szCs w:val="18"/>
                <w:i w:val="1"/>
                <w:iCs w:val="1"/>
                <w:color w:val="auto"/>
              </w:rPr>
              <w:t>2</w:t>
            </w:r>
          </w:p>
        </w:tc>
        <w:tc>
          <w:tcPr>
            <w:tcW w:w="200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34,958</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74,409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3400" w:type="dxa"/>
            <w:vAlign w:val="bottom"/>
            <w:shd w:val="clear" w:color="auto" w:fill="CCEEFF"/>
          </w:tcPr>
          <w:p>
            <w:pPr>
              <w:jc w:val="right"/>
              <w:ind w:right="370"/>
              <w:spacing w:after="0"/>
              <w:rPr>
                <w:sz w:val="20"/>
                <w:szCs w:val="20"/>
                <w:color w:val="auto"/>
              </w:rPr>
            </w:pPr>
            <w:r>
              <w:rPr>
                <w:rFonts w:ascii="Arial" w:cs="Arial" w:eastAsia="Arial" w:hAnsi="Arial"/>
                <w:sz w:val="18"/>
                <w:szCs w:val="18"/>
                <w:i w:val="1"/>
                <w:iCs w:val="1"/>
                <w:color w:val="auto"/>
              </w:rPr>
              <w:t>3</w:t>
            </w:r>
          </w:p>
        </w:tc>
        <w:tc>
          <w:tcPr>
            <w:tcW w:w="200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(15,666)</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operating expenses, net</w:t>
            </w:r>
          </w:p>
        </w:tc>
        <w:tc>
          <w:tcPr>
            <w:tcW w:w="34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i w:val="1"/>
                <w:iCs w:val="1"/>
                <w:color w:val="auto"/>
              </w:rPr>
              <w:t>4</w:t>
            </w:r>
          </w:p>
        </w:tc>
        <w:tc>
          <w:tcPr>
            <w:tcW w:w="2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(22,543)</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Operating loss – continuing operations</w:t>
            </w:r>
          </w:p>
        </w:tc>
        <w:tc>
          <w:tcPr>
            <w:tcW w:w="3400" w:type="dxa"/>
            <w:vAlign w:val="bottom"/>
          </w:tcPr>
          <w:p>
            <w:pPr>
              <w:spacing w:after="0"/>
              <w:rPr>
                <w:sz w:val="18"/>
                <w:szCs w:val="18"/>
                <w:color w:val="auto"/>
              </w:rPr>
            </w:pPr>
          </w:p>
        </w:tc>
        <w:tc>
          <w:tcPr>
            <w:tcW w:w="2000" w:type="dxa"/>
            <w:vAlign w:val="bottom"/>
          </w:tcPr>
          <w:p>
            <w:pPr>
              <w:jc w:val="right"/>
              <w:ind w:right="350"/>
              <w:spacing w:after="0"/>
              <w:rPr>
                <w:sz w:val="20"/>
                <w:szCs w:val="20"/>
                <w:color w:val="auto"/>
              </w:rPr>
            </w:pPr>
            <w:r>
              <w:rPr>
                <w:rFonts w:ascii="Arial" w:cs="Arial" w:eastAsia="Arial" w:hAnsi="Arial"/>
                <w:sz w:val="18"/>
                <w:szCs w:val="18"/>
                <w:b w:val="1"/>
                <w:bCs w:val="1"/>
                <w:color w:val="auto"/>
              </w:rPr>
              <w:t>(3,251)</w:t>
            </w:r>
          </w:p>
        </w:tc>
        <w:tc>
          <w:tcPr>
            <w:tcW w:w="1520" w:type="dxa"/>
            <w:vAlign w:val="bottom"/>
          </w:tcPr>
          <w:p>
            <w:pPr>
              <w:jc w:val="right"/>
              <w:spacing w:after="0"/>
              <w:rPr>
                <w:sz w:val="20"/>
                <w:szCs w:val="20"/>
                <w:color w:val="auto"/>
              </w:rPr>
            </w:pPr>
            <w:r>
              <w:rPr>
                <w:rFonts w:ascii="Arial" w:cs="Arial" w:eastAsia="Arial" w:hAnsi="Arial"/>
                <w:sz w:val="18"/>
                <w:szCs w:val="18"/>
                <w:color w:val="auto"/>
              </w:rPr>
              <w:t>(4,717)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Profit on disposal of subsidiary undertaking</w:t>
            </w:r>
          </w:p>
        </w:tc>
        <w:tc>
          <w:tcPr>
            <w:tcW w:w="3400" w:type="dxa"/>
            <w:vAlign w:val="bottom"/>
          </w:tcPr>
          <w:p>
            <w:pPr>
              <w:jc w:val="right"/>
              <w:ind w:right="370"/>
              <w:spacing w:after="0"/>
              <w:rPr>
                <w:sz w:val="20"/>
                <w:szCs w:val="20"/>
                <w:color w:val="auto"/>
              </w:rPr>
            </w:pPr>
            <w:r>
              <w:rPr>
                <w:rFonts w:ascii="Arial" w:cs="Arial" w:eastAsia="Arial" w:hAnsi="Arial"/>
                <w:sz w:val="18"/>
                <w:szCs w:val="18"/>
                <w:i w:val="1"/>
                <w:iCs w:val="1"/>
                <w:color w:val="auto"/>
              </w:rPr>
              <w:t>5</w:t>
            </w:r>
          </w:p>
        </w:tc>
        <w:tc>
          <w:tcPr>
            <w:tcW w:w="2000" w:type="dxa"/>
            <w:vAlign w:val="bottom"/>
          </w:tcPr>
          <w:p>
            <w:pPr>
              <w:jc w:val="right"/>
              <w:ind w:right="410"/>
              <w:spacing w:after="0"/>
              <w:rPr>
                <w:sz w:val="20"/>
                <w:szCs w:val="20"/>
                <w:color w:val="auto"/>
              </w:rPr>
            </w:pPr>
            <w:r>
              <w:rPr>
                <w:rFonts w:ascii="Arial" w:cs="Arial" w:eastAsia="Arial" w:hAnsi="Arial"/>
                <w:sz w:val="18"/>
                <w:szCs w:val="18"/>
                <w:b w:val="1"/>
                <w:bCs w:val="1"/>
                <w:color w:val="auto"/>
              </w:rPr>
              <w:t>350,000</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Financing income</w:t>
            </w:r>
          </w:p>
        </w:tc>
        <w:tc>
          <w:tcPr>
            <w:tcW w:w="34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i w:val="1"/>
                <w:iCs w:val="1"/>
                <w:color w:val="auto"/>
              </w:rPr>
              <w:t>6</w:t>
            </w:r>
          </w:p>
        </w:tc>
        <w:tc>
          <w:tcPr>
            <w:tcW w:w="2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141,030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Profit on ordinary activities before taxation</w:t>
            </w:r>
          </w:p>
        </w:tc>
        <w:tc>
          <w:tcPr>
            <w:tcW w:w="3400" w:type="dxa"/>
            <w:vAlign w:val="bottom"/>
          </w:tcPr>
          <w:p>
            <w:pPr>
              <w:spacing w:after="0"/>
              <w:rPr>
                <w:sz w:val="18"/>
                <w:szCs w:val="18"/>
                <w:color w:val="auto"/>
              </w:rPr>
            </w:pPr>
          </w:p>
        </w:tc>
        <w:tc>
          <w:tcPr>
            <w:tcW w:w="2000" w:type="dxa"/>
            <w:vAlign w:val="bottom"/>
          </w:tcPr>
          <w:p>
            <w:pPr>
              <w:jc w:val="right"/>
              <w:ind w:right="410"/>
              <w:spacing w:after="0"/>
              <w:rPr>
                <w:sz w:val="20"/>
                <w:szCs w:val="20"/>
                <w:color w:val="auto"/>
              </w:rPr>
            </w:pPr>
            <w:r>
              <w:rPr>
                <w:rFonts w:ascii="Arial" w:cs="Arial" w:eastAsia="Arial" w:hAnsi="Arial"/>
                <w:sz w:val="18"/>
                <w:szCs w:val="18"/>
                <w:b w:val="1"/>
                <w:bCs w:val="1"/>
                <w:color w:val="auto"/>
              </w:rPr>
              <w:t>346,749</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136,313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Tax on profit on ordinary activities</w:t>
            </w:r>
          </w:p>
        </w:tc>
        <w:tc>
          <w:tcPr>
            <w:tcW w:w="34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i w:val="1"/>
                <w:iCs w:val="1"/>
                <w:color w:val="auto"/>
              </w:rPr>
              <w:t>7</w:t>
            </w:r>
          </w:p>
        </w:tc>
        <w:tc>
          <w:tcPr>
            <w:tcW w:w="2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(491)</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Profit for the interim period - equity</w:t>
            </w:r>
          </w:p>
        </w:tc>
        <w:tc>
          <w:tcPr>
            <w:tcW w:w="34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346,258</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135,437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8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6"/>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On behalf of the Board</w:t>
            </w:r>
          </w:p>
        </w:tc>
        <w:tc>
          <w:tcPr>
            <w:tcW w:w="34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0"/>
        </w:trPr>
        <w:tc>
          <w:tcPr>
            <w:tcW w:w="4500" w:type="dxa"/>
            <w:vAlign w:val="bottom"/>
            <w:gridSpan w:val="2"/>
          </w:tcPr>
          <w:p>
            <w:pPr>
              <w:spacing w:after="0"/>
              <w:rPr>
                <w:sz w:val="20"/>
                <w:szCs w:val="20"/>
                <w:color w:val="auto"/>
              </w:rPr>
            </w:pPr>
            <w:r>
              <w:rPr>
                <w:rFonts w:ascii="Arial" w:cs="Arial" w:eastAsia="Arial" w:hAnsi="Arial"/>
                <w:sz w:val="18"/>
                <w:szCs w:val="18"/>
                <w:color w:val="auto"/>
              </w:rPr>
              <w:t>Declan McKeon</w:t>
            </w:r>
          </w:p>
        </w:tc>
        <w:tc>
          <w:tcPr>
            <w:tcW w:w="3400" w:type="dxa"/>
            <w:vAlign w:val="bottom"/>
          </w:tcPr>
          <w:p>
            <w:pPr>
              <w:ind w:left="1220"/>
              <w:spacing w:after="0"/>
              <w:rPr>
                <w:sz w:val="20"/>
                <w:szCs w:val="20"/>
                <w:color w:val="auto"/>
              </w:rPr>
            </w:pPr>
            <w:r>
              <w:rPr>
                <w:rFonts w:ascii="Arial" w:cs="Arial" w:eastAsia="Arial" w:hAnsi="Arial"/>
                <w:sz w:val="18"/>
                <w:szCs w:val="18"/>
                <w:color w:val="auto"/>
              </w:rPr>
              <w:t>Ciaran Murray</w:t>
            </w:r>
          </w:p>
        </w:tc>
        <w:tc>
          <w:tcPr>
            <w:tcW w:w="20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3400" w:type="dxa"/>
            <w:vAlign w:val="bottom"/>
          </w:tcPr>
          <w:p>
            <w:pPr>
              <w:ind w:left="1220"/>
              <w:spacing w:after="0"/>
              <w:rPr>
                <w:sz w:val="20"/>
                <w:szCs w:val="20"/>
                <w:color w:val="auto"/>
              </w:rPr>
            </w:pPr>
            <w:r>
              <w:rPr>
                <w:rFonts w:ascii="Arial" w:cs="Arial" w:eastAsia="Arial" w:hAnsi="Arial"/>
                <w:sz w:val="18"/>
                <w:szCs w:val="18"/>
                <w:i w:val="1"/>
                <w:iCs w:val="1"/>
                <w:color w:val="auto"/>
              </w:rPr>
              <w:t>Director</w:t>
            </w:r>
          </w:p>
        </w:tc>
        <w:tc>
          <w:tcPr>
            <w:tcW w:w="20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1"/>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400" w:type="dxa"/>
            <w:vAlign w:val="bottom"/>
          </w:tcPr>
          <w:p>
            <w:pPr>
              <w:jc w:val="right"/>
              <w:ind w:right="2050"/>
              <w:spacing w:after="0"/>
              <w:rPr>
                <w:sz w:val="20"/>
                <w:szCs w:val="20"/>
                <w:color w:val="auto"/>
              </w:rPr>
            </w:pPr>
            <w:r>
              <w:rPr>
                <w:rFonts w:ascii="Arial" w:cs="Arial" w:eastAsia="Arial" w:hAnsi="Arial"/>
                <w:sz w:val="18"/>
                <w:szCs w:val="18"/>
                <w:color w:val="auto"/>
              </w:rPr>
              <w:t>2</w:t>
            </w:r>
          </w:p>
        </w:tc>
        <w:tc>
          <w:tcPr>
            <w:tcW w:w="20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80" w:type="dxa"/>
            <w:vAlign w:val="bottom"/>
            <w:tcBorders>
              <w:bottom w:val="single" w:sz="8" w:color="808080"/>
            </w:tcBorders>
          </w:tcPr>
          <w:p>
            <w:pPr>
              <w:spacing w:after="0"/>
              <w:rPr>
                <w:sz w:val="10"/>
                <w:szCs w:val="10"/>
                <w:color w:val="auto"/>
              </w:rPr>
            </w:pPr>
          </w:p>
        </w:tc>
        <w:tc>
          <w:tcPr>
            <w:tcW w:w="3400" w:type="dxa"/>
            <w:vAlign w:val="bottom"/>
            <w:tcBorders>
              <w:bottom w:val="single" w:sz="8" w:color="808080"/>
            </w:tcBorders>
          </w:tcPr>
          <w:p>
            <w:pPr>
              <w:spacing w:after="0"/>
              <w:rPr>
                <w:sz w:val="10"/>
                <w:szCs w:val="10"/>
                <w:color w:val="auto"/>
              </w:rPr>
            </w:pPr>
          </w:p>
        </w:tc>
        <w:tc>
          <w:tcPr>
            <w:tcW w:w="200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7" w:name="page8"/>
    <w:bookmarkEnd w:id="7"/>
    <w:p>
      <w:pPr>
        <w:spacing w:after="0"/>
        <w:rPr>
          <w:sz w:val="20"/>
          <w:szCs w:val="20"/>
          <w:color w:val="auto"/>
        </w:rPr>
      </w:pPr>
      <w:r>
        <w:rPr>
          <w:rFonts w:ascii="Arial" w:cs="Arial" w:eastAsia="Arial" w:hAnsi="Arial"/>
          <w:sz w:val="29"/>
          <w:szCs w:val="29"/>
          <w:color w:val="auto"/>
        </w:rPr>
        <w:t>ICON Plc</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Unaudited interim statement of comprehensive income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period ended 31 July 2015</w:t>
      </w:r>
    </w:p>
    <w:p>
      <w:pPr>
        <w:spacing w:after="0" w:line="232" w:lineRule="exact"/>
        <w:rPr>
          <w:sz w:val="20"/>
          <w:szCs w:val="20"/>
          <w:color w:val="auto"/>
        </w:rPr>
      </w:pPr>
    </w:p>
    <w:tbl>
      <w:tblPr>
        <w:tblLayout w:type="fixed"/>
        <w:tblInd w:w="8940" w:type="dxa"/>
        <w:tblCellMar>
          <w:top w:w="0" w:type="dxa"/>
          <w:left w:w="0" w:type="dxa"/>
          <w:bottom w:w="0" w:type="dxa"/>
          <w:right w:w="0" w:type="dxa"/>
        </w:tblCellMar>
      </w:tblPr>
      <w:tr>
        <w:trPr>
          <w:trHeight w:val="216"/>
        </w:trPr>
        <w:tc>
          <w:tcPr>
            <w:tcW w:w="1220" w:type="dxa"/>
            <w:vAlign w:val="bottom"/>
          </w:tcPr>
          <w:p>
            <w:pPr>
              <w:jc w:val="right"/>
              <w:ind w:right="110"/>
              <w:spacing w:after="0"/>
              <w:rPr>
                <w:sz w:val="20"/>
                <w:szCs w:val="20"/>
                <w:color w:val="auto"/>
              </w:rPr>
            </w:pPr>
            <w:r>
              <w:rPr>
                <w:rFonts w:ascii="Arial" w:cs="Arial" w:eastAsia="Arial" w:hAnsi="Arial"/>
                <w:sz w:val="18"/>
                <w:szCs w:val="18"/>
                <w:b w:val="1"/>
                <w:bCs w:val="1"/>
                <w:color w:val="auto"/>
                <w:w w:val="87"/>
              </w:rPr>
              <w:t>Period ended</w:t>
            </w:r>
          </w:p>
        </w:tc>
        <w:tc>
          <w:tcPr>
            <w:tcW w:w="1160" w:type="dxa"/>
            <w:vAlign w:val="bottom"/>
          </w:tcPr>
          <w:p>
            <w:pPr>
              <w:jc w:val="right"/>
              <w:spacing w:after="0"/>
              <w:rPr>
                <w:sz w:val="20"/>
                <w:szCs w:val="20"/>
                <w:color w:val="auto"/>
              </w:rPr>
            </w:pPr>
            <w:r>
              <w:rPr>
                <w:rFonts w:ascii="Arial" w:cs="Arial" w:eastAsia="Arial" w:hAnsi="Arial"/>
                <w:sz w:val="18"/>
                <w:szCs w:val="18"/>
                <w:color w:val="auto"/>
              </w:rPr>
              <w:t>Year ended</w:t>
            </w:r>
          </w:p>
        </w:tc>
      </w:tr>
      <w:tr>
        <w:trPr>
          <w:trHeight w:val="216"/>
        </w:trPr>
        <w:tc>
          <w:tcPr>
            <w:tcW w:w="1220" w:type="dxa"/>
            <w:vAlign w:val="bottom"/>
          </w:tcPr>
          <w:p>
            <w:pPr>
              <w:jc w:val="right"/>
              <w:ind w:right="110"/>
              <w:spacing w:after="0"/>
              <w:rPr>
                <w:sz w:val="20"/>
                <w:szCs w:val="20"/>
                <w:color w:val="auto"/>
              </w:rPr>
            </w:pPr>
            <w:r>
              <w:rPr>
                <w:rFonts w:ascii="Arial" w:cs="Arial" w:eastAsia="Arial" w:hAnsi="Arial"/>
                <w:sz w:val="18"/>
                <w:szCs w:val="18"/>
                <w:b w:val="1"/>
                <w:bCs w:val="1"/>
                <w:color w:val="auto"/>
              </w:rPr>
              <w:t>31 July</w:t>
            </w:r>
          </w:p>
        </w:tc>
        <w:tc>
          <w:tcPr>
            <w:tcW w:w="1160" w:type="dxa"/>
            <w:vAlign w:val="bottom"/>
          </w:tcPr>
          <w:p>
            <w:pPr>
              <w:jc w:val="right"/>
              <w:spacing w:after="0"/>
              <w:rPr>
                <w:sz w:val="20"/>
                <w:szCs w:val="20"/>
                <w:color w:val="auto"/>
              </w:rPr>
            </w:pPr>
            <w:r>
              <w:rPr>
                <w:rFonts w:ascii="Arial" w:cs="Arial" w:eastAsia="Arial" w:hAnsi="Arial"/>
                <w:sz w:val="18"/>
                <w:szCs w:val="18"/>
                <w:color w:val="auto"/>
              </w:rPr>
              <w:t>31 December</w:t>
            </w:r>
          </w:p>
        </w:tc>
      </w:tr>
      <w:tr>
        <w:trPr>
          <w:trHeight w:val="216"/>
        </w:trPr>
        <w:tc>
          <w:tcPr>
            <w:tcW w:w="1220" w:type="dxa"/>
            <w:vAlign w:val="bottom"/>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1160" w:type="dxa"/>
            <w:vAlign w:val="bottom"/>
          </w:tcPr>
          <w:p>
            <w:pPr>
              <w:jc w:val="right"/>
              <w:spacing w:after="0"/>
              <w:rPr>
                <w:sz w:val="20"/>
                <w:szCs w:val="20"/>
                <w:color w:val="auto"/>
              </w:rPr>
            </w:pPr>
            <w:r>
              <w:rPr>
                <w:rFonts w:ascii="Arial" w:cs="Arial" w:eastAsia="Arial" w:hAnsi="Arial"/>
                <w:sz w:val="18"/>
                <w:szCs w:val="18"/>
                <w:color w:val="auto"/>
              </w:rPr>
              <w:t>2014</w:t>
            </w:r>
          </w:p>
        </w:tc>
      </w:tr>
      <w:tr>
        <w:trPr>
          <w:trHeight w:val="216"/>
        </w:trPr>
        <w:tc>
          <w:tcPr>
            <w:tcW w:w="1220" w:type="dxa"/>
            <w:vAlign w:val="bottom"/>
          </w:tcPr>
          <w:p>
            <w:pPr>
              <w:jc w:val="right"/>
              <w:ind w:right="110"/>
              <w:spacing w:after="0"/>
              <w:rPr>
                <w:sz w:val="20"/>
                <w:szCs w:val="20"/>
                <w:color w:val="auto"/>
              </w:rPr>
            </w:pPr>
            <w:r>
              <w:rPr>
                <w:rFonts w:ascii="Arial" w:cs="Arial" w:eastAsia="Arial" w:hAnsi="Arial"/>
                <w:sz w:val="18"/>
                <w:szCs w:val="18"/>
                <w:b w:val="1"/>
                <w:bCs w:val="1"/>
                <w:color w:val="auto"/>
              </w:rPr>
              <w:t>Unaudited</w:t>
            </w:r>
          </w:p>
        </w:tc>
        <w:tc>
          <w:tcPr>
            <w:tcW w:w="1160" w:type="dxa"/>
            <w:vAlign w:val="bottom"/>
          </w:tcPr>
          <w:p>
            <w:pPr>
              <w:jc w:val="right"/>
              <w:spacing w:after="0"/>
              <w:rPr>
                <w:sz w:val="20"/>
                <w:szCs w:val="20"/>
                <w:color w:val="auto"/>
              </w:rPr>
            </w:pPr>
            <w:r>
              <w:rPr>
                <w:rFonts w:ascii="Arial" w:cs="Arial" w:eastAsia="Arial" w:hAnsi="Arial"/>
                <w:sz w:val="18"/>
                <w:szCs w:val="18"/>
                <w:color w:val="auto"/>
              </w:rPr>
              <w:t>Audited</w:t>
            </w:r>
          </w:p>
        </w:tc>
      </w:tr>
      <w:tr>
        <w:trPr>
          <w:trHeight w:val="234"/>
        </w:trPr>
        <w:tc>
          <w:tcPr>
            <w:tcW w:w="1220" w:type="dxa"/>
            <w:vAlign w:val="bottom"/>
          </w:tcPr>
          <w:p>
            <w:pPr>
              <w:jc w:val="right"/>
              <w:ind w:right="110"/>
              <w:spacing w:after="0"/>
              <w:rPr>
                <w:sz w:val="20"/>
                <w:szCs w:val="20"/>
                <w:color w:val="auto"/>
              </w:rPr>
            </w:pPr>
            <w:r>
              <w:rPr>
                <w:rFonts w:ascii="Arial" w:cs="Arial" w:eastAsia="Arial" w:hAnsi="Arial"/>
                <w:sz w:val="18"/>
                <w:szCs w:val="18"/>
                <w:b w:val="1"/>
                <w:bCs w:val="1"/>
                <w:color w:val="auto"/>
              </w:rPr>
              <w:t>$’000</w:t>
            </w:r>
          </w:p>
        </w:tc>
        <w:tc>
          <w:tcPr>
            <w:tcW w:w="1160" w:type="dxa"/>
            <w:vAlign w:val="bottom"/>
          </w:tcPr>
          <w:p>
            <w:pPr>
              <w:jc w:val="right"/>
              <w:spacing w:after="0"/>
              <w:rPr>
                <w:sz w:val="20"/>
                <w:szCs w:val="20"/>
                <w:color w:val="auto"/>
              </w:rPr>
            </w:pPr>
            <w:r>
              <w:rPr>
                <w:rFonts w:ascii="Arial" w:cs="Arial" w:eastAsia="Arial" w:hAnsi="Arial"/>
                <w:sz w:val="18"/>
                <w:szCs w:val="18"/>
                <w:color w:val="auto"/>
              </w:rPr>
              <w:t>$’000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that are or may be subsequently reclassified to the income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6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Currency translation differences</w:t>
            </w:r>
          </w:p>
        </w:tc>
        <w:tc>
          <w:tcPr>
            <w:tcW w:w="36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(54,538)</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for the interim period net of tax</w:t>
            </w:r>
          </w:p>
        </w:tc>
        <w:tc>
          <w:tcPr>
            <w:tcW w:w="360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(54,538)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Profit for the interim period</w:t>
            </w:r>
          </w:p>
        </w:tc>
        <w:tc>
          <w:tcPr>
            <w:tcW w:w="36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346,258</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135,437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comprehensive income for the interim period</w:t>
            </w:r>
          </w:p>
        </w:tc>
        <w:tc>
          <w:tcPr>
            <w:tcW w:w="36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291,720</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50,514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Attributable to:</w:t>
            </w:r>
          </w:p>
        </w:tc>
        <w:tc>
          <w:tcPr>
            <w:tcW w:w="3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Equity holders of the Company</w:t>
            </w:r>
          </w:p>
        </w:tc>
        <w:tc>
          <w:tcPr>
            <w:tcW w:w="36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291,720</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50,514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6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comprehensive income for the interim period</w:t>
            </w:r>
          </w:p>
        </w:tc>
        <w:tc>
          <w:tcPr>
            <w:tcW w:w="36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291,720</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50,514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76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Arial" w:cs="Arial" w:eastAsia="Arial" w:hAnsi="Arial"/>
                <w:sz w:val="18"/>
                <w:szCs w:val="18"/>
                <w:b w:val="1"/>
                <w:bCs w:val="1"/>
                <w:color w:val="auto"/>
              </w:rPr>
              <w:t>On behalf of the Board</w:t>
            </w:r>
          </w:p>
        </w:tc>
        <w:tc>
          <w:tcPr>
            <w:tcW w:w="7700" w:type="dxa"/>
            <w:vAlign w:val="bottom"/>
          </w:tcPr>
          <w:p>
            <w:pPr>
              <w:spacing w:after="0"/>
              <w:rPr>
                <w:sz w:val="20"/>
                <w:szCs w:val="20"/>
                <w:color w:val="auto"/>
              </w:rPr>
            </w:pPr>
          </w:p>
        </w:tc>
      </w:tr>
      <w:tr>
        <w:trPr>
          <w:trHeight w:val="850"/>
        </w:trPr>
        <w:tc>
          <w:tcPr>
            <w:tcW w:w="3720" w:type="dxa"/>
            <w:vAlign w:val="bottom"/>
          </w:tcPr>
          <w:p>
            <w:pPr>
              <w:spacing w:after="0"/>
              <w:rPr>
                <w:sz w:val="20"/>
                <w:szCs w:val="20"/>
                <w:color w:val="auto"/>
              </w:rPr>
            </w:pPr>
            <w:r>
              <w:rPr>
                <w:rFonts w:ascii="Arial" w:cs="Arial" w:eastAsia="Arial" w:hAnsi="Arial"/>
                <w:sz w:val="18"/>
                <w:szCs w:val="18"/>
                <w:color w:val="auto"/>
              </w:rPr>
              <w:t>Declan McKeon</w:t>
            </w:r>
          </w:p>
        </w:tc>
        <w:tc>
          <w:tcPr>
            <w:tcW w:w="7700" w:type="dxa"/>
            <w:vAlign w:val="bottom"/>
          </w:tcPr>
          <w:p>
            <w:pPr>
              <w:ind w:left="2000"/>
              <w:spacing w:after="0"/>
              <w:rPr>
                <w:sz w:val="20"/>
                <w:szCs w:val="20"/>
                <w:color w:val="auto"/>
              </w:rPr>
            </w:pPr>
            <w:r>
              <w:rPr>
                <w:rFonts w:ascii="Arial" w:cs="Arial" w:eastAsia="Arial" w:hAnsi="Arial"/>
                <w:sz w:val="18"/>
                <w:szCs w:val="18"/>
                <w:color w:val="auto"/>
              </w:rPr>
              <w:t>Ciaran Murray</w:t>
            </w:r>
          </w:p>
        </w:tc>
      </w:tr>
      <w:tr>
        <w:trPr>
          <w:trHeight w:val="230"/>
        </w:trPr>
        <w:tc>
          <w:tcPr>
            <w:tcW w:w="372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7700" w:type="dxa"/>
            <w:vAlign w:val="bottom"/>
          </w:tcPr>
          <w:p>
            <w:pPr>
              <w:ind w:left="2000"/>
              <w:spacing w:after="0"/>
              <w:rPr>
                <w:sz w:val="20"/>
                <w:szCs w:val="20"/>
                <w:color w:val="auto"/>
              </w:rPr>
            </w:pPr>
            <w:r>
              <w:rPr>
                <w:rFonts w:ascii="Arial" w:cs="Arial" w:eastAsia="Arial" w:hAnsi="Arial"/>
                <w:sz w:val="18"/>
                <w:szCs w:val="18"/>
                <w:i w:val="1"/>
                <w:iCs w:val="1"/>
                <w:color w:val="auto"/>
              </w:rPr>
              <w:t>Director</w:t>
            </w:r>
          </w:p>
        </w:tc>
      </w:tr>
      <w:tr>
        <w:trPr>
          <w:trHeight w:val="608"/>
        </w:trPr>
        <w:tc>
          <w:tcPr>
            <w:tcW w:w="3720" w:type="dxa"/>
            <w:vAlign w:val="bottom"/>
          </w:tcPr>
          <w:p>
            <w:pPr>
              <w:spacing w:after="0"/>
              <w:rPr>
                <w:sz w:val="24"/>
                <w:szCs w:val="24"/>
                <w:color w:val="auto"/>
              </w:rPr>
            </w:pPr>
          </w:p>
        </w:tc>
        <w:tc>
          <w:tcPr>
            <w:tcW w:w="7700" w:type="dxa"/>
            <w:vAlign w:val="bottom"/>
          </w:tcPr>
          <w:p>
            <w:pPr>
              <w:jc w:val="right"/>
              <w:ind w:right="5570"/>
              <w:spacing w:after="0"/>
              <w:rPr>
                <w:sz w:val="20"/>
                <w:szCs w:val="20"/>
                <w:color w:val="auto"/>
              </w:rPr>
            </w:pPr>
            <w:r>
              <w:rPr>
                <w:rFonts w:ascii="Arial" w:cs="Arial" w:eastAsia="Arial" w:hAnsi="Arial"/>
                <w:sz w:val="18"/>
                <w:szCs w:val="18"/>
                <w:color w:val="auto"/>
              </w:rPr>
              <w:t>3</w:t>
            </w:r>
          </w:p>
        </w:tc>
      </w:tr>
      <w:tr>
        <w:trPr>
          <w:trHeight w:val="118"/>
        </w:trPr>
        <w:tc>
          <w:tcPr>
            <w:tcW w:w="3720" w:type="dxa"/>
            <w:vAlign w:val="bottom"/>
            <w:tcBorders>
              <w:bottom w:val="single" w:sz="8" w:color="808080"/>
            </w:tcBorders>
          </w:tcPr>
          <w:p>
            <w:pPr>
              <w:spacing w:after="0"/>
              <w:rPr>
                <w:sz w:val="10"/>
                <w:szCs w:val="10"/>
                <w:color w:val="auto"/>
              </w:rPr>
            </w:pPr>
          </w:p>
        </w:tc>
        <w:tc>
          <w:tcPr>
            <w:tcW w:w="77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0" w:right="239" w:bottom="1440" w:gutter="0" w:footer="0" w:header="0"/>
        </w:sectPr>
      </w:pPr>
    </w:p>
    <w:bookmarkStart w:id="8" w:name="page9"/>
    <w:bookmarkEnd w:id="8"/>
    <w:p>
      <w:pPr>
        <w:spacing w:after="0"/>
        <w:rPr>
          <w:sz w:val="20"/>
          <w:szCs w:val="20"/>
          <w:color w:val="auto"/>
        </w:rPr>
      </w:pPr>
      <w:r>
        <w:rPr>
          <w:rFonts w:ascii="Arial" w:cs="Arial" w:eastAsia="Arial" w:hAnsi="Arial"/>
          <w:sz w:val="32"/>
          <w:szCs w:val="32"/>
          <w:color w:val="auto"/>
        </w:rPr>
        <w:t>ICON Plc</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Unaudited interim statement of financial position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period ended 31 July 2015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540" w:type="dxa"/>
            <w:vAlign w:val="bottom"/>
          </w:tcPr>
          <w:p>
            <w:pPr>
              <w:jc w:val="right"/>
              <w:ind w:right="190"/>
              <w:spacing w:after="0"/>
              <w:rPr>
                <w:sz w:val="20"/>
                <w:szCs w:val="20"/>
                <w:color w:val="auto"/>
              </w:rPr>
            </w:pPr>
            <w:r>
              <w:rPr>
                <w:rFonts w:ascii="Arial" w:cs="Arial" w:eastAsia="Arial" w:hAnsi="Arial"/>
                <w:sz w:val="18"/>
                <w:szCs w:val="18"/>
                <w:b w:val="1"/>
                <w:bCs w:val="1"/>
                <w:color w:val="auto"/>
              </w:rPr>
              <w:t>Period ended</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3040" w:type="dxa"/>
            <w:vAlign w:val="bottom"/>
          </w:tcPr>
          <w:p>
            <w:pPr>
              <w:jc w:val="right"/>
              <w:ind w:right="150"/>
              <w:spacing w:after="0"/>
              <w:rPr>
                <w:sz w:val="20"/>
                <w:szCs w:val="20"/>
                <w:color w:val="auto"/>
              </w:rPr>
            </w:pPr>
            <w:r>
              <w:rPr>
                <w:rFonts w:ascii="Arial" w:cs="Arial" w:eastAsia="Arial" w:hAnsi="Arial"/>
                <w:sz w:val="18"/>
                <w:szCs w:val="18"/>
                <w:b w:val="1"/>
                <w:bCs w:val="1"/>
                <w:i w:val="1"/>
                <w:iCs w:val="1"/>
                <w:color w:val="auto"/>
              </w:rPr>
              <w:t>Note</w:t>
            </w:r>
          </w:p>
        </w:tc>
        <w:tc>
          <w:tcPr>
            <w:tcW w:w="1540" w:type="dxa"/>
            <w:vAlign w:val="bottom"/>
          </w:tcPr>
          <w:p>
            <w:pPr>
              <w:jc w:val="right"/>
              <w:ind w:right="190"/>
              <w:spacing w:after="0"/>
              <w:rPr>
                <w:sz w:val="20"/>
                <w:szCs w:val="20"/>
                <w:color w:val="auto"/>
              </w:rPr>
            </w:pPr>
            <w:r>
              <w:rPr>
                <w:rFonts w:ascii="Arial" w:cs="Arial" w:eastAsia="Arial" w:hAnsi="Arial"/>
                <w:sz w:val="18"/>
                <w:szCs w:val="18"/>
                <w:b w:val="1"/>
                <w:bCs w:val="1"/>
                <w:color w:val="auto"/>
              </w:rPr>
              <w:t>31 July</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5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540" w:type="dxa"/>
            <w:vAlign w:val="bottom"/>
          </w:tcPr>
          <w:p>
            <w:pPr>
              <w:jc w:val="right"/>
              <w:ind w:right="190"/>
              <w:spacing w:after="0"/>
              <w:rPr>
                <w:sz w:val="20"/>
                <w:szCs w:val="20"/>
                <w:color w:val="auto"/>
              </w:rPr>
            </w:pPr>
            <w:r>
              <w:rPr>
                <w:rFonts w:ascii="Arial" w:cs="Arial" w:eastAsia="Arial" w:hAnsi="Arial"/>
                <w:sz w:val="18"/>
                <w:szCs w:val="18"/>
                <w:b w:val="1"/>
                <w:bCs w:val="1"/>
                <w:color w:val="auto"/>
              </w:rPr>
              <w:t>Unaudited</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$’000</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30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040" w:type="dxa"/>
            <w:vAlign w:val="bottom"/>
            <w:shd w:val="clear" w:color="auto" w:fill="CCEEFF"/>
          </w:tcPr>
          <w:p>
            <w:pPr>
              <w:jc w:val="right"/>
              <w:ind w:right="150"/>
              <w:spacing w:after="0"/>
              <w:rPr>
                <w:sz w:val="20"/>
                <w:szCs w:val="20"/>
                <w:color w:val="auto"/>
              </w:rPr>
            </w:pPr>
            <w:r>
              <w:rPr>
                <w:rFonts w:ascii="Arial" w:cs="Arial" w:eastAsia="Arial" w:hAnsi="Arial"/>
                <w:sz w:val="18"/>
                <w:szCs w:val="18"/>
                <w:i w:val="1"/>
                <w:iCs w:val="1"/>
                <w:color w:val="auto"/>
              </w:rPr>
              <w:t>9</w:t>
            </w:r>
          </w:p>
        </w:tc>
        <w:tc>
          <w:tcPr>
            <w:tcW w:w="15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404</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Intangible assets</w:t>
            </w:r>
          </w:p>
        </w:tc>
        <w:tc>
          <w:tcPr>
            <w:tcW w:w="3040" w:type="dxa"/>
            <w:vAlign w:val="bottom"/>
          </w:tcPr>
          <w:p>
            <w:pPr>
              <w:jc w:val="right"/>
              <w:ind w:right="150"/>
              <w:spacing w:after="0"/>
              <w:rPr>
                <w:sz w:val="20"/>
                <w:szCs w:val="20"/>
                <w:color w:val="auto"/>
              </w:rPr>
            </w:pPr>
            <w:r>
              <w:rPr>
                <w:rFonts w:ascii="Arial" w:cs="Arial" w:eastAsia="Arial" w:hAnsi="Arial"/>
                <w:sz w:val="18"/>
                <w:szCs w:val="18"/>
                <w:i w:val="1"/>
                <w:iCs w:val="1"/>
                <w:color w:val="auto"/>
              </w:rPr>
              <w:t>10</w:t>
            </w:r>
          </w:p>
        </w:tc>
        <w:tc>
          <w:tcPr>
            <w:tcW w:w="1540" w:type="dxa"/>
            <w:vAlign w:val="bottom"/>
          </w:tcPr>
          <w:p>
            <w:pPr>
              <w:jc w:val="right"/>
              <w:ind w:right="190"/>
              <w:spacing w:after="0"/>
              <w:rPr>
                <w:sz w:val="20"/>
                <w:szCs w:val="20"/>
                <w:color w:val="auto"/>
              </w:rPr>
            </w:pPr>
            <w:r>
              <w:rPr>
                <w:rFonts w:ascii="Arial" w:cs="Arial" w:eastAsia="Arial" w:hAnsi="Arial"/>
                <w:sz w:val="18"/>
                <w:szCs w:val="18"/>
                <w:b w:val="1"/>
                <w:bCs w:val="1"/>
                <w:color w:val="auto"/>
              </w:rPr>
              <w:t>152</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3040" w:type="dxa"/>
            <w:vAlign w:val="bottom"/>
            <w:shd w:val="clear" w:color="auto" w:fill="CCEEFF"/>
          </w:tcPr>
          <w:p>
            <w:pPr>
              <w:jc w:val="right"/>
              <w:ind w:right="150"/>
              <w:spacing w:after="0"/>
              <w:rPr>
                <w:sz w:val="20"/>
                <w:szCs w:val="20"/>
                <w:color w:val="auto"/>
              </w:rPr>
            </w:pPr>
            <w:r>
              <w:rPr>
                <w:rFonts w:ascii="Arial" w:cs="Arial" w:eastAsia="Arial" w:hAnsi="Arial"/>
                <w:sz w:val="18"/>
                <w:szCs w:val="18"/>
                <w:i w:val="1"/>
                <w:iCs w:val="1"/>
                <w:color w:val="auto"/>
              </w:rPr>
              <w:t>11</w:t>
            </w:r>
          </w:p>
        </w:tc>
        <w:tc>
          <w:tcPr>
            <w:tcW w:w="15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400,737</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468,124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 asset, net</w:t>
            </w:r>
          </w:p>
        </w:tc>
        <w:tc>
          <w:tcPr>
            <w:tcW w:w="3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i w:val="1"/>
                <w:iCs w:val="1"/>
                <w:color w:val="auto"/>
              </w:rPr>
              <w:t>7</w:t>
            </w:r>
          </w:p>
        </w:tc>
        <w:tc>
          <w:tcPr>
            <w:tcW w:w="1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531</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non-current assets</w:t>
            </w:r>
          </w:p>
        </w:tc>
        <w:tc>
          <w:tcPr>
            <w:tcW w:w="30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401,824</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469,345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0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040" w:type="dxa"/>
            <w:vAlign w:val="bottom"/>
            <w:shd w:val="clear" w:color="auto" w:fill="CCEEFF"/>
          </w:tcPr>
          <w:p>
            <w:pPr>
              <w:jc w:val="right"/>
              <w:ind w:right="150"/>
              <w:spacing w:after="0"/>
              <w:rPr>
                <w:sz w:val="20"/>
                <w:szCs w:val="20"/>
                <w:color w:val="auto"/>
              </w:rPr>
            </w:pPr>
            <w:r>
              <w:rPr>
                <w:rFonts w:ascii="Arial" w:cs="Arial" w:eastAsia="Arial" w:hAnsi="Arial"/>
                <w:sz w:val="18"/>
                <w:szCs w:val="18"/>
                <w:i w:val="1"/>
                <w:iCs w:val="1"/>
                <w:color w:val="auto"/>
              </w:rPr>
              <w:t>12</w:t>
            </w:r>
          </w:p>
        </w:tc>
        <w:tc>
          <w:tcPr>
            <w:tcW w:w="15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3,678</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Amounts due from subsidiary undertakings</w:t>
            </w:r>
          </w:p>
        </w:tc>
        <w:tc>
          <w:tcPr>
            <w:tcW w:w="3040" w:type="dxa"/>
            <w:vAlign w:val="bottom"/>
          </w:tcPr>
          <w:p>
            <w:pPr>
              <w:spacing w:after="0"/>
              <w:rPr>
                <w:sz w:val="18"/>
                <w:szCs w:val="18"/>
                <w:color w:val="auto"/>
              </w:rPr>
            </w:pPr>
          </w:p>
        </w:tc>
        <w:tc>
          <w:tcPr>
            <w:tcW w:w="1540" w:type="dxa"/>
            <w:vAlign w:val="bottom"/>
          </w:tcPr>
          <w:p>
            <w:pPr>
              <w:jc w:val="right"/>
              <w:ind w:right="190"/>
              <w:spacing w:after="0"/>
              <w:rPr>
                <w:sz w:val="20"/>
                <w:szCs w:val="20"/>
                <w:color w:val="auto"/>
              </w:rPr>
            </w:pPr>
            <w:r>
              <w:rPr>
                <w:rFonts w:ascii="Arial" w:cs="Arial" w:eastAsia="Arial" w:hAnsi="Arial"/>
                <w:sz w:val="18"/>
                <w:szCs w:val="18"/>
                <w:b w:val="1"/>
                <w:bCs w:val="1"/>
                <w:color w:val="auto"/>
              </w:rPr>
              <w:t>395,048</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148,272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Current taxes receivable</w:t>
            </w:r>
          </w:p>
        </w:tc>
        <w:tc>
          <w:tcPr>
            <w:tcW w:w="30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w:t>
            </w:r>
          </w:p>
        </w:tc>
        <w:tc>
          <w:tcPr>
            <w:tcW w:w="30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81,951</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current assets</w:t>
            </w:r>
          </w:p>
        </w:tc>
        <w:tc>
          <w:tcPr>
            <w:tcW w:w="30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480,677</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155,890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30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882,501</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625,235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4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30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Share capital</w:t>
            </w:r>
          </w:p>
        </w:tc>
        <w:tc>
          <w:tcPr>
            <w:tcW w:w="3040" w:type="dxa"/>
            <w:vAlign w:val="bottom"/>
          </w:tcPr>
          <w:p>
            <w:pPr>
              <w:jc w:val="right"/>
              <w:ind w:right="150"/>
              <w:spacing w:after="0"/>
              <w:rPr>
                <w:sz w:val="20"/>
                <w:szCs w:val="20"/>
                <w:color w:val="auto"/>
              </w:rPr>
            </w:pPr>
            <w:r>
              <w:rPr>
                <w:rFonts w:ascii="Arial" w:cs="Arial" w:eastAsia="Arial" w:hAnsi="Arial"/>
                <w:sz w:val="18"/>
                <w:szCs w:val="18"/>
                <w:i w:val="1"/>
                <w:iCs w:val="1"/>
                <w:color w:val="auto"/>
              </w:rPr>
              <w:t>13</w:t>
            </w:r>
          </w:p>
        </w:tc>
        <w:tc>
          <w:tcPr>
            <w:tcW w:w="1540" w:type="dxa"/>
            <w:vAlign w:val="bottom"/>
          </w:tcPr>
          <w:p>
            <w:pPr>
              <w:jc w:val="right"/>
              <w:ind w:right="190"/>
              <w:spacing w:after="0"/>
              <w:rPr>
                <w:sz w:val="20"/>
                <w:szCs w:val="20"/>
                <w:color w:val="auto"/>
              </w:rPr>
            </w:pPr>
            <w:r>
              <w:rPr>
                <w:rFonts w:ascii="Arial" w:cs="Arial" w:eastAsia="Arial" w:hAnsi="Arial"/>
                <w:sz w:val="18"/>
                <w:szCs w:val="18"/>
                <w:b w:val="1"/>
                <w:bCs w:val="1"/>
                <w:color w:val="auto"/>
              </w:rPr>
              <w:t>5,008</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Share premium</w:t>
            </w:r>
          </w:p>
        </w:tc>
        <w:tc>
          <w:tcPr>
            <w:tcW w:w="3040" w:type="dxa"/>
            <w:vAlign w:val="bottom"/>
            <w:shd w:val="clear" w:color="auto" w:fill="CCEEFF"/>
          </w:tcPr>
          <w:p>
            <w:pPr>
              <w:jc w:val="right"/>
              <w:ind w:right="150"/>
              <w:spacing w:after="0"/>
              <w:rPr>
                <w:sz w:val="20"/>
                <w:szCs w:val="20"/>
                <w:color w:val="auto"/>
              </w:rPr>
            </w:pPr>
            <w:r>
              <w:rPr>
                <w:rFonts w:ascii="Arial" w:cs="Arial" w:eastAsia="Arial" w:hAnsi="Arial"/>
                <w:sz w:val="18"/>
                <w:szCs w:val="18"/>
                <w:i w:val="1"/>
                <w:iCs w:val="1"/>
                <w:color w:val="auto"/>
              </w:rPr>
              <w:t>14</w:t>
            </w:r>
          </w:p>
        </w:tc>
        <w:tc>
          <w:tcPr>
            <w:tcW w:w="15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232,956</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Capital redemption reserve</w:t>
            </w:r>
          </w:p>
        </w:tc>
        <w:tc>
          <w:tcPr>
            <w:tcW w:w="3040" w:type="dxa"/>
            <w:vAlign w:val="bottom"/>
          </w:tcPr>
          <w:p>
            <w:pPr>
              <w:jc w:val="right"/>
              <w:ind w:right="150"/>
              <w:spacing w:after="0"/>
              <w:rPr>
                <w:sz w:val="20"/>
                <w:szCs w:val="20"/>
                <w:color w:val="auto"/>
              </w:rPr>
            </w:pPr>
            <w:r>
              <w:rPr>
                <w:rFonts w:ascii="Arial" w:cs="Arial" w:eastAsia="Arial" w:hAnsi="Arial"/>
                <w:sz w:val="18"/>
                <w:szCs w:val="18"/>
                <w:i w:val="1"/>
                <w:iCs w:val="1"/>
                <w:color w:val="auto"/>
              </w:rPr>
              <w:t>14</w:t>
            </w:r>
          </w:p>
        </w:tc>
        <w:tc>
          <w:tcPr>
            <w:tcW w:w="1540" w:type="dxa"/>
            <w:vAlign w:val="bottom"/>
          </w:tcPr>
          <w:p>
            <w:pPr>
              <w:jc w:val="right"/>
              <w:ind w:right="190"/>
              <w:spacing w:after="0"/>
              <w:rPr>
                <w:sz w:val="20"/>
                <w:szCs w:val="20"/>
                <w:color w:val="auto"/>
              </w:rPr>
            </w:pPr>
            <w:r>
              <w:rPr>
                <w:rFonts w:ascii="Arial" w:cs="Arial" w:eastAsia="Arial" w:hAnsi="Arial"/>
                <w:sz w:val="18"/>
                <w:szCs w:val="18"/>
                <w:b w:val="1"/>
                <w:bCs w:val="1"/>
                <w:color w:val="auto"/>
              </w:rPr>
              <w:t>363</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Share based payment reserve</w:t>
            </w:r>
          </w:p>
        </w:tc>
        <w:tc>
          <w:tcPr>
            <w:tcW w:w="3040" w:type="dxa"/>
            <w:vAlign w:val="bottom"/>
            <w:shd w:val="clear" w:color="auto" w:fill="CCEEFF"/>
          </w:tcPr>
          <w:p>
            <w:pPr>
              <w:jc w:val="right"/>
              <w:ind w:right="150"/>
              <w:spacing w:after="0"/>
              <w:rPr>
                <w:sz w:val="20"/>
                <w:szCs w:val="20"/>
                <w:color w:val="auto"/>
              </w:rPr>
            </w:pPr>
            <w:r>
              <w:rPr>
                <w:rFonts w:ascii="Arial" w:cs="Arial" w:eastAsia="Arial" w:hAnsi="Arial"/>
                <w:sz w:val="18"/>
                <w:szCs w:val="18"/>
                <w:i w:val="1"/>
                <w:iCs w:val="1"/>
                <w:color w:val="auto"/>
              </w:rPr>
              <w:t>14</w:t>
            </w:r>
          </w:p>
        </w:tc>
        <w:tc>
          <w:tcPr>
            <w:tcW w:w="15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65,103</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Other reserves</w:t>
            </w:r>
          </w:p>
        </w:tc>
        <w:tc>
          <w:tcPr>
            <w:tcW w:w="3040" w:type="dxa"/>
            <w:vAlign w:val="bottom"/>
          </w:tcPr>
          <w:p>
            <w:pPr>
              <w:jc w:val="right"/>
              <w:ind w:right="150"/>
              <w:spacing w:after="0"/>
              <w:rPr>
                <w:sz w:val="20"/>
                <w:szCs w:val="20"/>
                <w:color w:val="auto"/>
              </w:rPr>
            </w:pPr>
            <w:r>
              <w:rPr>
                <w:rFonts w:ascii="Arial" w:cs="Arial" w:eastAsia="Arial" w:hAnsi="Arial"/>
                <w:sz w:val="18"/>
                <w:szCs w:val="18"/>
                <w:i w:val="1"/>
                <w:iCs w:val="1"/>
                <w:color w:val="auto"/>
              </w:rPr>
              <w:t>14</w:t>
            </w:r>
          </w:p>
        </w:tc>
        <w:tc>
          <w:tcPr>
            <w:tcW w:w="1540" w:type="dxa"/>
            <w:vAlign w:val="bottom"/>
          </w:tcPr>
          <w:p>
            <w:pPr>
              <w:jc w:val="right"/>
              <w:ind w:right="190"/>
              <w:spacing w:after="0"/>
              <w:rPr>
                <w:sz w:val="20"/>
                <w:szCs w:val="20"/>
                <w:color w:val="auto"/>
              </w:rPr>
            </w:pPr>
            <w:r>
              <w:rPr>
                <w:rFonts w:ascii="Arial" w:cs="Arial" w:eastAsia="Arial" w:hAnsi="Arial"/>
                <w:sz w:val="18"/>
                <w:szCs w:val="18"/>
                <w:b w:val="1"/>
                <w:bCs w:val="1"/>
                <w:color w:val="auto"/>
              </w:rPr>
              <w:t>6,071</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Functional currency translation reserve</w:t>
            </w:r>
          </w:p>
        </w:tc>
        <w:tc>
          <w:tcPr>
            <w:tcW w:w="3040" w:type="dxa"/>
            <w:vAlign w:val="bottom"/>
            <w:shd w:val="clear" w:color="auto" w:fill="CCEEFF"/>
          </w:tcPr>
          <w:p>
            <w:pPr>
              <w:jc w:val="right"/>
              <w:ind w:right="150"/>
              <w:spacing w:after="0"/>
              <w:rPr>
                <w:sz w:val="20"/>
                <w:szCs w:val="20"/>
                <w:color w:val="auto"/>
              </w:rPr>
            </w:pPr>
            <w:r>
              <w:rPr>
                <w:rFonts w:ascii="Arial" w:cs="Arial" w:eastAsia="Arial" w:hAnsi="Arial"/>
                <w:sz w:val="18"/>
                <w:szCs w:val="18"/>
                <w:i w:val="1"/>
                <w:iCs w:val="1"/>
                <w:color w:val="auto"/>
              </w:rPr>
              <w:t>14</w:t>
            </w:r>
          </w:p>
        </w:tc>
        <w:tc>
          <w:tcPr>
            <w:tcW w:w="15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(113,576)</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Retained earnings</w:t>
            </w:r>
          </w:p>
        </w:tc>
        <w:tc>
          <w:tcPr>
            <w:tcW w:w="3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i w:val="1"/>
                <w:iCs w:val="1"/>
                <w:color w:val="auto"/>
              </w:rPr>
              <w:t>14</w:t>
            </w:r>
          </w:p>
        </w:tc>
        <w:tc>
          <w:tcPr>
            <w:tcW w:w="1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673,013</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368,553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Attributable to equity holders</w:t>
            </w:r>
          </w:p>
        </w:tc>
        <w:tc>
          <w:tcPr>
            <w:tcW w:w="30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868,938</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601,507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equity</w:t>
            </w:r>
          </w:p>
        </w:tc>
        <w:tc>
          <w:tcPr>
            <w:tcW w:w="30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868,938</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601,507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0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0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Accounts payable</w:t>
            </w:r>
          </w:p>
        </w:tc>
        <w:tc>
          <w:tcPr>
            <w:tcW w:w="3040" w:type="dxa"/>
            <w:vAlign w:val="bottom"/>
          </w:tcPr>
          <w:p>
            <w:pPr>
              <w:spacing w:after="0"/>
              <w:rPr>
                <w:sz w:val="18"/>
                <w:szCs w:val="18"/>
                <w:color w:val="auto"/>
              </w:rPr>
            </w:pPr>
          </w:p>
        </w:tc>
        <w:tc>
          <w:tcPr>
            <w:tcW w:w="1540" w:type="dxa"/>
            <w:vAlign w:val="bottom"/>
          </w:tcPr>
          <w:p>
            <w:pPr>
              <w:jc w:val="right"/>
              <w:ind w:right="190"/>
              <w:spacing w:after="0"/>
              <w:rPr>
                <w:sz w:val="20"/>
                <w:szCs w:val="20"/>
                <w:color w:val="auto"/>
              </w:rPr>
            </w:pPr>
            <w:r>
              <w:rPr>
                <w:rFonts w:ascii="Arial" w:cs="Arial" w:eastAsia="Arial" w:hAnsi="Arial"/>
                <w:sz w:val="18"/>
                <w:szCs w:val="18"/>
                <w:b w:val="1"/>
                <w:bCs w:val="1"/>
                <w:color w:val="auto"/>
              </w:rPr>
              <w:t>158</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Accrued and other liabilities</w:t>
            </w:r>
          </w:p>
        </w:tc>
        <w:tc>
          <w:tcPr>
            <w:tcW w:w="30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13,076</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Current taxes payable</w:t>
            </w:r>
          </w:p>
        </w:tc>
        <w:tc>
          <w:tcPr>
            <w:tcW w:w="30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329</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30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13,563</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23,728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w:t>
            </w:r>
          </w:p>
        </w:tc>
        <w:tc>
          <w:tcPr>
            <w:tcW w:w="30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13,563</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23,728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equity and liabilities</w:t>
            </w:r>
          </w:p>
        </w:tc>
        <w:tc>
          <w:tcPr>
            <w:tcW w:w="30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882,501</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625,235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4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Arial" w:cs="Arial" w:eastAsia="Arial" w:hAnsi="Arial"/>
                <w:sz w:val="18"/>
                <w:szCs w:val="18"/>
                <w:b w:val="1"/>
                <w:bCs w:val="1"/>
                <w:color w:val="auto"/>
              </w:rPr>
              <w:t>On behalf of the Board</w:t>
            </w:r>
          </w:p>
        </w:tc>
        <w:tc>
          <w:tcPr>
            <w:tcW w:w="7700" w:type="dxa"/>
            <w:vAlign w:val="bottom"/>
          </w:tcPr>
          <w:p>
            <w:pPr>
              <w:spacing w:after="0"/>
              <w:rPr>
                <w:sz w:val="20"/>
                <w:szCs w:val="20"/>
                <w:color w:val="auto"/>
              </w:rPr>
            </w:pPr>
          </w:p>
        </w:tc>
      </w:tr>
      <w:tr>
        <w:trPr>
          <w:trHeight w:val="850"/>
        </w:trPr>
        <w:tc>
          <w:tcPr>
            <w:tcW w:w="3720" w:type="dxa"/>
            <w:vAlign w:val="bottom"/>
          </w:tcPr>
          <w:p>
            <w:pPr>
              <w:spacing w:after="0"/>
              <w:rPr>
                <w:sz w:val="20"/>
                <w:szCs w:val="20"/>
                <w:color w:val="auto"/>
              </w:rPr>
            </w:pPr>
            <w:r>
              <w:rPr>
                <w:rFonts w:ascii="Arial" w:cs="Arial" w:eastAsia="Arial" w:hAnsi="Arial"/>
                <w:sz w:val="18"/>
                <w:szCs w:val="18"/>
                <w:color w:val="auto"/>
              </w:rPr>
              <w:t>Declan McKeon</w:t>
            </w:r>
          </w:p>
        </w:tc>
        <w:tc>
          <w:tcPr>
            <w:tcW w:w="7700" w:type="dxa"/>
            <w:vAlign w:val="bottom"/>
          </w:tcPr>
          <w:p>
            <w:pPr>
              <w:ind w:left="2000"/>
              <w:spacing w:after="0"/>
              <w:rPr>
                <w:sz w:val="20"/>
                <w:szCs w:val="20"/>
                <w:color w:val="auto"/>
              </w:rPr>
            </w:pPr>
            <w:r>
              <w:rPr>
                <w:rFonts w:ascii="Arial" w:cs="Arial" w:eastAsia="Arial" w:hAnsi="Arial"/>
                <w:sz w:val="18"/>
                <w:szCs w:val="18"/>
                <w:color w:val="auto"/>
              </w:rPr>
              <w:t>Ciaran Murray</w:t>
            </w:r>
          </w:p>
        </w:tc>
      </w:tr>
      <w:tr>
        <w:trPr>
          <w:trHeight w:val="230"/>
        </w:trPr>
        <w:tc>
          <w:tcPr>
            <w:tcW w:w="372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7700" w:type="dxa"/>
            <w:vAlign w:val="bottom"/>
          </w:tcPr>
          <w:p>
            <w:pPr>
              <w:ind w:left="2000"/>
              <w:spacing w:after="0"/>
              <w:rPr>
                <w:sz w:val="20"/>
                <w:szCs w:val="20"/>
                <w:color w:val="auto"/>
              </w:rPr>
            </w:pPr>
            <w:r>
              <w:rPr>
                <w:rFonts w:ascii="Arial" w:cs="Arial" w:eastAsia="Arial" w:hAnsi="Arial"/>
                <w:sz w:val="18"/>
                <w:szCs w:val="18"/>
                <w:i w:val="1"/>
                <w:iCs w:val="1"/>
                <w:color w:val="auto"/>
              </w:rPr>
              <w:t>Director</w:t>
            </w:r>
          </w:p>
        </w:tc>
      </w:tr>
      <w:tr>
        <w:trPr>
          <w:trHeight w:val="824"/>
        </w:trPr>
        <w:tc>
          <w:tcPr>
            <w:tcW w:w="3720" w:type="dxa"/>
            <w:vAlign w:val="bottom"/>
          </w:tcPr>
          <w:p>
            <w:pPr>
              <w:spacing w:after="0"/>
              <w:rPr>
                <w:sz w:val="24"/>
                <w:szCs w:val="24"/>
                <w:color w:val="auto"/>
              </w:rPr>
            </w:pPr>
          </w:p>
        </w:tc>
        <w:tc>
          <w:tcPr>
            <w:tcW w:w="7700" w:type="dxa"/>
            <w:vAlign w:val="bottom"/>
          </w:tcPr>
          <w:p>
            <w:pPr>
              <w:jc w:val="right"/>
              <w:ind w:right="5570"/>
              <w:spacing w:after="0"/>
              <w:rPr>
                <w:sz w:val="20"/>
                <w:szCs w:val="20"/>
                <w:color w:val="auto"/>
              </w:rPr>
            </w:pPr>
            <w:r>
              <w:rPr>
                <w:rFonts w:ascii="Arial" w:cs="Arial" w:eastAsia="Arial" w:hAnsi="Arial"/>
                <w:sz w:val="18"/>
                <w:szCs w:val="18"/>
                <w:color w:val="auto"/>
              </w:rPr>
              <w:t>4</w:t>
            </w:r>
          </w:p>
        </w:tc>
      </w:tr>
      <w:tr>
        <w:trPr>
          <w:trHeight w:val="118"/>
        </w:trPr>
        <w:tc>
          <w:tcPr>
            <w:tcW w:w="3720" w:type="dxa"/>
            <w:vAlign w:val="bottom"/>
            <w:tcBorders>
              <w:bottom w:val="single" w:sz="8" w:color="808080"/>
            </w:tcBorders>
          </w:tcPr>
          <w:p>
            <w:pPr>
              <w:spacing w:after="0"/>
              <w:rPr>
                <w:sz w:val="10"/>
                <w:szCs w:val="10"/>
                <w:color w:val="auto"/>
              </w:rPr>
            </w:pPr>
          </w:p>
        </w:tc>
        <w:tc>
          <w:tcPr>
            <w:tcW w:w="77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71" w:right="239" w:bottom="1440" w:gutter="0" w:footer="0" w:header="0"/>
        </w:sectPr>
      </w:pPr>
    </w:p>
    <w:bookmarkStart w:id="9" w:name="page10"/>
    <w:bookmarkEnd w:id="9"/>
    <w:p>
      <w:pPr>
        <w:spacing w:after="0"/>
        <w:rPr>
          <w:sz w:val="20"/>
          <w:szCs w:val="20"/>
          <w:color w:val="auto"/>
        </w:rPr>
      </w:pPr>
      <w:r>
        <w:rPr>
          <w:rFonts w:ascii="Arial" w:cs="Arial" w:eastAsia="Arial" w:hAnsi="Arial"/>
          <w:sz w:val="29"/>
          <w:szCs w:val="29"/>
          <w:color w:val="auto"/>
        </w:rPr>
        <w:t>ICON Plc</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Unaudited interim statement of cash flows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period ended 31 July 2015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520" w:type="dxa"/>
            <w:vAlign w:val="bottom"/>
          </w:tcPr>
          <w:p>
            <w:pPr>
              <w:jc w:val="right"/>
              <w:ind w:right="90"/>
              <w:spacing w:after="0"/>
              <w:rPr>
                <w:sz w:val="20"/>
                <w:szCs w:val="20"/>
                <w:color w:val="auto"/>
              </w:rPr>
            </w:pPr>
            <w:r>
              <w:rPr>
                <w:rFonts w:ascii="Arial" w:cs="Arial" w:eastAsia="Arial" w:hAnsi="Arial"/>
                <w:sz w:val="18"/>
                <w:szCs w:val="18"/>
                <w:b w:val="1"/>
                <w:bCs w:val="1"/>
                <w:color w:val="auto"/>
              </w:rPr>
              <w:t>Period ended</w:t>
            </w:r>
          </w:p>
        </w:tc>
        <w:tc>
          <w:tcPr>
            <w:tcW w:w="1180" w:type="dxa"/>
            <w:vAlign w:val="bottom"/>
          </w:tcPr>
          <w:p>
            <w:pPr>
              <w:jc w:val="right"/>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520" w:type="dxa"/>
            <w:vAlign w:val="bottom"/>
          </w:tcPr>
          <w:p>
            <w:pPr>
              <w:jc w:val="right"/>
              <w:ind w:right="90"/>
              <w:spacing w:after="0"/>
              <w:rPr>
                <w:sz w:val="20"/>
                <w:szCs w:val="20"/>
                <w:color w:val="auto"/>
              </w:rPr>
            </w:pPr>
            <w:r>
              <w:rPr>
                <w:rFonts w:ascii="Arial" w:cs="Arial" w:eastAsia="Arial" w:hAnsi="Arial"/>
                <w:sz w:val="18"/>
                <w:szCs w:val="18"/>
                <w:b w:val="1"/>
                <w:bCs w:val="1"/>
                <w:color w:val="auto"/>
              </w:rPr>
              <w:t>31 July</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w w:val="98"/>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520" w:type="dxa"/>
            <w:vAlign w:val="bottom"/>
          </w:tcPr>
          <w:p>
            <w:pPr>
              <w:jc w:val="right"/>
              <w:ind w:right="90"/>
              <w:spacing w:after="0"/>
              <w:rPr>
                <w:sz w:val="20"/>
                <w:szCs w:val="20"/>
                <w:color w:val="auto"/>
              </w:rPr>
            </w:pPr>
            <w:r>
              <w:rPr>
                <w:rFonts w:ascii="Arial" w:cs="Arial" w:eastAsia="Arial" w:hAnsi="Arial"/>
                <w:sz w:val="18"/>
                <w:szCs w:val="18"/>
                <w:b w:val="1"/>
                <w:bCs w:val="1"/>
                <w:color w:val="auto"/>
              </w:rPr>
              <w:t>2015</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520" w:type="dxa"/>
            <w:vAlign w:val="bottom"/>
          </w:tcPr>
          <w:p>
            <w:pPr>
              <w:jc w:val="right"/>
              <w:ind w:right="90"/>
              <w:spacing w:after="0"/>
              <w:rPr>
                <w:sz w:val="20"/>
                <w:szCs w:val="20"/>
                <w:color w:val="auto"/>
              </w:rPr>
            </w:pPr>
            <w:r>
              <w:rPr>
                <w:rFonts w:ascii="Arial" w:cs="Arial" w:eastAsia="Arial" w:hAnsi="Arial"/>
                <w:sz w:val="18"/>
                <w:szCs w:val="18"/>
                <w:b w:val="1"/>
                <w:bCs w:val="1"/>
                <w:color w:val="auto"/>
              </w:rPr>
              <w:t>Unaudited</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Audited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2520" w:type="dxa"/>
            <w:vAlign w:val="bottom"/>
          </w:tcPr>
          <w:p>
            <w:pPr>
              <w:jc w:val="right"/>
              <w:ind w:right="90"/>
              <w:spacing w:after="0"/>
              <w:rPr>
                <w:sz w:val="20"/>
                <w:szCs w:val="20"/>
                <w:color w:val="auto"/>
              </w:rPr>
            </w:pPr>
            <w:r>
              <w:rPr>
                <w:rFonts w:ascii="Arial" w:cs="Arial" w:eastAsia="Arial" w:hAnsi="Arial"/>
                <w:sz w:val="18"/>
                <w:szCs w:val="18"/>
                <w:b w:val="1"/>
                <w:bCs w:val="1"/>
                <w:color w:val="auto"/>
              </w:rPr>
              <w:t>$’000</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for the financial period</w:t>
            </w:r>
          </w:p>
        </w:tc>
        <w:tc>
          <w:tcPr>
            <w:tcW w:w="25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346,258</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b w:val="1"/>
                <w:bCs w:val="1"/>
                <w:color w:val="auto"/>
              </w:rPr>
              <w:t>Adjustments to reconcile net income to net cash generated from operating activities</w:t>
            </w:r>
          </w:p>
        </w:tc>
        <w:tc>
          <w:tcPr>
            <w:tcW w:w="2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5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163</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Amortisation of intangible assets</w:t>
            </w:r>
          </w:p>
        </w:tc>
        <w:tc>
          <w:tcPr>
            <w:tcW w:w="2520" w:type="dxa"/>
            <w:vAlign w:val="bottom"/>
          </w:tcPr>
          <w:p>
            <w:pPr>
              <w:jc w:val="right"/>
              <w:ind w:right="90"/>
              <w:spacing w:after="0"/>
              <w:rPr>
                <w:sz w:val="20"/>
                <w:szCs w:val="20"/>
                <w:color w:val="auto"/>
              </w:rPr>
            </w:pPr>
            <w:r>
              <w:rPr>
                <w:rFonts w:ascii="Arial" w:cs="Arial" w:eastAsia="Arial" w:hAnsi="Arial"/>
                <w:sz w:val="18"/>
                <w:szCs w:val="18"/>
                <w:b w:val="1"/>
                <w:bCs w:val="1"/>
                <w:color w:val="auto"/>
              </w:rPr>
              <w:t>85</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Share based payment</w:t>
            </w:r>
          </w:p>
        </w:tc>
        <w:tc>
          <w:tcPr>
            <w:tcW w:w="25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5,557</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Profit on disposal of subsidiary</w:t>
            </w:r>
          </w:p>
        </w:tc>
        <w:tc>
          <w:tcPr>
            <w:tcW w:w="2520" w:type="dxa"/>
            <w:vAlign w:val="bottom"/>
          </w:tcPr>
          <w:p>
            <w:pPr>
              <w:jc w:val="right"/>
              <w:ind w:right="30"/>
              <w:spacing w:after="0"/>
              <w:rPr>
                <w:sz w:val="20"/>
                <w:szCs w:val="20"/>
                <w:color w:val="auto"/>
              </w:rPr>
            </w:pPr>
            <w:r>
              <w:rPr>
                <w:rFonts w:ascii="Arial" w:cs="Arial" w:eastAsia="Arial" w:hAnsi="Arial"/>
                <w:sz w:val="18"/>
                <w:szCs w:val="18"/>
                <w:b w:val="1"/>
                <w:bCs w:val="1"/>
                <w:color w:val="auto"/>
              </w:rPr>
              <w:t>(350,000)</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5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491</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cash inflow before changes in working capital</w:t>
            </w:r>
          </w:p>
        </w:tc>
        <w:tc>
          <w:tcPr>
            <w:tcW w:w="2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2,554</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(Increase)/decrease in other current assets</w:t>
            </w:r>
          </w:p>
        </w:tc>
        <w:tc>
          <w:tcPr>
            <w:tcW w:w="25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(726)</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Increase/(decrease) in accounts payable and accrued and other liabilities</w:t>
            </w:r>
          </w:p>
        </w:tc>
        <w:tc>
          <w:tcPr>
            <w:tcW w:w="2520" w:type="dxa"/>
            <w:vAlign w:val="bottom"/>
          </w:tcPr>
          <w:p>
            <w:pPr>
              <w:jc w:val="right"/>
              <w:ind w:right="30"/>
              <w:spacing w:after="0"/>
              <w:rPr>
                <w:sz w:val="20"/>
                <w:szCs w:val="20"/>
                <w:color w:val="auto"/>
              </w:rPr>
            </w:pPr>
            <w:r>
              <w:rPr>
                <w:rFonts w:ascii="Arial" w:cs="Arial" w:eastAsia="Arial" w:hAnsi="Arial"/>
                <w:sz w:val="18"/>
                <w:szCs w:val="18"/>
                <w:b w:val="1"/>
                <w:bCs w:val="1"/>
                <w:color w:val="auto"/>
              </w:rPr>
              <w:t>(10,479)</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Increase/(decrease) in income taxes payable</w:t>
            </w:r>
          </w:p>
        </w:tc>
        <w:tc>
          <w:tcPr>
            <w:tcW w:w="25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359</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(used in)/provided by operations</w:t>
            </w:r>
          </w:p>
        </w:tc>
        <w:tc>
          <w:tcPr>
            <w:tcW w:w="2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(8,292)</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144,634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2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(491)</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(outflow)/inflow from operating activities</w:t>
            </w:r>
          </w:p>
        </w:tc>
        <w:tc>
          <w:tcPr>
            <w:tcW w:w="2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(8,783)</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5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Purchase of computer software</w:t>
            </w:r>
          </w:p>
        </w:tc>
        <w:tc>
          <w:tcPr>
            <w:tcW w:w="2520" w:type="dxa"/>
            <w:vAlign w:val="bottom"/>
          </w:tcPr>
          <w:p>
            <w:pPr>
              <w:jc w:val="right"/>
              <w:ind w:right="30"/>
              <w:spacing w:after="0"/>
              <w:rPr>
                <w:sz w:val="20"/>
                <w:szCs w:val="20"/>
                <w:color w:val="auto"/>
              </w:rPr>
            </w:pPr>
            <w:r>
              <w:rPr>
                <w:rFonts w:ascii="Arial" w:cs="Arial" w:eastAsia="Arial" w:hAnsi="Arial"/>
                <w:sz w:val="18"/>
                <w:szCs w:val="18"/>
                <w:b w:val="1"/>
                <w:bCs w:val="1"/>
                <w:color w:val="auto"/>
              </w:rPr>
              <w:t>(60)</w:t>
            </w:r>
          </w:p>
        </w:tc>
        <w:tc>
          <w:tcPr>
            <w:tcW w:w="118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plant and equipment</w:t>
            </w:r>
          </w:p>
        </w:tc>
        <w:tc>
          <w:tcPr>
            <w:tcW w:w="2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Disposal of subsidiary undertaking</w:t>
            </w:r>
          </w:p>
        </w:tc>
        <w:tc>
          <w:tcPr>
            <w:tcW w:w="2520" w:type="dxa"/>
            <w:vAlign w:val="bottom"/>
          </w:tcPr>
          <w:p>
            <w:pPr>
              <w:jc w:val="right"/>
              <w:ind w:right="90"/>
              <w:spacing w:after="0"/>
              <w:rPr>
                <w:sz w:val="20"/>
                <w:szCs w:val="20"/>
                <w:color w:val="auto"/>
              </w:rPr>
            </w:pPr>
            <w:r>
              <w:rPr>
                <w:rFonts w:ascii="Arial" w:cs="Arial" w:eastAsia="Arial" w:hAnsi="Arial"/>
                <w:sz w:val="18"/>
                <w:szCs w:val="18"/>
                <w:b w:val="1"/>
                <w:bCs w:val="1"/>
                <w:color w:val="auto"/>
              </w:rPr>
              <w:t>350,000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Increase in investment in subsidiaries</w:t>
            </w:r>
          </w:p>
        </w:tc>
        <w:tc>
          <w:tcPr>
            <w:tcW w:w="25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by/(used in) investing activities</w:t>
            </w:r>
          </w:p>
        </w:tc>
        <w:tc>
          <w:tcPr>
            <w:tcW w:w="2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349,940</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5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Increase in amounts due from subsidiary undertakings</w:t>
            </w:r>
          </w:p>
        </w:tc>
        <w:tc>
          <w:tcPr>
            <w:tcW w:w="2520" w:type="dxa"/>
            <w:vAlign w:val="bottom"/>
          </w:tcPr>
          <w:p>
            <w:pPr>
              <w:jc w:val="right"/>
              <w:ind w:right="30"/>
              <w:spacing w:after="0"/>
              <w:rPr>
                <w:sz w:val="20"/>
                <w:szCs w:val="20"/>
                <w:color w:val="auto"/>
              </w:rPr>
            </w:pPr>
            <w:r>
              <w:rPr>
                <w:rFonts w:ascii="Arial" w:cs="Arial" w:eastAsia="Arial" w:hAnsi="Arial"/>
                <w:sz w:val="18"/>
                <w:szCs w:val="18"/>
                <w:b w:val="1"/>
                <w:bCs w:val="1"/>
                <w:color w:val="auto"/>
              </w:rPr>
              <w:t>(216,543)</w:t>
            </w:r>
          </w:p>
        </w:tc>
        <w:tc>
          <w:tcPr>
            <w:tcW w:w="1180" w:type="dxa"/>
            <w:vAlign w:val="bottom"/>
          </w:tcPr>
          <w:p>
            <w:pPr>
              <w:jc w:val="right"/>
              <w:spacing w:after="0"/>
              <w:rPr>
                <w:sz w:val="20"/>
                <w:szCs w:val="20"/>
                <w:color w:val="auto"/>
              </w:rPr>
            </w:pPr>
            <w:r>
              <w:rPr>
                <w:rFonts w:ascii="Arial" w:cs="Arial" w:eastAsia="Arial" w:hAnsi="Arial"/>
                <w:sz w:val="18"/>
                <w:szCs w:val="18"/>
                <w:color w:val="auto"/>
              </w:rPr>
              <w:t>(10,667)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share options and RSU’s</w:t>
            </w:r>
          </w:p>
        </w:tc>
        <w:tc>
          <w:tcPr>
            <w:tcW w:w="25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11,024</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Share issuance costs</w:t>
            </w:r>
          </w:p>
        </w:tc>
        <w:tc>
          <w:tcPr>
            <w:tcW w:w="2520" w:type="dxa"/>
            <w:vAlign w:val="bottom"/>
          </w:tcPr>
          <w:p>
            <w:pPr>
              <w:jc w:val="right"/>
              <w:ind w:right="30"/>
              <w:spacing w:after="0"/>
              <w:rPr>
                <w:sz w:val="20"/>
                <w:szCs w:val="20"/>
                <w:color w:val="auto"/>
              </w:rPr>
            </w:pPr>
            <w:r>
              <w:rPr>
                <w:rFonts w:ascii="Arial" w:cs="Arial" w:eastAsia="Arial" w:hAnsi="Arial"/>
                <w:sz w:val="18"/>
                <w:szCs w:val="18"/>
                <w:b w:val="1"/>
                <w:bCs w:val="1"/>
                <w:color w:val="auto"/>
              </w:rPr>
              <w:t>(4)</w:t>
            </w: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ordinary shares</w:t>
            </w:r>
          </w:p>
        </w:tc>
        <w:tc>
          <w:tcPr>
            <w:tcW w:w="25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(57,892)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 repurchase costs</w:t>
            </w:r>
          </w:p>
        </w:tc>
        <w:tc>
          <w:tcPr>
            <w:tcW w:w="2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(289)</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2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(263,704)</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2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77,453</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w:t>
            </w:r>
          </w:p>
        </w:tc>
        <w:tc>
          <w:tcPr>
            <w:tcW w:w="25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the at start of the period</w:t>
            </w:r>
          </w:p>
        </w:tc>
        <w:tc>
          <w:tcPr>
            <w:tcW w:w="2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4,516</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25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81,951</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4,516</w:t>
            </w:r>
          </w:p>
        </w:tc>
        <w:tc>
          <w:tcPr>
            <w:tcW w:w="0" w:type="dxa"/>
            <w:vAlign w:val="bottom"/>
          </w:tcPr>
          <w:p>
            <w:pPr>
              <w:spacing w:after="0"/>
              <w:rPr>
                <w:sz w:val="1"/>
                <w:szCs w:val="1"/>
                <w:color w:val="auto"/>
              </w:rPr>
            </w:pPr>
          </w:p>
        </w:tc>
      </w:tr>
      <w:tr>
        <w:trPr>
          <w:trHeight w:val="608"/>
        </w:trPr>
        <w:tc>
          <w:tcPr>
            <w:tcW w:w="7720" w:type="dxa"/>
            <w:vAlign w:val="bottom"/>
            <w:gridSpan w:val="2"/>
          </w:tcPr>
          <w:p>
            <w:pPr>
              <w:jc w:val="right"/>
              <w:ind w:right="1870"/>
              <w:spacing w:after="0"/>
              <w:rPr>
                <w:sz w:val="20"/>
                <w:szCs w:val="20"/>
                <w:color w:val="auto"/>
              </w:rPr>
            </w:pPr>
            <w:r>
              <w:rPr>
                <w:rFonts w:ascii="Arial" w:cs="Arial" w:eastAsia="Arial" w:hAnsi="Arial"/>
                <w:sz w:val="18"/>
                <w:szCs w:val="18"/>
                <w:color w:val="auto"/>
              </w:rPr>
              <w:t>5</w:t>
            </w:r>
          </w:p>
        </w:tc>
        <w:tc>
          <w:tcPr>
            <w:tcW w:w="2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700" w:type="dxa"/>
            <w:vAlign w:val="bottom"/>
            <w:tcBorders>
              <w:bottom w:val="single" w:sz="8" w:color="808080"/>
            </w:tcBorders>
          </w:tcPr>
          <w:p>
            <w:pPr>
              <w:spacing w:after="0"/>
              <w:rPr>
                <w:sz w:val="10"/>
                <w:szCs w:val="10"/>
                <w:color w:val="auto"/>
              </w:rPr>
            </w:pPr>
          </w:p>
        </w:tc>
        <w:tc>
          <w:tcPr>
            <w:tcW w:w="25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0" w:name="page11"/>
    <w:bookmarkEnd w:id="10"/>
    <w:p>
      <w:pPr>
        <w:spacing w:after="0"/>
        <w:rPr>
          <w:sz w:val="20"/>
          <w:szCs w:val="20"/>
          <w:color w:val="auto"/>
        </w:rPr>
      </w:pPr>
      <w:r>
        <w:rPr>
          <w:rFonts w:ascii="Arial" w:cs="Arial" w:eastAsia="Arial" w:hAnsi="Arial"/>
          <w:sz w:val="32"/>
          <w:szCs w:val="32"/>
          <w:color w:val="auto"/>
        </w:rPr>
        <w:t>ICON Plc</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Unaudited interim statement of changes in equity</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period ended 31 July 2015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w:t>
            </w: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Capital</w:t>
            </w: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Based</w:t>
            </w: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b w:val="1"/>
                <w:bCs w:val="1"/>
                <w:color w:val="auto"/>
              </w:rPr>
              <w:t>Number</w:t>
            </w: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auto"/>
              </w:rPr>
              <w:t>Share</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Share</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Redemption</w:t>
            </w: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Payment</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Other</w:t>
            </w: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Currency</w:t>
            </w:r>
          </w:p>
        </w:tc>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Retained</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b w:val="1"/>
                <w:bCs w:val="1"/>
                <w:color w:val="auto"/>
              </w:rPr>
              <w:t>of shares</w:t>
            </w: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auto"/>
              </w:rPr>
              <w:t>Capital</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Premium</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Reserve</w:t>
            </w: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Reserve</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Reserves</w:t>
            </w: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Reserve</w:t>
            </w:r>
          </w:p>
        </w:tc>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w w:val="98"/>
              </w:rPr>
              <w:t>Earnings</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auto"/>
              </w:rPr>
              <w:t>$’000</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$’000</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$’000</w:t>
            </w: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$’000</w:t>
            </w:r>
          </w:p>
        </w:tc>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rPr>
              <w:t>$’000</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Balance at 1 January 2015</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7"/>
              </w:rPr>
              <w:t>60,106,780</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5,037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221,965</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305</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58,614</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6,071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(59,038)</w:t>
            </w: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368,553</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601,507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8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0"/>
              </w:rPr>
              <w:t>Total comprehensive income for the</w:t>
            </w:r>
          </w:p>
        </w:tc>
        <w:tc>
          <w:tcPr>
            <w:tcW w:w="1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interim period:</w:t>
            </w:r>
          </w:p>
        </w:tc>
        <w:tc>
          <w:tcPr>
            <w:tcW w:w="1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Profit for the interim period</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346,258</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346,258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w:t>
            </w:r>
          </w:p>
        </w:tc>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currency translation</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(54,538)</w:t>
            </w: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other comprehensive income</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(54,538)</w:t>
            </w: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346,258</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291,720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20" w:type="dxa"/>
            <w:vAlign w:val="bottom"/>
          </w:tcPr>
          <w:p>
            <w:pPr>
              <w:spacing w:after="0" w:line="201" w:lineRule="exact"/>
              <w:rPr>
                <w:sz w:val="20"/>
                <w:szCs w:val="20"/>
                <w:color w:val="auto"/>
              </w:rPr>
            </w:pPr>
            <w:r>
              <w:rPr>
                <w:rFonts w:ascii="Arial" w:cs="Arial" w:eastAsia="Arial" w:hAnsi="Arial"/>
                <w:sz w:val="18"/>
                <w:szCs w:val="18"/>
                <w:color w:val="auto"/>
                <w:w w:val="97"/>
              </w:rPr>
              <w:t>Total comprehensive income for the</w:t>
            </w: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840" w:type="dxa"/>
            <w:vAlign w:val="bottom"/>
            <w:gridSpan w:val="2"/>
          </w:tcPr>
          <w:p>
            <w:pPr>
              <w:spacing w:after="0"/>
              <w:rPr>
                <w:sz w:val="20"/>
                <w:szCs w:val="20"/>
                <w:color w:val="auto"/>
              </w:rPr>
            </w:pPr>
            <w:r>
              <w:rPr>
                <w:rFonts w:ascii="Arial" w:cs="Arial" w:eastAsia="Arial" w:hAnsi="Arial"/>
                <w:sz w:val="18"/>
                <w:szCs w:val="18"/>
                <w:color w:val="auto"/>
              </w:rPr>
              <w:t>interim period</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(54,538)</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346,268</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291,720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820" w:type="dxa"/>
            <w:vAlign w:val="bottom"/>
          </w:tcPr>
          <w:p>
            <w:pPr>
              <w:spacing w:after="0" w:line="198" w:lineRule="exact"/>
              <w:rPr>
                <w:sz w:val="20"/>
                <w:szCs w:val="20"/>
                <w:color w:val="auto"/>
              </w:rPr>
            </w:pPr>
            <w:r>
              <w:rPr>
                <w:rFonts w:ascii="Arial" w:cs="Arial" w:eastAsia="Arial" w:hAnsi="Arial"/>
                <w:sz w:val="18"/>
                <w:szCs w:val="18"/>
                <w:b w:val="1"/>
                <w:bCs w:val="1"/>
                <w:color w:val="auto"/>
                <w:w w:val="90"/>
              </w:rPr>
              <w:t>Transactions with owners, recorded</w:t>
            </w: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directly in equity</w:t>
            </w:r>
          </w:p>
        </w:tc>
        <w:tc>
          <w:tcPr>
            <w:tcW w:w="1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Exercise of share options</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422,255</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10,980</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Share-based payment</w:t>
            </w: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22,872</w:t>
            </w: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22,872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Issue of shares arising from issue of</w:t>
            </w:r>
          </w:p>
        </w:tc>
        <w:tc>
          <w:tcPr>
            <w:tcW w:w="1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 units</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222,805</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Share issue costs</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ordinary shares</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(882,419)</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(57,892)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Share repurchase costs</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(289)</w:t>
            </w:r>
          </w:p>
        </w:tc>
        <w:tc>
          <w:tcPr>
            <w:tcW w:w="820" w:type="dxa"/>
            <w:vAlign w:val="bottom"/>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Transfer of exercised and</w:t>
            </w:r>
          </w:p>
        </w:tc>
        <w:tc>
          <w:tcPr>
            <w:tcW w:w="1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expired share–based awards</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(16,383)</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16,383</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contributions by and</w:t>
            </w:r>
          </w:p>
        </w:tc>
        <w:tc>
          <w:tcPr>
            <w:tcW w:w="1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distributions to owners</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(237,359)</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10,991</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6,489</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(41,798)</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transactions with owners</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(237,359)</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10,991</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6,489</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(41,798)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31 July 2015</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7"/>
              </w:rPr>
              <w:t>59,869,421</w:t>
            </w: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5,008</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232,956</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363</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65,103</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6,071</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(113,576)</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673,013</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868,938</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jc w:val="right"/>
              <w:ind w:right="990"/>
              <w:spacing w:after="0"/>
              <w:rPr>
                <w:sz w:val="20"/>
                <w:szCs w:val="20"/>
                <w:color w:val="auto"/>
              </w:rPr>
            </w:pPr>
            <w:r>
              <w:rPr>
                <w:rFonts w:ascii="Arial" w:cs="Arial" w:eastAsia="Arial" w:hAnsi="Arial"/>
                <w:sz w:val="18"/>
                <w:szCs w:val="18"/>
                <w:color w:val="auto"/>
                <w:w w:val="79"/>
              </w:rPr>
              <w:t>6</w:t>
            </w: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11" w:name="page12"/>
    <w:bookmarkEnd w:id="11"/>
    <w:p>
      <w:pPr>
        <w:spacing w:after="0"/>
        <w:rPr>
          <w:sz w:val="20"/>
          <w:szCs w:val="20"/>
          <w:color w:val="auto"/>
        </w:rPr>
      </w:pPr>
      <w:r>
        <w:rPr>
          <w:rFonts w:ascii="Arial" w:cs="Arial" w:eastAsia="Arial" w:hAnsi="Arial"/>
          <w:sz w:val="29"/>
          <w:szCs w:val="29"/>
          <w:color w:val="auto"/>
        </w:rPr>
        <w:t>ICON Plc</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Statement of changes in equity (Audited)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w:t>
            </w: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Capital</w:t>
            </w: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Based</w:t>
            </w: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b w:val="1"/>
                <w:bCs w:val="1"/>
                <w:color w:val="auto"/>
              </w:rPr>
              <w:t>Number</w:t>
            </w: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auto"/>
              </w:rPr>
              <w:t>Share</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Share</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Redemption</w:t>
            </w: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Payment</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Other</w:t>
            </w: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Currency</w:t>
            </w: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Retained</w:t>
            </w: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b w:val="1"/>
                <w:bCs w:val="1"/>
                <w:color w:val="auto"/>
              </w:rPr>
              <w:t>of shares</w:t>
            </w: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auto"/>
              </w:rPr>
              <w:t>Capital</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Premium</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Reserve</w:t>
            </w: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Reserve</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Reserves</w:t>
            </w: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Reserve</w:t>
            </w: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w w:val="98"/>
              </w:rPr>
              <w:t>Earnings</w:t>
            </w: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auto"/>
              </w:rPr>
              <w:t>$’000</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$’000</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$’000</w:t>
            </w: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$’000</w:t>
            </w: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rPr>
              <w:t>$’000</w:t>
            </w: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Balance at 1 January 2014</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7"/>
              </w:rPr>
              <w:t>61,587,727</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5,168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199,785</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44,785</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6,071</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25,885</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365,282</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647,076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8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0"/>
              </w:rPr>
              <w:t>Total comprehensive income for the</w:t>
            </w:r>
          </w:p>
        </w:tc>
        <w:tc>
          <w:tcPr>
            <w:tcW w:w="1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w:t>
            </w:r>
          </w:p>
        </w:tc>
        <w:tc>
          <w:tcPr>
            <w:tcW w:w="1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Profit for the year</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135,437</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135,437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w:t>
            </w:r>
          </w:p>
        </w:tc>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currency translation</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(84,923)</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other comprehensive income</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(84,923)</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135,437</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50,514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20" w:type="dxa"/>
            <w:vAlign w:val="bottom"/>
          </w:tcPr>
          <w:p>
            <w:pPr>
              <w:spacing w:after="0" w:line="201" w:lineRule="exact"/>
              <w:rPr>
                <w:sz w:val="20"/>
                <w:szCs w:val="20"/>
                <w:color w:val="auto"/>
              </w:rPr>
            </w:pPr>
            <w:r>
              <w:rPr>
                <w:rFonts w:ascii="Arial" w:cs="Arial" w:eastAsia="Arial" w:hAnsi="Arial"/>
                <w:sz w:val="18"/>
                <w:szCs w:val="18"/>
                <w:color w:val="auto"/>
                <w:w w:val="97"/>
              </w:rPr>
              <w:t>Total comprehensive income for the</w:t>
            </w: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840" w:type="dxa"/>
            <w:vAlign w:val="bottom"/>
            <w:gridSpan w:val="2"/>
          </w:tcPr>
          <w:p>
            <w:pPr>
              <w:spacing w:after="0"/>
              <w:rPr>
                <w:sz w:val="20"/>
                <w:szCs w:val="20"/>
                <w:color w:val="auto"/>
              </w:rPr>
            </w:pPr>
            <w:r>
              <w:rPr>
                <w:rFonts w:ascii="Arial" w:cs="Arial" w:eastAsia="Arial" w:hAnsi="Arial"/>
                <w:sz w:val="18"/>
                <w:szCs w:val="18"/>
                <w:color w:val="auto"/>
              </w:rPr>
              <w:t>year</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(84,923)</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135,437</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50,514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820" w:type="dxa"/>
            <w:vAlign w:val="bottom"/>
          </w:tcPr>
          <w:p>
            <w:pPr>
              <w:spacing w:after="0" w:line="198" w:lineRule="exact"/>
              <w:rPr>
                <w:sz w:val="20"/>
                <w:szCs w:val="20"/>
                <w:color w:val="auto"/>
              </w:rPr>
            </w:pPr>
            <w:r>
              <w:rPr>
                <w:rFonts w:ascii="Arial" w:cs="Arial" w:eastAsia="Arial" w:hAnsi="Arial"/>
                <w:sz w:val="18"/>
                <w:szCs w:val="18"/>
                <w:b w:val="1"/>
                <w:bCs w:val="1"/>
                <w:color w:val="auto"/>
                <w:w w:val="90"/>
              </w:rPr>
              <w:t>Transactions with owners, recorded</w:t>
            </w: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directly in equity</w:t>
            </w:r>
          </w:p>
        </w:tc>
        <w:tc>
          <w:tcPr>
            <w:tcW w:w="1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Exercise of share options</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926,407</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22,182</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Share-based payment</w:t>
            </w: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22,725</w:t>
            </w: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22,725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Issue of shares arising from issue of</w:t>
            </w:r>
          </w:p>
        </w:tc>
        <w:tc>
          <w:tcPr>
            <w:tcW w:w="1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 units</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233,726</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Share issue costs</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ordinary shares</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(2,640,610)</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(140,030)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Share repurchase costs</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(1,032)</w:t>
            </w:r>
          </w:p>
        </w:tc>
        <w:tc>
          <w:tcPr>
            <w:tcW w:w="840" w:type="dxa"/>
            <w:vAlign w:val="bottom"/>
          </w:tcPr>
          <w:p>
            <w:pPr>
              <w:jc w:val="right"/>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Transfer of exercised and expired</w:t>
            </w:r>
          </w:p>
        </w:tc>
        <w:tc>
          <w:tcPr>
            <w:tcW w:w="1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share–based awards</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(8,896)</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8,896</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contributions by and</w:t>
            </w:r>
          </w:p>
        </w:tc>
        <w:tc>
          <w:tcPr>
            <w:tcW w:w="1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distributions to owners</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(1,480,477)</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22,180</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205</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13,829</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(132,166)</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(96,083)</w:t>
            </w:r>
          </w:p>
        </w:tc>
        <w:tc>
          <w:tcPr>
            <w:tcW w:w="0" w:type="dxa"/>
            <w:vAlign w:val="bottom"/>
          </w:tcPr>
          <w:p>
            <w:pPr>
              <w:spacing w:after="0"/>
              <w:rPr>
                <w:sz w:val="1"/>
                <w:szCs w:val="1"/>
                <w:color w:val="auto"/>
              </w:rPr>
            </w:pPr>
          </w:p>
        </w:tc>
      </w:tr>
      <w:tr>
        <w:trPr>
          <w:trHeight w:val="216"/>
        </w:trPr>
        <w:tc>
          <w:tcPr>
            <w:tcW w:w="284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transactions with owners</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(1,480,477)</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22,180</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205</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13,829</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(132,166)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31 December 2014</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7"/>
              </w:rPr>
              <w:t>60,106,780</w:t>
            </w: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5,037</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221,965</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305</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58,614</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6,071</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(59,038)</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368,553</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601,507</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jc w:val="right"/>
              <w:ind w:right="990"/>
              <w:spacing w:after="0"/>
              <w:rPr>
                <w:sz w:val="20"/>
                <w:szCs w:val="20"/>
                <w:color w:val="auto"/>
              </w:rPr>
            </w:pPr>
            <w:r>
              <w:rPr>
                <w:rFonts w:ascii="Arial" w:cs="Arial" w:eastAsia="Arial" w:hAnsi="Arial"/>
                <w:sz w:val="18"/>
                <w:szCs w:val="18"/>
                <w:color w:val="auto"/>
                <w:w w:val="79"/>
              </w:rPr>
              <w:t>7</w:t>
            </w: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2" w:name="page13"/>
    <w:bookmarkEnd w:id="12"/>
    <w:p>
      <w:pPr>
        <w:spacing w:after="0"/>
        <w:rPr>
          <w:sz w:val="20"/>
          <w:szCs w:val="20"/>
          <w:color w:val="auto"/>
        </w:rPr>
      </w:pPr>
      <w:r>
        <w:rPr>
          <w:rFonts w:ascii="Arial" w:cs="Arial" w:eastAsia="Arial" w:hAnsi="Arial"/>
          <w:sz w:val="29"/>
          <w:szCs w:val="29"/>
          <w:color w:val="auto"/>
        </w:rPr>
        <w:t>ICON Plc</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Notes to the unaudited financial statements for the interim period ended 31 July 2015</w:t>
      </w:r>
    </w:p>
    <w:p>
      <w:pPr>
        <w:spacing w:after="0" w:line="236" w:lineRule="exact"/>
        <w:rPr>
          <w:sz w:val="20"/>
          <w:szCs w:val="20"/>
          <w:color w:val="auto"/>
        </w:rPr>
      </w:pPr>
    </w:p>
    <w:p>
      <w:pPr>
        <w:ind w:left="360" w:hanging="352"/>
        <w:spacing w:after="0"/>
        <w:tabs>
          <w:tab w:leader="none" w:pos="3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significant accounting policies</w:t>
      </w:r>
    </w:p>
    <w:p>
      <w:pPr>
        <w:spacing w:after="0" w:line="256" w:lineRule="exact"/>
        <w:rPr>
          <w:rFonts w:ascii="Arial" w:cs="Arial" w:eastAsia="Arial" w:hAnsi="Arial"/>
          <w:sz w:val="18"/>
          <w:szCs w:val="18"/>
          <w:b w:val="1"/>
          <w:bCs w:val="1"/>
          <w:color w:val="auto"/>
        </w:rPr>
      </w:pPr>
    </w:p>
    <w:p>
      <w:pPr>
        <w:ind w:left="3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accounting policies have been applied consistently in dealing with items which are considered material in relation to the Company’s financial statements.</w:t>
      </w:r>
    </w:p>
    <w:p>
      <w:pPr>
        <w:spacing w:after="0" w:line="197"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Basis of preparation</w:t>
      </w:r>
    </w:p>
    <w:p>
      <w:pPr>
        <w:spacing w:after="0" w:line="252" w:lineRule="exact"/>
        <w:rPr>
          <w:rFonts w:ascii="Arial" w:cs="Arial" w:eastAsia="Arial" w:hAnsi="Arial"/>
          <w:sz w:val="18"/>
          <w:szCs w:val="18"/>
          <w:b w:val="1"/>
          <w:bCs w:val="1"/>
          <w:color w:val="auto"/>
        </w:rPr>
      </w:pPr>
    </w:p>
    <w:p>
      <w:pPr>
        <w:jc w:val="both"/>
        <w:ind w:left="3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Company’s unaudited interim financial statements (‘the interim financial statements’) have been prepared in accordance with measurement and recognition principles of International Financial Reporting Standards (‘IFRS’) and their interpretations issued by the International Accounting Standards Board (‘IASB’) as adopted by the European Union (‘EU’), that are effective as at 31 July 2015.</w:t>
      </w:r>
    </w:p>
    <w:p>
      <w:pPr>
        <w:spacing w:after="0" w:line="208" w:lineRule="exact"/>
        <w:rPr>
          <w:rFonts w:ascii="Arial" w:cs="Arial" w:eastAsia="Arial" w:hAnsi="Arial"/>
          <w:sz w:val="18"/>
          <w:szCs w:val="18"/>
          <w:b w:val="1"/>
          <w:bCs w:val="1"/>
          <w:color w:val="auto"/>
        </w:rPr>
      </w:pPr>
    </w:p>
    <w:p>
      <w:pPr>
        <w:jc w:val="both"/>
        <w:ind w:left="3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These non-statutory unaudited interim financial statements have been prepared solely to present information about the Company on a stand-alone basis for filing with the Company Registration Office. Separately prepared statutory annual financial statements have been prepared in accordance with Company Law and have been laid before the Annual General Meeting of the Company on 24 July 2015. These annual statutory financial statements will be filed with the Companies Registration Office with the 2014 Annual Return. These financial statements include the financial statements of the Company and all of its branches (Italy, Latvia, Lithuania and Poland); all inter branch transactions and balances have been eliminated in their preparation.</w:t>
      </w:r>
    </w:p>
    <w:p>
      <w:pPr>
        <w:spacing w:after="0" w:line="220"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interim financial statements of the Company were approved for issue by the Board of Directors on 27 August 2015.</w:t>
      </w:r>
    </w:p>
    <w:p>
      <w:pPr>
        <w:spacing w:after="0" w:line="252"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Turnover</w:t>
      </w:r>
    </w:p>
    <w:p>
      <w:pPr>
        <w:spacing w:after="0" w:line="252" w:lineRule="exact"/>
        <w:rPr>
          <w:rFonts w:ascii="Arial" w:cs="Arial" w:eastAsia="Arial" w:hAnsi="Arial"/>
          <w:sz w:val="18"/>
          <w:szCs w:val="18"/>
          <w:b w:val="1"/>
          <w:bCs w:val="1"/>
          <w:color w:val="auto"/>
        </w:rPr>
      </w:pPr>
    </w:p>
    <w:p>
      <w:pPr>
        <w:jc w:val="both"/>
        <w:ind w:left="3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earns revenue from contract research services provided in Italy, Latvia, Lithuania and Poland and recognises revenue as such services are provided. The costs of providing such services are remunerated on a cost plus basis by a fellow group undertaking. Turnover represents the invoiced fair value (excluding value added tax) to the fellow group undertaking for services provided during the period. The Company also earns revenue by recharging subsidiary undertakings for management services provided to them. Turnover represents the invoiced fair value (excluding value added tax) plus a mark-up for those services.</w:t>
      </w:r>
    </w:p>
    <w:p>
      <w:pPr>
        <w:spacing w:after="0" w:line="215"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Intangible assets – computer software</w:t>
      </w:r>
    </w:p>
    <w:p>
      <w:pPr>
        <w:spacing w:after="0" w:line="252" w:lineRule="exact"/>
        <w:rPr>
          <w:sz w:val="20"/>
          <w:szCs w:val="20"/>
          <w:color w:val="auto"/>
        </w:rPr>
      </w:pPr>
    </w:p>
    <w:p>
      <w:pPr>
        <w:jc w:val="both"/>
        <w:ind w:left="360"/>
        <w:spacing w:after="0" w:line="264" w:lineRule="auto"/>
        <w:rPr>
          <w:sz w:val="20"/>
          <w:szCs w:val="20"/>
          <w:color w:val="auto"/>
        </w:rPr>
      </w:pPr>
      <w:r>
        <w:rPr>
          <w:rFonts w:ascii="Arial" w:cs="Arial" w:eastAsia="Arial" w:hAnsi="Arial"/>
          <w:sz w:val="18"/>
          <w:szCs w:val="18"/>
          <w:color w:val="auto"/>
        </w:rPr>
        <w:t>Intangible assets are stated at cost less accumulated amortisation and impairment losses. Useful lives of intangible assets are reviewed and adjusted if appropriate at each reporting date. Residual value is estimated to be zero. Amortisation is charged to the income statement on a straight line basis over the estimated useful lives of intangible assets, currently estimated as follows:</w:t>
      </w:r>
    </w:p>
    <w:p>
      <w:pPr>
        <w:sectPr>
          <w:pgSz w:w="11900" w:h="16838" w:orient="portrait"/>
          <w:cols w:equalWidth="0" w:num="1">
            <w:col w:w="11420"/>
          </w:cols>
          <w:pgMar w:left="240" w:top="507"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Computer software</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jc w:val="right"/>
        <w:ind w:right="6520"/>
        <w:spacing w:after="0"/>
        <w:rPr>
          <w:sz w:val="20"/>
          <w:szCs w:val="20"/>
          <w:color w:val="auto"/>
        </w:rPr>
      </w:pPr>
      <w:r>
        <w:rPr>
          <w:rFonts w:ascii="Arial" w:cs="Arial" w:eastAsia="Arial" w:hAnsi="Arial"/>
          <w:sz w:val="16"/>
          <w:szCs w:val="16"/>
          <w:b w:val="1"/>
          <w:bCs w:val="1"/>
          <w:color w:val="auto"/>
        </w:rPr>
        <w:t>Years</w:t>
      </w:r>
    </w:p>
    <w:p>
      <w:pPr>
        <w:spacing w:after="0" w:line="50" w:lineRule="exact"/>
        <w:rPr>
          <w:sz w:val="20"/>
          <w:szCs w:val="20"/>
          <w:color w:val="auto"/>
        </w:rPr>
      </w:pPr>
    </w:p>
    <w:p>
      <w:pPr>
        <w:jc w:val="right"/>
        <w:ind w:right="6500"/>
        <w:spacing w:after="0"/>
        <w:rPr>
          <w:sz w:val="20"/>
          <w:szCs w:val="20"/>
          <w:color w:val="auto"/>
        </w:rPr>
      </w:pPr>
      <w:r>
        <w:rPr>
          <w:rFonts w:ascii="Arial" w:cs="Arial" w:eastAsia="Arial" w:hAnsi="Arial"/>
          <w:sz w:val="18"/>
          <w:szCs w:val="18"/>
          <w:color w:val="auto"/>
        </w:rPr>
        <w:t>2-8</w:t>
      </w:r>
    </w:p>
    <w:p>
      <w:pPr>
        <w:spacing w:after="0" w:line="200" w:lineRule="exact"/>
        <w:rPr>
          <w:sz w:val="20"/>
          <w:szCs w:val="20"/>
          <w:color w:val="auto"/>
        </w:rPr>
      </w:pPr>
    </w:p>
    <w:p>
      <w:pPr>
        <w:sectPr>
          <w:pgSz w:w="11900" w:h="16838" w:orient="portrait"/>
          <w:cols w:equalWidth="0" w:num="2">
            <w:col w:w="3740" w:space="720"/>
            <w:col w:w="6960"/>
          </w:cols>
          <w:pgMar w:left="240" w:top="507" w:right="239" w:bottom="1440" w:gutter="0" w:footer="0" w:header="0"/>
          <w:type w:val="continuous"/>
        </w:sectPr>
      </w:pPr>
    </w:p>
    <w:p>
      <w:pPr>
        <w:spacing w:after="0" w:line="3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252" w:lineRule="exact"/>
        <w:rPr>
          <w:sz w:val="20"/>
          <w:szCs w:val="20"/>
          <w:color w:val="auto"/>
        </w:rPr>
      </w:pPr>
    </w:p>
    <w:p>
      <w:pPr>
        <w:jc w:val="both"/>
        <w:ind w:left="360"/>
        <w:spacing w:after="0" w:line="273" w:lineRule="auto"/>
        <w:rPr>
          <w:sz w:val="20"/>
          <w:szCs w:val="20"/>
          <w:color w:val="auto"/>
        </w:rPr>
      </w:pPr>
      <w:r>
        <w:rPr>
          <w:rFonts w:ascii="Arial" w:cs="Arial" w:eastAsia="Arial" w:hAnsi="Arial"/>
          <w:sz w:val="17"/>
          <w:szCs w:val="17"/>
          <w:color w:val="auto"/>
        </w:rPr>
        <w:t>The presentation currency of the Group and Company is US Dollars ($). The functional currency of the Company is Euros. The Company financial statements have been presented in US dollars due to the Company’s international operations and profile. The foreign currency exchange differences arising from the translation of the financial statements of the company and its branches to US dollars are transferred to the foreign currency translation reserve. Transactions in currencies other than Euro are recorded at the rate ruling at the date of the transaction or at a contracted rate. Monetary assets and liabilities denominated in currencies other than Euro are translated at exchange rates prevailing at the statement of financial position date. Adjustments resulting from these transactions are charged or credited to income.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29"/>
          <w:szCs w:val="29"/>
          <w:color w:val="auto"/>
        </w:rPr>
        <w:t>ICON Plc</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Notes (continued)</w:t>
      </w:r>
    </w:p>
    <w:p>
      <w:pPr>
        <w:spacing w:after="0" w:line="236" w:lineRule="exact"/>
        <w:rPr>
          <w:sz w:val="20"/>
          <w:szCs w:val="20"/>
          <w:color w:val="auto"/>
        </w:rPr>
      </w:pPr>
    </w:p>
    <w:p>
      <w:pPr>
        <w:ind w:left="360" w:right="8660" w:hanging="352"/>
        <w:spacing w:after="0" w:line="641" w:lineRule="auto"/>
        <w:tabs>
          <w:tab w:leader="none" w:pos="36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Accounting policies </w:t>
      </w:r>
      <w:r>
        <w:rPr>
          <w:rFonts w:ascii="Arial" w:cs="Arial" w:eastAsia="Arial" w:hAnsi="Arial"/>
          <w:sz w:val="15"/>
          <w:szCs w:val="15"/>
          <w:b w:val="1"/>
          <w:bCs w:val="1"/>
          <w:i w:val="1"/>
          <w:iCs w:val="1"/>
          <w:color w:val="auto"/>
        </w:rPr>
        <w:t>(continued)</w:t>
      </w:r>
      <w:r>
        <w:rPr>
          <w:rFonts w:ascii="Arial" w:cs="Arial" w:eastAsia="Arial" w:hAnsi="Arial"/>
          <w:sz w:val="15"/>
          <w:szCs w:val="15"/>
          <w:b w:val="1"/>
          <w:bCs w:val="1"/>
          <w:color w:val="auto"/>
        </w:rPr>
        <w:t xml:space="preserve"> </w:t>
      </w:r>
      <w:r>
        <w:rPr>
          <w:rFonts w:ascii="Arial" w:cs="Arial" w:eastAsia="Arial" w:hAnsi="Arial"/>
          <w:sz w:val="15"/>
          <w:szCs w:val="15"/>
          <w:b w:val="1"/>
          <w:bCs w:val="1"/>
          <w:i w:val="1"/>
          <w:iCs w:val="1"/>
          <w:color w:val="auto"/>
        </w:rPr>
        <w:t>Property, plant and equipment</w:t>
      </w:r>
    </w:p>
    <w:p>
      <w:pPr>
        <w:spacing w:after="0" w:line="1" w:lineRule="exact"/>
        <w:rPr>
          <w:rFonts w:ascii="Arial" w:cs="Arial" w:eastAsia="Arial" w:hAnsi="Arial"/>
          <w:sz w:val="15"/>
          <w:szCs w:val="15"/>
          <w:b w:val="1"/>
          <w:bCs w:val="1"/>
          <w:color w:val="auto"/>
        </w:rPr>
      </w:pPr>
    </w:p>
    <w:p>
      <w:pPr>
        <w:ind w:left="360"/>
        <w:spacing w:after="0"/>
        <w:rPr>
          <w:rFonts w:ascii="Arial" w:cs="Arial" w:eastAsia="Arial" w:hAnsi="Arial"/>
          <w:sz w:val="15"/>
          <w:szCs w:val="15"/>
          <w:b w:val="1"/>
          <w:bCs w:val="1"/>
          <w:color w:val="auto"/>
        </w:rPr>
      </w:pPr>
      <w:r>
        <w:rPr>
          <w:rFonts w:ascii="Arial" w:cs="Arial" w:eastAsia="Arial" w:hAnsi="Arial"/>
          <w:sz w:val="18"/>
          <w:szCs w:val="18"/>
          <w:color w:val="auto"/>
        </w:rPr>
        <w:t>Items of property, plant and equipment are stated at cost less accumulated depreciation and any provisions for impairment losses.</w:t>
      </w:r>
    </w:p>
    <w:p>
      <w:pPr>
        <w:spacing w:after="0" w:line="252" w:lineRule="exact"/>
        <w:rPr>
          <w:rFonts w:ascii="Arial" w:cs="Arial" w:eastAsia="Arial" w:hAnsi="Arial"/>
          <w:sz w:val="15"/>
          <w:szCs w:val="15"/>
          <w:b w:val="1"/>
          <w:bCs w:val="1"/>
          <w:color w:val="auto"/>
        </w:rPr>
      </w:pPr>
    </w:p>
    <w:p>
      <w:pPr>
        <w:jc w:val="both"/>
        <w:ind w:left="360"/>
        <w:spacing w:after="0" w:line="259" w:lineRule="auto"/>
        <w:rPr>
          <w:rFonts w:ascii="Arial" w:cs="Arial" w:eastAsia="Arial" w:hAnsi="Arial"/>
          <w:sz w:val="15"/>
          <w:szCs w:val="15"/>
          <w:b w:val="1"/>
          <w:bCs w:val="1"/>
          <w:color w:val="auto"/>
        </w:rPr>
      </w:pPr>
      <w:r>
        <w:rPr>
          <w:rFonts w:ascii="Arial" w:cs="Arial" w:eastAsia="Arial" w:hAnsi="Arial"/>
          <w:sz w:val="18"/>
          <w:szCs w:val="18"/>
          <w:color w:val="auto"/>
        </w:rPr>
        <w:t>Depreciation is calculated to write off the original cost of property, plant and equipment less its estimated residual value over its expected useful lives on a straight line basis. Residual values and useful lives of property, plant and equipment are reviewed and adjusted if appropriate at each reporting date. At present it is estimated that all items of property, plant and equipment have no residual value. The estimated useful lives applied in determining the charge to depreciation are as follows:</w:t>
      </w:r>
    </w:p>
    <w:p>
      <w:pPr>
        <w:spacing w:after="0" w:line="210"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30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Years</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Computer software</w:t>
            </w:r>
          </w:p>
        </w:tc>
        <w:tc>
          <w:tcPr>
            <w:tcW w:w="1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Office furniture and fixtures</w:t>
            </w:r>
          </w:p>
        </w:tc>
        <w:tc>
          <w:tcPr>
            <w:tcW w:w="150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22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Leasehold improvements are amortised using the straight-line method over the estimated useful life of the asset or the lease term, whichever is shorter.</w:t>
      </w:r>
    </w:p>
    <w:p>
      <w:pPr>
        <w:spacing w:after="0" w:line="275" w:lineRule="exact"/>
        <w:rPr>
          <w:sz w:val="20"/>
          <w:szCs w:val="20"/>
          <w:color w:val="auto"/>
        </w:rPr>
      </w:pPr>
    </w:p>
    <w:p>
      <w:pPr>
        <w:jc w:val="both"/>
        <w:ind w:left="360"/>
        <w:spacing w:after="0" w:line="277" w:lineRule="auto"/>
        <w:rPr>
          <w:sz w:val="20"/>
          <w:szCs w:val="20"/>
          <w:color w:val="auto"/>
        </w:rPr>
      </w:pPr>
      <w:r>
        <w:rPr>
          <w:rFonts w:ascii="Arial" w:cs="Arial" w:eastAsia="Arial" w:hAnsi="Arial"/>
          <w:sz w:val="18"/>
          <w:szCs w:val="18"/>
          <w:color w:val="auto"/>
        </w:rPr>
        <w:t>On disposal of property, plant and equipment the cost and related accumulated depreciation and impairments are removed from the financial statements and the net amount, less any proceeds, is taken to the income statement.</w:t>
      </w:r>
    </w:p>
    <w:p>
      <w:pPr>
        <w:spacing w:after="0" w:line="197" w:lineRule="exact"/>
        <w:rPr>
          <w:sz w:val="20"/>
          <w:szCs w:val="20"/>
          <w:color w:val="auto"/>
        </w:rPr>
      </w:pPr>
    </w:p>
    <w:p>
      <w:pPr>
        <w:jc w:val="both"/>
        <w:ind w:left="360"/>
        <w:spacing w:after="0" w:line="302" w:lineRule="auto"/>
        <w:rPr>
          <w:sz w:val="20"/>
          <w:szCs w:val="20"/>
          <w:color w:val="auto"/>
        </w:rPr>
      </w:pPr>
      <w:r>
        <w:rPr>
          <w:rFonts w:ascii="Arial" w:cs="Arial" w:eastAsia="Arial" w:hAnsi="Arial"/>
          <w:sz w:val="16"/>
          <w:szCs w:val="16"/>
          <w:color w:val="auto"/>
        </w:rPr>
        <w:t>The carrying amounts of property, plant and equipment are reviewed at each reporting date to determine whether there is any indication of impairment. Where such an indication exists an impairment review is carried out. An impairment loss is recognised whenever the carrying amount of an asset or its cash generation unit exceeds its recoverable amount. Impairment losses are recognised in the income statement unless the asset is recorded at a re-valued amount, in which case it is firstly dealt with through the revaluation reserve with any residual amount being transferred to the income statement.</w:t>
      </w:r>
    </w:p>
    <w:p>
      <w:pPr>
        <w:spacing w:after="0" w:line="181" w:lineRule="exact"/>
        <w:rPr>
          <w:sz w:val="20"/>
          <w:szCs w:val="20"/>
          <w:color w:val="auto"/>
        </w:rPr>
      </w:pPr>
    </w:p>
    <w:p>
      <w:pPr>
        <w:jc w:val="both"/>
        <w:ind w:left="360"/>
        <w:spacing w:after="0" w:line="264" w:lineRule="auto"/>
        <w:rPr>
          <w:sz w:val="20"/>
          <w:szCs w:val="20"/>
          <w:color w:val="auto"/>
        </w:rPr>
      </w:pPr>
      <w:r>
        <w:rPr>
          <w:rFonts w:ascii="Arial" w:cs="Arial" w:eastAsia="Arial" w:hAnsi="Arial"/>
          <w:sz w:val="18"/>
          <w:szCs w:val="18"/>
          <w:color w:val="auto"/>
        </w:rPr>
        <w:t>Subsequent costs are included in an asset’s carrying amount or recognised as a separate asset, as appropriate, only when it is probable that future economic benefits associated with the item will flow to the Company and the cost of the replaced item can be measured reliably. All other repair and maintenance costs are charged to the income statement during the financial period in which they are incurred.</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4" w:name="page15"/>
    <w:bookmarkEnd w:id="14"/>
    <w:p>
      <w:pPr>
        <w:spacing w:after="0"/>
        <w:rPr>
          <w:sz w:val="20"/>
          <w:szCs w:val="20"/>
          <w:color w:val="auto"/>
        </w:rPr>
      </w:pPr>
      <w:r>
        <w:rPr>
          <w:rFonts w:ascii="Arial" w:cs="Arial" w:eastAsia="Arial" w:hAnsi="Arial"/>
          <w:sz w:val="29"/>
          <w:szCs w:val="29"/>
          <w:color w:val="auto"/>
        </w:rPr>
        <w:t>ICON Plc</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Notes (continued)</w:t>
      </w:r>
    </w:p>
    <w:p>
      <w:pPr>
        <w:spacing w:after="0" w:line="236" w:lineRule="exact"/>
        <w:rPr>
          <w:sz w:val="20"/>
          <w:szCs w:val="20"/>
          <w:color w:val="auto"/>
        </w:rPr>
      </w:pPr>
    </w:p>
    <w:p>
      <w:pPr>
        <w:ind w:left="360" w:right="8660" w:hanging="352"/>
        <w:spacing w:after="0" w:line="641" w:lineRule="auto"/>
        <w:tabs>
          <w:tab w:leader="none" w:pos="360"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Accounting policies </w:t>
      </w:r>
      <w:r>
        <w:rPr>
          <w:rFonts w:ascii="Arial" w:cs="Arial" w:eastAsia="Arial" w:hAnsi="Arial"/>
          <w:sz w:val="15"/>
          <w:szCs w:val="15"/>
          <w:b w:val="1"/>
          <w:bCs w:val="1"/>
          <w:i w:val="1"/>
          <w:iCs w:val="1"/>
          <w:color w:val="auto"/>
        </w:rPr>
        <w:t>(continued)</w:t>
      </w:r>
      <w:r>
        <w:rPr>
          <w:rFonts w:ascii="Arial" w:cs="Arial" w:eastAsia="Arial" w:hAnsi="Arial"/>
          <w:sz w:val="15"/>
          <w:szCs w:val="15"/>
          <w:b w:val="1"/>
          <w:bCs w:val="1"/>
          <w:color w:val="auto"/>
        </w:rPr>
        <w:t xml:space="preserve"> </w:t>
      </w:r>
      <w:r>
        <w:rPr>
          <w:rFonts w:ascii="Arial" w:cs="Arial" w:eastAsia="Arial" w:hAnsi="Arial"/>
          <w:sz w:val="15"/>
          <w:szCs w:val="15"/>
          <w:b w:val="1"/>
          <w:bCs w:val="1"/>
          <w:i w:val="1"/>
          <w:iCs w:val="1"/>
          <w:color w:val="auto"/>
        </w:rPr>
        <w:t>Investments in subsidiaries</w:t>
      </w:r>
    </w:p>
    <w:p>
      <w:pPr>
        <w:spacing w:after="0" w:line="1" w:lineRule="exact"/>
        <w:rPr>
          <w:rFonts w:ascii="Arial" w:cs="Arial" w:eastAsia="Arial" w:hAnsi="Arial"/>
          <w:sz w:val="15"/>
          <w:szCs w:val="15"/>
          <w:b w:val="1"/>
          <w:bCs w:val="1"/>
          <w:color w:val="auto"/>
        </w:rPr>
      </w:pPr>
    </w:p>
    <w:p>
      <w:pPr>
        <w:jc w:val="both"/>
        <w:ind w:left="360" w:right="20"/>
        <w:spacing w:after="0" w:line="264" w:lineRule="auto"/>
        <w:rPr>
          <w:rFonts w:ascii="Arial" w:cs="Arial" w:eastAsia="Arial" w:hAnsi="Arial"/>
          <w:sz w:val="15"/>
          <w:szCs w:val="15"/>
          <w:b w:val="1"/>
          <w:bCs w:val="1"/>
          <w:color w:val="auto"/>
        </w:rPr>
      </w:pPr>
      <w:r>
        <w:rPr>
          <w:rFonts w:ascii="Arial" w:cs="Arial" w:eastAsia="Arial" w:hAnsi="Arial"/>
          <w:sz w:val="18"/>
          <w:szCs w:val="18"/>
          <w:color w:val="auto"/>
        </w:rPr>
        <w:t>Investments in subsidiary undertakings are stated at cost less provision for impairment in the Company’s statement of financial position. Non-trading loans to subsidiary undertakings are initially recorded at fair value in the Company statement of financial position and subsequently at amortised cost using an effective interest rate methodology.</w:t>
      </w:r>
    </w:p>
    <w:p>
      <w:pPr>
        <w:spacing w:after="0" w:line="208" w:lineRule="exact"/>
        <w:rPr>
          <w:rFonts w:ascii="Arial" w:cs="Arial" w:eastAsia="Arial" w:hAnsi="Arial"/>
          <w:sz w:val="15"/>
          <w:szCs w:val="15"/>
          <w:b w:val="1"/>
          <w:bCs w:val="1"/>
          <w:color w:val="auto"/>
        </w:rPr>
      </w:pPr>
    </w:p>
    <w:p>
      <w:pPr>
        <w:ind w:left="360"/>
        <w:spacing w:after="0" w:line="277" w:lineRule="auto"/>
        <w:rPr>
          <w:rFonts w:ascii="Arial" w:cs="Arial" w:eastAsia="Arial" w:hAnsi="Arial"/>
          <w:sz w:val="15"/>
          <w:szCs w:val="15"/>
          <w:b w:val="1"/>
          <w:bCs w:val="1"/>
          <w:color w:val="auto"/>
        </w:rPr>
      </w:pPr>
      <w:r>
        <w:rPr>
          <w:rFonts w:ascii="Arial" w:cs="Arial" w:eastAsia="Arial" w:hAnsi="Arial"/>
          <w:sz w:val="18"/>
          <w:szCs w:val="18"/>
          <w:color w:val="auto"/>
        </w:rPr>
        <w:t>Share based payments received by employees of subsidiary undertakings without a related recharge / payment from the subsidiary undertaking, is considered a gift to that subsidiary undertaking, and as a result increases the investment in the subsidiary undertaking.</w:t>
      </w:r>
    </w:p>
    <w:p>
      <w:pPr>
        <w:spacing w:after="0" w:line="197" w:lineRule="exact"/>
        <w:rPr>
          <w:rFonts w:ascii="Arial" w:cs="Arial" w:eastAsia="Arial" w:hAnsi="Arial"/>
          <w:sz w:val="15"/>
          <w:szCs w:val="15"/>
          <w:b w:val="1"/>
          <w:bCs w:val="1"/>
          <w:color w:val="auto"/>
        </w:rPr>
      </w:pPr>
    </w:p>
    <w:p>
      <w:pPr>
        <w:ind w:left="360"/>
        <w:spacing w:after="0"/>
        <w:rPr>
          <w:rFonts w:ascii="Arial" w:cs="Arial" w:eastAsia="Arial" w:hAnsi="Arial"/>
          <w:sz w:val="15"/>
          <w:szCs w:val="15"/>
          <w:b w:val="1"/>
          <w:bCs w:val="1"/>
          <w:color w:val="auto"/>
        </w:rPr>
      </w:pPr>
      <w:r>
        <w:rPr>
          <w:rFonts w:ascii="Arial" w:cs="Arial" w:eastAsia="Arial" w:hAnsi="Arial"/>
          <w:sz w:val="18"/>
          <w:szCs w:val="18"/>
          <w:b w:val="1"/>
          <w:bCs w:val="1"/>
          <w:i w:val="1"/>
          <w:iCs w:val="1"/>
          <w:color w:val="auto"/>
        </w:rPr>
        <w:t>Other receivables</w:t>
      </w:r>
    </w:p>
    <w:p>
      <w:pPr>
        <w:spacing w:after="0" w:line="252" w:lineRule="exact"/>
        <w:rPr>
          <w:rFonts w:ascii="Arial" w:cs="Arial" w:eastAsia="Arial" w:hAnsi="Arial"/>
          <w:sz w:val="15"/>
          <w:szCs w:val="15"/>
          <w:b w:val="1"/>
          <w:bCs w:val="1"/>
          <w:color w:val="auto"/>
        </w:rPr>
      </w:pPr>
    </w:p>
    <w:p>
      <w:pPr>
        <w:jc w:val="both"/>
        <w:ind w:left="360"/>
        <w:spacing w:after="0" w:line="259" w:lineRule="auto"/>
        <w:rPr>
          <w:rFonts w:ascii="Arial" w:cs="Arial" w:eastAsia="Arial" w:hAnsi="Arial"/>
          <w:sz w:val="15"/>
          <w:szCs w:val="15"/>
          <w:b w:val="1"/>
          <w:bCs w:val="1"/>
          <w:color w:val="auto"/>
        </w:rPr>
      </w:pPr>
      <w:r>
        <w:rPr>
          <w:rFonts w:ascii="Arial" w:cs="Arial" w:eastAsia="Arial" w:hAnsi="Arial"/>
          <w:sz w:val="18"/>
          <w:szCs w:val="18"/>
          <w:color w:val="auto"/>
        </w:rPr>
        <w:t>Other receivables are initially measured at fair value and are thereafter measured at amortised cost using the effective interest rate method less any provision for impairment. A provision for impairment of other receivables is recognised when there is objective evidence that the Company will not be able to collect all amounts due according to the original terms of the receivables. Impairment losses, and any subsequent recovery of such losses, are recognised in the income statement within ‘other operating expenses’.</w:t>
      </w:r>
    </w:p>
    <w:p>
      <w:pPr>
        <w:spacing w:after="0" w:line="213" w:lineRule="exact"/>
        <w:rPr>
          <w:rFonts w:ascii="Arial" w:cs="Arial" w:eastAsia="Arial" w:hAnsi="Arial"/>
          <w:sz w:val="15"/>
          <w:szCs w:val="15"/>
          <w:b w:val="1"/>
          <w:bCs w:val="1"/>
          <w:color w:val="auto"/>
        </w:rPr>
      </w:pPr>
    </w:p>
    <w:p>
      <w:pPr>
        <w:ind w:left="360"/>
        <w:spacing w:after="0"/>
        <w:rPr>
          <w:rFonts w:ascii="Arial" w:cs="Arial" w:eastAsia="Arial" w:hAnsi="Arial"/>
          <w:sz w:val="15"/>
          <w:szCs w:val="15"/>
          <w:b w:val="1"/>
          <w:bCs w:val="1"/>
          <w:color w:val="auto"/>
        </w:rPr>
      </w:pPr>
      <w:r>
        <w:rPr>
          <w:rFonts w:ascii="Arial" w:cs="Arial" w:eastAsia="Arial" w:hAnsi="Arial"/>
          <w:sz w:val="18"/>
          <w:szCs w:val="18"/>
          <w:b w:val="1"/>
          <w:bCs w:val="1"/>
          <w:i w:val="1"/>
          <w:iCs w:val="1"/>
          <w:color w:val="auto"/>
        </w:rPr>
        <w:t>Cash and cash equivalents</w:t>
      </w:r>
    </w:p>
    <w:p>
      <w:pPr>
        <w:spacing w:after="0" w:line="252" w:lineRule="exact"/>
        <w:rPr>
          <w:rFonts w:ascii="Arial" w:cs="Arial" w:eastAsia="Arial" w:hAnsi="Arial"/>
          <w:sz w:val="15"/>
          <w:szCs w:val="15"/>
          <w:b w:val="1"/>
          <w:bCs w:val="1"/>
          <w:color w:val="auto"/>
        </w:rPr>
      </w:pPr>
    </w:p>
    <w:p>
      <w:pPr>
        <w:ind w:left="360"/>
        <w:spacing w:after="0" w:line="277" w:lineRule="auto"/>
        <w:rPr>
          <w:rFonts w:ascii="Arial" w:cs="Arial" w:eastAsia="Arial" w:hAnsi="Arial"/>
          <w:sz w:val="15"/>
          <w:szCs w:val="15"/>
          <w:b w:val="1"/>
          <w:bCs w:val="1"/>
          <w:color w:val="auto"/>
        </w:rPr>
      </w:pPr>
      <w:r>
        <w:rPr>
          <w:rFonts w:ascii="Arial" w:cs="Arial" w:eastAsia="Arial" w:hAnsi="Arial"/>
          <w:sz w:val="18"/>
          <w:szCs w:val="18"/>
          <w:color w:val="auto"/>
        </w:rPr>
        <w:t>Cash and cash equivalents include cash and highly liquid investments with initial maturities of three months or less and are stated at cost, which approximates market value.</w:t>
      </w:r>
    </w:p>
    <w:p>
      <w:pPr>
        <w:spacing w:after="0" w:line="197" w:lineRule="exact"/>
        <w:rPr>
          <w:rFonts w:ascii="Arial" w:cs="Arial" w:eastAsia="Arial" w:hAnsi="Arial"/>
          <w:sz w:val="15"/>
          <w:szCs w:val="15"/>
          <w:b w:val="1"/>
          <w:bCs w:val="1"/>
          <w:color w:val="auto"/>
        </w:rPr>
      </w:pPr>
    </w:p>
    <w:p>
      <w:pPr>
        <w:ind w:left="360"/>
        <w:spacing w:after="0"/>
        <w:rPr>
          <w:rFonts w:ascii="Arial" w:cs="Arial" w:eastAsia="Arial" w:hAnsi="Arial"/>
          <w:sz w:val="15"/>
          <w:szCs w:val="15"/>
          <w:b w:val="1"/>
          <w:bCs w:val="1"/>
          <w:color w:val="auto"/>
        </w:rPr>
      </w:pPr>
      <w:r>
        <w:rPr>
          <w:rFonts w:ascii="Arial" w:cs="Arial" w:eastAsia="Arial" w:hAnsi="Arial"/>
          <w:sz w:val="18"/>
          <w:szCs w:val="18"/>
          <w:b w:val="1"/>
          <w:bCs w:val="1"/>
          <w:i w:val="1"/>
          <w:iCs w:val="1"/>
          <w:color w:val="auto"/>
        </w:rPr>
        <w:t>Accounts payable</w:t>
      </w:r>
    </w:p>
    <w:p>
      <w:pPr>
        <w:spacing w:after="0" w:line="252" w:lineRule="exact"/>
        <w:rPr>
          <w:rFonts w:ascii="Arial" w:cs="Arial" w:eastAsia="Arial" w:hAnsi="Arial"/>
          <w:sz w:val="15"/>
          <w:szCs w:val="15"/>
          <w:b w:val="1"/>
          <w:bCs w:val="1"/>
          <w:color w:val="auto"/>
        </w:rPr>
      </w:pPr>
    </w:p>
    <w:p>
      <w:pPr>
        <w:ind w:left="360"/>
        <w:spacing w:after="0"/>
        <w:rPr>
          <w:rFonts w:ascii="Arial" w:cs="Arial" w:eastAsia="Arial" w:hAnsi="Arial"/>
          <w:sz w:val="15"/>
          <w:szCs w:val="15"/>
          <w:b w:val="1"/>
          <w:bCs w:val="1"/>
          <w:color w:val="auto"/>
        </w:rPr>
      </w:pPr>
      <w:r>
        <w:rPr>
          <w:rFonts w:ascii="Arial" w:cs="Arial" w:eastAsia="Arial" w:hAnsi="Arial"/>
          <w:sz w:val="17"/>
          <w:szCs w:val="17"/>
          <w:color w:val="auto"/>
        </w:rPr>
        <w:t>Account payable are recognised initially at fair value and subsequently measured at amortised cost using the effective interest rate method.</w:t>
      </w:r>
    </w:p>
    <w:p>
      <w:pPr>
        <w:spacing w:after="0" w:line="263" w:lineRule="exact"/>
        <w:rPr>
          <w:rFonts w:ascii="Arial" w:cs="Arial" w:eastAsia="Arial" w:hAnsi="Arial"/>
          <w:sz w:val="15"/>
          <w:szCs w:val="15"/>
          <w:b w:val="1"/>
          <w:bCs w:val="1"/>
          <w:color w:val="auto"/>
        </w:rPr>
      </w:pPr>
    </w:p>
    <w:p>
      <w:pPr>
        <w:ind w:left="360"/>
        <w:spacing w:after="0"/>
        <w:rPr>
          <w:rFonts w:ascii="Arial" w:cs="Arial" w:eastAsia="Arial" w:hAnsi="Arial"/>
          <w:sz w:val="15"/>
          <w:szCs w:val="15"/>
          <w:b w:val="1"/>
          <w:bCs w:val="1"/>
          <w:color w:val="auto"/>
        </w:rPr>
      </w:pPr>
      <w:r>
        <w:rPr>
          <w:rFonts w:ascii="Arial" w:cs="Arial" w:eastAsia="Arial" w:hAnsi="Arial"/>
          <w:sz w:val="18"/>
          <w:szCs w:val="18"/>
          <w:b w:val="1"/>
          <w:bCs w:val="1"/>
          <w:i w:val="1"/>
          <w:iCs w:val="1"/>
          <w:color w:val="auto"/>
        </w:rPr>
        <w:t>Share capital</w:t>
      </w:r>
    </w:p>
    <w:p>
      <w:pPr>
        <w:spacing w:after="0" w:line="252" w:lineRule="exact"/>
        <w:rPr>
          <w:rFonts w:ascii="Arial" w:cs="Arial" w:eastAsia="Arial" w:hAnsi="Arial"/>
          <w:sz w:val="15"/>
          <w:szCs w:val="15"/>
          <w:b w:val="1"/>
          <w:bCs w:val="1"/>
          <w:color w:val="auto"/>
        </w:rPr>
      </w:pPr>
    </w:p>
    <w:p>
      <w:pPr>
        <w:ind w:left="360"/>
        <w:spacing w:after="0" w:line="277" w:lineRule="auto"/>
        <w:rPr>
          <w:rFonts w:ascii="Arial" w:cs="Arial" w:eastAsia="Arial" w:hAnsi="Arial"/>
          <w:sz w:val="15"/>
          <w:szCs w:val="15"/>
          <w:b w:val="1"/>
          <w:bCs w:val="1"/>
          <w:color w:val="auto"/>
        </w:rPr>
      </w:pPr>
      <w:r>
        <w:rPr>
          <w:rFonts w:ascii="Arial" w:cs="Arial" w:eastAsia="Arial" w:hAnsi="Arial"/>
          <w:sz w:val="18"/>
          <w:szCs w:val="18"/>
          <w:color w:val="auto"/>
        </w:rPr>
        <w:t>Ordinary shares are classified as equity. Incremental costs directly attributable to the issue of new shares or options are shown in equity as a deduction, net of tax, from the proceeds.</w:t>
      </w:r>
    </w:p>
    <w:p>
      <w:pPr>
        <w:spacing w:after="0" w:line="197" w:lineRule="exact"/>
        <w:rPr>
          <w:rFonts w:ascii="Arial" w:cs="Arial" w:eastAsia="Arial" w:hAnsi="Arial"/>
          <w:sz w:val="15"/>
          <w:szCs w:val="15"/>
          <w:b w:val="1"/>
          <w:bCs w:val="1"/>
          <w:color w:val="auto"/>
        </w:rPr>
      </w:pPr>
    </w:p>
    <w:p>
      <w:pPr>
        <w:ind w:left="360" w:right="20"/>
        <w:spacing w:after="0" w:line="277" w:lineRule="auto"/>
        <w:rPr>
          <w:rFonts w:ascii="Arial" w:cs="Arial" w:eastAsia="Arial" w:hAnsi="Arial"/>
          <w:sz w:val="15"/>
          <w:szCs w:val="15"/>
          <w:b w:val="1"/>
          <w:bCs w:val="1"/>
          <w:color w:val="auto"/>
        </w:rPr>
      </w:pPr>
      <w:r>
        <w:rPr>
          <w:rFonts w:ascii="Arial" w:cs="Arial" w:eastAsia="Arial" w:hAnsi="Arial"/>
          <w:sz w:val="18"/>
          <w:szCs w:val="18"/>
          <w:color w:val="auto"/>
        </w:rPr>
        <w:t>Where ordinary shares are repurchased by the Company they are cancelled and the nominal value of the shares is transferred to a capital redemption reserve fund within equity.</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5" w:name="page16"/>
    <w:bookmarkEnd w:id="15"/>
    <w:p>
      <w:pPr>
        <w:spacing w:after="0"/>
        <w:rPr>
          <w:sz w:val="20"/>
          <w:szCs w:val="20"/>
          <w:color w:val="auto"/>
        </w:rPr>
      </w:pPr>
      <w:r>
        <w:rPr>
          <w:rFonts w:ascii="Arial" w:cs="Arial" w:eastAsia="Arial" w:hAnsi="Arial"/>
          <w:sz w:val="29"/>
          <w:szCs w:val="29"/>
          <w:color w:val="auto"/>
        </w:rPr>
        <w:t>ICON Plc</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Notes (continued)</w:t>
      </w:r>
    </w:p>
    <w:p>
      <w:pPr>
        <w:spacing w:after="0" w:line="200" w:lineRule="exact"/>
        <w:rPr>
          <w:sz w:val="20"/>
          <w:szCs w:val="20"/>
          <w:color w:val="auto"/>
        </w:rPr>
      </w:pPr>
    </w:p>
    <w:p>
      <w:pPr>
        <w:spacing w:after="0" w:line="279" w:lineRule="exact"/>
        <w:rPr>
          <w:sz w:val="20"/>
          <w:szCs w:val="20"/>
          <w:color w:val="auto"/>
        </w:rPr>
      </w:pPr>
    </w:p>
    <w:p>
      <w:pPr>
        <w:ind w:left="360" w:right="8660" w:hanging="352"/>
        <w:spacing w:after="0" w:line="601" w:lineRule="auto"/>
        <w:tabs>
          <w:tab w:leader="none" w:pos="36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Accounting policies </w:t>
      </w:r>
      <w:r>
        <w:rPr>
          <w:rFonts w:ascii="Arial" w:cs="Arial" w:eastAsia="Arial" w:hAnsi="Arial"/>
          <w:sz w:val="16"/>
          <w:szCs w:val="16"/>
          <w:b w:val="1"/>
          <w:bCs w:val="1"/>
          <w:i w:val="1"/>
          <w:iCs w:val="1"/>
          <w:color w:val="auto"/>
        </w:rPr>
        <w:t>(continued)</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Employee benefits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 Pension and other post-employment benefits</w:t>
      </w:r>
    </w:p>
    <w:p>
      <w:pPr>
        <w:spacing w:after="0" w:line="23" w:lineRule="exact"/>
        <w:rPr>
          <w:sz w:val="20"/>
          <w:szCs w:val="20"/>
          <w:color w:val="auto"/>
        </w:rPr>
      </w:pPr>
    </w:p>
    <w:p>
      <w:pPr>
        <w:jc w:val="both"/>
        <w:ind w:left="360"/>
        <w:spacing w:after="0" w:line="254" w:lineRule="auto"/>
        <w:rPr>
          <w:sz w:val="20"/>
          <w:szCs w:val="20"/>
          <w:color w:val="auto"/>
        </w:rPr>
      </w:pPr>
      <w:r>
        <w:rPr>
          <w:rFonts w:ascii="Arial" w:cs="Arial" w:eastAsia="Arial" w:hAnsi="Arial"/>
          <w:sz w:val="18"/>
          <w:szCs w:val="18"/>
          <w:color w:val="auto"/>
        </w:rPr>
        <w:t>The Company operates a defined contribution pension plan. A defined contribution plan is a pension plan under which the Company pays fixed contributions into a separate entity. The Company has no legal or constructive obligations to pay further contributions if the fund does not hold sufficient assets to pay all employees the benefits relating to employee service in the current and prior periods. Contributions to defined contribution pension plans are expensed as incurred.</w:t>
      </w:r>
    </w:p>
    <w:p>
      <w:pPr>
        <w:spacing w:after="0" w:line="21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(b) Share-based payments</w:t>
      </w:r>
    </w:p>
    <w:p>
      <w:pPr>
        <w:spacing w:after="0" w:line="23" w:lineRule="exact"/>
        <w:rPr>
          <w:sz w:val="20"/>
          <w:szCs w:val="20"/>
          <w:color w:val="auto"/>
        </w:rPr>
      </w:pPr>
    </w:p>
    <w:p>
      <w:pPr>
        <w:jc w:val="both"/>
        <w:ind w:left="360"/>
        <w:spacing w:after="0" w:line="268" w:lineRule="auto"/>
        <w:rPr>
          <w:sz w:val="20"/>
          <w:szCs w:val="20"/>
          <w:color w:val="auto"/>
        </w:rPr>
      </w:pPr>
      <w:r>
        <w:rPr>
          <w:rFonts w:ascii="Arial" w:cs="Arial" w:eastAsia="Arial" w:hAnsi="Arial"/>
          <w:sz w:val="17"/>
          <w:szCs w:val="17"/>
          <w:color w:val="auto"/>
        </w:rPr>
        <w:t>Share-based payments comprise options to acquire ordinary shares in the Company, restricted share units (RSUs) and performance share units (PSUs) in the form of ordinary share entitlements after a certain period of time. These are awarded to the certain key employees of the Group based on service conditions such as term of employment and individual performance. The fair value of options, RSUs and PSUs granted is recognised as an employee expense with a corresponding increase in equity. The fair value is measured at grant date and spread over the period during which the individual become unconditionally entitled to the options, RSU or PSU. The fair value of options granted is measured using a binomial lattice model, taking into account the terms and conditions upon which the options were granted. The fair value of RSUs and PSUs is equal to the market price at date of grant. The total amount to be expensed is determined by reference to the fair value of the options, RSUs or PSUs granted, excluding the impact of any non-market service and performance vesting conditions (for example profitability, sales growth targets). There are no such non-market vesting conditions during the period in relation to options or RSUs that are expected to vest. The amount recognised as an expense is adjusted to reflect the actual number of share options, RSUs or PSUs that vest.</w:t>
      </w:r>
    </w:p>
    <w:p>
      <w:pPr>
        <w:spacing w:after="0" w:line="207" w:lineRule="exact"/>
        <w:rPr>
          <w:sz w:val="20"/>
          <w:szCs w:val="20"/>
          <w:color w:val="auto"/>
        </w:rPr>
      </w:pPr>
    </w:p>
    <w:p>
      <w:pPr>
        <w:jc w:val="both"/>
        <w:ind w:left="360"/>
        <w:spacing w:after="0" w:line="259" w:lineRule="auto"/>
        <w:rPr>
          <w:sz w:val="20"/>
          <w:szCs w:val="20"/>
          <w:color w:val="auto"/>
        </w:rPr>
      </w:pPr>
      <w:r>
        <w:rPr>
          <w:rFonts w:ascii="Arial" w:cs="Arial" w:eastAsia="Arial" w:hAnsi="Arial"/>
          <w:sz w:val="18"/>
          <w:szCs w:val="18"/>
          <w:color w:val="auto"/>
        </w:rPr>
        <w:t>The share-based payment expense associated with the plans is recognised by the entity which receives services in exchange for the share-based payment compensation. Share-based payment expense is recognised over the requisite service period for awards of equity instruments to employees based on the grant date fair value of those awards expected to ultimately vest. Forfeitures are estimated on the date of grant and revised if actual or expected forfeiture activity differs materially from original estimates.</w:t>
      </w:r>
    </w:p>
    <w:p>
      <w:pPr>
        <w:spacing w:after="0" w:line="214" w:lineRule="exact"/>
        <w:rPr>
          <w:sz w:val="20"/>
          <w:szCs w:val="20"/>
          <w:color w:val="auto"/>
        </w:rPr>
      </w:pPr>
    </w:p>
    <w:p>
      <w:pPr>
        <w:jc w:val="both"/>
        <w:ind w:left="360"/>
        <w:spacing w:after="0" w:line="297" w:lineRule="auto"/>
        <w:rPr>
          <w:sz w:val="20"/>
          <w:szCs w:val="20"/>
          <w:color w:val="auto"/>
        </w:rPr>
      </w:pPr>
      <w:r>
        <w:rPr>
          <w:rFonts w:ascii="Arial" w:cs="Arial" w:eastAsia="Arial" w:hAnsi="Arial"/>
          <w:sz w:val="16"/>
          <w:szCs w:val="16"/>
          <w:color w:val="auto"/>
        </w:rPr>
        <w:t>The income statement of the Company is charged with the expense related to the services received by the Company. The remaining portions of the share-based payments represent a contribution to Company entities and are added to the carrying amount of those investments. Under an agreement, the subsidiaries pay the Company an amount equal to the value of the ordinary shares issued that is in excess of the award exercise price with such amount reducing theCompany’s investment in its subsidiaries. The net effect of the grant date fair value of the Company’s share-based compensation to employees of the Company’s subsidiaries and recharges received from those subsidiaries is presented as a movement in financial fixed assets.</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Direct costs</w:t>
      </w:r>
    </w:p>
    <w:p>
      <w:pPr>
        <w:spacing w:after="0" w:line="252" w:lineRule="exact"/>
        <w:rPr>
          <w:sz w:val="20"/>
          <w:szCs w:val="20"/>
          <w:color w:val="auto"/>
        </w:rPr>
      </w:pPr>
    </w:p>
    <w:p>
      <w:pPr>
        <w:jc w:val="both"/>
        <w:ind w:left="360"/>
        <w:spacing w:after="0" w:line="277" w:lineRule="auto"/>
        <w:rPr>
          <w:sz w:val="20"/>
          <w:szCs w:val="20"/>
          <w:color w:val="auto"/>
        </w:rPr>
      </w:pPr>
      <w:r>
        <w:rPr>
          <w:rFonts w:ascii="Arial" w:cs="Arial" w:eastAsia="Arial" w:hAnsi="Arial"/>
          <w:sz w:val="18"/>
          <w:szCs w:val="18"/>
          <w:color w:val="auto"/>
        </w:rPr>
        <w:t>Direct costs consist of compensation, associated employee benefits and share-based payments for project-related employees and other direct project-related costs.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6" w:name="page17"/>
    <w:bookmarkEnd w:id="16"/>
    <w:p>
      <w:pPr>
        <w:spacing w:after="0"/>
        <w:rPr>
          <w:sz w:val="20"/>
          <w:szCs w:val="20"/>
          <w:color w:val="auto"/>
        </w:rPr>
      </w:pPr>
      <w:r>
        <w:rPr>
          <w:rFonts w:ascii="Arial" w:cs="Arial" w:eastAsia="Arial" w:hAnsi="Arial"/>
          <w:sz w:val="29"/>
          <w:szCs w:val="29"/>
          <w:color w:val="auto"/>
        </w:rPr>
        <w:t>ICON Plc</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Notes (continued)</w:t>
      </w:r>
    </w:p>
    <w:p>
      <w:pPr>
        <w:spacing w:after="0" w:line="236" w:lineRule="exact"/>
        <w:rPr>
          <w:sz w:val="20"/>
          <w:szCs w:val="20"/>
          <w:color w:val="auto"/>
        </w:rPr>
      </w:pPr>
    </w:p>
    <w:p>
      <w:pPr>
        <w:ind w:left="360" w:right="8660" w:hanging="352"/>
        <w:spacing w:after="0" w:line="641" w:lineRule="auto"/>
        <w:tabs>
          <w:tab w:leader="none" w:pos="360"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Accounting policies </w:t>
      </w:r>
      <w:r>
        <w:rPr>
          <w:rFonts w:ascii="Arial" w:cs="Arial" w:eastAsia="Arial" w:hAnsi="Arial"/>
          <w:sz w:val="15"/>
          <w:szCs w:val="15"/>
          <w:b w:val="1"/>
          <w:bCs w:val="1"/>
          <w:i w:val="1"/>
          <w:iCs w:val="1"/>
          <w:color w:val="auto"/>
        </w:rPr>
        <w:t>(continued)</w:t>
      </w:r>
      <w:r>
        <w:rPr>
          <w:rFonts w:ascii="Arial" w:cs="Arial" w:eastAsia="Arial" w:hAnsi="Arial"/>
          <w:sz w:val="15"/>
          <w:szCs w:val="15"/>
          <w:b w:val="1"/>
          <w:bCs w:val="1"/>
          <w:color w:val="auto"/>
        </w:rPr>
        <w:t xml:space="preserve"> </w:t>
      </w:r>
      <w:r>
        <w:rPr>
          <w:rFonts w:ascii="Arial" w:cs="Arial" w:eastAsia="Arial" w:hAnsi="Arial"/>
          <w:sz w:val="15"/>
          <w:szCs w:val="15"/>
          <w:b w:val="1"/>
          <w:bCs w:val="1"/>
          <w:i w:val="1"/>
          <w:iCs w:val="1"/>
          <w:color w:val="auto"/>
        </w:rPr>
        <w:t>Other operating expenses</w:t>
      </w:r>
    </w:p>
    <w:p>
      <w:pPr>
        <w:spacing w:after="0" w:line="1" w:lineRule="exact"/>
        <w:rPr>
          <w:rFonts w:ascii="Arial" w:cs="Arial" w:eastAsia="Arial" w:hAnsi="Arial"/>
          <w:sz w:val="15"/>
          <w:szCs w:val="15"/>
          <w:b w:val="1"/>
          <w:bCs w:val="1"/>
          <w:color w:val="auto"/>
        </w:rPr>
      </w:pPr>
    </w:p>
    <w:p>
      <w:pPr>
        <w:ind w:left="360"/>
        <w:spacing w:after="0" w:line="342" w:lineRule="auto"/>
        <w:rPr>
          <w:rFonts w:ascii="Arial" w:cs="Arial" w:eastAsia="Arial" w:hAnsi="Arial"/>
          <w:sz w:val="15"/>
          <w:szCs w:val="15"/>
          <w:b w:val="1"/>
          <w:bCs w:val="1"/>
          <w:color w:val="auto"/>
        </w:rPr>
      </w:pPr>
      <w:r>
        <w:rPr>
          <w:rFonts w:ascii="Arial" w:cs="Arial" w:eastAsia="Arial" w:hAnsi="Arial"/>
          <w:sz w:val="16"/>
          <w:szCs w:val="16"/>
          <w:color w:val="auto"/>
        </w:rPr>
        <w:t>Other operating expenses consist of compensation, associated employee benefits and share-based payments for non-project-related employees and other indirect costs associated with the business. Other operating expenses also includes depreciation expenses and the amortisation of intangible assets.</w:t>
      </w:r>
    </w:p>
    <w:p>
      <w:pPr>
        <w:spacing w:after="0" w:line="393" w:lineRule="exact"/>
        <w:rPr>
          <w:rFonts w:ascii="Arial" w:cs="Arial" w:eastAsia="Arial" w:hAnsi="Arial"/>
          <w:sz w:val="15"/>
          <w:szCs w:val="15"/>
          <w:b w:val="1"/>
          <w:bCs w:val="1"/>
          <w:color w:val="auto"/>
        </w:rPr>
      </w:pPr>
    </w:p>
    <w:p>
      <w:pPr>
        <w:ind w:left="360"/>
        <w:spacing w:after="0"/>
        <w:rPr>
          <w:rFonts w:ascii="Arial" w:cs="Arial" w:eastAsia="Arial" w:hAnsi="Arial"/>
          <w:sz w:val="15"/>
          <w:szCs w:val="15"/>
          <w:b w:val="1"/>
          <w:bCs w:val="1"/>
          <w:color w:val="auto"/>
        </w:rPr>
      </w:pPr>
      <w:r>
        <w:rPr>
          <w:rFonts w:ascii="Arial" w:cs="Arial" w:eastAsia="Arial" w:hAnsi="Arial"/>
          <w:sz w:val="18"/>
          <w:szCs w:val="18"/>
          <w:b w:val="1"/>
          <w:bCs w:val="1"/>
          <w:i w:val="1"/>
          <w:iCs w:val="1"/>
          <w:color w:val="auto"/>
        </w:rPr>
        <w:t>Financing income</w:t>
      </w:r>
    </w:p>
    <w:p>
      <w:pPr>
        <w:spacing w:after="0" w:line="252" w:lineRule="exact"/>
        <w:rPr>
          <w:rFonts w:ascii="Arial" w:cs="Arial" w:eastAsia="Arial" w:hAnsi="Arial"/>
          <w:sz w:val="15"/>
          <w:szCs w:val="15"/>
          <w:b w:val="1"/>
          <w:bCs w:val="1"/>
          <w:color w:val="auto"/>
        </w:rPr>
      </w:pPr>
    </w:p>
    <w:p>
      <w:pPr>
        <w:ind w:left="360" w:right="20"/>
        <w:spacing w:after="0" w:line="308" w:lineRule="auto"/>
        <w:rPr>
          <w:rFonts w:ascii="Arial" w:cs="Arial" w:eastAsia="Arial" w:hAnsi="Arial"/>
          <w:sz w:val="15"/>
          <w:szCs w:val="15"/>
          <w:b w:val="1"/>
          <w:bCs w:val="1"/>
          <w:color w:val="auto"/>
        </w:rPr>
      </w:pPr>
      <w:r>
        <w:rPr>
          <w:rFonts w:ascii="Arial" w:cs="Arial" w:eastAsia="Arial" w:hAnsi="Arial"/>
          <w:sz w:val="17"/>
          <w:szCs w:val="17"/>
          <w:color w:val="auto"/>
        </w:rPr>
        <w:t>Interest income is recognised in the income statement as it accrues, using the effective interest rate method and includes interest receivable on funds invested and actuarial gains on pension plan assets. Financing income also includes dividends received from group undertakings.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7" w:name="page18"/>
    <w:bookmarkEnd w:id="17"/>
    <w:p>
      <w:pPr>
        <w:spacing w:after="0"/>
        <w:rPr>
          <w:sz w:val="20"/>
          <w:szCs w:val="20"/>
          <w:color w:val="auto"/>
        </w:rPr>
      </w:pPr>
      <w:r>
        <w:rPr>
          <w:rFonts w:ascii="Arial" w:cs="Arial" w:eastAsia="Arial" w:hAnsi="Arial"/>
          <w:sz w:val="29"/>
          <w:szCs w:val="29"/>
          <w:color w:val="auto"/>
        </w:rPr>
        <w:t>ICON Plc</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Notes (continued)</w:t>
      </w:r>
    </w:p>
    <w:p>
      <w:pPr>
        <w:spacing w:after="0" w:line="236" w:lineRule="exact"/>
        <w:rPr>
          <w:sz w:val="20"/>
          <w:szCs w:val="20"/>
          <w:color w:val="auto"/>
        </w:rPr>
      </w:pPr>
    </w:p>
    <w:p>
      <w:pPr>
        <w:ind w:left="360" w:right="8660" w:hanging="352"/>
        <w:spacing w:after="0" w:line="534" w:lineRule="auto"/>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Accounting policies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Income tax</w:t>
      </w:r>
    </w:p>
    <w:p>
      <w:pPr>
        <w:spacing w:after="0" w:line="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Income tax expense in the income statement represents the sum of income tax currently payable and deferred income tax.</w:t>
      </w:r>
    </w:p>
    <w:p>
      <w:pPr>
        <w:spacing w:after="0" w:line="252" w:lineRule="exact"/>
        <w:rPr>
          <w:rFonts w:ascii="Arial" w:cs="Arial" w:eastAsia="Arial" w:hAnsi="Arial"/>
          <w:sz w:val="18"/>
          <w:szCs w:val="18"/>
          <w:b w:val="1"/>
          <w:bCs w:val="1"/>
          <w:color w:val="auto"/>
        </w:rPr>
      </w:pPr>
    </w:p>
    <w:p>
      <w:pPr>
        <w:jc w:val="both"/>
        <w:ind w:left="3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Income tax currently payable is based on taxable profit for the year. Taxable profit differs from profit as reported in the income statement as it excludes items of income or expense that are taxable or deductible in other years and further excludes items that are not taxable or deductible. The Company’s liability for income tax is calculated using rates that have been enacted or substantially enacted at the reporting date. Income tax is recognised in the income statement except to the extent that it relates to items recognised directly in equity.</w:t>
      </w:r>
    </w:p>
    <w:p>
      <w:pPr>
        <w:spacing w:after="0" w:line="213" w:lineRule="exact"/>
        <w:rPr>
          <w:rFonts w:ascii="Arial" w:cs="Arial" w:eastAsia="Arial" w:hAnsi="Arial"/>
          <w:sz w:val="18"/>
          <w:szCs w:val="18"/>
          <w:b w:val="1"/>
          <w:bCs w:val="1"/>
          <w:color w:val="auto"/>
        </w:rPr>
      </w:pPr>
    </w:p>
    <w:p>
      <w:pPr>
        <w:jc w:val="both"/>
        <w:ind w:left="3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Deferred income tax is provided, using the liability method, on all differences between the carrying amounts of assets and liabilities for financial reporting purposes and the amounts used for taxation purposes, except those arising from non-deductible goodwill or on initial recognition of an asset or liability which affects neither accounting nor taxable profit. Deferred income tax assets and liabilities are measured at the tax rates that are expected to apply in the year when the asset is expected to be realised or the liability to be settled.</w:t>
      </w:r>
    </w:p>
    <w:p>
      <w:pPr>
        <w:spacing w:after="0" w:line="213" w:lineRule="exact"/>
        <w:rPr>
          <w:rFonts w:ascii="Arial" w:cs="Arial" w:eastAsia="Arial" w:hAnsi="Arial"/>
          <w:sz w:val="18"/>
          <w:szCs w:val="18"/>
          <w:b w:val="1"/>
          <w:bCs w:val="1"/>
          <w:color w:val="auto"/>
        </w:rPr>
      </w:pPr>
    </w:p>
    <w:p>
      <w:pPr>
        <w:jc w:val="both"/>
        <w:ind w:left="3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Deferred tax assets are recognised for all deductible differences, carry forward of unused tax credits and unused tax losses, to the extent that it is probable that taxable profit will be available against which the deductible temporary differences and the carry forward of unused tax credits and unused tax losses can be utilised. The carrying amount of deferred income tax assets is reviewed at each reporting date and reduced to the extent that it is no longer probable that sufficient taxable profit would be available to allow all or part of the deferred income tax asset to be utilised.</w:t>
      </w:r>
    </w:p>
    <w:p>
      <w:pPr>
        <w:spacing w:after="0" w:line="198"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Leased assets</w:t>
      </w:r>
    </w:p>
    <w:p>
      <w:pPr>
        <w:spacing w:after="0" w:line="252" w:lineRule="exact"/>
        <w:rPr>
          <w:rFonts w:ascii="Arial" w:cs="Arial" w:eastAsia="Arial" w:hAnsi="Arial"/>
          <w:sz w:val="18"/>
          <w:szCs w:val="18"/>
          <w:b w:val="1"/>
          <w:bCs w:val="1"/>
          <w:color w:val="auto"/>
        </w:rPr>
      </w:pPr>
    </w:p>
    <w:p>
      <w:pPr>
        <w:ind w:left="3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Expenditure on leases other than finance leases, namely 'operating leases', is charged to the income statement on a basis representative of the benefit derived from the asset, on a straight line basis over the lease period.</w:t>
      </w:r>
    </w:p>
    <w:p>
      <w:pPr>
        <w:spacing w:after="0" w:line="193" w:lineRule="exact"/>
        <w:rPr>
          <w:rFonts w:ascii="Arial" w:cs="Arial" w:eastAsia="Arial" w:hAnsi="Arial"/>
          <w:sz w:val="18"/>
          <w:szCs w:val="18"/>
          <w:b w:val="1"/>
          <w:bCs w:val="1"/>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Turnover</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tcPr>
          <w:p>
            <w:pPr>
              <w:spacing w:after="0"/>
              <w:rPr>
                <w:sz w:val="18"/>
                <w:szCs w:val="18"/>
                <w:color w:val="auto"/>
              </w:rPr>
            </w:pPr>
          </w:p>
        </w:tc>
        <w:tc>
          <w:tcPr>
            <w:tcW w:w="6320" w:type="dxa"/>
            <w:vAlign w:val="bottom"/>
          </w:tcPr>
          <w:p>
            <w:pPr>
              <w:jc w:val="right"/>
              <w:ind w:right="50"/>
              <w:spacing w:after="0"/>
              <w:rPr>
                <w:sz w:val="20"/>
                <w:szCs w:val="20"/>
                <w:color w:val="auto"/>
              </w:rPr>
            </w:pPr>
            <w:r>
              <w:rPr>
                <w:rFonts w:ascii="Arial" w:cs="Arial" w:eastAsia="Arial" w:hAnsi="Arial"/>
                <w:sz w:val="18"/>
                <w:szCs w:val="18"/>
                <w:b w:val="1"/>
                <w:bCs w:val="1"/>
                <w:color w:val="auto"/>
              </w:rPr>
              <w:t>Period ended</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r>
      <w:tr>
        <w:trPr>
          <w:trHeight w:val="216"/>
        </w:trPr>
        <w:tc>
          <w:tcPr>
            <w:tcW w:w="3880" w:type="dxa"/>
            <w:vAlign w:val="bottom"/>
          </w:tcPr>
          <w:p>
            <w:pPr>
              <w:spacing w:after="0"/>
              <w:rPr>
                <w:sz w:val="18"/>
                <w:szCs w:val="18"/>
                <w:color w:val="auto"/>
              </w:rPr>
            </w:pPr>
          </w:p>
        </w:tc>
        <w:tc>
          <w:tcPr>
            <w:tcW w:w="6320" w:type="dxa"/>
            <w:vAlign w:val="bottom"/>
          </w:tcPr>
          <w:p>
            <w:pPr>
              <w:jc w:val="right"/>
              <w:ind w:right="50"/>
              <w:spacing w:after="0"/>
              <w:rPr>
                <w:sz w:val="20"/>
                <w:szCs w:val="20"/>
                <w:color w:val="auto"/>
              </w:rPr>
            </w:pPr>
            <w:r>
              <w:rPr>
                <w:rFonts w:ascii="Arial" w:cs="Arial" w:eastAsia="Arial" w:hAnsi="Arial"/>
                <w:sz w:val="18"/>
                <w:szCs w:val="18"/>
                <w:b w:val="1"/>
                <w:bCs w:val="1"/>
                <w:color w:val="auto"/>
              </w:rPr>
              <w:t>31 July</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r>
      <w:tr>
        <w:trPr>
          <w:trHeight w:val="216"/>
        </w:trPr>
        <w:tc>
          <w:tcPr>
            <w:tcW w:w="3880" w:type="dxa"/>
            <w:vAlign w:val="bottom"/>
          </w:tcPr>
          <w:p>
            <w:pPr>
              <w:spacing w:after="0"/>
              <w:rPr>
                <w:sz w:val="18"/>
                <w:szCs w:val="18"/>
                <w:color w:val="auto"/>
              </w:rPr>
            </w:pPr>
          </w:p>
        </w:tc>
        <w:tc>
          <w:tcPr>
            <w:tcW w:w="6320" w:type="dxa"/>
            <w:vAlign w:val="bottom"/>
          </w:tcPr>
          <w:p>
            <w:pPr>
              <w:jc w:val="right"/>
              <w:ind w:right="50"/>
              <w:spacing w:after="0"/>
              <w:rPr>
                <w:sz w:val="20"/>
                <w:szCs w:val="20"/>
                <w:color w:val="auto"/>
              </w:rPr>
            </w:pPr>
            <w:r>
              <w:rPr>
                <w:rFonts w:ascii="Arial" w:cs="Arial" w:eastAsia="Arial" w:hAnsi="Arial"/>
                <w:sz w:val="18"/>
                <w:szCs w:val="18"/>
                <w:b w:val="1"/>
                <w:bCs w:val="1"/>
                <w:color w:val="auto"/>
              </w:rPr>
              <w:t>2015</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2014</w:t>
            </w:r>
          </w:p>
        </w:tc>
      </w:tr>
      <w:tr>
        <w:trPr>
          <w:trHeight w:val="234"/>
        </w:trPr>
        <w:tc>
          <w:tcPr>
            <w:tcW w:w="3880" w:type="dxa"/>
            <w:vAlign w:val="bottom"/>
          </w:tcPr>
          <w:p>
            <w:pPr>
              <w:spacing w:after="0"/>
              <w:rPr>
                <w:sz w:val="20"/>
                <w:szCs w:val="20"/>
                <w:color w:val="auto"/>
              </w:rPr>
            </w:pPr>
          </w:p>
        </w:tc>
        <w:tc>
          <w:tcPr>
            <w:tcW w:w="6320" w:type="dxa"/>
            <w:vAlign w:val="bottom"/>
          </w:tcPr>
          <w:p>
            <w:pPr>
              <w:jc w:val="right"/>
              <w:ind w:right="50"/>
              <w:spacing w:after="0"/>
              <w:rPr>
                <w:sz w:val="20"/>
                <w:szCs w:val="20"/>
                <w:color w:val="auto"/>
              </w:rPr>
            </w:pPr>
            <w:r>
              <w:rPr>
                <w:rFonts w:ascii="Arial" w:cs="Arial" w:eastAsia="Arial" w:hAnsi="Arial"/>
                <w:sz w:val="18"/>
                <w:szCs w:val="18"/>
                <w:b w:val="1"/>
                <w:bCs w:val="1"/>
                <w:color w:val="auto"/>
              </w:rPr>
              <w:t>$’000</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432"/>
        </w:trPr>
        <w:tc>
          <w:tcPr>
            <w:tcW w:w="38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Activity</w:t>
            </w:r>
          </w:p>
        </w:tc>
        <w:tc>
          <w:tcPr>
            <w:tcW w:w="6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Management services</w:t>
            </w:r>
          </w:p>
        </w:tc>
        <w:tc>
          <w:tcPr>
            <w:tcW w:w="6320" w:type="dxa"/>
            <w:vAlign w:val="bottom"/>
          </w:tcPr>
          <w:p>
            <w:pPr>
              <w:jc w:val="right"/>
              <w:ind w:right="50"/>
              <w:spacing w:after="0"/>
              <w:rPr>
                <w:sz w:val="20"/>
                <w:szCs w:val="20"/>
                <w:color w:val="auto"/>
              </w:rPr>
            </w:pPr>
            <w:r>
              <w:rPr>
                <w:rFonts w:ascii="Arial" w:cs="Arial" w:eastAsia="Arial" w:hAnsi="Arial"/>
                <w:sz w:val="18"/>
                <w:szCs w:val="18"/>
                <w:b w:val="1"/>
                <w:bCs w:val="1"/>
                <w:color w:val="auto"/>
              </w:rPr>
              <w:t>17,842</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35,750</w:t>
            </w:r>
          </w:p>
        </w:tc>
      </w:tr>
      <w:tr>
        <w:trPr>
          <w:trHeight w:val="223"/>
        </w:trPr>
        <w:tc>
          <w:tcPr>
            <w:tcW w:w="38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Clinical research income</w:t>
            </w:r>
          </w:p>
        </w:tc>
        <w:tc>
          <w:tcPr>
            <w:tcW w:w="6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17,116</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38,659</w:t>
            </w:r>
          </w:p>
        </w:tc>
      </w:tr>
      <w:tr>
        <w:trPr>
          <w:trHeight w:val="216"/>
        </w:trPr>
        <w:tc>
          <w:tcPr>
            <w:tcW w:w="38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7"/>
        </w:trPr>
        <w:tc>
          <w:tcPr>
            <w:tcW w:w="3880" w:type="dxa"/>
            <w:vAlign w:val="bottom"/>
            <w:tcBorders>
              <w:bottom w:val="single" w:sz="8" w:color="auto"/>
            </w:tcBorders>
            <w:shd w:val="clear" w:color="auto" w:fill="CCEEFF"/>
          </w:tcPr>
          <w:p>
            <w:pPr>
              <w:spacing w:after="0"/>
              <w:rPr>
                <w:sz w:val="22"/>
                <w:szCs w:val="22"/>
                <w:color w:val="auto"/>
              </w:rPr>
            </w:pPr>
          </w:p>
        </w:tc>
        <w:tc>
          <w:tcPr>
            <w:tcW w:w="6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34,958</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74,409</w:t>
            </w:r>
          </w:p>
        </w:tc>
      </w:tr>
      <w:tr>
        <w:trPr>
          <w:trHeight w:val="601"/>
        </w:trPr>
        <w:tc>
          <w:tcPr>
            <w:tcW w:w="3880" w:type="dxa"/>
            <w:vAlign w:val="bottom"/>
          </w:tcPr>
          <w:p>
            <w:pPr>
              <w:spacing w:after="0"/>
              <w:rPr>
                <w:sz w:val="24"/>
                <w:szCs w:val="24"/>
                <w:color w:val="auto"/>
              </w:rPr>
            </w:pPr>
          </w:p>
        </w:tc>
        <w:tc>
          <w:tcPr>
            <w:tcW w:w="6320" w:type="dxa"/>
            <w:vAlign w:val="bottom"/>
          </w:tcPr>
          <w:p>
            <w:pPr>
              <w:jc w:val="right"/>
              <w:ind w:right="4310"/>
              <w:spacing w:after="0"/>
              <w:rPr>
                <w:sz w:val="20"/>
                <w:szCs w:val="20"/>
                <w:color w:val="auto"/>
              </w:rPr>
            </w:pPr>
            <w:r>
              <w:rPr>
                <w:rFonts w:ascii="Arial" w:cs="Arial" w:eastAsia="Arial" w:hAnsi="Arial"/>
                <w:sz w:val="18"/>
                <w:szCs w:val="18"/>
                <w:color w:val="auto"/>
              </w:rPr>
              <w:t>13</w:t>
            </w:r>
          </w:p>
        </w:tc>
        <w:tc>
          <w:tcPr>
            <w:tcW w:w="1220" w:type="dxa"/>
            <w:vAlign w:val="bottom"/>
          </w:tcPr>
          <w:p>
            <w:pPr>
              <w:spacing w:after="0"/>
              <w:rPr>
                <w:sz w:val="24"/>
                <w:szCs w:val="24"/>
                <w:color w:val="auto"/>
              </w:rPr>
            </w:pPr>
          </w:p>
        </w:tc>
      </w:tr>
      <w:tr>
        <w:trPr>
          <w:trHeight w:val="118"/>
        </w:trPr>
        <w:tc>
          <w:tcPr>
            <w:tcW w:w="3880" w:type="dxa"/>
            <w:vAlign w:val="bottom"/>
            <w:tcBorders>
              <w:bottom w:val="single" w:sz="8" w:color="808080"/>
            </w:tcBorders>
          </w:tcPr>
          <w:p>
            <w:pPr>
              <w:spacing w:after="0"/>
              <w:rPr>
                <w:sz w:val="10"/>
                <w:szCs w:val="10"/>
                <w:color w:val="auto"/>
              </w:rPr>
            </w:pPr>
          </w:p>
        </w:tc>
        <w:tc>
          <w:tcPr>
            <w:tcW w:w="63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8" w:name="page19"/>
    <w:bookmarkEnd w:id="18"/>
    <w:p>
      <w:pPr>
        <w:spacing w:after="0"/>
        <w:rPr>
          <w:sz w:val="20"/>
          <w:szCs w:val="20"/>
          <w:color w:val="auto"/>
        </w:rPr>
      </w:pPr>
      <w:r>
        <w:rPr>
          <w:rFonts w:ascii="Arial" w:cs="Arial" w:eastAsia="Arial" w:hAnsi="Arial"/>
          <w:sz w:val="29"/>
          <w:szCs w:val="29"/>
          <w:color w:val="auto"/>
        </w:rPr>
        <w:t>ICON Plc</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Notes (continued)</w:t>
      </w:r>
    </w:p>
    <w:p>
      <w:pPr>
        <w:spacing w:after="0" w:line="236" w:lineRule="exact"/>
        <w:rPr>
          <w:sz w:val="20"/>
          <w:szCs w:val="20"/>
          <w:color w:val="auto"/>
        </w:rPr>
      </w:pPr>
    </w:p>
    <w:p>
      <w:pPr>
        <w:ind w:left="360" w:right="9480" w:hanging="352"/>
        <w:spacing w:after="0" w:line="434" w:lineRule="auto"/>
        <w:tabs>
          <w:tab w:leader="none" w:pos="36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Turnover</w:t>
      </w:r>
      <w:r>
        <w:rPr>
          <w:rFonts w:ascii="Arial" w:cs="Arial" w:eastAsia="Arial" w:hAnsi="Arial"/>
          <w:sz w:val="16"/>
          <w:szCs w:val="16"/>
          <w:b w:val="1"/>
          <w:bCs w:val="1"/>
          <w:i w:val="1"/>
          <w:iCs w:val="1"/>
          <w:color w:val="auto"/>
        </w:rPr>
        <w:t>(continued)</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Geographical area</w:t>
      </w:r>
    </w:p>
    <w:tbl>
      <w:tblPr>
        <w:tblLayout w:type="fixed"/>
        <w:tblInd w:w="0" w:type="dxa"/>
        <w:tblCellMar>
          <w:top w:w="0" w:type="dxa"/>
          <w:left w:w="0" w:type="dxa"/>
          <w:bottom w:w="0" w:type="dxa"/>
          <w:right w:w="0" w:type="dxa"/>
        </w:tblCellMar>
      </w:tblPr>
      <w:tr>
        <w:trPr>
          <w:trHeight w:val="199"/>
        </w:trPr>
        <w:tc>
          <w:tcPr>
            <w:tcW w:w="26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5300" w:type="dxa"/>
            <w:vAlign w:val="bottom"/>
          </w:tcPr>
          <w:p>
            <w:pPr>
              <w:jc w:val="right"/>
              <w:ind w:right="90"/>
              <w:spacing w:after="0" w:line="199" w:lineRule="exact"/>
              <w:rPr>
                <w:sz w:val="20"/>
                <w:szCs w:val="20"/>
                <w:color w:val="auto"/>
              </w:rPr>
            </w:pPr>
            <w:r>
              <w:rPr>
                <w:rFonts w:ascii="Arial" w:cs="Arial" w:eastAsia="Arial" w:hAnsi="Arial"/>
                <w:sz w:val="18"/>
                <w:szCs w:val="18"/>
                <w:b w:val="1"/>
                <w:bCs w:val="1"/>
                <w:color w:val="auto"/>
              </w:rPr>
              <w:t>Period ended</w:t>
            </w:r>
          </w:p>
        </w:tc>
        <w:tc>
          <w:tcPr>
            <w:tcW w:w="1180" w:type="dxa"/>
            <w:vAlign w:val="bottom"/>
          </w:tcPr>
          <w:p>
            <w:pPr>
              <w:jc w:val="right"/>
              <w:ind w:right="10"/>
              <w:spacing w:after="0" w:line="199" w:lineRule="exact"/>
              <w:rPr>
                <w:sz w:val="20"/>
                <w:szCs w:val="20"/>
                <w:color w:val="auto"/>
              </w:rPr>
            </w:pPr>
            <w:r>
              <w:rPr>
                <w:rFonts w:ascii="Arial" w:cs="Arial" w:eastAsia="Arial" w:hAnsi="Arial"/>
                <w:sz w:val="18"/>
                <w:szCs w:val="18"/>
                <w:color w:val="auto"/>
              </w:rPr>
              <w:t>Year ended</w:t>
            </w:r>
          </w:p>
        </w:tc>
      </w:tr>
      <w:tr>
        <w:trPr>
          <w:trHeight w:val="216"/>
        </w:trPr>
        <w:tc>
          <w:tcPr>
            <w:tcW w:w="2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5300" w:type="dxa"/>
            <w:vAlign w:val="bottom"/>
          </w:tcPr>
          <w:p>
            <w:pPr>
              <w:jc w:val="right"/>
              <w:ind w:right="90"/>
              <w:spacing w:after="0"/>
              <w:rPr>
                <w:sz w:val="20"/>
                <w:szCs w:val="20"/>
                <w:color w:val="auto"/>
              </w:rPr>
            </w:pPr>
            <w:r>
              <w:rPr>
                <w:rFonts w:ascii="Arial" w:cs="Arial" w:eastAsia="Arial" w:hAnsi="Arial"/>
                <w:sz w:val="18"/>
                <w:szCs w:val="18"/>
                <w:b w:val="1"/>
                <w:bCs w:val="1"/>
                <w:color w:val="auto"/>
              </w:rPr>
              <w:t>31 July</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w w:val="98"/>
              </w:rPr>
              <w:t>31 December</w:t>
            </w:r>
          </w:p>
        </w:tc>
      </w:tr>
      <w:tr>
        <w:trPr>
          <w:trHeight w:val="216"/>
        </w:trPr>
        <w:tc>
          <w:tcPr>
            <w:tcW w:w="2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5300" w:type="dxa"/>
            <w:vAlign w:val="bottom"/>
          </w:tcPr>
          <w:p>
            <w:pPr>
              <w:jc w:val="right"/>
              <w:ind w:right="90"/>
              <w:spacing w:after="0"/>
              <w:rPr>
                <w:sz w:val="20"/>
                <w:szCs w:val="20"/>
                <w:color w:val="auto"/>
              </w:rPr>
            </w:pPr>
            <w:r>
              <w:rPr>
                <w:rFonts w:ascii="Arial" w:cs="Arial" w:eastAsia="Arial" w:hAnsi="Arial"/>
                <w:sz w:val="18"/>
                <w:szCs w:val="18"/>
                <w:b w:val="1"/>
                <w:bCs w:val="1"/>
                <w:color w:val="auto"/>
              </w:rPr>
              <w:t>2015</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2014</w:t>
            </w:r>
          </w:p>
        </w:tc>
      </w:tr>
      <w:tr>
        <w:trPr>
          <w:trHeight w:val="234"/>
        </w:trPr>
        <w:tc>
          <w:tcPr>
            <w:tcW w:w="26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5300" w:type="dxa"/>
            <w:vAlign w:val="bottom"/>
          </w:tcPr>
          <w:p>
            <w:pPr>
              <w:jc w:val="right"/>
              <w:ind w:right="90"/>
              <w:spacing w:after="0"/>
              <w:rPr>
                <w:sz w:val="20"/>
                <w:szCs w:val="20"/>
                <w:color w:val="auto"/>
              </w:rPr>
            </w:pPr>
            <w:r>
              <w:rPr>
                <w:rFonts w:ascii="Arial" w:cs="Arial" w:eastAsia="Arial" w:hAnsi="Arial"/>
                <w:sz w:val="18"/>
                <w:szCs w:val="18"/>
                <w:b w:val="1"/>
                <w:bCs w:val="1"/>
                <w:color w:val="auto"/>
              </w:rPr>
              <w:t>$’000</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216"/>
        </w:trPr>
        <w:tc>
          <w:tcPr>
            <w:tcW w:w="2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60" w:type="dxa"/>
            <w:vAlign w:val="bottom"/>
            <w:shd w:val="clear" w:color="auto" w:fill="CCEEFF"/>
          </w:tcPr>
          <w:p>
            <w:pPr>
              <w:spacing w:after="0"/>
              <w:rPr>
                <w:sz w:val="18"/>
                <w:szCs w:val="18"/>
                <w:color w:val="auto"/>
              </w:rPr>
            </w:pPr>
          </w:p>
        </w:tc>
        <w:tc>
          <w:tcPr>
            <w:tcW w:w="4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Ireland</w:t>
            </w:r>
          </w:p>
        </w:tc>
        <w:tc>
          <w:tcPr>
            <w:tcW w:w="5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17,842</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35,750</w:t>
            </w:r>
          </w:p>
        </w:tc>
      </w:tr>
      <w:tr>
        <w:trPr>
          <w:trHeight w:val="223"/>
        </w:trPr>
        <w:tc>
          <w:tcPr>
            <w:tcW w:w="260" w:type="dxa"/>
            <w:vAlign w:val="bottom"/>
            <w:tcBorders>
              <w:bottom w:val="single" w:sz="8" w:color="auto"/>
            </w:tcBorders>
          </w:tcPr>
          <w:p>
            <w:pPr>
              <w:spacing w:after="0"/>
              <w:rPr>
                <w:sz w:val="19"/>
                <w:szCs w:val="19"/>
                <w:color w:val="auto"/>
              </w:rPr>
            </w:pPr>
          </w:p>
        </w:tc>
        <w:tc>
          <w:tcPr>
            <w:tcW w:w="46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Europe</w:t>
            </w:r>
          </w:p>
        </w:tc>
        <w:tc>
          <w:tcPr>
            <w:tcW w:w="5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17,116</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38,659</w:t>
            </w:r>
          </w:p>
        </w:tc>
      </w:tr>
      <w:tr>
        <w:trPr>
          <w:trHeight w:val="216"/>
        </w:trPr>
        <w:tc>
          <w:tcPr>
            <w:tcW w:w="26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260" w:type="dxa"/>
            <w:vAlign w:val="bottom"/>
            <w:tcBorders>
              <w:bottom w:val="single" w:sz="8" w:color="auto"/>
            </w:tcBorders>
          </w:tcPr>
          <w:p>
            <w:pPr>
              <w:spacing w:after="0"/>
              <w:rPr>
                <w:sz w:val="18"/>
                <w:szCs w:val="18"/>
                <w:color w:val="auto"/>
              </w:rPr>
            </w:pPr>
          </w:p>
        </w:tc>
        <w:tc>
          <w:tcPr>
            <w:tcW w:w="4680" w:type="dxa"/>
            <w:vAlign w:val="bottom"/>
            <w:tcBorders>
              <w:bottom w:val="single" w:sz="8" w:color="auto"/>
            </w:tcBorders>
          </w:tcPr>
          <w:p>
            <w:pPr>
              <w:spacing w:after="0"/>
              <w:rPr>
                <w:sz w:val="18"/>
                <w:szCs w:val="18"/>
                <w:color w:val="auto"/>
              </w:rPr>
            </w:pPr>
          </w:p>
        </w:tc>
        <w:tc>
          <w:tcPr>
            <w:tcW w:w="5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34,958</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74,409</w:t>
            </w: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453"/>
        </w:trPr>
        <w:tc>
          <w:tcPr>
            <w:tcW w:w="26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3.</w:t>
            </w:r>
          </w:p>
        </w:tc>
        <w:tc>
          <w:tcPr>
            <w:tcW w:w="4680" w:type="dxa"/>
            <w:vAlign w:val="bottom"/>
          </w:tcPr>
          <w:p>
            <w:pPr>
              <w:ind w:left="100"/>
              <w:spacing w:after="0"/>
              <w:rPr>
                <w:sz w:val="20"/>
                <w:szCs w:val="20"/>
                <w:color w:val="auto"/>
              </w:rPr>
            </w:pPr>
            <w:r>
              <w:rPr>
                <w:rFonts w:ascii="Arial" w:cs="Arial" w:eastAsia="Arial" w:hAnsi="Arial"/>
                <w:sz w:val="18"/>
                <w:szCs w:val="18"/>
                <w:b w:val="1"/>
                <w:bCs w:val="1"/>
                <w:color w:val="auto"/>
              </w:rPr>
              <w:t>Direct costs</w:t>
            </w:r>
          </w:p>
        </w:tc>
        <w:tc>
          <w:tcPr>
            <w:tcW w:w="5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14"/>
        </w:trPr>
        <w:tc>
          <w:tcPr>
            <w:tcW w:w="26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5300" w:type="dxa"/>
            <w:vAlign w:val="bottom"/>
          </w:tcPr>
          <w:p>
            <w:pPr>
              <w:jc w:val="right"/>
              <w:ind w:right="90"/>
              <w:spacing w:after="0"/>
              <w:rPr>
                <w:sz w:val="20"/>
                <w:szCs w:val="20"/>
                <w:color w:val="auto"/>
              </w:rPr>
            </w:pPr>
            <w:r>
              <w:rPr>
                <w:rFonts w:ascii="Arial" w:cs="Arial" w:eastAsia="Arial" w:hAnsi="Arial"/>
                <w:sz w:val="18"/>
                <w:szCs w:val="18"/>
                <w:b w:val="1"/>
                <w:bCs w:val="1"/>
                <w:color w:val="auto"/>
              </w:rPr>
              <w:t>Period ended</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r>
      <w:tr>
        <w:trPr>
          <w:trHeight w:val="216"/>
        </w:trPr>
        <w:tc>
          <w:tcPr>
            <w:tcW w:w="2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5300" w:type="dxa"/>
            <w:vAlign w:val="bottom"/>
          </w:tcPr>
          <w:p>
            <w:pPr>
              <w:jc w:val="right"/>
              <w:ind w:right="90"/>
              <w:spacing w:after="0"/>
              <w:rPr>
                <w:sz w:val="20"/>
                <w:szCs w:val="20"/>
                <w:color w:val="auto"/>
              </w:rPr>
            </w:pPr>
            <w:r>
              <w:rPr>
                <w:rFonts w:ascii="Arial" w:cs="Arial" w:eastAsia="Arial" w:hAnsi="Arial"/>
                <w:sz w:val="18"/>
                <w:szCs w:val="18"/>
                <w:b w:val="1"/>
                <w:bCs w:val="1"/>
                <w:color w:val="auto"/>
              </w:rPr>
              <w:t>31 July</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w w:val="98"/>
              </w:rPr>
              <w:t>31 December</w:t>
            </w:r>
          </w:p>
        </w:tc>
      </w:tr>
      <w:tr>
        <w:trPr>
          <w:trHeight w:val="216"/>
        </w:trPr>
        <w:tc>
          <w:tcPr>
            <w:tcW w:w="2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5300" w:type="dxa"/>
            <w:vAlign w:val="bottom"/>
          </w:tcPr>
          <w:p>
            <w:pPr>
              <w:jc w:val="right"/>
              <w:ind w:right="90"/>
              <w:spacing w:after="0"/>
              <w:rPr>
                <w:sz w:val="20"/>
                <w:szCs w:val="20"/>
                <w:color w:val="auto"/>
              </w:rPr>
            </w:pPr>
            <w:r>
              <w:rPr>
                <w:rFonts w:ascii="Arial" w:cs="Arial" w:eastAsia="Arial" w:hAnsi="Arial"/>
                <w:sz w:val="18"/>
                <w:szCs w:val="18"/>
                <w:b w:val="1"/>
                <w:bCs w:val="1"/>
                <w:color w:val="auto"/>
              </w:rPr>
              <w:t>2015</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2014</w:t>
            </w:r>
          </w:p>
        </w:tc>
      </w:tr>
      <w:tr>
        <w:trPr>
          <w:trHeight w:val="234"/>
        </w:trPr>
        <w:tc>
          <w:tcPr>
            <w:tcW w:w="26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5300" w:type="dxa"/>
            <w:vAlign w:val="bottom"/>
          </w:tcPr>
          <w:p>
            <w:pPr>
              <w:jc w:val="right"/>
              <w:ind w:right="90"/>
              <w:spacing w:after="0"/>
              <w:rPr>
                <w:sz w:val="20"/>
                <w:szCs w:val="20"/>
                <w:color w:val="auto"/>
              </w:rPr>
            </w:pPr>
            <w:r>
              <w:rPr>
                <w:rFonts w:ascii="Arial" w:cs="Arial" w:eastAsia="Arial" w:hAnsi="Arial"/>
                <w:sz w:val="18"/>
                <w:szCs w:val="18"/>
                <w:b w:val="1"/>
                <w:bCs w:val="1"/>
                <w:color w:val="auto"/>
              </w:rPr>
              <w:t>$’000</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216"/>
        </w:trPr>
        <w:tc>
          <w:tcPr>
            <w:tcW w:w="2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60" w:type="dxa"/>
            <w:vAlign w:val="bottom"/>
            <w:shd w:val="clear" w:color="auto" w:fill="CCEEFF"/>
          </w:tcPr>
          <w:p>
            <w:pPr>
              <w:spacing w:after="0"/>
              <w:rPr>
                <w:sz w:val="18"/>
                <w:szCs w:val="18"/>
                <w:color w:val="auto"/>
              </w:rPr>
            </w:pPr>
          </w:p>
        </w:tc>
        <w:tc>
          <w:tcPr>
            <w:tcW w:w="4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Payroll and related costs</w:t>
            </w:r>
          </w:p>
        </w:tc>
        <w:tc>
          <w:tcPr>
            <w:tcW w:w="5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14,897</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28,947</w:t>
            </w:r>
          </w:p>
        </w:tc>
      </w:tr>
      <w:tr>
        <w:trPr>
          <w:trHeight w:val="223"/>
        </w:trPr>
        <w:tc>
          <w:tcPr>
            <w:tcW w:w="260" w:type="dxa"/>
            <w:vAlign w:val="bottom"/>
            <w:tcBorders>
              <w:bottom w:val="single" w:sz="8" w:color="auto"/>
            </w:tcBorders>
          </w:tcPr>
          <w:p>
            <w:pPr>
              <w:spacing w:after="0"/>
              <w:rPr>
                <w:sz w:val="19"/>
                <w:szCs w:val="19"/>
                <w:color w:val="auto"/>
              </w:rPr>
            </w:pPr>
          </w:p>
        </w:tc>
        <w:tc>
          <w:tcPr>
            <w:tcW w:w="46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Other project related expenses</w:t>
            </w:r>
          </w:p>
        </w:tc>
        <w:tc>
          <w:tcPr>
            <w:tcW w:w="5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769</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1,978</w:t>
            </w:r>
          </w:p>
        </w:tc>
      </w:tr>
      <w:tr>
        <w:trPr>
          <w:trHeight w:val="216"/>
        </w:trPr>
        <w:tc>
          <w:tcPr>
            <w:tcW w:w="26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260" w:type="dxa"/>
            <w:vAlign w:val="bottom"/>
            <w:tcBorders>
              <w:bottom w:val="single" w:sz="8" w:color="auto"/>
            </w:tcBorders>
          </w:tcPr>
          <w:p>
            <w:pPr>
              <w:spacing w:after="0"/>
              <w:rPr>
                <w:sz w:val="18"/>
                <w:szCs w:val="18"/>
                <w:color w:val="auto"/>
              </w:rPr>
            </w:pPr>
          </w:p>
        </w:tc>
        <w:tc>
          <w:tcPr>
            <w:tcW w:w="4680" w:type="dxa"/>
            <w:vAlign w:val="bottom"/>
            <w:tcBorders>
              <w:bottom w:val="single" w:sz="8" w:color="auto"/>
            </w:tcBorders>
          </w:tcPr>
          <w:p>
            <w:pPr>
              <w:spacing w:after="0"/>
              <w:rPr>
                <w:sz w:val="18"/>
                <w:szCs w:val="18"/>
                <w:color w:val="auto"/>
              </w:rPr>
            </w:pPr>
          </w:p>
        </w:tc>
        <w:tc>
          <w:tcPr>
            <w:tcW w:w="5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15,666</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30,925</w:t>
            </w: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453"/>
        </w:trPr>
        <w:tc>
          <w:tcPr>
            <w:tcW w:w="26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4.</w:t>
            </w:r>
          </w:p>
        </w:tc>
        <w:tc>
          <w:tcPr>
            <w:tcW w:w="4680" w:type="dxa"/>
            <w:vAlign w:val="bottom"/>
          </w:tcPr>
          <w:p>
            <w:pPr>
              <w:ind w:left="100"/>
              <w:spacing w:after="0"/>
              <w:rPr>
                <w:sz w:val="20"/>
                <w:szCs w:val="20"/>
                <w:color w:val="auto"/>
              </w:rPr>
            </w:pPr>
            <w:r>
              <w:rPr>
                <w:rFonts w:ascii="Arial" w:cs="Arial" w:eastAsia="Arial" w:hAnsi="Arial"/>
                <w:sz w:val="18"/>
                <w:szCs w:val="18"/>
                <w:b w:val="1"/>
                <w:bCs w:val="1"/>
                <w:color w:val="auto"/>
              </w:rPr>
              <w:t>Other operating expenses</w:t>
            </w:r>
          </w:p>
        </w:tc>
        <w:tc>
          <w:tcPr>
            <w:tcW w:w="5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14"/>
        </w:trPr>
        <w:tc>
          <w:tcPr>
            <w:tcW w:w="26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5300" w:type="dxa"/>
            <w:vAlign w:val="bottom"/>
          </w:tcPr>
          <w:p>
            <w:pPr>
              <w:jc w:val="right"/>
              <w:ind w:right="90"/>
              <w:spacing w:after="0"/>
              <w:rPr>
                <w:sz w:val="20"/>
                <w:szCs w:val="20"/>
                <w:color w:val="auto"/>
              </w:rPr>
            </w:pPr>
            <w:r>
              <w:rPr>
                <w:rFonts w:ascii="Arial" w:cs="Arial" w:eastAsia="Arial" w:hAnsi="Arial"/>
                <w:sz w:val="18"/>
                <w:szCs w:val="18"/>
                <w:b w:val="1"/>
                <w:bCs w:val="1"/>
                <w:color w:val="auto"/>
              </w:rPr>
              <w:t>Period</w:t>
            </w:r>
          </w:p>
        </w:tc>
        <w:tc>
          <w:tcPr>
            <w:tcW w:w="1180" w:type="dxa"/>
            <w:vAlign w:val="bottom"/>
          </w:tcPr>
          <w:p>
            <w:pPr>
              <w:spacing w:after="0"/>
              <w:rPr>
                <w:sz w:val="24"/>
                <w:szCs w:val="24"/>
                <w:color w:val="auto"/>
              </w:rPr>
            </w:pPr>
          </w:p>
        </w:tc>
      </w:tr>
      <w:tr>
        <w:trPr>
          <w:trHeight w:val="216"/>
        </w:trPr>
        <w:tc>
          <w:tcPr>
            <w:tcW w:w="2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5300" w:type="dxa"/>
            <w:vAlign w:val="bottom"/>
          </w:tcPr>
          <w:p>
            <w:pPr>
              <w:jc w:val="right"/>
              <w:ind w:right="90"/>
              <w:spacing w:after="0"/>
              <w:rPr>
                <w:sz w:val="20"/>
                <w:szCs w:val="20"/>
                <w:color w:val="auto"/>
              </w:rPr>
            </w:pPr>
            <w:r>
              <w:rPr>
                <w:rFonts w:ascii="Arial" w:cs="Arial" w:eastAsia="Arial" w:hAnsi="Arial"/>
                <w:sz w:val="18"/>
                <w:szCs w:val="18"/>
                <w:b w:val="1"/>
                <w:bCs w:val="1"/>
                <w:color w:val="auto"/>
              </w:rPr>
              <w:t>ended</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r>
      <w:tr>
        <w:trPr>
          <w:trHeight w:val="216"/>
        </w:trPr>
        <w:tc>
          <w:tcPr>
            <w:tcW w:w="2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5300" w:type="dxa"/>
            <w:vAlign w:val="bottom"/>
          </w:tcPr>
          <w:p>
            <w:pPr>
              <w:jc w:val="right"/>
              <w:ind w:right="90"/>
              <w:spacing w:after="0"/>
              <w:rPr>
                <w:sz w:val="20"/>
                <w:szCs w:val="20"/>
                <w:color w:val="auto"/>
              </w:rPr>
            </w:pPr>
            <w:r>
              <w:rPr>
                <w:rFonts w:ascii="Arial" w:cs="Arial" w:eastAsia="Arial" w:hAnsi="Arial"/>
                <w:sz w:val="18"/>
                <w:szCs w:val="18"/>
                <w:b w:val="1"/>
                <w:bCs w:val="1"/>
                <w:color w:val="auto"/>
              </w:rPr>
              <w:t>31 July</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w w:val="98"/>
              </w:rPr>
              <w:t>31 December</w:t>
            </w:r>
          </w:p>
        </w:tc>
      </w:tr>
      <w:tr>
        <w:trPr>
          <w:trHeight w:val="216"/>
        </w:trPr>
        <w:tc>
          <w:tcPr>
            <w:tcW w:w="2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5300" w:type="dxa"/>
            <w:vAlign w:val="bottom"/>
          </w:tcPr>
          <w:p>
            <w:pPr>
              <w:jc w:val="right"/>
              <w:ind w:right="90"/>
              <w:spacing w:after="0"/>
              <w:rPr>
                <w:sz w:val="20"/>
                <w:szCs w:val="20"/>
                <w:color w:val="auto"/>
              </w:rPr>
            </w:pPr>
            <w:r>
              <w:rPr>
                <w:rFonts w:ascii="Arial" w:cs="Arial" w:eastAsia="Arial" w:hAnsi="Arial"/>
                <w:sz w:val="18"/>
                <w:szCs w:val="18"/>
                <w:b w:val="1"/>
                <w:bCs w:val="1"/>
                <w:color w:val="auto"/>
              </w:rPr>
              <w:t>2015</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2014</w:t>
            </w:r>
          </w:p>
        </w:tc>
      </w:tr>
      <w:tr>
        <w:trPr>
          <w:trHeight w:val="234"/>
        </w:trPr>
        <w:tc>
          <w:tcPr>
            <w:tcW w:w="26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5300" w:type="dxa"/>
            <w:vAlign w:val="bottom"/>
          </w:tcPr>
          <w:p>
            <w:pPr>
              <w:jc w:val="right"/>
              <w:ind w:right="90"/>
              <w:spacing w:after="0"/>
              <w:rPr>
                <w:sz w:val="20"/>
                <w:szCs w:val="20"/>
                <w:color w:val="auto"/>
              </w:rPr>
            </w:pPr>
            <w:r>
              <w:rPr>
                <w:rFonts w:ascii="Arial" w:cs="Arial" w:eastAsia="Arial" w:hAnsi="Arial"/>
                <w:sz w:val="18"/>
                <w:szCs w:val="18"/>
                <w:b w:val="1"/>
                <w:bCs w:val="1"/>
                <w:color w:val="auto"/>
              </w:rPr>
              <w:t>$’000</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216"/>
        </w:trPr>
        <w:tc>
          <w:tcPr>
            <w:tcW w:w="2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60" w:type="dxa"/>
            <w:vAlign w:val="bottom"/>
            <w:shd w:val="clear" w:color="auto" w:fill="CCEEFF"/>
          </w:tcPr>
          <w:p>
            <w:pPr>
              <w:spacing w:after="0"/>
              <w:rPr>
                <w:sz w:val="18"/>
                <w:szCs w:val="18"/>
                <w:color w:val="auto"/>
              </w:rPr>
            </w:pPr>
          </w:p>
        </w:tc>
        <w:tc>
          <w:tcPr>
            <w:tcW w:w="4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Payroll and related costs</w:t>
            </w:r>
          </w:p>
        </w:tc>
        <w:tc>
          <w:tcPr>
            <w:tcW w:w="5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11,095</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17,881</w:t>
            </w:r>
          </w:p>
        </w:tc>
      </w:tr>
      <w:tr>
        <w:trPr>
          <w:trHeight w:val="216"/>
        </w:trPr>
        <w:tc>
          <w:tcPr>
            <w:tcW w:w="260" w:type="dxa"/>
            <w:vAlign w:val="bottom"/>
          </w:tcPr>
          <w:p>
            <w:pPr>
              <w:spacing w:after="0"/>
              <w:rPr>
                <w:sz w:val="18"/>
                <w:szCs w:val="18"/>
                <w:color w:val="auto"/>
              </w:rPr>
            </w:pPr>
          </w:p>
        </w:tc>
        <w:tc>
          <w:tcPr>
            <w:tcW w:w="4680" w:type="dxa"/>
            <w:vAlign w:val="bottom"/>
          </w:tcPr>
          <w:p>
            <w:pPr>
              <w:ind w:left="100"/>
              <w:spacing w:after="0"/>
              <w:rPr>
                <w:sz w:val="20"/>
                <w:szCs w:val="20"/>
                <w:color w:val="auto"/>
              </w:rPr>
            </w:pPr>
            <w:r>
              <w:rPr>
                <w:rFonts w:ascii="Arial" w:cs="Arial" w:eastAsia="Arial" w:hAnsi="Arial"/>
                <w:sz w:val="18"/>
                <w:szCs w:val="18"/>
                <w:color w:val="auto"/>
              </w:rPr>
              <w:t>Administrative expenses</w:t>
            </w:r>
          </w:p>
        </w:tc>
        <w:tc>
          <w:tcPr>
            <w:tcW w:w="5300" w:type="dxa"/>
            <w:vAlign w:val="bottom"/>
          </w:tcPr>
          <w:p>
            <w:pPr>
              <w:jc w:val="right"/>
              <w:ind w:right="90"/>
              <w:spacing w:after="0"/>
              <w:rPr>
                <w:sz w:val="20"/>
                <w:szCs w:val="20"/>
                <w:color w:val="auto"/>
              </w:rPr>
            </w:pPr>
            <w:r>
              <w:rPr>
                <w:rFonts w:ascii="Arial" w:cs="Arial" w:eastAsia="Arial" w:hAnsi="Arial"/>
                <w:sz w:val="18"/>
                <w:szCs w:val="18"/>
                <w:b w:val="1"/>
                <w:bCs w:val="1"/>
                <w:color w:val="auto"/>
              </w:rPr>
              <w:t>12,450</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30,802</w:t>
            </w:r>
          </w:p>
        </w:tc>
      </w:tr>
      <w:tr>
        <w:trPr>
          <w:trHeight w:val="216"/>
        </w:trPr>
        <w:tc>
          <w:tcPr>
            <w:tcW w:w="260" w:type="dxa"/>
            <w:vAlign w:val="bottom"/>
            <w:shd w:val="clear" w:color="auto" w:fill="CCEEFF"/>
          </w:tcPr>
          <w:p>
            <w:pPr>
              <w:spacing w:after="0"/>
              <w:rPr>
                <w:sz w:val="18"/>
                <w:szCs w:val="18"/>
                <w:color w:val="auto"/>
              </w:rPr>
            </w:pPr>
          </w:p>
        </w:tc>
        <w:tc>
          <w:tcPr>
            <w:tcW w:w="4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expense</w:t>
            </w:r>
          </w:p>
        </w:tc>
        <w:tc>
          <w:tcPr>
            <w:tcW w:w="5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163</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423</w:t>
            </w:r>
          </w:p>
        </w:tc>
      </w:tr>
      <w:tr>
        <w:trPr>
          <w:trHeight w:val="216"/>
        </w:trPr>
        <w:tc>
          <w:tcPr>
            <w:tcW w:w="260" w:type="dxa"/>
            <w:vAlign w:val="bottom"/>
          </w:tcPr>
          <w:p>
            <w:pPr>
              <w:spacing w:after="0"/>
              <w:rPr>
                <w:sz w:val="18"/>
                <w:szCs w:val="18"/>
                <w:color w:val="auto"/>
              </w:rPr>
            </w:pPr>
          </w:p>
        </w:tc>
        <w:tc>
          <w:tcPr>
            <w:tcW w:w="4680" w:type="dxa"/>
            <w:vAlign w:val="bottom"/>
          </w:tcPr>
          <w:p>
            <w:pPr>
              <w:ind w:left="100"/>
              <w:spacing w:after="0"/>
              <w:rPr>
                <w:sz w:val="20"/>
                <w:szCs w:val="20"/>
                <w:color w:val="auto"/>
              </w:rPr>
            </w:pPr>
            <w:r>
              <w:rPr>
                <w:rFonts w:ascii="Arial" w:cs="Arial" w:eastAsia="Arial" w:hAnsi="Arial"/>
                <w:sz w:val="18"/>
                <w:szCs w:val="18"/>
                <w:color w:val="auto"/>
              </w:rPr>
              <w:t>Amortisation of intangible assets – computer software</w:t>
            </w:r>
          </w:p>
        </w:tc>
        <w:tc>
          <w:tcPr>
            <w:tcW w:w="5300" w:type="dxa"/>
            <w:vAlign w:val="bottom"/>
          </w:tcPr>
          <w:p>
            <w:pPr>
              <w:jc w:val="right"/>
              <w:ind w:right="90"/>
              <w:spacing w:after="0"/>
              <w:rPr>
                <w:sz w:val="20"/>
                <w:szCs w:val="20"/>
                <w:color w:val="auto"/>
              </w:rPr>
            </w:pPr>
            <w:r>
              <w:rPr>
                <w:rFonts w:ascii="Arial" w:cs="Arial" w:eastAsia="Arial" w:hAnsi="Arial"/>
                <w:sz w:val="18"/>
                <w:szCs w:val="18"/>
                <w:b w:val="1"/>
                <w:bCs w:val="1"/>
                <w:color w:val="auto"/>
              </w:rPr>
              <w:t>85</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186</w:t>
            </w:r>
          </w:p>
        </w:tc>
      </w:tr>
      <w:tr>
        <w:trPr>
          <w:trHeight w:val="216"/>
        </w:trPr>
        <w:tc>
          <w:tcPr>
            <w:tcW w:w="260" w:type="dxa"/>
            <w:vAlign w:val="bottom"/>
            <w:shd w:val="clear" w:color="auto" w:fill="CCEEFF"/>
          </w:tcPr>
          <w:p>
            <w:pPr>
              <w:spacing w:after="0"/>
              <w:rPr>
                <w:sz w:val="18"/>
                <w:szCs w:val="18"/>
                <w:color w:val="auto"/>
              </w:rPr>
            </w:pPr>
          </w:p>
        </w:tc>
        <w:tc>
          <w:tcPr>
            <w:tcW w:w="4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income</w:t>
            </w:r>
          </w:p>
        </w:tc>
        <w:tc>
          <w:tcPr>
            <w:tcW w:w="5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23"/>
        </w:trPr>
        <w:tc>
          <w:tcPr>
            <w:tcW w:w="260" w:type="dxa"/>
            <w:vAlign w:val="bottom"/>
            <w:tcBorders>
              <w:bottom w:val="single" w:sz="8" w:color="auto"/>
            </w:tcBorders>
          </w:tcPr>
          <w:p>
            <w:pPr>
              <w:spacing w:after="0"/>
              <w:rPr>
                <w:sz w:val="19"/>
                <w:szCs w:val="19"/>
                <w:color w:val="auto"/>
              </w:rPr>
            </w:pPr>
          </w:p>
        </w:tc>
        <w:tc>
          <w:tcPr>
            <w:tcW w:w="46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Exchange gain</w:t>
            </w:r>
          </w:p>
        </w:tc>
        <w:tc>
          <w:tcPr>
            <w:tcW w:w="5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(1,210)</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w:t>
            </w:r>
          </w:p>
        </w:tc>
      </w:tr>
      <w:tr>
        <w:trPr>
          <w:trHeight w:val="216"/>
        </w:trPr>
        <w:tc>
          <w:tcPr>
            <w:tcW w:w="26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260" w:type="dxa"/>
            <w:vAlign w:val="bottom"/>
            <w:tcBorders>
              <w:bottom w:val="single" w:sz="8" w:color="auto"/>
            </w:tcBorders>
          </w:tcPr>
          <w:p>
            <w:pPr>
              <w:spacing w:after="0"/>
              <w:rPr>
                <w:sz w:val="18"/>
                <w:szCs w:val="18"/>
                <w:color w:val="auto"/>
              </w:rPr>
            </w:pPr>
          </w:p>
        </w:tc>
        <w:tc>
          <w:tcPr>
            <w:tcW w:w="4680" w:type="dxa"/>
            <w:vAlign w:val="bottom"/>
            <w:tcBorders>
              <w:bottom w:val="single" w:sz="8" w:color="auto"/>
            </w:tcBorders>
          </w:tcPr>
          <w:p>
            <w:pPr>
              <w:spacing w:after="0"/>
              <w:rPr>
                <w:sz w:val="18"/>
                <w:szCs w:val="18"/>
                <w:color w:val="auto"/>
              </w:rPr>
            </w:pPr>
          </w:p>
        </w:tc>
        <w:tc>
          <w:tcPr>
            <w:tcW w:w="5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22,543</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48,201</w:t>
            </w: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601"/>
        </w:trPr>
        <w:tc>
          <w:tcPr>
            <w:tcW w:w="26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5300" w:type="dxa"/>
            <w:vAlign w:val="bottom"/>
          </w:tcPr>
          <w:p>
            <w:pPr>
              <w:jc w:val="right"/>
              <w:ind w:right="4350"/>
              <w:spacing w:after="0"/>
              <w:rPr>
                <w:sz w:val="20"/>
                <w:szCs w:val="20"/>
                <w:color w:val="auto"/>
              </w:rPr>
            </w:pPr>
            <w:r>
              <w:rPr>
                <w:rFonts w:ascii="Arial" w:cs="Arial" w:eastAsia="Arial" w:hAnsi="Arial"/>
                <w:sz w:val="18"/>
                <w:szCs w:val="18"/>
                <w:color w:val="auto"/>
              </w:rPr>
              <w:t>14</w:t>
            </w:r>
          </w:p>
        </w:tc>
        <w:tc>
          <w:tcPr>
            <w:tcW w:w="1180" w:type="dxa"/>
            <w:vAlign w:val="bottom"/>
          </w:tcPr>
          <w:p>
            <w:pPr>
              <w:spacing w:after="0"/>
              <w:rPr>
                <w:sz w:val="24"/>
                <w:szCs w:val="24"/>
                <w:color w:val="auto"/>
              </w:rPr>
            </w:pPr>
          </w:p>
        </w:tc>
      </w:tr>
      <w:tr>
        <w:trPr>
          <w:trHeight w:val="118"/>
        </w:trPr>
        <w:tc>
          <w:tcPr>
            <w:tcW w:w="260" w:type="dxa"/>
            <w:vAlign w:val="bottom"/>
            <w:tcBorders>
              <w:bottom w:val="single" w:sz="8" w:color="808080"/>
            </w:tcBorders>
          </w:tcPr>
          <w:p>
            <w:pPr>
              <w:spacing w:after="0"/>
              <w:rPr>
                <w:sz w:val="10"/>
                <w:szCs w:val="10"/>
                <w:color w:val="auto"/>
              </w:rPr>
            </w:pPr>
          </w:p>
        </w:tc>
        <w:tc>
          <w:tcPr>
            <w:tcW w:w="4680" w:type="dxa"/>
            <w:vAlign w:val="bottom"/>
            <w:tcBorders>
              <w:bottom w:val="single" w:sz="8" w:color="808080"/>
            </w:tcBorders>
          </w:tcPr>
          <w:p>
            <w:pPr>
              <w:spacing w:after="0"/>
              <w:rPr>
                <w:sz w:val="10"/>
                <w:szCs w:val="10"/>
                <w:color w:val="auto"/>
              </w:rPr>
            </w:pPr>
          </w:p>
        </w:tc>
        <w:tc>
          <w:tcPr>
            <w:tcW w:w="53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9" w:name="page20"/>
    <w:bookmarkEnd w:id="19"/>
    <w:p>
      <w:pPr>
        <w:spacing w:after="0"/>
        <w:rPr>
          <w:sz w:val="20"/>
          <w:szCs w:val="20"/>
          <w:color w:val="auto"/>
        </w:rPr>
      </w:pPr>
      <w:r>
        <w:rPr>
          <w:rFonts w:ascii="Arial" w:cs="Arial" w:eastAsia="Arial" w:hAnsi="Arial"/>
          <w:sz w:val="29"/>
          <w:szCs w:val="29"/>
          <w:color w:val="auto"/>
        </w:rPr>
        <w:t>ICON Plc</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Notes (continued)</w:t>
      </w:r>
    </w:p>
    <w:p>
      <w:pPr>
        <w:spacing w:after="0" w:line="236"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Profit on disposal of subsidiary undertakings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3880" w:type="dxa"/>
            <w:vAlign w:val="bottom"/>
          </w:tcPr>
          <w:p>
            <w:pPr>
              <w:jc w:val="right"/>
              <w:ind w:right="50"/>
              <w:spacing w:after="0"/>
              <w:rPr>
                <w:sz w:val="20"/>
                <w:szCs w:val="20"/>
                <w:color w:val="auto"/>
              </w:rPr>
            </w:pPr>
            <w:r>
              <w:rPr>
                <w:rFonts w:ascii="Arial" w:cs="Arial" w:eastAsia="Arial" w:hAnsi="Arial"/>
                <w:sz w:val="18"/>
                <w:szCs w:val="18"/>
                <w:b w:val="1"/>
                <w:bCs w:val="1"/>
                <w:color w:val="auto"/>
              </w:rPr>
              <w:t>Period ended</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r>
      <w:tr>
        <w:trPr>
          <w:trHeight w:val="216"/>
        </w:trPr>
        <w:tc>
          <w:tcPr>
            <w:tcW w:w="6320" w:type="dxa"/>
            <w:vAlign w:val="bottom"/>
          </w:tcPr>
          <w:p>
            <w:pPr>
              <w:spacing w:after="0"/>
              <w:rPr>
                <w:sz w:val="18"/>
                <w:szCs w:val="18"/>
                <w:color w:val="auto"/>
              </w:rPr>
            </w:pPr>
          </w:p>
        </w:tc>
        <w:tc>
          <w:tcPr>
            <w:tcW w:w="3880" w:type="dxa"/>
            <w:vAlign w:val="bottom"/>
          </w:tcPr>
          <w:p>
            <w:pPr>
              <w:jc w:val="right"/>
              <w:ind w:right="50"/>
              <w:spacing w:after="0"/>
              <w:rPr>
                <w:sz w:val="20"/>
                <w:szCs w:val="20"/>
                <w:color w:val="auto"/>
              </w:rPr>
            </w:pPr>
            <w:r>
              <w:rPr>
                <w:rFonts w:ascii="Arial" w:cs="Arial" w:eastAsia="Arial" w:hAnsi="Arial"/>
                <w:sz w:val="18"/>
                <w:szCs w:val="18"/>
                <w:b w:val="1"/>
                <w:bCs w:val="1"/>
                <w:color w:val="auto"/>
              </w:rPr>
              <w:t>31 July</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r>
      <w:tr>
        <w:trPr>
          <w:trHeight w:val="216"/>
        </w:trPr>
        <w:tc>
          <w:tcPr>
            <w:tcW w:w="6320" w:type="dxa"/>
            <w:vAlign w:val="bottom"/>
          </w:tcPr>
          <w:p>
            <w:pPr>
              <w:spacing w:after="0"/>
              <w:rPr>
                <w:sz w:val="18"/>
                <w:szCs w:val="18"/>
                <w:color w:val="auto"/>
              </w:rPr>
            </w:pPr>
          </w:p>
        </w:tc>
        <w:tc>
          <w:tcPr>
            <w:tcW w:w="3880" w:type="dxa"/>
            <w:vAlign w:val="bottom"/>
          </w:tcPr>
          <w:p>
            <w:pPr>
              <w:jc w:val="right"/>
              <w:ind w:right="50"/>
              <w:spacing w:after="0"/>
              <w:rPr>
                <w:sz w:val="20"/>
                <w:szCs w:val="20"/>
                <w:color w:val="auto"/>
              </w:rPr>
            </w:pPr>
            <w:r>
              <w:rPr>
                <w:rFonts w:ascii="Arial" w:cs="Arial" w:eastAsia="Arial" w:hAnsi="Arial"/>
                <w:sz w:val="18"/>
                <w:szCs w:val="18"/>
                <w:b w:val="1"/>
                <w:bCs w:val="1"/>
                <w:color w:val="auto"/>
              </w:rPr>
              <w:t>2015</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2014</w:t>
            </w:r>
          </w:p>
        </w:tc>
      </w:tr>
      <w:tr>
        <w:trPr>
          <w:trHeight w:val="234"/>
        </w:trPr>
        <w:tc>
          <w:tcPr>
            <w:tcW w:w="6320" w:type="dxa"/>
            <w:vAlign w:val="bottom"/>
          </w:tcPr>
          <w:p>
            <w:pPr>
              <w:spacing w:after="0"/>
              <w:rPr>
                <w:sz w:val="20"/>
                <w:szCs w:val="20"/>
                <w:color w:val="auto"/>
              </w:rPr>
            </w:pPr>
          </w:p>
        </w:tc>
        <w:tc>
          <w:tcPr>
            <w:tcW w:w="3880" w:type="dxa"/>
            <w:vAlign w:val="bottom"/>
          </w:tcPr>
          <w:p>
            <w:pPr>
              <w:jc w:val="right"/>
              <w:ind w:right="50"/>
              <w:spacing w:after="0"/>
              <w:rPr>
                <w:sz w:val="20"/>
                <w:szCs w:val="20"/>
                <w:color w:val="auto"/>
              </w:rPr>
            </w:pPr>
            <w:r>
              <w:rPr>
                <w:rFonts w:ascii="Arial" w:cs="Arial" w:eastAsia="Arial" w:hAnsi="Arial"/>
                <w:sz w:val="18"/>
                <w:szCs w:val="18"/>
                <w:b w:val="1"/>
                <w:bCs w:val="1"/>
                <w:color w:val="auto"/>
              </w:rPr>
              <w:t>$’000</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216"/>
        </w:trPr>
        <w:tc>
          <w:tcPr>
            <w:tcW w:w="63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3"/>
        </w:trPr>
        <w:tc>
          <w:tcPr>
            <w:tcW w:w="63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Profit on disposal of subsidiary undertakings</w:t>
            </w:r>
          </w:p>
        </w:tc>
        <w:tc>
          <w:tcPr>
            <w:tcW w:w="3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350,000</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7"/>
        </w:trPr>
        <w:tc>
          <w:tcPr>
            <w:tcW w:w="6320" w:type="dxa"/>
            <w:vAlign w:val="bottom"/>
            <w:tcBorders>
              <w:bottom w:val="single" w:sz="8" w:color="auto"/>
            </w:tcBorders>
            <w:shd w:val="clear" w:color="auto" w:fill="CCEEFF"/>
          </w:tcPr>
          <w:p>
            <w:pPr>
              <w:spacing w:after="0"/>
              <w:rPr>
                <w:sz w:val="22"/>
                <w:szCs w:val="22"/>
                <w:color w:val="auto"/>
              </w:rPr>
            </w:pPr>
          </w:p>
        </w:tc>
        <w:tc>
          <w:tcPr>
            <w:tcW w:w="3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350,000</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ind w:left="360"/>
        <w:spacing w:after="0" w:line="264" w:lineRule="auto"/>
        <w:rPr>
          <w:sz w:val="20"/>
          <w:szCs w:val="20"/>
          <w:color w:val="auto"/>
        </w:rPr>
      </w:pPr>
      <w:r>
        <w:rPr>
          <w:rFonts w:ascii="Arial" w:cs="Arial" w:eastAsia="Arial" w:hAnsi="Arial"/>
          <w:sz w:val="18"/>
          <w:szCs w:val="18"/>
          <w:color w:val="auto"/>
        </w:rPr>
        <w:t>On 30 July 2015 the Company sold a 13% shareholding in its subsidiary ICON Clinical Research Limited to ICON Investments Four, a fellow Group company, for total proceeds of $350 million. This subsidiary had a $nil original cost and therefore the part disposal resulted in a profit on disposal of $350 million which has been recorded in the income statement during the period ended 31 July 2015.</w:t>
      </w:r>
    </w:p>
    <w:p>
      <w:pPr>
        <w:spacing w:after="0" w:line="204"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Financing income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6580" w:type="dxa"/>
            <w:vAlign w:val="bottom"/>
          </w:tcPr>
          <w:p>
            <w:pPr>
              <w:jc w:val="right"/>
              <w:ind w:right="50"/>
              <w:spacing w:after="0"/>
              <w:rPr>
                <w:sz w:val="20"/>
                <w:szCs w:val="20"/>
                <w:color w:val="auto"/>
              </w:rPr>
            </w:pPr>
            <w:r>
              <w:rPr>
                <w:rFonts w:ascii="Arial" w:cs="Arial" w:eastAsia="Arial" w:hAnsi="Arial"/>
                <w:sz w:val="18"/>
                <w:szCs w:val="18"/>
                <w:b w:val="1"/>
                <w:bCs w:val="1"/>
                <w:color w:val="auto"/>
              </w:rPr>
              <w:t>Period ended</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r>
      <w:tr>
        <w:trPr>
          <w:trHeight w:val="216"/>
        </w:trPr>
        <w:tc>
          <w:tcPr>
            <w:tcW w:w="3620" w:type="dxa"/>
            <w:vAlign w:val="bottom"/>
          </w:tcPr>
          <w:p>
            <w:pPr>
              <w:spacing w:after="0"/>
              <w:rPr>
                <w:sz w:val="18"/>
                <w:szCs w:val="18"/>
                <w:color w:val="auto"/>
              </w:rPr>
            </w:pPr>
          </w:p>
        </w:tc>
        <w:tc>
          <w:tcPr>
            <w:tcW w:w="6580" w:type="dxa"/>
            <w:vAlign w:val="bottom"/>
          </w:tcPr>
          <w:p>
            <w:pPr>
              <w:jc w:val="right"/>
              <w:ind w:right="50"/>
              <w:spacing w:after="0"/>
              <w:rPr>
                <w:sz w:val="20"/>
                <w:szCs w:val="20"/>
                <w:color w:val="auto"/>
              </w:rPr>
            </w:pPr>
            <w:r>
              <w:rPr>
                <w:rFonts w:ascii="Arial" w:cs="Arial" w:eastAsia="Arial" w:hAnsi="Arial"/>
                <w:sz w:val="18"/>
                <w:szCs w:val="18"/>
                <w:b w:val="1"/>
                <w:bCs w:val="1"/>
                <w:color w:val="auto"/>
              </w:rPr>
              <w:t>31 July</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r>
      <w:tr>
        <w:trPr>
          <w:trHeight w:val="216"/>
        </w:trPr>
        <w:tc>
          <w:tcPr>
            <w:tcW w:w="3620" w:type="dxa"/>
            <w:vAlign w:val="bottom"/>
          </w:tcPr>
          <w:p>
            <w:pPr>
              <w:spacing w:after="0"/>
              <w:rPr>
                <w:sz w:val="18"/>
                <w:szCs w:val="18"/>
                <w:color w:val="auto"/>
              </w:rPr>
            </w:pPr>
          </w:p>
        </w:tc>
        <w:tc>
          <w:tcPr>
            <w:tcW w:w="6580" w:type="dxa"/>
            <w:vAlign w:val="bottom"/>
          </w:tcPr>
          <w:p>
            <w:pPr>
              <w:jc w:val="right"/>
              <w:ind w:right="50"/>
              <w:spacing w:after="0"/>
              <w:rPr>
                <w:sz w:val="20"/>
                <w:szCs w:val="20"/>
                <w:color w:val="auto"/>
              </w:rPr>
            </w:pPr>
            <w:r>
              <w:rPr>
                <w:rFonts w:ascii="Arial" w:cs="Arial" w:eastAsia="Arial" w:hAnsi="Arial"/>
                <w:sz w:val="18"/>
                <w:szCs w:val="18"/>
                <w:b w:val="1"/>
                <w:bCs w:val="1"/>
                <w:color w:val="auto"/>
              </w:rPr>
              <w:t>2015</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2014</w:t>
            </w:r>
          </w:p>
        </w:tc>
      </w:tr>
      <w:tr>
        <w:trPr>
          <w:trHeight w:val="234"/>
        </w:trPr>
        <w:tc>
          <w:tcPr>
            <w:tcW w:w="3620" w:type="dxa"/>
            <w:vAlign w:val="bottom"/>
          </w:tcPr>
          <w:p>
            <w:pPr>
              <w:spacing w:after="0"/>
              <w:rPr>
                <w:sz w:val="20"/>
                <w:szCs w:val="20"/>
                <w:color w:val="auto"/>
              </w:rPr>
            </w:pPr>
          </w:p>
        </w:tc>
        <w:tc>
          <w:tcPr>
            <w:tcW w:w="6580" w:type="dxa"/>
            <w:vAlign w:val="bottom"/>
          </w:tcPr>
          <w:p>
            <w:pPr>
              <w:jc w:val="right"/>
              <w:ind w:right="50"/>
              <w:spacing w:after="0"/>
              <w:rPr>
                <w:sz w:val="20"/>
                <w:szCs w:val="20"/>
                <w:color w:val="auto"/>
              </w:rPr>
            </w:pPr>
            <w:r>
              <w:rPr>
                <w:rFonts w:ascii="Arial" w:cs="Arial" w:eastAsia="Arial" w:hAnsi="Arial"/>
                <w:sz w:val="18"/>
                <w:szCs w:val="18"/>
                <w:b w:val="1"/>
                <w:bCs w:val="1"/>
                <w:color w:val="auto"/>
              </w:rPr>
              <w:t>$’000</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439"/>
        </w:trPr>
        <w:tc>
          <w:tcPr>
            <w:tcW w:w="3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Dividend income</w:t>
            </w:r>
          </w:p>
        </w:tc>
        <w:tc>
          <w:tcPr>
            <w:tcW w:w="6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141,030</w:t>
            </w:r>
          </w:p>
        </w:tc>
      </w:tr>
      <w:tr>
        <w:trPr>
          <w:trHeight w:val="608"/>
        </w:trPr>
        <w:tc>
          <w:tcPr>
            <w:tcW w:w="3620" w:type="dxa"/>
            <w:vAlign w:val="bottom"/>
          </w:tcPr>
          <w:p>
            <w:pPr>
              <w:spacing w:after="0"/>
              <w:rPr>
                <w:sz w:val="24"/>
                <w:szCs w:val="24"/>
                <w:color w:val="auto"/>
              </w:rPr>
            </w:pPr>
          </w:p>
        </w:tc>
        <w:tc>
          <w:tcPr>
            <w:tcW w:w="6580" w:type="dxa"/>
            <w:vAlign w:val="bottom"/>
          </w:tcPr>
          <w:p>
            <w:pPr>
              <w:jc w:val="right"/>
              <w:ind w:right="4310"/>
              <w:spacing w:after="0"/>
              <w:rPr>
                <w:sz w:val="20"/>
                <w:szCs w:val="20"/>
                <w:color w:val="auto"/>
              </w:rPr>
            </w:pPr>
            <w:r>
              <w:rPr>
                <w:rFonts w:ascii="Arial" w:cs="Arial" w:eastAsia="Arial" w:hAnsi="Arial"/>
                <w:sz w:val="18"/>
                <w:szCs w:val="18"/>
                <w:color w:val="auto"/>
              </w:rPr>
              <w:t>15</w:t>
            </w:r>
          </w:p>
        </w:tc>
        <w:tc>
          <w:tcPr>
            <w:tcW w:w="1220" w:type="dxa"/>
            <w:vAlign w:val="bottom"/>
          </w:tcPr>
          <w:p>
            <w:pPr>
              <w:spacing w:after="0"/>
              <w:rPr>
                <w:sz w:val="24"/>
                <w:szCs w:val="24"/>
                <w:color w:val="auto"/>
              </w:rPr>
            </w:pPr>
          </w:p>
        </w:tc>
      </w:tr>
      <w:tr>
        <w:trPr>
          <w:trHeight w:val="118"/>
        </w:trPr>
        <w:tc>
          <w:tcPr>
            <w:tcW w:w="3620" w:type="dxa"/>
            <w:vAlign w:val="bottom"/>
            <w:tcBorders>
              <w:bottom w:val="single" w:sz="8" w:color="808080"/>
            </w:tcBorders>
          </w:tcPr>
          <w:p>
            <w:pPr>
              <w:spacing w:after="0"/>
              <w:rPr>
                <w:sz w:val="10"/>
                <w:szCs w:val="10"/>
                <w:color w:val="auto"/>
              </w:rPr>
            </w:pPr>
          </w:p>
        </w:tc>
        <w:tc>
          <w:tcPr>
            <w:tcW w:w="65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20" w:name="page21"/>
    <w:bookmarkEnd w:id="20"/>
    <w:p>
      <w:pPr>
        <w:spacing w:after="0"/>
        <w:rPr>
          <w:sz w:val="20"/>
          <w:szCs w:val="20"/>
          <w:color w:val="auto"/>
        </w:rPr>
      </w:pPr>
      <w:r>
        <w:rPr>
          <w:rFonts w:ascii="Arial" w:cs="Arial" w:eastAsia="Arial" w:hAnsi="Arial"/>
          <w:sz w:val="29"/>
          <w:szCs w:val="29"/>
          <w:color w:val="auto"/>
        </w:rPr>
        <w:t>ICON Plc</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Notes (continued)</w:t>
      </w:r>
    </w:p>
    <w:p>
      <w:pPr>
        <w:spacing w:after="0" w:line="236"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ind w:right="1360"/>
        <w:spacing w:after="0" w:line="277" w:lineRule="auto"/>
        <w:rPr>
          <w:sz w:val="20"/>
          <w:szCs w:val="20"/>
          <w:color w:val="auto"/>
        </w:rPr>
      </w:pPr>
      <w:r>
        <w:rPr>
          <w:rFonts w:ascii="Arial" w:cs="Arial" w:eastAsia="Arial" w:hAnsi="Arial"/>
          <w:sz w:val="18"/>
          <w:szCs w:val="18"/>
          <w:color w:val="auto"/>
        </w:rPr>
        <w:t>The components of the current and deferred tax expense for the period ended 31 July 2015 and year ended 31 December 2014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0" w:type="dxa"/>
            <w:vAlign w:val="bottom"/>
          </w:tcPr>
          <w:p>
            <w:pPr>
              <w:spacing w:after="0"/>
              <w:rPr>
                <w:sz w:val="18"/>
                <w:szCs w:val="18"/>
                <w:color w:val="auto"/>
              </w:rPr>
            </w:pPr>
          </w:p>
        </w:tc>
        <w:tc>
          <w:tcPr>
            <w:tcW w:w="3640" w:type="dxa"/>
            <w:vAlign w:val="bottom"/>
          </w:tcPr>
          <w:p>
            <w:pPr>
              <w:jc w:val="right"/>
              <w:ind w:right="90"/>
              <w:spacing w:after="0"/>
              <w:rPr>
                <w:sz w:val="20"/>
                <w:szCs w:val="20"/>
                <w:color w:val="auto"/>
              </w:rPr>
            </w:pPr>
            <w:r>
              <w:rPr>
                <w:rFonts w:ascii="Arial" w:cs="Arial" w:eastAsia="Arial" w:hAnsi="Arial"/>
                <w:sz w:val="18"/>
                <w:szCs w:val="18"/>
                <w:b w:val="1"/>
                <w:bCs w:val="1"/>
                <w:color w:val="auto"/>
              </w:rPr>
              <w:t>Period ended</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r>
      <w:tr>
        <w:trPr>
          <w:trHeight w:val="216"/>
        </w:trPr>
        <w:tc>
          <w:tcPr>
            <w:tcW w:w="6600" w:type="dxa"/>
            <w:vAlign w:val="bottom"/>
          </w:tcPr>
          <w:p>
            <w:pPr>
              <w:spacing w:after="0"/>
              <w:rPr>
                <w:sz w:val="18"/>
                <w:szCs w:val="18"/>
                <w:color w:val="auto"/>
              </w:rPr>
            </w:pPr>
          </w:p>
        </w:tc>
        <w:tc>
          <w:tcPr>
            <w:tcW w:w="3640" w:type="dxa"/>
            <w:vAlign w:val="bottom"/>
          </w:tcPr>
          <w:p>
            <w:pPr>
              <w:jc w:val="right"/>
              <w:ind w:right="90"/>
              <w:spacing w:after="0"/>
              <w:rPr>
                <w:sz w:val="20"/>
                <w:szCs w:val="20"/>
                <w:color w:val="auto"/>
              </w:rPr>
            </w:pPr>
            <w:r>
              <w:rPr>
                <w:rFonts w:ascii="Arial" w:cs="Arial" w:eastAsia="Arial" w:hAnsi="Arial"/>
                <w:sz w:val="18"/>
                <w:szCs w:val="18"/>
                <w:b w:val="1"/>
                <w:bCs w:val="1"/>
                <w:color w:val="auto"/>
              </w:rPr>
              <w:t>31 July</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w w:val="98"/>
              </w:rPr>
              <w:t>31 December</w:t>
            </w:r>
          </w:p>
        </w:tc>
      </w:tr>
      <w:tr>
        <w:trPr>
          <w:trHeight w:val="216"/>
        </w:trPr>
        <w:tc>
          <w:tcPr>
            <w:tcW w:w="6600" w:type="dxa"/>
            <w:vAlign w:val="bottom"/>
          </w:tcPr>
          <w:p>
            <w:pPr>
              <w:spacing w:after="0"/>
              <w:rPr>
                <w:sz w:val="18"/>
                <w:szCs w:val="18"/>
                <w:color w:val="auto"/>
              </w:rPr>
            </w:pPr>
          </w:p>
        </w:tc>
        <w:tc>
          <w:tcPr>
            <w:tcW w:w="3640" w:type="dxa"/>
            <w:vAlign w:val="bottom"/>
          </w:tcPr>
          <w:p>
            <w:pPr>
              <w:jc w:val="right"/>
              <w:ind w:right="90"/>
              <w:spacing w:after="0"/>
              <w:rPr>
                <w:sz w:val="20"/>
                <w:szCs w:val="20"/>
                <w:color w:val="auto"/>
              </w:rPr>
            </w:pPr>
            <w:r>
              <w:rPr>
                <w:rFonts w:ascii="Arial" w:cs="Arial" w:eastAsia="Arial" w:hAnsi="Arial"/>
                <w:sz w:val="18"/>
                <w:szCs w:val="18"/>
                <w:b w:val="1"/>
                <w:bCs w:val="1"/>
                <w:color w:val="auto"/>
              </w:rPr>
              <w:t>2015</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2014</w:t>
            </w:r>
          </w:p>
        </w:tc>
      </w:tr>
      <w:tr>
        <w:trPr>
          <w:trHeight w:val="234"/>
        </w:trPr>
        <w:tc>
          <w:tcPr>
            <w:tcW w:w="6600" w:type="dxa"/>
            <w:vAlign w:val="bottom"/>
          </w:tcPr>
          <w:p>
            <w:pPr>
              <w:spacing w:after="0"/>
              <w:rPr>
                <w:sz w:val="20"/>
                <w:szCs w:val="20"/>
                <w:color w:val="auto"/>
              </w:rPr>
            </w:pPr>
          </w:p>
        </w:tc>
        <w:tc>
          <w:tcPr>
            <w:tcW w:w="3640" w:type="dxa"/>
            <w:vAlign w:val="bottom"/>
          </w:tcPr>
          <w:p>
            <w:pPr>
              <w:jc w:val="right"/>
              <w:ind w:right="90"/>
              <w:spacing w:after="0"/>
              <w:rPr>
                <w:sz w:val="20"/>
                <w:szCs w:val="20"/>
                <w:color w:val="auto"/>
              </w:rPr>
            </w:pPr>
            <w:r>
              <w:rPr>
                <w:rFonts w:ascii="Arial" w:cs="Arial" w:eastAsia="Arial" w:hAnsi="Arial"/>
                <w:sz w:val="18"/>
                <w:szCs w:val="18"/>
                <w:b w:val="1"/>
                <w:bCs w:val="1"/>
                <w:color w:val="auto"/>
              </w:rPr>
              <w:t>$’000</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Current tax expense</w:t>
            </w:r>
          </w:p>
        </w:tc>
        <w:tc>
          <w:tcPr>
            <w:tcW w:w="3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6600" w:type="dxa"/>
            <w:vAlign w:val="bottom"/>
          </w:tcPr>
          <w:p>
            <w:pPr>
              <w:ind w:left="360"/>
              <w:spacing w:after="0"/>
              <w:rPr>
                <w:sz w:val="20"/>
                <w:szCs w:val="20"/>
                <w:color w:val="auto"/>
              </w:rPr>
            </w:pPr>
            <w:r>
              <w:rPr>
                <w:rFonts w:ascii="Arial" w:cs="Arial" w:eastAsia="Arial" w:hAnsi="Arial"/>
                <w:sz w:val="18"/>
                <w:szCs w:val="18"/>
                <w:color w:val="auto"/>
              </w:rPr>
              <w:t>Current period/year</w:t>
            </w:r>
          </w:p>
        </w:tc>
        <w:tc>
          <w:tcPr>
            <w:tcW w:w="3640" w:type="dxa"/>
            <w:vAlign w:val="bottom"/>
          </w:tcPr>
          <w:p>
            <w:pPr>
              <w:jc w:val="right"/>
              <w:ind w:right="90"/>
              <w:spacing w:after="0"/>
              <w:rPr>
                <w:sz w:val="20"/>
                <w:szCs w:val="20"/>
                <w:color w:val="auto"/>
              </w:rPr>
            </w:pPr>
            <w:r>
              <w:rPr>
                <w:rFonts w:ascii="Arial" w:cs="Arial" w:eastAsia="Arial" w:hAnsi="Arial"/>
                <w:sz w:val="18"/>
                <w:szCs w:val="18"/>
                <w:b w:val="1"/>
                <w:bCs w:val="1"/>
                <w:color w:val="auto"/>
              </w:rPr>
              <w:t>403</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1,054</w:t>
            </w:r>
          </w:p>
        </w:tc>
      </w:tr>
      <w:tr>
        <w:trPr>
          <w:trHeight w:val="223"/>
        </w:trPr>
        <w:tc>
          <w:tcPr>
            <w:tcW w:w="66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Under /(over) provided in prior years</w:t>
            </w:r>
          </w:p>
        </w:tc>
        <w:tc>
          <w:tcPr>
            <w:tcW w:w="36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209</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16"/>
        </w:trPr>
        <w:tc>
          <w:tcPr>
            <w:tcW w:w="66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18"/>
                <w:szCs w:val="18"/>
                <w:color w:val="auto"/>
              </w:rPr>
            </w:pPr>
          </w:p>
        </w:tc>
        <w:tc>
          <w:tcPr>
            <w:tcW w:w="36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612</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891</w:t>
            </w:r>
          </w:p>
        </w:tc>
      </w:tr>
      <w:tr>
        <w:trPr>
          <w:trHeight w:val="216"/>
        </w:trPr>
        <w:tc>
          <w:tcPr>
            <w:tcW w:w="6600" w:type="dxa"/>
            <w:vAlign w:val="bottom"/>
          </w:tcPr>
          <w:p>
            <w:pPr>
              <w:ind w:left="360"/>
              <w:spacing w:after="0"/>
              <w:rPr>
                <w:sz w:val="20"/>
                <w:szCs w:val="20"/>
                <w:color w:val="auto"/>
              </w:rPr>
            </w:pPr>
            <w:r>
              <w:rPr>
                <w:rFonts w:ascii="Arial" w:cs="Arial" w:eastAsia="Arial" w:hAnsi="Arial"/>
                <w:sz w:val="18"/>
                <w:szCs w:val="18"/>
                <w:i w:val="1"/>
                <w:iCs w:val="1"/>
                <w:color w:val="auto"/>
              </w:rPr>
              <w:t>Deferred tax charge/(credit)</w:t>
            </w:r>
          </w:p>
        </w:tc>
        <w:tc>
          <w:tcPr>
            <w:tcW w:w="36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Origination and reversal of temporary differences</w:t>
            </w:r>
          </w:p>
        </w:tc>
        <w:tc>
          <w:tcPr>
            <w:tcW w:w="36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66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Over provided in prior years</w:t>
            </w:r>
          </w:p>
        </w:tc>
        <w:tc>
          <w:tcPr>
            <w:tcW w:w="3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(119)</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6600" w:type="dxa"/>
            <w:vAlign w:val="bottom"/>
            <w:shd w:val="clear" w:color="auto" w:fill="CCEEFF"/>
          </w:tcPr>
          <w:p>
            <w:pPr>
              <w:spacing w:after="0"/>
              <w:rPr>
                <w:sz w:val="18"/>
                <w:szCs w:val="18"/>
                <w:color w:val="auto"/>
              </w:rPr>
            </w:pPr>
          </w:p>
        </w:tc>
        <w:tc>
          <w:tcPr>
            <w:tcW w:w="36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66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7"/>
        </w:trPr>
        <w:tc>
          <w:tcPr>
            <w:tcW w:w="66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income tax expense in the income statement</w:t>
            </w:r>
          </w:p>
        </w:tc>
        <w:tc>
          <w:tcPr>
            <w:tcW w:w="36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491</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876</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reconciliation of the expected tax expense, computed by applying the standard Irish tax rate to income before tax to the actual tax expense, is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5160" w:type="dxa"/>
            <w:vAlign w:val="bottom"/>
          </w:tcPr>
          <w:p>
            <w:pPr>
              <w:jc w:val="right"/>
              <w:ind w:right="90"/>
              <w:spacing w:after="0"/>
              <w:rPr>
                <w:sz w:val="20"/>
                <w:szCs w:val="20"/>
                <w:color w:val="auto"/>
              </w:rPr>
            </w:pPr>
            <w:r>
              <w:rPr>
                <w:rFonts w:ascii="Arial" w:cs="Arial" w:eastAsia="Arial" w:hAnsi="Arial"/>
                <w:sz w:val="18"/>
                <w:szCs w:val="18"/>
                <w:b w:val="1"/>
                <w:bCs w:val="1"/>
                <w:color w:val="auto"/>
              </w:rPr>
              <w:t>Period ended</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r>
      <w:tr>
        <w:trPr>
          <w:trHeight w:val="216"/>
        </w:trPr>
        <w:tc>
          <w:tcPr>
            <w:tcW w:w="5080" w:type="dxa"/>
            <w:vAlign w:val="bottom"/>
          </w:tcPr>
          <w:p>
            <w:pPr>
              <w:spacing w:after="0"/>
              <w:rPr>
                <w:sz w:val="18"/>
                <w:szCs w:val="18"/>
                <w:color w:val="auto"/>
              </w:rPr>
            </w:pPr>
          </w:p>
        </w:tc>
        <w:tc>
          <w:tcPr>
            <w:tcW w:w="5160" w:type="dxa"/>
            <w:vAlign w:val="bottom"/>
          </w:tcPr>
          <w:p>
            <w:pPr>
              <w:jc w:val="right"/>
              <w:ind w:right="90"/>
              <w:spacing w:after="0"/>
              <w:rPr>
                <w:sz w:val="20"/>
                <w:szCs w:val="20"/>
                <w:color w:val="auto"/>
              </w:rPr>
            </w:pPr>
            <w:r>
              <w:rPr>
                <w:rFonts w:ascii="Arial" w:cs="Arial" w:eastAsia="Arial" w:hAnsi="Arial"/>
                <w:sz w:val="18"/>
                <w:szCs w:val="18"/>
                <w:b w:val="1"/>
                <w:bCs w:val="1"/>
                <w:color w:val="auto"/>
              </w:rPr>
              <w:t>31 July</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w w:val="98"/>
              </w:rPr>
              <w:t>31 December</w:t>
            </w:r>
          </w:p>
        </w:tc>
      </w:tr>
      <w:tr>
        <w:trPr>
          <w:trHeight w:val="216"/>
        </w:trPr>
        <w:tc>
          <w:tcPr>
            <w:tcW w:w="5080" w:type="dxa"/>
            <w:vAlign w:val="bottom"/>
          </w:tcPr>
          <w:p>
            <w:pPr>
              <w:spacing w:after="0"/>
              <w:rPr>
                <w:sz w:val="18"/>
                <w:szCs w:val="18"/>
                <w:color w:val="auto"/>
              </w:rPr>
            </w:pPr>
          </w:p>
        </w:tc>
        <w:tc>
          <w:tcPr>
            <w:tcW w:w="5160" w:type="dxa"/>
            <w:vAlign w:val="bottom"/>
          </w:tcPr>
          <w:p>
            <w:pPr>
              <w:jc w:val="right"/>
              <w:ind w:right="90"/>
              <w:spacing w:after="0"/>
              <w:rPr>
                <w:sz w:val="20"/>
                <w:szCs w:val="20"/>
                <w:color w:val="auto"/>
              </w:rPr>
            </w:pPr>
            <w:r>
              <w:rPr>
                <w:rFonts w:ascii="Arial" w:cs="Arial" w:eastAsia="Arial" w:hAnsi="Arial"/>
                <w:sz w:val="18"/>
                <w:szCs w:val="18"/>
                <w:b w:val="1"/>
                <w:bCs w:val="1"/>
                <w:color w:val="auto"/>
              </w:rPr>
              <w:t>2015</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2014</w:t>
            </w:r>
          </w:p>
        </w:tc>
      </w:tr>
      <w:tr>
        <w:trPr>
          <w:trHeight w:val="234"/>
        </w:trPr>
        <w:tc>
          <w:tcPr>
            <w:tcW w:w="5080" w:type="dxa"/>
            <w:vAlign w:val="bottom"/>
          </w:tcPr>
          <w:p>
            <w:pPr>
              <w:spacing w:after="0"/>
              <w:rPr>
                <w:sz w:val="20"/>
                <w:szCs w:val="20"/>
                <w:color w:val="auto"/>
              </w:rPr>
            </w:pPr>
          </w:p>
        </w:tc>
        <w:tc>
          <w:tcPr>
            <w:tcW w:w="5160" w:type="dxa"/>
            <w:vAlign w:val="bottom"/>
          </w:tcPr>
          <w:p>
            <w:pPr>
              <w:jc w:val="right"/>
              <w:ind w:right="90"/>
              <w:spacing w:after="0"/>
              <w:rPr>
                <w:sz w:val="20"/>
                <w:szCs w:val="20"/>
                <w:color w:val="auto"/>
              </w:rPr>
            </w:pPr>
            <w:r>
              <w:rPr>
                <w:rFonts w:ascii="Arial" w:cs="Arial" w:eastAsia="Arial" w:hAnsi="Arial"/>
                <w:sz w:val="18"/>
                <w:szCs w:val="18"/>
                <w:b w:val="1"/>
                <w:bCs w:val="1"/>
                <w:color w:val="auto"/>
              </w:rPr>
              <w:t>$’000</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216"/>
        </w:trPr>
        <w:tc>
          <w:tcPr>
            <w:tcW w:w="508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3"/>
        </w:trPr>
        <w:tc>
          <w:tcPr>
            <w:tcW w:w="50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Profit before tax</w:t>
            </w:r>
          </w:p>
        </w:tc>
        <w:tc>
          <w:tcPr>
            <w:tcW w:w="51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346,749</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136,313</w:t>
            </w:r>
          </w:p>
        </w:tc>
      </w:tr>
      <w:tr>
        <w:trPr>
          <w:trHeight w:val="216"/>
        </w:trPr>
        <w:tc>
          <w:tcPr>
            <w:tcW w:w="508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Taxes at Irish standard tax rate of 12.5% </w:t>
            </w:r>
            <w:r>
              <w:rPr>
                <w:rFonts w:ascii="Arial" w:cs="Arial" w:eastAsia="Arial" w:hAnsi="Arial"/>
                <w:sz w:val="18"/>
                <w:szCs w:val="18"/>
                <w:i w:val="1"/>
                <w:iCs w:val="1"/>
                <w:color w:val="auto"/>
              </w:rPr>
              <w:t>(2014: 12.5%)</w:t>
            </w:r>
          </w:p>
        </w:tc>
        <w:tc>
          <w:tcPr>
            <w:tcW w:w="51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43,344</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17,039</w:t>
            </w:r>
          </w:p>
        </w:tc>
      </w:tr>
      <w:tr>
        <w:trPr>
          <w:trHeight w:val="216"/>
        </w:trPr>
        <w:tc>
          <w:tcPr>
            <w:tcW w:w="508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Effects of:</w:t>
            </w:r>
          </w:p>
        </w:tc>
        <w:tc>
          <w:tcPr>
            <w:tcW w:w="5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5080" w:type="dxa"/>
            <w:vAlign w:val="bottom"/>
          </w:tcPr>
          <w:p>
            <w:pPr>
              <w:ind w:left="360"/>
              <w:spacing w:after="0"/>
              <w:rPr>
                <w:sz w:val="20"/>
                <w:szCs w:val="20"/>
                <w:color w:val="auto"/>
              </w:rPr>
            </w:pPr>
            <w:r>
              <w:rPr>
                <w:rFonts w:ascii="Arial" w:cs="Arial" w:eastAsia="Arial" w:hAnsi="Arial"/>
                <w:sz w:val="18"/>
                <w:szCs w:val="18"/>
                <w:color w:val="auto"/>
              </w:rPr>
              <w:t>Non-taxable income and non-tax deductible expenses</w:t>
            </w:r>
          </w:p>
        </w:tc>
        <w:tc>
          <w:tcPr>
            <w:tcW w:w="5160" w:type="dxa"/>
            <w:vAlign w:val="bottom"/>
          </w:tcPr>
          <w:p>
            <w:pPr>
              <w:jc w:val="right"/>
              <w:ind w:right="30"/>
              <w:spacing w:after="0"/>
              <w:rPr>
                <w:sz w:val="20"/>
                <w:szCs w:val="20"/>
                <w:color w:val="auto"/>
              </w:rPr>
            </w:pPr>
            <w:r>
              <w:rPr>
                <w:rFonts w:ascii="Arial" w:cs="Arial" w:eastAsia="Arial" w:hAnsi="Arial"/>
                <w:sz w:val="18"/>
                <w:szCs w:val="18"/>
                <w:b w:val="1"/>
                <w:bCs w:val="1"/>
                <w:color w:val="auto"/>
              </w:rPr>
              <w:t>(43,012)</w:t>
            </w:r>
          </w:p>
        </w:tc>
        <w:tc>
          <w:tcPr>
            <w:tcW w:w="1180" w:type="dxa"/>
            <w:vAlign w:val="bottom"/>
          </w:tcPr>
          <w:p>
            <w:pPr>
              <w:jc w:val="right"/>
              <w:spacing w:after="0"/>
              <w:rPr>
                <w:sz w:val="20"/>
                <w:szCs w:val="20"/>
                <w:color w:val="auto"/>
              </w:rPr>
            </w:pPr>
            <w:r>
              <w:rPr>
                <w:rFonts w:ascii="Arial" w:cs="Arial" w:eastAsia="Arial" w:hAnsi="Arial"/>
                <w:sz w:val="18"/>
                <w:szCs w:val="18"/>
                <w:color w:val="auto"/>
              </w:rPr>
              <w:t>(16,357)</w:t>
            </w: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Reversal of prior year under/(over) provision in respect of</w:t>
            </w:r>
          </w:p>
        </w:tc>
        <w:tc>
          <w:tcPr>
            <w:tcW w:w="5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5080" w:type="dxa"/>
            <w:vAlign w:val="bottom"/>
          </w:tcPr>
          <w:p>
            <w:pPr>
              <w:ind w:left="360"/>
              <w:spacing w:after="0"/>
              <w:rPr>
                <w:sz w:val="20"/>
                <w:szCs w:val="20"/>
                <w:color w:val="auto"/>
              </w:rPr>
            </w:pPr>
            <w:r>
              <w:rPr>
                <w:rFonts w:ascii="Arial" w:cs="Arial" w:eastAsia="Arial" w:hAnsi="Arial"/>
                <w:sz w:val="18"/>
                <w:szCs w:val="18"/>
                <w:color w:val="auto"/>
              </w:rPr>
              <w:t>current foreign taxes</w:t>
            </w:r>
          </w:p>
        </w:tc>
        <w:tc>
          <w:tcPr>
            <w:tcW w:w="5160" w:type="dxa"/>
            <w:vAlign w:val="bottom"/>
          </w:tcPr>
          <w:p>
            <w:pPr>
              <w:jc w:val="right"/>
              <w:ind w:right="90"/>
              <w:spacing w:after="0"/>
              <w:rPr>
                <w:sz w:val="20"/>
                <w:szCs w:val="20"/>
                <w:color w:val="auto"/>
              </w:rPr>
            </w:pPr>
            <w:r>
              <w:rPr>
                <w:rFonts w:ascii="Arial" w:cs="Arial" w:eastAsia="Arial" w:hAnsi="Arial"/>
                <w:sz w:val="18"/>
                <w:szCs w:val="18"/>
                <w:b w:val="1"/>
                <w:bCs w:val="1"/>
                <w:color w:val="auto"/>
              </w:rPr>
              <w:t>90</w:t>
            </w:r>
          </w:p>
        </w:tc>
        <w:tc>
          <w:tcPr>
            <w:tcW w:w="118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and other income taxed at higher rates</w:t>
            </w:r>
          </w:p>
        </w:tc>
        <w:tc>
          <w:tcPr>
            <w:tcW w:w="51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174</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321</w:t>
            </w:r>
          </w:p>
        </w:tc>
      </w:tr>
      <w:tr>
        <w:trPr>
          <w:trHeight w:val="223"/>
        </w:trPr>
        <w:tc>
          <w:tcPr>
            <w:tcW w:w="50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w:t>
            </w:r>
          </w:p>
        </w:tc>
        <w:tc>
          <w:tcPr>
            <w:tcW w:w="5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(105)</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w:t>
            </w:r>
          </w:p>
        </w:tc>
      </w:tr>
      <w:tr>
        <w:trPr>
          <w:trHeight w:val="216"/>
        </w:trPr>
        <w:tc>
          <w:tcPr>
            <w:tcW w:w="508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50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Tax expense on profit for the period/year</w:t>
            </w:r>
          </w:p>
        </w:tc>
        <w:tc>
          <w:tcPr>
            <w:tcW w:w="5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491</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876</w:t>
            </w:r>
          </w:p>
        </w:tc>
      </w:tr>
      <w:tr>
        <w:trPr>
          <w:trHeight w:val="21"/>
        </w:trPr>
        <w:tc>
          <w:tcPr>
            <w:tcW w:w="5080" w:type="dxa"/>
            <w:vAlign w:val="bottom"/>
            <w:tcBorders>
              <w:bottom w:val="single" w:sz="8" w:color="auto"/>
            </w:tcBorders>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601"/>
        </w:trPr>
        <w:tc>
          <w:tcPr>
            <w:tcW w:w="5080" w:type="dxa"/>
            <w:vAlign w:val="bottom"/>
          </w:tcPr>
          <w:p>
            <w:pPr>
              <w:spacing w:after="0"/>
              <w:rPr>
                <w:sz w:val="24"/>
                <w:szCs w:val="24"/>
                <w:color w:val="auto"/>
              </w:rPr>
            </w:pPr>
          </w:p>
        </w:tc>
        <w:tc>
          <w:tcPr>
            <w:tcW w:w="5160" w:type="dxa"/>
            <w:vAlign w:val="bottom"/>
          </w:tcPr>
          <w:p>
            <w:pPr>
              <w:jc w:val="right"/>
              <w:ind w:right="4350"/>
              <w:spacing w:after="0"/>
              <w:rPr>
                <w:sz w:val="20"/>
                <w:szCs w:val="20"/>
                <w:color w:val="auto"/>
              </w:rPr>
            </w:pPr>
            <w:r>
              <w:rPr>
                <w:rFonts w:ascii="Arial" w:cs="Arial" w:eastAsia="Arial" w:hAnsi="Arial"/>
                <w:sz w:val="18"/>
                <w:szCs w:val="18"/>
                <w:color w:val="auto"/>
              </w:rPr>
              <w:t>16</w:t>
            </w:r>
          </w:p>
        </w:tc>
        <w:tc>
          <w:tcPr>
            <w:tcW w:w="1180" w:type="dxa"/>
            <w:vAlign w:val="bottom"/>
          </w:tcPr>
          <w:p>
            <w:pPr>
              <w:spacing w:after="0"/>
              <w:rPr>
                <w:sz w:val="24"/>
                <w:szCs w:val="24"/>
                <w:color w:val="auto"/>
              </w:rPr>
            </w:pPr>
          </w:p>
        </w:tc>
      </w:tr>
      <w:tr>
        <w:trPr>
          <w:trHeight w:val="118"/>
        </w:trPr>
        <w:tc>
          <w:tcPr>
            <w:tcW w:w="5080" w:type="dxa"/>
            <w:vAlign w:val="bottom"/>
            <w:tcBorders>
              <w:bottom w:val="single" w:sz="8" w:color="808080"/>
            </w:tcBorders>
          </w:tcPr>
          <w:p>
            <w:pPr>
              <w:spacing w:after="0"/>
              <w:rPr>
                <w:sz w:val="10"/>
                <w:szCs w:val="10"/>
                <w:color w:val="auto"/>
              </w:rPr>
            </w:pPr>
          </w:p>
        </w:tc>
        <w:tc>
          <w:tcPr>
            <w:tcW w:w="516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21" w:name="page22"/>
    <w:bookmarkEnd w:id="21"/>
    <w:p>
      <w:pPr>
        <w:spacing w:after="0"/>
        <w:rPr>
          <w:sz w:val="20"/>
          <w:szCs w:val="20"/>
          <w:color w:val="auto"/>
        </w:rPr>
      </w:pPr>
      <w:r>
        <w:rPr>
          <w:rFonts w:ascii="Arial" w:cs="Arial" w:eastAsia="Arial" w:hAnsi="Arial"/>
          <w:sz w:val="29"/>
          <w:szCs w:val="29"/>
          <w:color w:val="auto"/>
        </w:rPr>
        <w:t>ICON Plc</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Notes (continued)</w:t>
      </w:r>
    </w:p>
    <w:p>
      <w:pPr>
        <w:spacing w:after="0" w:line="236"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expense</w:t>
      </w:r>
      <w:r>
        <w:rPr>
          <w:rFonts w:ascii="Arial" w:cs="Arial" w:eastAsia="Arial" w:hAnsi="Arial"/>
          <w:sz w:val="18"/>
          <w:szCs w:val="18"/>
          <w:i w:val="1"/>
          <w:iCs w:val="1"/>
          <w:color w:val="auto"/>
        </w:rPr>
        <w:t>(continued)</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net deferred tax assets at 31 July 2015 and 31 December 2014,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3840" w:type="dxa"/>
            <w:vAlign w:val="bottom"/>
          </w:tcPr>
          <w:p>
            <w:pPr>
              <w:jc w:val="right"/>
              <w:ind w:right="230"/>
              <w:spacing w:after="0"/>
              <w:rPr>
                <w:sz w:val="20"/>
                <w:szCs w:val="20"/>
                <w:color w:val="auto"/>
              </w:rPr>
            </w:pPr>
            <w:r>
              <w:rPr>
                <w:rFonts w:ascii="Arial" w:cs="Arial" w:eastAsia="Arial" w:hAnsi="Arial"/>
                <w:sz w:val="18"/>
                <w:szCs w:val="18"/>
                <w:b w:val="1"/>
                <w:bCs w:val="1"/>
                <w:color w:val="auto"/>
              </w:rPr>
              <w:t>Period</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Year</w:t>
            </w:r>
          </w:p>
        </w:tc>
        <w:tc>
          <w:tcPr>
            <w:tcW w:w="0" w:type="dxa"/>
            <w:vAlign w:val="bottom"/>
          </w:tcPr>
          <w:p>
            <w:pPr>
              <w:spacing w:after="0"/>
              <w:rPr>
                <w:sz w:val="1"/>
                <w:szCs w:val="1"/>
                <w:color w:val="auto"/>
              </w:rPr>
            </w:pPr>
          </w:p>
        </w:tc>
      </w:tr>
      <w:tr>
        <w:trPr>
          <w:trHeight w:val="220"/>
        </w:trPr>
        <w:tc>
          <w:tcPr>
            <w:tcW w:w="6500" w:type="dxa"/>
            <w:vAlign w:val="bottom"/>
          </w:tcPr>
          <w:p>
            <w:pPr>
              <w:spacing w:after="0"/>
              <w:rPr>
                <w:sz w:val="19"/>
                <w:szCs w:val="19"/>
                <w:color w:val="auto"/>
              </w:rPr>
            </w:pPr>
          </w:p>
        </w:tc>
        <w:tc>
          <w:tcPr>
            <w:tcW w:w="3840" w:type="dxa"/>
            <w:vAlign w:val="bottom"/>
          </w:tcPr>
          <w:p>
            <w:pPr>
              <w:jc w:val="right"/>
              <w:ind w:right="230"/>
              <w:spacing w:after="0"/>
              <w:rPr>
                <w:sz w:val="20"/>
                <w:szCs w:val="20"/>
                <w:color w:val="auto"/>
              </w:rPr>
            </w:pPr>
            <w:r>
              <w:rPr>
                <w:rFonts w:ascii="Arial" w:cs="Arial" w:eastAsia="Arial" w:hAnsi="Arial"/>
                <w:sz w:val="18"/>
                <w:szCs w:val="18"/>
                <w:b w:val="1"/>
                <w:bCs w:val="1"/>
                <w:color w:val="auto"/>
              </w:rPr>
              <w:t>ended</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ended</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38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31 July</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2"/>
        </w:trPr>
        <w:tc>
          <w:tcPr>
            <w:tcW w:w="6500" w:type="dxa"/>
            <w:vAlign w:val="bottom"/>
          </w:tcPr>
          <w:p>
            <w:pPr>
              <w:spacing w:after="0"/>
              <w:rPr>
                <w:sz w:val="18"/>
                <w:szCs w:val="18"/>
                <w:color w:val="auto"/>
              </w:rPr>
            </w:pPr>
          </w:p>
        </w:tc>
        <w:tc>
          <w:tcPr>
            <w:tcW w:w="3840" w:type="dxa"/>
            <w:vAlign w:val="bottom"/>
            <w:vMerge w:val="continue"/>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December</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3840" w:type="dxa"/>
            <w:vAlign w:val="bottom"/>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650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Deferred taxation assets:</w:t>
            </w:r>
          </w:p>
        </w:tc>
        <w:tc>
          <w:tcPr>
            <w:tcW w:w="3840" w:type="dxa"/>
            <w:vAlign w:val="bottom"/>
          </w:tcPr>
          <w:p>
            <w:pPr>
              <w:jc w:val="right"/>
              <w:ind w:right="230"/>
              <w:spacing w:after="0"/>
              <w:rPr>
                <w:sz w:val="20"/>
                <w:szCs w:val="20"/>
                <w:color w:val="auto"/>
              </w:rPr>
            </w:pPr>
            <w:r>
              <w:rPr>
                <w:rFonts w:ascii="Arial" w:cs="Arial" w:eastAsia="Arial" w:hAnsi="Arial"/>
                <w:sz w:val="18"/>
                <w:szCs w:val="18"/>
                <w:b w:val="1"/>
                <w:bCs w:val="1"/>
                <w:color w:val="auto"/>
              </w:rPr>
              <w:t>$’000</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6500" w:type="dxa"/>
            <w:vAlign w:val="bottom"/>
            <w:vMerge w:val="continue"/>
          </w:tcPr>
          <w:p>
            <w:pPr>
              <w:spacing w:after="0"/>
              <w:rPr>
                <w:sz w:val="18"/>
                <w:szCs w:val="18"/>
                <w:color w:val="auto"/>
              </w:rPr>
            </w:pPr>
          </w:p>
        </w:tc>
        <w:tc>
          <w:tcPr>
            <w:tcW w:w="3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payments on account</w:t>
            </w:r>
          </w:p>
        </w:tc>
        <w:tc>
          <w:tcPr>
            <w:tcW w:w="38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425</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6500" w:type="dxa"/>
            <w:vAlign w:val="bottom"/>
          </w:tcPr>
          <w:p>
            <w:pPr>
              <w:ind w:left="340"/>
              <w:spacing w:after="0"/>
              <w:rPr>
                <w:sz w:val="20"/>
                <w:szCs w:val="20"/>
                <w:color w:val="auto"/>
              </w:rPr>
            </w:pPr>
            <w:r>
              <w:rPr>
                <w:rFonts w:ascii="Arial" w:cs="Arial" w:eastAsia="Arial" w:hAnsi="Arial"/>
                <w:sz w:val="18"/>
                <w:szCs w:val="18"/>
                <w:color w:val="auto"/>
              </w:rPr>
              <w:t>Property, plant and equipment</w:t>
            </w:r>
          </w:p>
        </w:tc>
        <w:tc>
          <w:tcPr>
            <w:tcW w:w="3840" w:type="dxa"/>
            <w:vAlign w:val="bottom"/>
          </w:tcPr>
          <w:p>
            <w:pPr>
              <w:jc w:val="right"/>
              <w:ind w:right="230"/>
              <w:spacing w:after="0"/>
              <w:rPr>
                <w:sz w:val="20"/>
                <w:szCs w:val="20"/>
                <w:color w:val="auto"/>
              </w:rPr>
            </w:pPr>
            <w:r>
              <w:rPr>
                <w:rFonts w:ascii="Arial" w:cs="Arial" w:eastAsia="Arial" w:hAnsi="Arial"/>
                <w:sz w:val="18"/>
                <w:szCs w:val="18"/>
                <w:b w:val="1"/>
                <w:bCs w:val="1"/>
                <w:color w:val="auto"/>
              </w:rPr>
              <w:t>69</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3"/>
        </w:trPr>
        <w:tc>
          <w:tcPr>
            <w:tcW w:w="65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Loans to subsidiaries</w:t>
            </w:r>
          </w:p>
        </w:tc>
        <w:tc>
          <w:tcPr>
            <w:tcW w:w="38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52</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Total deferred taxation assets</w:t>
            </w:r>
          </w:p>
        </w:tc>
        <w:tc>
          <w:tcPr>
            <w:tcW w:w="38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546</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Deferred taxation liabilities:</w:t>
            </w:r>
          </w:p>
        </w:tc>
        <w:tc>
          <w:tcPr>
            <w:tcW w:w="38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340"/>
              <w:spacing w:after="0"/>
              <w:rPr>
                <w:sz w:val="20"/>
                <w:szCs w:val="20"/>
                <w:color w:val="auto"/>
              </w:rPr>
            </w:pPr>
            <w:r>
              <w:rPr>
                <w:rFonts w:ascii="Arial" w:cs="Arial" w:eastAsia="Arial" w:hAnsi="Arial"/>
                <w:sz w:val="18"/>
                <w:szCs w:val="18"/>
                <w:color w:val="auto"/>
              </w:rPr>
              <w:t>Property, plant and equipment</w:t>
            </w:r>
          </w:p>
        </w:tc>
        <w:tc>
          <w:tcPr>
            <w:tcW w:w="3840" w:type="dxa"/>
            <w:vAlign w:val="bottom"/>
          </w:tcPr>
          <w:p>
            <w:pPr>
              <w:jc w:val="right"/>
              <w:ind w:right="170"/>
              <w:spacing w:after="0"/>
              <w:rPr>
                <w:sz w:val="20"/>
                <w:szCs w:val="20"/>
                <w:color w:val="auto"/>
              </w:rPr>
            </w:pPr>
            <w:r>
              <w:rPr>
                <w:rFonts w:ascii="Arial" w:cs="Arial" w:eastAsia="Arial" w:hAnsi="Arial"/>
                <w:sz w:val="18"/>
                <w:szCs w:val="18"/>
                <w:b w:val="1"/>
                <w:bCs w:val="1"/>
                <w:color w:val="auto"/>
              </w:rPr>
              <w:t>(15)</w:t>
            </w: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65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Accrued expenses and payments on account</w:t>
            </w:r>
          </w:p>
        </w:tc>
        <w:tc>
          <w:tcPr>
            <w:tcW w:w="38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Total deferred taxation liabilities</w:t>
            </w:r>
          </w:p>
        </w:tc>
        <w:tc>
          <w:tcPr>
            <w:tcW w:w="38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(15)</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5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Net deferred taxation asset</w:t>
            </w:r>
          </w:p>
        </w:tc>
        <w:tc>
          <w:tcPr>
            <w:tcW w:w="38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531</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movement in temporary differences during the period ended 31 July 2015 and year ended 31 December 2014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4020" w:type="dxa"/>
            <w:vAlign w:val="bottom"/>
          </w:tcPr>
          <w:p>
            <w:pPr>
              <w:jc w:val="right"/>
              <w:ind w:right="250"/>
              <w:spacing w:after="0"/>
              <w:rPr>
                <w:sz w:val="20"/>
                <w:szCs w:val="20"/>
                <w:color w:val="auto"/>
              </w:rPr>
            </w:pPr>
            <w:r>
              <w:rPr>
                <w:rFonts w:ascii="Arial" w:cs="Arial" w:eastAsia="Arial" w:hAnsi="Arial"/>
                <w:sz w:val="18"/>
                <w:szCs w:val="18"/>
                <w:b w:val="1"/>
                <w:bCs w:val="1"/>
                <w:color w:val="auto"/>
              </w:rPr>
              <w:t>Balance</w:t>
            </w:r>
          </w:p>
        </w:tc>
        <w:tc>
          <w:tcPr>
            <w:tcW w:w="164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Recognised</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Balance</w:t>
            </w:r>
          </w:p>
        </w:tc>
        <w:tc>
          <w:tcPr>
            <w:tcW w:w="0" w:type="dxa"/>
            <w:vAlign w:val="bottom"/>
          </w:tcPr>
          <w:p>
            <w:pPr>
              <w:spacing w:after="0"/>
              <w:rPr>
                <w:sz w:val="1"/>
                <w:szCs w:val="1"/>
                <w:color w:val="auto"/>
              </w:rPr>
            </w:pPr>
          </w:p>
        </w:tc>
      </w:tr>
      <w:tr>
        <w:trPr>
          <w:trHeight w:val="198"/>
        </w:trPr>
        <w:tc>
          <w:tcPr>
            <w:tcW w:w="458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64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4020" w:type="dxa"/>
            <w:vAlign w:val="bottom"/>
          </w:tcPr>
          <w:p>
            <w:pPr>
              <w:jc w:val="right"/>
              <w:ind w:right="250"/>
              <w:spacing w:after="0"/>
              <w:rPr>
                <w:sz w:val="20"/>
                <w:szCs w:val="20"/>
                <w:color w:val="auto"/>
              </w:rPr>
            </w:pPr>
            <w:r>
              <w:rPr>
                <w:rFonts w:ascii="Arial" w:cs="Arial" w:eastAsia="Arial" w:hAnsi="Arial"/>
                <w:sz w:val="18"/>
                <w:szCs w:val="18"/>
                <w:b w:val="1"/>
                <w:bCs w:val="1"/>
                <w:color w:val="auto"/>
              </w:rPr>
              <w:t>1 January</w:t>
            </w:r>
          </w:p>
        </w:tc>
        <w:tc>
          <w:tcPr>
            <w:tcW w:w="1640" w:type="dxa"/>
            <w:vAlign w:val="bottom"/>
          </w:tcPr>
          <w:p>
            <w:pPr>
              <w:jc w:val="right"/>
              <w:ind w:right="410"/>
              <w:spacing w:after="0"/>
              <w:rPr>
                <w:sz w:val="20"/>
                <w:szCs w:val="20"/>
                <w:color w:val="auto"/>
              </w:rPr>
            </w:pPr>
            <w:r>
              <w:rPr>
                <w:rFonts w:ascii="Arial" w:cs="Arial" w:eastAsia="Arial" w:hAnsi="Arial"/>
                <w:sz w:val="18"/>
                <w:szCs w:val="18"/>
                <w:b w:val="1"/>
                <w:bCs w:val="1"/>
                <w:color w:val="auto"/>
              </w:rPr>
              <w:t>in</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31 July</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40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640" w:type="dxa"/>
            <w:vAlign w:val="bottom"/>
          </w:tcPr>
          <w:p>
            <w:pPr>
              <w:jc w:val="right"/>
              <w:ind w:right="410"/>
              <w:spacing w:after="0"/>
              <w:rPr>
                <w:sz w:val="20"/>
                <w:szCs w:val="20"/>
                <w:color w:val="auto"/>
              </w:rPr>
            </w:pPr>
            <w:r>
              <w:rPr>
                <w:rFonts w:ascii="Arial" w:cs="Arial" w:eastAsia="Arial" w:hAnsi="Arial"/>
                <w:sz w:val="18"/>
                <w:szCs w:val="18"/>
                <w:b w:val="1"/>
                <w:bCs w:val="1"/>
                <w:color w:val="auto"/>
              </w:rPr>
              <w:t>Income</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34"/>
        </w:trPr>
        <w:tc>
          <w:tcPr>
            <w:tcW w:w="458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Deferred taxation assets</w:t>
            </w:r>
          </w:p>
        </w:tc>
        <w:tc>
          <w:tcPr>
            <w:tcW w:w="4020" w:type="dxa"/>
            <w:vAlign w:val="bottom"/>
          </w:tcPr>
          <w:p>
            <w:pPr>
              <w:jc w:val="right"/>
              <w:ind w:right="250"/>
              <w:spacing w:after="0"/>
              <w:rPr>
                <w:sz w:val="20"/>
                <w:szCs w:val="20"/>
                <w:color w:val="auto"/>
              </w:rPr>
            </w:pPr>
            <w:r>
              <w:rPr>
                <w:rFonts w:ascii="Arial" w:cs="Arial" w:eastAsia="Arial" w:hAnsi="Arial"/>
                <w:sz w:val="18"/>
                <w:szCs w:val="18"/>
                <w:b w:val="1"/>
                <w:bCs w:val="1"/>
                <w:color w:val="auto"/>
              </w:rPr>
              <w:t>$’000</w:t>
            </w:r>
          </w:p>
        </w:tc>
        <w:tc>
          <w:tcPr>
            <w:tcW w:w="1640" w:type="dxa"/>
            <w:vAlign w:val="bottom"/>
          </w:tcPr>
          <w:p>
            <w:pPr>
              <w:jc w:val="right"/>
              <w:ind w:right="410"/>
              <w:spacing w:after="0"/>
              <w:rPr>
                <w:sz w:val="20"/>
                <w:szCs w:val="20"/>
                <w:color w:val="auto"/>
              </w:rPr>
            </w:pPr>
            <w:r>
              <w:rPr>
                <w:rFonts w:ascii="Arial" w:cs="Arial" w:eastAsia="Arial" w:hAnsi="Arial"/>
                <w:sz w:val="18"/>
                <w:szCs w:val="18"/>
                <w:b w:val="1"/>
                <w:bCs w:val="1"/>
                <w:color w:val="auto"/>
              </w:rPr>
              <w:t>$’000</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6"/>
        </w:trPr>
        <w:tc>
          <w:tcPr>
            <w:tcW w:w="4580" w:type="dxa"/>
            <w:vAlign w:val="bottom"/>
            <w:vMerge w:val="continue"/>
          </w:tcPr>
          <w:p>
            <w:pPr>
              <w:spacing w:after="0"/>
              <w:rPr>
                <w:sz w:val="18"/>
                <w:szCs w:val="18"/>
                <w:color w:val="auto"/>
              </w:rPr>
            </w:pPr>
          </w:p>
        </w:tc>
        <w:tc>
          <w:tcPr>
            <w:tcW w:w="4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payments on account</w:t>
            </w:r>
          </w:p>
        </w:tc>
        <w:tc>
          <w:tcPr>
            <w:tcW w:w="40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274</w:t>
            </w:r>
          </w:p>
        </w:tc>
        <w:tc>
          <w:tcPr>
            <w:tcW w:w="16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151</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425</w:t>
            </w:r>
          </w:p>
        </w:tc>
        <w:tc>
          <w:tcPr>
            <w:tcW w:w="0" w:type="dxa"/>
            <w:vAlign w:val="bottom"/>
          </w:tcPr>
          <w:p>
            <w:pPr>
              <w:spacing w:after="0"/>
              <w:rPr>
                <w:sz w:val="1"/>
                <w:szCs w:val="1"/>
                <w:color w:val="auto"/>
              </w:rPr>
            </w:pPr>
          </w:p>
        </w:tc>
      </w:tr>
      <w:tr>
        <w:trPr>
          <w:trHeight w:val="216"/>
        </w:trPr>
        <w:tc>
          <w:tcPr>
            <w:tcW w:w="4580" w:type="dxa"/>
            <w:vAlign w:val="bottom"/>
          </w:tcPr>
          <w:p>
            <w:pPr>
              <w:ind w:left="360"/>
              <w:spacing w:after="0"/>
              <w:rPr>
                <w:sz w:val="20"/>
                <w:szCs w:val="20"/>
                <w:color w:val="auto"/>
              </w:rPr>
            </w:pPr>
            <w:r>
              <w:rPr>
                <w:rFonts w:ascii="Arial" w:cs="Arial" w:eastAsia="Arial" w:hAnsi="Arial"/>
                <w:sz w:val="18"/>
                <w:szCs w:val="18"/>
                <w:color w:val="auto"/>
              </w:rPr>
              <w:t>Property plant and equipment</w:t>
            </w:r>
          </w:p>
        </w:tc>
        <w:tc>
          <w:tcPr>
            <w:tcW w:w="4020" w:type="dxa"/>
            <w:vAlign w:val="bottom"/>
          </w:tcPr>
          <w:p>
            <w:pPr>
              <w:jc w:val="right"/>
              <w:ind w:right="250"/>
              <w:spacing w:after="0"/>
              <w:rPr>
                <w:sz w:val="20"/>
                <w:szCs w:val="20"/>
                <w:color w:val="auto"/>
              </w:rPr>
            </w:pPr>
            <w:r>
              <w:rPr>
                <w:rFonts w:ascii="Arial" w:cs="Arial" w:eastAsia="Arial" w:hAnsi="Arial"/>
                <w:sz w:val="18"/>
                <w:szCs w:val="18"/>
                <w:color w:val="auto"/>
              </w:rPr>
              <w:t>106</w:t>
            </w:r>
          </w:p>
        </w:tc>
        <w:tc>
          <w:tcPr>
            <w:tcW w:w="1640" w:type="dxa"/>
            <w:vAlign w:val="bottom"/>
          </w:tcPr>
          <w:p>
            <w:pPr>
              <w:jc w:val="right"/>
              <w:ind w:right="350"/>
              <w:spacing w:after="0"/>
              <w:rPr>
                <w:sz w:val="20"/>
                <w:szCs w:val="20"/>
                <w:color w:val="auto"/>
              </w:rPr>
            </w:pPr>
            <w:r>
              <w:rPr>
                <w:rFonts w:ascii="Arial" w:cs="Arial" w:eastAsia="Arial" w:hAnsi="Arial"/>
                <w:sz w:val="18"/>
                <w:szCs w:val="18"/>
                <w:color w:val="auto"/>
              </w:rPr>
              <w:t>(37)</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69</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Loans to subsidiaries</w:t>
            </w:r>
          </w:p>
        </w:tc>
        <w:tc>
          <w:tcPr>
            <w:tcW w:w="40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52</w:t>
            </w:r>
          </w:p>
        </w:tc>
        <w:tc>
          <w:tcPr>
            <w:tcW w:w="164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52</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deferred taxation assets</w:t>
            </w:r>
          </w:p>
        </w:tc>
        <w:tc>
          <w:tcPr>
            <w:tcW w:w="40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432</w:t>
            </w:r>
          </w:p>
        </w:tc>
        <w:tc>
          <w:tcPr>
            <w:tcW w:w="164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114</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546</w:t>
            </w: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Deferred taxation liabilities</w:t>
            </w:r>
          </w:p>
        </w:tc>
        <w:tc>
          <w:tcPr>
            <w:tcW w:w="40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360"/>
              <w:spacing w:after="0"/>
              <w:rPr>
                <w:sz w:val="20"/>
                <w:szCs w:val="20"/>
                <w:color w:val="auto"/>
              </w:rPr>
            </w:pPr>
            <w:r>
              <w:rPr>
                <w:rFonts w:ascii="Arial" w:cs="Arial" w:eastAsia="Arial" w:hAnsi="Arial"/>
                <w:sz w:val="18"/>
                <w:szCs w:val="18"/>
                <w:color w:val="auto"/>
              </w:rPr>
              <w:t>Property, plant and equipment</w:t>
            </w:r>
          </w:p>
        </w:tc>
        <w:tc>
          <w:tcPr>
            <w:tcW w:w="4020" w:type="dxa"/>
            <w:vAlign w:val="bottom"/>
          </w:tcPr>
          <w:p>
            <w:pPr>
              <w:jc w:val="right"/>
              <w:ind w:right="190"/>
              <w:spacing w:after="0"/>
              <w:rPr>
                <w:sz w:val="20"/>
                <w:szCs w:val="20"/>
                <w:color w:val="auto"/>
              </w:rPr>
            </w:pPr>
            <w:r>
              <w:rPr>
                <w:rFonts w:ascii="Arial" w:cs="Arial" w:eastAsia="Arial" w:hAnsi="Arial"/>
                <w:sz w:val="18"/>
                <w:szCs w:val="18"/>
                <w:color w:val="auto"/>
              </w:rPr>
              <w:t>(21)</w:t>
            </w:r>
          </w:p>
        </w:tc>
        <w:tc>
          <w:tcPr>
            <w:tcW w:w="1640" w:type="dxa"/>
            <w:vAlign w:val="bottom"/>
          </w:tcPr>
          <w:p>
            <w:pPr>
              <w:jc w:val="right"/>
              <w:ind w:right="410"/>
              <w:spacing w:after="0"/>
              <w:rPr>
                <w:sz w:val="20"/>
                <w:szCs w:val="20"/>
                <w:color w:val="auto"/>
              </w:rPr>
            </w:pPr>
            <w:r>
              <w:rPr>
                <w:rFonts w:ascii="Arial" w:cs="Arial" w:eastAsia="Arial" w:hAnsi="Arial"/>
                <w:sz w:val="18"/>
                <w:szCs w:val="18"/>
                <w:color w:val="auto"/>
              </w:rPr>
              <w:t>6</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Accrued expenses and payments on account</w:t>
            </w:r>
          </w:p>
        </w:tc>
        <w:tc>
          <w:tcPr>
            <w:tcW w:w="40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164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deferred taxation liabilities</w:t>
            </w:r>
          </w:p>
        </w:tc>
        <w:tc>
          <w:tcPr>
            <w:tcW w:w="40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(22)</w:t>
            </w:r>
          </w:p>
        </w:tc>
        <w:tc>
          <w:tcPr>
            <w:tcW w:w="164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7</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deferred taxation asset</w:t>
            </w:r>
          </w:p>
        </w:tc>
        <w:tc>
          <w:tcPr>
            <w:tcW w:w="40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410</w:t>
            </w:r>
          </w:p>
        </w:tc>
        <w:tc>
          <w:tcPr>
            <w:tcW w:w="164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121</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531</w:t>
            </w:r>
          </w:p>
        </w:tc>
        <w:tc>
          <w:tcPr>
            <w:tcW w:w="0" w:type="dxa"/>
            <w:vAlign w:val="bottom"/>
          </w:tcPr>
          <w:p>
            <w:pPr>
              <w:spacing w:after="0"/>
              <w:rPr>
                <w:sz w:val="1"/>
                <w:szCs w:val="1"/>
                <w:color w:val="auto"/>
              </w:rPr>
            </w:pPr>
          </w:p>
        </w:tc>
      </w:tr>
      <w:tr>
        <w:trPr>
          <w:trHeight w:val="601"/>
        </w:trPr>
        <w:tc>
          <w:tcPr>
            <w:tcW w:w="4580" w:type="dxa"/>
            <w:vAlign w:val="bottom"/>
          </w:tcPr>
          <w:p>
            <w:pPr>
              <w:spacing w:after="0"/>
              <w:rPr>
                <w:sz w:val="24"/>
                <w:szCs w:val="24"/>
                <w:color w:val="auto"/>
              </w:rPr>
            </w:pPr>
          </w:p>
        </w:tc>
        <w:tc>
          <w:tcPr>
            <w:tcW w:w="4020" w:type="dxa"/>
            <w:vAlign w:val="bottom"/>
          </w:tcPr>
          <w:p>
            <w:pPr>
              <w:jc w:val="right"/>
              <w:ind w:right="2710"/>
              <w:spacing w:after="0"/>
              <w:rPr>
                <w:sz w:val="20"/>
                <w:szCs w:val="20"/>
                <w:color w:val="auto"/>
              </w:rPr>
            </w:pPr>
            <w:r>
              <w:rPr>
                <w:rFonts w:ascii="Arial" w:cs="Arial" w:eastAsia="Arial" w:hAnsi="Arial"/>
                <w:sz w:val="18"/>
                <w:szCs w:val="18"/>
                <w:color w:val="auto"/>
              </w:rPr>
              <w:t>17</w:t>
            </w:r>
          </w:p>
        </w:tc>
        <w:tc>
          <w:tcPr>
            <w:tcW w:w="1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580" w:type="dxa"/>
            <w:vAlign w:val="bottom"/>
            <w:tcBorders>
              <w:bottom w:val="single" w:sz="8" w:color="808080"/>
            </w:tcBorders>
          </w:tcPr>
          <w:p>
            <w:pPr>
              <w:spacing w:after="0"/>
              <w:rPr>
                <w:sz w:val="10"/>
                <w:szCs w:val="10"/>
                <w:color w:val="auto"/>
              </w:rPr>
            </w:pPr>
          </w:p>
        </w:tc>
        <w:tc>
          <w:tcPr>
            <w:tcW w:w="40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22" w:name="page23"/>
    <w:bookmarkEnd w:id="22"/>
    <w:p>
      <w:pPr>
        <w:spacing w:after="0"/>
        <w:rPr>
          <w:sz w:val="20"/>
          <w:szCs w:val="20"/>
          <w:color w:val="auto"/>
        </w:rPr>
      </w:pPr>
      <w:r>
        <w:rPr>
          <w:rFonts w:ascii="Arial" w:cs="Arial" w:eastAsia="Arial" w:hAnsi="Arial"/>
          <w:sz w:val="29"/>
          <w:szCs w:val="29"/>
          <w:color w:val="auto"/>
        </w:rPr>
        <w:t>ICON Plc</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Notes (continued)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Arial" w:cs="Arial" w:eastAsia="Arial" w:hAnsi="Arial"/>
                <w:sz w:val="18"/>
                <w:szCs w:val="18"/>
                <w:b w:val="1"/>
                <w:bCs w:val="1"/>
                <w:color w:val="auto"/>
              </w:rPr>
              <w:t xml:space="preserve">7.   Income tax expense </w:t>
            </w:r>
            <w:r>
              <w:rPr>
                <w:rFonts w:ascii="Arial" w:cs="Arial" w:eastAsia="Arial" w:hAnsi="Arial"/>
                <w:sz w:val="18"/>
                <w:szCs w:val="18"/>
                <w:i w:val="1"/>
                <w:iCs w:val="1"/>
                <w:color w:val="auto"/>
              </w:rPr>
              <w:t>(continued)</w:t>
            </w:r>
          </w:p>
        </w:tc>
        <w:tc>
          <w:tcPr>
            <w:tcW w:w="3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500" w:type="dxa"/>
            <w:vAlign w:val="bottom"/>
          </w:tcPr>
          <w:p>
            <w:pPr>
              <w:spacing w:after="0"/>
              <w:rPr>
                <w:sz w:val="24"/>
                <w:szCs w:val="24"/>
                <w:color w:val="auto"/>
              </w:rPr>
            </w:pPr>
          </w:p>
        </w:tc>
        <w:tc>
          <w:tcPr>
            <w:tcW w:w="3100" w:type="dxa"/>
            <w:vAlign w:val="bottom"/>
          </w:tcPr>
          <w:p>
            <w:pPr>
              <w:jc w:val="right"/>
              <w:ind w:right="250"/>
              <w:spacing w:after="0"/>
              <w:rPr>
                <w:sz w:val="20"/>
                <w:szCs w:val="20"/>
                <w:color w:val="auto"/>
              </w:rPr>
            </w:pPr>
            <w:r>
              <w:rPr>
                <w:rFonts w:ascii="Arial" w:cs="Arial" w:eastAsia="Arial" w:hAnsi="Arial"/>
                <w:sz w:val="18"/>
                <w:szCs w:val="18"/>
                <w:b w:val="1"/>
                <w:bCs w:val="1"/>
                <w:color w:val="auto"/>
              </w:rPr>
              <w:t>Balance</w:t>
            </w:r>
          </w:p>
        </w:tc>
        <w:tc>
          <w:tcPr>
            <w:tcW w:w="14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Recognised</w:t>
            </w: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auto"/>
              </w:rPr>
              <w:t>Balance</w:t>
            </w:r>
          </w:p>
        </w:tc>
        <w:tc>
          <w:tcPr>
            <w:tcW w:w="0" w:type="dxa"/>
            <w:vAlign w:val="bottom"/>
          </w:tcPr>
          <w:p>
            <w:pPr>
              <w:spacing w:after="0"/>
              <w:rPr>
                <w:sz w:val="1"/>
                <w:szCs w:val="1"/>
                <w:color w:val="auto"/>
              </w:rPr>
            </w:pPr>
          </w:p>
        </w:tc>
      </w:tr>
      <w:tr>
        <w:trPr>
          <w:trHeight w:val="198"/>
        </w:trPr>
        <w:tc>
          <w:tcPr>
            <w:tcW w:w="55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3100" w:type="dxa"/>
            <w:vAlign w:val="bottom"/>
          </w:tcPr>
          <w:p>
            <w:pPr>
              <w:jc w:val="right"/>
              <w:ind w:right="250"/>
              <w:spacing w:after="0"/>
              <w:rPr>
                <w:sz w:val="20"/>
                <w:szCs w:val="20"/>
                <w:color w:val="auto"/>
              </w:rPr>
            </w:pPr>
            <w:r>
              <w:rPr>
                <w:rFonts w:ascii="Arial" w:cs="Arial" w:eastAsia="Arial" w:hAnsi="Arial"/>
                <w:sz w:val="18"/>
                <w:szCs w:val="18"/>
                <w:b w:val="1"/>
                <w:bCs w:val="1"/>
                <w:color w:val="auto"/>
              </w:rPr>
              <w:t>1 January</w:t>
            </w: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rPr>
              <w:t>in</w:t>
            </w: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auto"/>
              </w:rPr>
              <w:t>31 December</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31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rPr>
              <w:t>Income</w:t>
            </w: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34"/>
        </w:trPr>
        <w:tc>
          <w:tcPr>
            <w:tcW w:w="550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Deferred taxation assets</w:t>
            </w:r>
          </w:p>
        </w:tc>
        <w:tc>
          <w:tcPr>
            <w:tcW w:w="3100" w:type="dxa"/>
            <w:vAlign w:val="bottom"/>
          </w:tcPr>
          <w:p>
            <w:pPr>
              <w:jc w:val="right"/>
              <w:ind w:right="250"/>
              <w:spacing w:after="0"/>
              <w:rPr>
                <w:sz w:val="20"/>
                <w:szCs w:val="20"/>
                <w:color w:val="auto"/>
              </w:rPr>
            </w:pPr>
            <w:r>
              <w:rPr>
                <w:rFonts w:ascii="Arial" w:cs="Arial" w:eastAsia="Arial" w:hAnsi="Arial"/>
                <w:sz w:val="18"/>
                <w:szCs w:val="18"/>
                <w:b w:val="1"/>
                <w:bCs w:val="1"/>
                <w:color w:val="auto"/>
              </w:rPr>
              <w:t>$’000</w:t>
            </w: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rPr>
              <w:t>$’000</w:t>
            </w: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6"/>
        </w:trPr>
        <w:tc>
          <w:tcPr>
            <w:tcW w:w="5500" w:type="dxa"/>
            <w:vAlign w:val="bottom"/>
            <w:vMerge w:val="continue"/>
          </w:tcPr>
          <w:p>
            <w:pPr>
              <w:spacing w:after="0"/>
              <w:rPr>
                <w:sz w:val="18"/>
                <w:szCs w:val="18"/>
                <w:color w:val="auto"/>
              </w:rPr>
            </w:pPr>
          </w:p>
        </w:tc>
        <w:tc>
          <w:tcPr>
            <w:tcW w:w="3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payments on account</w:t>
            </w:r>
          </w:p>
        </w:tc>
        <w:tc>
          <w:tcPr>
            <w:tcW w:w="31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270</w:t>
            </w:r>
          </w:p>
        </w:tc>
        <w:tc>
          <w:tcPr>
            <w:tcW w:w="1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274</w:t>
            </w: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Property plant and equipment</w:t>
            </w:r>
          </w:p>
        </w:tc>
        <w:tc>
          <w:tcPr>
            <w:tcW w:w="3100" w:type="dxa"/>
            <w:vAlign w:val="bottom"/>
          </w:tcPr>
          <w:p>
            <w:pPr>
              <w:jc w:val="right"/>
              <w:ind w:right="250"/>
              <w:spacing w:after="0"/>
              <w:rPr>
                <w:sz w:val="20"/>
                <w:szCs w:val="20"/>
                <w:color w:val="auto"/>
              </w:rPr>
            </w:pPr>
            <w:r>
              <w:rPr>
                <w:rFonts w:ascii="Arial" w:cs="Arial" w:eastAsia="Arial" w:hAnsi="Arial"/>
                <w:sz w:val="18"/>
                <w:szCs w:val="18"/>
                <w:color w:val="auto"/>
              </w:rPr>
              <w:t>105</w:t>
            </w:r>
          </w:p>
        </w:tc>
        <w:tc>
          <w:tcPr>
            <w:tcW w:w="142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auto"/>
              </w:rPr>
              <w:t>106</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Loans to subsidiaries</w:t>
            </w:r>
          </w:p>
        </w:tc>
        <w:tc>
          <w:tcPr>
            <w:tcW w:w="31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52</w:t>
            </w:r>
          </w:p>
        </w:tc>
        <w:tc>
          <w:tcPr>
            <w:tcW w:w="1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52</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deferred taxation assets</w:t>
            </w:r>
          </w:p>
        </w:tc>
        <w:tc>
          <w:tcPr>
            <w:tcW w:w="31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427</w:t>
            </w:r>
          </w:p>
        </w:tc>
        <w:tc>
          <w:tcPr>
            <w:tcW w:w="1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5</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432</w:t>
            </w:r>
          </w:p>
        </w:tc>
        <w:tc>
          <w:tcPr>
            <w:tcW w:w="0" w:type="dxa"/>
            <w:vAlign w:val="bottom"/>
          </w:tcPr>
          <w:p>
            <w:pPr>
              <w:spacing w:after="0"/>
              <w:rPr>
                <w:sz w:val="1"/>
                <w:szCs w:val="1"/>
                <w:color w:val="auto"/>
              </w:rPr>
            </w:pPr>
          </w:p>
        </w:tc>
      </w:tr>
      <w:tr>
        <w:trPr>
          <w:trHeight w:val="210"/>
        </w:trPr>
        <w:tc>
          <w:tcPr>
            <w:tcW w:w="55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Deferred taxation liabilities</w:t>
            </w:r>
          </w:p>
        </w:tc>
        <w:tc>
          <w:tcPr>
            <w:tcW w:w="3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Property, plant and equipment</w:t>
            </w:r>
          </w:p>
        </w:tc>
        <w:tc>
          <w:tcPr>
            <w:tcW w:w="3100" w:type="dxa"/>
            <w:vAlign w:val="bottom"/>
          </w:tcPr>
          <w:p>
            <w:pPr>
              <w:jc w:val="right"/>
              <w:ind w:right="190"/>
              <w:spacing w:after="0"/>
              <w:rPr>
                <w:sz w:val="20"/>
                <w:szCs w:val="20"/>
                <w:color w:val="auto"/>
              </w:rPr>
            </w:pPr>
            <w:r>
              <w:rPr>
                <w:rFonts w:ascii="Arial" w:cs="Arial" w:eastAsia="Arial" w:hAnsi="Arial"/>
                <w:sz w:val="18"/>
                <w:szCs w:val="18"/>
                <w:color w:val="auto"/>
              </w:rPr>
              <w:t>(29)</w:t>
            </w:r>
          </w:p>
        </w:tc>
        <w:tc>
          <w:tcPr>
            <w:tcW w:w="1420" w:type="dxa"/>
            <w:vAlign w:val="bottom"/>
          </w:tcPr>
          <w:p>
            <w:pPr>
              <w:jc w:val="right"/>
              <w:ind w:right="190"/>
              <w:spacing w:after="0"/>
              <w:rPr>
                <w:sz w:val="20"/>
                <w:szCs w:val="20"/>
                <w:color w:val="auto"/>
              </w:rPr>
            </w:pPr>
            <w:r>
              <w:rPr>
                <w:rFonts w:ascii="Arial" w:cs="Arial" w:eastAsia="Arial" w:hAnsi="Arial"/>
                <w:sz w:val="18"/>
                <w:szCs w:val="18"/>
                <w:color w:val="auto"/>
              </w:rPr>
              <w:t>8</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Accrued expenses and payments on account</w:t>
            </w:r>
          </w:p>
        </w:tc>
        <w:tc>
          <w:tcPr>
            <w:tcW w:w="31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w:t>
            </w:r>
          </w:p>
        </w:tc>
        <w:tc>
          <w:tcPr>
            <w:tcW w:w="1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deferred taxation liabilities</w:t>
            </w:r>
          </w:p>
        </w:tc>
        <w:tc>
          <w:tcPr>
            <w:tcW w:w="31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(32)</w:t>
            </w:r>
          </w:p>
        </w:tc>
        <w:tc>
          <w:tcPr>
            <w:tcW w:w="1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10</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deferred taxation asset</w:t>
            </w:r>
          </w:p>
        </w:tc>
        <w:tc>
          <w:tcPr>
            <w:tcW w:w="31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395</w:t>
            </w:r>
          </w:p>
        </w:tc>
        <w:tc>
          <w:tcPr>
            <w:tcW w:w="1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15</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31 July 2015 and 31 December 2014 the Company had no net operating loss carry forwards for income tax purposes and there were no deferred tax assets that have not been recognised.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23" w:name="page24"/>
    <w:bookmarkEnd w:id="23"/>
    <w:p>
      <w:pPr>
        <w:spacing w:after="0"/>
        <w:rPr>
          <w:sz w:val="20"/>
          <w:szCs w:val="20"/>
          <w:color w:val="auto"/>
        </w:rPr>
      </w:pPr>
      <w:r>
        <w:rPr>
          <w:rFonts w:ascii="Arial" w:cs="Arial" w:eastAsia="Arial" w:hAnsi="Arial"/>
          <w:sz w:val="29"/>
          <w:szCs w:val="29"/>
          <w:color w:val="auto"/>
        </w:rPr>
        <w:t>ICON Plc</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Notes (continued)</w:t>
      </w:r>
    </w:p>
    <w:p>
      <w:pPr>
        <w:spacing w:after="0" w:line="236"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payments</w:t>
      </w:r>
    </w:p>
    <w:p>
      <w:pPr>
        <w:spacing w:after="0" w:line="256" w:lineRule="exact"/>
        <w:rPr>
          <w:rFonts w:ascii="Arial" w:cs="Arial" w:eastAsia="Arial" w:hAnsi="Arial"/>
          <w:sz w:val="18"/>
          <w:szCs w:val="18"/>
          <w:b w:val="1"/>
          <w:bCs w:val="1"/>
          <w:color w:val="auto"/>
        </w:rPr>
      </w:pPr>
    </w:p>
    <w:p>
      <w:pPr>
        <w:ind w:left="36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xml:space="preserve">The Company operates a number of share based payment plans in which employees of the Group participate, including a number of share options plans and a restricted share unit plan, further details of which are set out in note 10 of the Group’s Annual Report for the year ended 31 December 2014, which is available publically and can be obtained at </w:t>
      </w:r>
      <w:r>
        <w:rPr>
          <w:rFonts w:ascii="Arial" w:cs="Arial" w:eastAsia="Arial" w:hAnsi="Arial"/>
          <w:sz w:val="18"/>
          <w:szCs w:val="18"/>
          <w:u w:val="single" w:color="auto"/>
          <w:color w:val="auto"/>
        </w:rPr>
        <w:t>http://investor.iconplc.com/annuals.cfm</w:t>
      </w:r>
      <w:r>
        <w:rPr>
          <w:rFonts w:ascii="Arial" w:cs="Arial" w:eastAsia="Arial" w:hAnsi="Arial"/>
          <w:sz w:val="18"/>
          <w:szCs w:val="18"/>
          <w:color w:val="auto"/>
        </w:rPr>
        <w:t>.</w:t>
      </w:r>
    </w:p>
    <w:p>
      <w:pPr>
        <w:spacing w:after="0" w:line="208"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Share options outstanding and exercisable at 31 July 2015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33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Options</w:t>
            </w: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3300" w:type="dxa"/>
            <w:vAlign w:val="bottom"/>
            <w:vMerge w:val="continue"/>
          </w:tcPr>
          <w:p>
            <w:pPr>
              <w:spacing w:after="0"/>
              <w:rPr>
                <w:sz w:val="9"/>
                <w:szCs w:val="9"/>
                <w:color w:val="auto"/>
              </w:rPr>
            </w:pPr>
          </w:p>
        </w:tc>
        <w:tc>
          <w:tcPr>
            <w:tcW w:w="11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Weighted</w:t>
            </w:r>
          </w:p>
        </w:tc>
        <w:tc>
          <w:tcPr>
            <w:tcW w:w="1180" w:type="dxa"/>
            <w:vAlign w:val="bottom"/>
          </w:tcPr>
          <w:p>
            <w:pPr>
              <w:spacing w:after="0"/>
              <w:rPr>
                <w:sz w:val="9"/>
                <w:szCs w:val="9"/>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33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Outstanding</w:t>
            </w:r>
          </w:p>
        </w:tc>
        <w:tc>
          <w:tcPr>
            <w:tcW w:w="118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3300" w:type="dxa"/>
            <w:vAlign w:val="bottom"/>
            <w:vMerge w:val="continue"/>
          </w:tcPr>
          <w:p>
            <w:pPr>
              <w:spacing w:after="0"/>
              <w:rPr>
                <w:sz w:val="9"/>
                <w:szCs w:val="9"/>
                <w:color w:val="auto"/>
              </w:rPr>
            </w:pPr>
          </w:p>
        </w:tc>
        <w:tc>
          <w:tcPr>
            <w:tcW w:w="11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Average</w:t>
            </w:r>
          </w:p>
        </w:tc>
        <w:tc>
          <w:tcPr>
            <w:tcW w:w="11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Weighted</w:t>
            </w: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Remaining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33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Number of</w:t>
            </w:r>
          </w:p>
        </w:tc>
        <w:tc>
          <w:tcPr>
            <w:tcW w:w="118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3300" w:type="dxa"/>
            <w:vAlign w:val="bottom"/>
            <w:vMerge w:val="continue"/>
          </w:tcPr>
          <w:p>
            <w:pPr>
              <w:spacing w:after="0"/>
              <w:rPr>
                <w:sz w:val="9"/>
                <w:szCs w:val="9"/>
                <w:color w:val="auto"/>
              </w:rPr>
            </w:pPr>
          </w:p>
        </w:tc>
        <w:tc>
          <w:tcPr>
            <w:tcW w:w="11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Exercise</w:t>
            </w:r>
          </w:p>
        </w:tc>
        <w:tc>
          <w:tcPr>
            <w:tcW w:w="11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Average</w:t>
            </w: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Contractual</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33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Shares</w:t>
            </w:r>
          </w:p>
        </w:tc>
        <w:tc>
          <w:tcPr>
            <w:tcW w:w="118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3300" w:type="dxa"/>
            <w:vAlign w:val="bottom"/>
            <w:vMerge w:val="continue"/>
          </w:tcPr>
          <w:p>
            <w:pPr>
              <w:spacing w:after="0"/>
              <w:rPr>
                <w:sz w:val="10"/>
                <w:szCs w:val="10"/>
                <w:color w:val="auto"/>
              </w:rPr>
            </w:pPr>
          </w:p>
        </w:tc>
        <w:tc>
          <w:tcPr>
            <w:tcW w:w="11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Price</w:t>
            </w:r>
          </w:p>
        </w:tc>
        <w:tc>
          <w:tcPr>
            <w:tcW w:w="11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Fair Value</w:t>
            </w: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Life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33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2,227,700</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$28.00</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$10.40</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33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259,059</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$68.25</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$19.75</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Exercised</w:t>
            </w:r>
          </w:p>
        </w:tc>
        <w:tc>
          <w:tcPr>
            <w:tcW w:w="3300" w:type="dxa"/>
            <w:vAlign w:val="bottom"/>
          </w:tcPr>
          <w:p>
            <w:pPr>
              <w:jc w:val="right"/>
              <w:ind w:right="130"/>
              <w:spacing w:after="0"/>
              <w:rPr>
                <w:sz w:val="20"/>
                <w:szCs w:val="20"/>
                <w:color w:val="auto"/>
              </w:rPr>
            </w:pPr>
            <w:r>
              <w:rPr>
                <w:rFonts w:ascii="Arial" w:cs="Arial" w:eastAsia="Arial" w:hAnsi="Arial"/>
                <w:sz w:val="18"/>
                <w:szCs w:val="18"/>
                <w:color w:val="auto"/>
              </w:rPr>
              <w:t>(422,255)</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$26.07</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$10.03</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3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(46,648)</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$23.47</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$10.02</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July 31, 2015</w:t>
            </w:r>
          </w:p>
        </w:tc>
        <w:tc>
          <w:tcPr>
            <w:tcW w:w="33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2,017,856</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$33.67</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$11.70</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Exercisable at July 31, 2015</w:t>
            </w:r>
          </w:p>
        </w:tc>
        <w:tc>
          <w:tcPr>
            <w:tcW w:w="33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962,227</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$25.88</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$9.89</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Restricted Share Units (“RSU’s”) and Performance Share Units (“PSU’s”) outstanding at 31 July 2015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PSU</w:t>
            </w: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RSU</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Weighted</w:t>
            </w: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000" w:type="dxa"/>
            <w:vAlign w:val="bottom"/>
          </w:tcPr>
          <w:p>
            <w:pPr>
              <w:jc w:val="right"/>
              <w:ind w:right="170"/>
              <w:spacing w:after="0"/>
              <w:rPr>
                <w:sz w:val="20"/>
                <w:szCs w:val="20"/>
                <w:color w:val="auto"/>
              </w:rPr>
            </w:pPr>
            <w:r>
              <w:rPr>
                <w:rFonts w:ascii="Arial" w:cs="Arial" w:eastAsia="Arial" w:hAnsi="Arial"/>
                <w:sz w:val="18"/>
                <w:szCs w:val="18"/>
                <w:b w:val="1"/>
                <w:bCs w:val="1"/>
                <w:color w:val="auto"/>
              </w:rPr>
              <w:t>PSU</w:t>
            </w:r>
          </w:p>
        </w:tc>
        <w:tc>
          <w:tcPr>
            <w:tcW w:w="1180" w:type="dxa"/>
            <w:vAlign w:val="bottom"/>
          </w:tcPr>
          <w:p>
            <w:pPr>
              <w:jc w:val="right"/>
              <w:ind w:right="70"/>
              <w:spacing w:after="0"/>
              <w:rPr>
                <w:sz w:val="20"/>
                <w:szCs w:val="20"/>
                <w:color w:val="auto"/>
              </w:rPr>
            </w:pPr>
            <w:r>
              <w:rPr>
                <w:rFonts w:ascii="Arial" w:cs="Arial" w:eastAsia="Arial" w:hAnsi="Arial"/>
                <w:sz w:val="18"/>
                <w:szCs w:val="18"/>
                <w:b w:val="1"/>
                <w:bCs w:val="1"/>
                <w:color w:val="auto"/>
              </w:rPr>
              <w:t>PSU</w:t>
            </w: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Average</w:t>
            </w: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rPr>
              <w:t>RSU</w:t>
            </w: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RSU</w:t>
            </w: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000" w:type="dxa"/>
            <w:vAlign w:val="bottom"/>
          </w:tcPr>
          <w:p>
            <w:pPr>
              <w:jc w:val="right"/>
              <w:ind w:right="170"/>
              <w:spacing w:after="0"/>
              <w:rPr>
                <w:sz w:val="20"/>
                <w:szCs w:val="20"/>
                <w:color w:val="auto"/>
              </w:rPr>
            </w:pPr>
            <w:r>
              <w:rPr>
                <w:rFonts w:ascii="Arial" w:cs="Arial" w:eastAsia="Arial" w:hAnsi="Arial"/>
                <w:sz w:val="18"/>
                <w:szCs w:val="18"/>
                <w:b w:val="1"/>
                <w:bCs w:val="1"/>
                <w:color w:val="auto"/>
              </w:rPr>
              <w:t>Outstanding</w:t>
            </w:r>
          </w:p>
        </w:tc>
        <w:tc>
          <w:tcPr>
            <w:tcW w:w="1180" w:type="dxa"/>
            <w:vAlign w:val="bottom"/>
          </w:tcPr>
          <w:p>
            <w:pPr>
              <w:jc w:val="right"/>
              <w:ind w:right="70"/>
              <w:spacing w:after="0"/>
              <w:rPr>
                <w:sz w:val="20"/>
                <w:szCs w:val="20"/>
                <w:color w:val="auto"/>
              </w:rPr>
            </w:pPr>
            <w:r>
              <w:rPr>
                <w:rFonts w:ascii="Arial" w:cs="Arial" w:eastAsia="Arial" w:hAnsi="Arial"/>
                <w:sz w:val="18"/>
                <w:szCs w:val="18"/>
                <w:b w:val="1"/>
                <w:bCs w:val="1"/>
                <w:color w:val="auto"/>
              </w:rPr>
              <w:t>Weighted</w:t>
            </w: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Remaining</w:t>
            </w: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rPr>
              <w:t>Outstanding</w:t>
            </w: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Weighted</w:t>
            </w: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000" w:type="dxa"/>
            <w:vAlign w:val="bottom"/>
          </w:tcPr>
          <w:p>
            <w:pPr>
              <w:jc w:val="right"/>
              <w:ind w:right="170"/>
              <w:spacing w:after="0"/>
              <w:rPr>
                <w:sz w:val="20"/>
                <w:szCs w:val="20"/>
                <w:color w:val="auto"/>
              </w:rPr>
            </w:pPr>
            <w:r>
              <w:rPr>
                <w:rFonts w:ascii="Arial" w:cs="Arial" w:eastAsia="Arial" w:hAnsi="Arial"/>
                <w:sz w:val="18"/>
                <w:szCs w:val="18"/>
                <w:b w:val="1"/>
                <w:bCs w:val="1"/>
                <w:color w:val="auto"/>
              </w:rPr>
              <w:t>Number of</w:t>
            </w:r>
          </w:p>
        </w:tc>
        <w:tc>
          <w:tcPr>
            <w:tcW w:w="1180" w:type="dxa"/>
            <w:vAlign w:val="bottom"/>
          </w:tcPr>
          <w:p>
            <w:pPr>
              <w:jc w:val="right"/>
              <w:ind w:right="70"/>
              <w:spacing w:after="0"/>
              <w:rPr>
                <w:sz w:val="20"/>
                <w:szCs w:val="20"/>
                <w:color w:val="auto"/>
              </w:rPr>
            </w:pPr>
            <w:r>
              <w:rPr>
                <w:rFonts w:ascii="Arial" w:cs="Arial" w:eastAsia="Arial" w:hAnsi="Arial"/>
                <w:sz w:val="18"/>
                <w:szCs w:val="18"/>
                <w:b w:val="1"/>
                <w:bCs w:val="1"/>
                <w:color w:val="auto"/>
              </w:rPr>
              <w:t>Average</w:t>
            </w: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Contractual</w:t>
            </w: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rPr>
              <w:t>Number of</w:t>
            </w: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Average</w:t>
            </w: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Contractual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000" w:type="dxa"/>
            <w:vAlign w:val="bottom"/>
          </w:tcPr>
          <w:p>
            <w:pPr>
              <w:jc w:val="right"/>
              <w:ind w:right="170"/>
              <w:spacing w:after="0"/>
              <w:rPr>
                <w:sz w:val="20"/>
                <w:szCs w:val="20"/>
                <w:color w:val="auto"/>
              </w:rPr>
            </w:pPr>
            <w:r>
              <w:rPr>
                <w:rFonts w:ascii="Arial" w:cs="Arial" w:eastAsia="Arial" w:hAnsi="Arial"/>
                <w:sz w:val="18"/>
                <w:szCs w:val="18"/>
                <w:b w:val="1"/>
                <w:bCs w:val="1"/>
                <w:color w:val="auto"/>
              </w:rPr>
              <w:t>Shares</w:t>
            </w:r>
          </w:p>
        </w:tc>
        <w:tc>
          <w:tcPr>
            <w:tcW w:w="1180" w:type="dxa"/>
            <w:vAlign w:val="bottom"/>
          </w:tcPr>
          <w:p>
            <w:pPr>
              <w:jc w:val="right"/>
              <w:ind w:right="70"/>
              <w:spacing w:after="0"/>
              <w:rPr>
                <w:sz w:val="20"/>
                <w:szCs w:val="20"/>
                <w:color w:val="auto"/>
              </w:rPr>
            </w:pPr>
            <w:r>
              <w:rPr>
                <w:rFonts w:ascii="Arial" w:cs="Arial" w:eastAsia="Arial" w:hAnsi="Arial"/>
                <w:sz w:val="18"/>
                <w:szCs w:val="18"/>
                <w:b w:val="1"/>
                <w:bCs w:val="1"/>
                <w:color w:val="auto"/>
              </w:rPr>
              <w:t>Fair Value</w:t>
            </w: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Life</w:t>
            </w: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rPr>
              <w:t>Shares</w:t>
            </w: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Fair Value</w:t>
            </w: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Life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20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669,171</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$39.78</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1.77</w:t>
            </w:r>
          </w:p>
        </w:tc>
        <w:tc>
          <w:tcPr>
            <w:tcW w:w="1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1,038,996</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$35.19</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20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269,875</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$68.06</w:t>
            </w:r>
          </w:p>
        </w:tc>
        <w:tc>
          <w:tcPr>
            <w:tcW w:w="1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378,804</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$66.85</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Shares vested</w:t>
            </w:r>
          </w:p>
        </w:tc>
        <w:tc>
          <w:tcPr>
            <w:tcW w:w="20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8"/>
                <w:szCs w:val="18"/>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(222,805)</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$25.36</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20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(3,981)</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$31.49</w:t>
            </w:r>
          </w:p>
        </w:tc>
        <w:tc>
          <w:tcPr>
            <w:tcW w:w="1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(44,570)</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$39.48</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July 31, 2015</w:t>
            </w:r>
          </w:p>
        </w:tc>
        <w:tc>
          <w:tcPr>
            <w:tcW w:w="20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935,065</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$47.24</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1.72</w:t>
            </w:r>
          </w:p>
        </w:tc>
        <w:tc>
          <w:tcPr>
            <w:tcW w:w="1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1,150,425</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$47.35</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80" w:type="dxa"/>
            <w:vAlign w:val="bottom"/>
          </w:tcPr>
          <w:p>
            <w:pPr>
              <w:jc w:val="right"/>
              <w:ind w:right="610"/>
              <w:spacing w:after="0"/>
              <w:rPr>
                <w:sz w:val="20"/>
                <w:szCs w:val="20"/>
                <w:color w:val="auto"/>
              </w:rPr>
            </w:pPr>
            <w:r>
              <w:rPr>
                <w:rFonts w:ascii="Arial" w:cs="Arial" w:eastAsia="Arial" w:hAnsi="Arial"/>
                <w:sz w:val="18"/>
                <w:szCs w:val="18"/>
                <w:color w:val="auto"/>
              </w:rPr>
              <w:t>19</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c>
          <w:tcPr>
            <w:tcW w:w="20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24" w:name="page25"/>
    <w:bookmarkEnd w:id="24"/>
    <w:p>
      <w:pPr>
        <w:spacing w:after="0"/>
        <w:rPr>
          <w:sz w:val="20"/>
          <w:szCs w:val="20"/>
          <w:color w:val="auto"/>
        </w:rPr>
      </w:pPr>
      <w:r>
        <w:rPr>
          <w:rFonts w:ascii="Arial" w:cs="Arial" w:eastAsia="Arial" w:hAnsi="Arial"/>
          <w:sz w:val="29"/>
          <w:szCs w:val="29"/>
          <w:color w:val="auto"/>
        </w:rPr>
        <w:t>ICON Plc</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Notes (continued)</w:t>
      </w:r>
    </w:p>
    <w:p>
      <w:pPr>
        <w:spacing w:after="0" w:line="236"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Share-based payments </w:t>
      </w:r>
      <w:r>
        <w:rPr>
          <w:rFonts w:ascii="Arial" w:cs="Arial" w:eastAsia="Arial" w:hAnsi="Arial"/>
          <w:sz w:val="18"/>
          <w:szCs w:val="18"/>
          <w:i w:val="1"/>
          <w:iCs w:val="1"/>
          <w:color w:val="auto"/>
        </w:rPr>
        <w:t>(continued)</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The Company accounts for share-based awards in accordance with IFRS 2 </w:t>
      </w:r>
      <w:r>
        <w:rPr>
          <w:rFonts w:ascii="Arial" w:cs="Arial" w:eastAsia="Arial" w:hAnsi="Arial"/>
          <w:sz w:val="16"/>
          <w:szCs w:val="16"/>
          <w:i w:val="1"/>
          <w:iCs w:val="1"/>
          <w:color w:val="auto"/>
        </w:rPr>
        <w:t>Share-based Payments</w:t>
      </w:r>
      <w:r>
        <w:rPr>
          <w:rFonts w:ascii="Arial" w:cs="Arial" w:eastAsia="Arial" w:hAnsi="Arial"/>
          <w:sz w:val="16"/>
          <w:szCs w:val="16"/>
          <w:color w:val="auto"/>
        </w:rPr>
        <w:t>. The grant date fair value of these awards is calculated using a binomial lattice model and expensed to the income statement over the period the related service is received. Operating profit for the period is stated after charging $5.6 million (2014: $7.6 million) in respect of share-based payments expense, representing the portion of the overall Group charge which relates to share-based awards granted to employees of the Company. Share-based payment expense has been recorded in the income statement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6300" w:type="dxa"/>
            <w:vAlign w:val="bottom"/>
          </w:tcPr>
          <w:p>
            <w:pPr>
              <w:jc w:val="right"/>
              <w:ind w:right="210"/>
              <w:spacing w:after="0"/>
              <w:rPr>
                <w:sz w:val="20"/>
                <w:szCs w:val="20"/>
                <w:color w:val="auto"/>
              </w:rPr>
            </w:pPr>
            <w:r>
              <w:rPr>
                <w:rFonts w:ascii="Arial" w:cs="Arial" w:eastAsia="Arial" w:hAnsi="Arial"/>
                <w:sz w:val="18"/>
                <w:szCs w:val="18"/>
                <w:b w:val="1"/>
                <w:bCs w:val="1"/>
                <w:color w:val="auto"/>
              </w:rPr>
              <w:t>Period</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6300" w:type="dxa"/>
            <w:vAlign w:val="bottom"/>
          </w:tcPr>
          <w:p>
            <w:pPr>
              <w:jc w:val="right"/>
              <w:ind w:right="210"/>
              <w:spacing w:after="0"/>
              <w:rPr>
                <w:sz w:val="20"/>
                <w:szCs w:val="20"/>
                <w:color w:val="auto"/>
              </w:rPr>
            </w:pPr>
            <w:r>
              <w:rPr>
                <w:rFonts w:ascii="Arial" w:cs="Arial" w:eastAsia="Arial" w:hAnsi="Arial"/>
                <w:sz w:val="18"/>
                <w:szCs w:val="18"/>
                <w:b w:val="1"/>
                <w:bCs w:val="1"/>
                <w:color w:val="auto"/>
              </w:rPr>
              <w:t>Ended</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6300" w:type="dxa"/>
            <w:vAlign w:val="bottom"/>
          </w:tcPr>
          <w:p>
            <w:pPr>
              <w:jc w:val="right"/>
              <w:ind w:right="210"/>
              <w:spacing w:after="0"/>
              <w:rPr>
                <w:sz w:val="20"/>
                <w:szCs w:val="20"/>
                <w:color w:val="auto"/>
              </w:rPr>
            </w:pPr>
            <w:r>
              <w:rPr>
                <w:rFonts w:ascii="Arial" w:cs="Arial" w:eastAsia="Arial" w:hAnsi="Arial"/>
                <w:sz w:val="18"/>
                <w:szCs w:val="18"/>
                <w:b w:val="1"/>
                <w:bCs w:val="1"/>
                <w:color w:val="auto"/>
              </w:rPr>
              <w:t>31 July</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63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2015</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6300" w:type="dxa"/>
            <w:vAlign w:val="bottom"/>
          </w:tcPr>
          <w:p>
            <w:pPr>
              <w:jc w:val="right"/>
              <w:ind w:right="210"/>
              <w:spacing w:after="0"/>
              <w:rPr>
                <w:sz w:val="20"/>
                <w:szCs w:val="20"/>
                <w:color w:val="auto"/>
              </w:rPr>
            </w:pPr>
            <w:r>
              <w:rPr>
                <w:rFonts w:ascii="Arial" w:cs="Arial" w:eastAsia="Arial" w:hAnsi="Arial"/>
                <w:sz w:val="18"/>
                <w:szCs w:val="18"/>
                <w:b w:val="1"/>
                <w:bCs w:val="1"/>
                <w:color w:val="auto"/>
              </w:rPr>
              <w:t>$’000</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63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5,557</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3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5,557</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7,567</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6300" w:type="dxa"/>
            <w:vAlign w:val="bottom"/>
          </w:tcPr>
          <w:p>
            <w:pPr>
              <w:jc w:val="right"/>
              <w:ind w:right="4150"/>
              <w:spacing w:after="0"/>
              <w:rPr>
                <w:sz w:val="20"/>
                <w:szCs w:val="20"/>
                <w:color w:val="auto"/>
              </w:rPr>
            </w:pPr>
            <w:r>
              <w:rPr>
                <w:rFonts w:ascii="Arial" w:cs="Arial" w:eastAsia="Arial" w:hAnsi="Arial"/>
                <w:sz w:val="18"/>
                <w:szCs w:val="18"/>
                <w:color w:val="auto"/>
              </w:rPr>
              <w:t>20</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20" w:type="dxa"/>
            <w:vAlign w:val="bottom"/>
            <w:tcBorders>
              <w:bottom w:val="single" w:sz="8" w:color="808080"/>
            </w:tcBorders>
          </w:tcPr>
          <w:p>
            <w:pPr>
              <w:spacing w:after="0"/>
              <w:rPr>
                <w:sz w:val="10"/>
                <w:szCs w:val="10"/>
                <w:color w:val="auto"/>
              </w:rPr>
            </w:pPr>
          </w:p>
        </w:tc>
        <w:tc>
          <w:tcPr>
            <w:tcW w:w="63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25" w:name="page26"/>
    <w:bookmarkEnd w:id="25"/>
    <w:p>
      <w:pPr>
        <w:spacing w:after="0"/>
        <w:rPr>
          <w:sz w:val="20"/>
          <w:szCs w:val="20"/>
          <w:color w:val="auto"/>
        </w:rPr>
      </w:pPr>
      <w:r>
        <w:rPr>
          <w:rFonts w:ascii="Arial" w:cs="Arial" w:eastAsia="Arial" w:hAnsi="Arial"/>
          <w:sz w:val="29"/>
          <w:szCs w:val="29"/>
          <w:color w:val="auto"/>
        </w:rPr>
        <w:t>ICON Plc</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Notes (continued)</w:t>
      </w:r>
    </w:p>
    <w:p>
      <w:pPr>
        <w:spacing w:after="0" w:line="236"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00" w:type="dxa"/>
            <w:vAlign w:val="bottom"/>
          </w:tcPr>
          <w:p>
            <w:pPr>
              <w:jc w:val="right"/>
              <w:ind w:right="370"/>
              <w:spacing w:after="0"/>
              <w:rPr>
                <w:sz w:val="20"/>
                <w:szCs w:val="20"/>
                <w:color w:val="auto"/>
              </w:rPr>
            </w:pPr>
            <w:r>
              <w:rPr>
                <w:rFonts w:ascii="Arial" w:cs="Arial" w:eastAsia="Arial" w:hAnsi="Arial"/>
                <w:sz w:val="18"/>
                <w:szCs w:val="18"/>
                <w:b w:val="1"/>
                <w:bCs w:val="1"/>
                <w:color w:val="auto"/>
              </w:rPr>
              <w:t>Office</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3820" w:type="dxa"/>
            <w:vAlign w:val="bottom"/>
          </w:tcPr>
          <w:p>
            <w:pPr>
              <w:jc w:val="right"/>
              <w:ind w:right="150"/>
              <w:spacing w:after="0"/>
              <w:rPr>
                <w:sz w:val="20"/>
                <w:szCs w:val="20"/>
                <w:color w:val="auto"/>
              </w:rPr>
            </w:pPr>
            <w:r>
              <w:rPr>
                <w:rFonts w:ascii="Arial" w:cs="Arial" w:eastAsia="Arial" w:hAnsi="Arial"/>
                <w:sz w:val="18"/>
                <w:szCs w:val="18"/>
                <w:b w:val="1"/>
                <w:bCs w:val="1"/>
                <w:color w:val="auto"/>
              </w:rPr>
              <w:t>Leasehold</w:t>
            </w: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rPr>
              <w:t>Computer</w:t>
            </w:r>
          </w:p>
        </w:tc>
        <w:tc>
          <w:tcPr>
            <w:tcW w:w="1500" w:type="dxa"/>
            <w:vAlign w:val="bottom"/>
          </w:tcPr>
          <w:p>
            <w:pPr>
              <w:jc w:val="right"/>
              <w:ind w:right="370"/>
              <w:spacing w:after="0"/>
              <w:rPr>
                <w:sz w:val="20"/>
                <w:szCs w:val="20"/>
                <w:color w:val="auto"/>
              </w:rPr>
            </w:pPr>
            <w:r>
              <w:rPr>
                <w:rFonts w:ascii="Arial" w:cs="Arial" w:eastAsia="Arial" w:hAnsi="Arial"/>
                <w:sz w:val="18"/>
                <w:szCs w:val="18"/>
                <w:b w:val="1"/>
                <w:bCs w:val="1"/>
                <w:color w:val="auto"/>
              </w:rPr>
              <w:t>furniture &amp;</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3820" w:type="dxa"/>
            <w:vAlign w:val="bottom"/>
          </w:tcPr>
          <w:p>
            <w:pPr>
              <w:jc w:val="right"/>
              <w:ind w:right="150"/>
              <w:spacing w:after="0"/>
              <w:rPr>
                <w:sz w:val="20"/>
                <w:szCs w:val="20"/>
                <w:color w:val="auto"/>
              </w:rPr>
            </w:pPr>
            <w:r>
              <w:rPr>
                <w:rFonts w:ascii="Arial" w:cs="Arial" w:eastAsia="Arial" w:hAnsi="Arial"/>
                <w:sz w:val="18"/>
                <w:szCs w:val="18"/>
                <w:b w:val="1"/>
                <w:bCs w:val="1"/>
                <w:color w:val="auto"/>
              </w:rPr>
              <w:t>improvements</w:t>
            </w: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rPr>
              <w:t>equipment</w:t>
            </w:r>
          </w:p>
        </w:tc>
        <w:tc>
          <w:tcPr>
            <w:tcW w:w="1500" w:type="dxa"/>
            <w:vAlign w:val="bottom"/>
          </w:tcPr>
          <w:p>
            <w:pPr>
              <w:jc w:val="right"/>
              <w:ind w:right="370"/>
              <w:spacing w:after="0"/>
              <w:rPr>
                <w:sz w:val="20"/>
                <w:szCs w:val="20"/>
                <w:color w:val="auto"/>
              </w:rPr>
            </w:pPr>
            <w:r>
              <w:rPr>
                <w:rFonts w:ascii="Arial" w:cs="Arial" w:eastAsia="Arial" w:hAnsi="Arial"/>
                <w:sz w:val="18"/>
                <w:szCs w:val="18"/>
                <w:b w:val="1"/>
                <w:bCs w:val="1"/>
                <w:color w:val="auto"/>
              </w:rPr>
              <w:t>fixtures</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400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Cost</w:t>
            </w:r>
          </w:p>
        </w:tc>
        <w:tc>
          <w:tcPr>
            <w:tcW w:w="3820" w:type="dxa"/>
            <w:vAlign w:val="bottom"/>
          </w:tcPr>
          <w:p>
            <w:pPr>
              <w:jc w:val="right"/>
              <w:ind w:right="150"/>
              <w:spacing w:after="0"/>
              <w:rPr>
                <w:sz w:val="20"/>
                <w:szCs w:val="20"/>
                <w:color w:val="auto"/>
              </w:rPr>
            </w:pPr>
            <w:r>
              <w:rPr>
                <w:rFonts w:ascii="Arial" w:cs="Arial" w:eastAsia="Arial" w:hAnsi="Arial"/>
                <w:sz w:val="18"/>
                <w:szCs w:val="18"/>
                <w:b w:val="1"/>
                <w:bCs w:val="1"/>
                <w:color w:val="auto"/>
              </w:rPr>
              <w:t>$’000</w:t>
            </w: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rPr>
              <w:t>$’000</w:t>
            </w:r>
          </w:p>
        </w:tc>
        <w:tc>
          <w:tcPr>
            <w:tcW w:w="1500" w:type="dxa"/>
            <w:vAlign w:val="bottom"/>
          </w:tcPr>
          <w:p>
            <w:pPr>
              <w:jc w:val="right"/>
              <w:ind w:right="370"/>
              <w:spacing w:after="0"/>
              <w:rPr>
                <w:sz w:val="20"/>
                <w:szCs w:val="20"/>
                <w:color w:val="auto"/>
              </w:rPr>
            </w:pPr>
            <w:r>
              <w:rPr>
                <w:rFonts w:ascii="Arial" w:cs="Arial" w:eastAsia="Arial" w:hAnsi="Arial"/>
                <w:sz w:val="18"/>
                <w:szCs w:val="18"/>
                <w:b w:val="1"/>
                <w:bCs w:val="1"/>
                <w:color w:val="auto"/>
              </w:rPr>
              <w:t>$’000</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6"/>
        </w:trPr>
        <w:tc>
          <w:tcPr>
            <w:tcW w:w="4000" w:type="dxa"/>
            <w:vAlign w:val="bottom"/>
            <w:vMerge w:val="continue"/>
          </w:tcPr>
          <w:p>
            <w:pPr>
              <w:spacing w:after="0"/>
              <w:rPr>
                <w:sz w:val="18"/>
                <w:szCs w:val="18"/>
                <w:color w:val="auto"/>
              </w:rPr>
            </w:pPr>
          </w:p>
        </w:tc>
        <w:tc>
          <w:tcPr>
            <w:tcW w:w="3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At 1 January 2015</w:t>
            </w:r>
          </w:p>
        </w:tc>
        <w:tc>
          <w:tcPr>
            <w:tcW w:w="3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852</w:t>
            </w: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1,834</w:t>
            </w:r>
          </w:p>
        </w:tc>
        <w:tc>
          <w:tcPr>
            <w:tcW w:w="15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1,370</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4,056</w:t>
            </w:r>
          </w:p>
        </w:tc>
        <w:tc>
          <w:tcPr>
            <w:tcW w:w="0" w:type="dxa"/>
            <w:vAlign w:val="bottom"/>
          </w:tcPr>
          <w:p>
            <w:pPr>
              <w:spacing w:after="0"/>
              <w:rPr>
                <w:sz w:val="1"/>
                <w:szCs w:val="1"/>
                <w:color w:val="auto"/>
              </w:rPr>
            </w:pPr>
          </w:p>
        </w:tc>
      </w:tr>
      <w:tr>
        <w:trPr>
          <w:trHeight w:val="216"/>
        </w:trPr>
        <w:tc>
          <w:tcPr>
            <w:tcW w:w="4000" w:type="dxa"/>
            <w:vAlign w:val="bottom"/>
          </w:tcPr>
          <w:p>
            <w:pPr>
              <w:ind w:left="340"/>
              <w:spacing w:after="0"/>
              <w:rPr>
                <w:sz w:val="20"/>
                <w:szCs w:val="20"/>
                <w:color w:val="auto"/>
              </w:rPr>
            </w:pPr>
            <w:r>
              <w:rPr>
                <w:rFonts w:ascii="Arial" w:cs="Arial" w:eastAsia="Arial" w:hAnsi="Arial"/>
                <w:sz w:val="18"/>
                <w:szCs w:val="18"/>
                <w:color w:val="auto"/>
              </w:rPr>
              <w:t>Disposals</w:t>
            </w:r>
          </w:p>
        </w:tc>
        <w:tc>
          <w:tcPr>
            <w:tcW w:w="38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0"/>
              <w:spacing w:after="0"/>
              <w:rPr>
                <w:sz w:val="20"/>
                <w:szCs w:val="20"/>
                <w:color w:val="auto"/>
              </w:rPr>
            </w:pPr>
            <w:r>
              <w:rPr>
                <w:rFonts w:ascii="Arial" w:cs="Arial" w:eastAsia="Arial" w:hAnsi="Arial"/>
                <w:sz w:val="18"/>
                <w:szCs w:val="18"/>
                <w:color w:val="auto"/>
              </w:rPr>
              <w:t>(23)</w:t>
            </w: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Foreign currency movement</w:t>
            </w:r>
          </w:p>
        </w:tc>
        <w:tc>
          <w:tcPr>
            <w:tcW w:w="38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(63)</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(136)</w:t>
            </w:r>
          </w:p>
        </w:tc>
        <w:tc>
          <w:tcPr>
            <w:tcW w:w="1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(102)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At 31 December 2015</w:t>
            </w:r>
          </w:p>
        </w:tc>
        <w:tc>
          <w:tcPr>
            <w:tcW w:w="38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789</w:t>
            </w: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1,698</w:t>
            </w:r>
          </w:p>
        </w:tc>
        <w:tc>
          <w:tcPr>
            <w:tcW w:w="15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1,245</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3,732</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Depreciation</w:t>
            </w:r>
          </w:p>
        </w:tc>
        <w:tc>
          <w:tcPr>
            <w:tcW w:w="3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340"/>
              <w:spacing w:after="0"/>
              <w:rPr>
                <w:sz w:val="20"/>
                <w:szCs w:val="20"/>
                <w:color w:val="auto"/>
              </w:rPr>
            </w:pPr>
            <w:r>
              <w:rPr>
                <w:rFonts w:ascii="Arial" w:cs="Arial" w:eastAsia="Arial" w:hAnsi="Arial"/>
                <w:sz w:val="18"/>
                <w:szCs w:val="18"/>
                <w:color w:val="auto"/>
              </w:rPr>
              <w:t>At 1 January 2014</w:t>
            </w:r>
          </w:p>
        </w:tc>
        <w:tc>
          <w:tcPr>
            <w:tcW w:w="3820" w:type="dxa"/>
            <w:vAlign w:val="bottom"/>
          </w:tcPr>
          <w:p>
            <w:pPr>
              <w:jc w:val="right"/>
              <w:ind w:right="150"/>
              <w:spacing w:after="0"/>
              <w:rPr>
                <w:sz w:val="20"/>
                <w:szCs w:val="20"/>
                <w:color w:val="auto"/>
              </w:rPr>
            </w:pPr>
            <w:r>
              <w:rPr>
                <w:rFonts w:ascii="Arial" w:cs="Arial" w:eastAsia="Arial" w:hAnsi="Arial"/>
                <w:sz w:val="18"/>
                <w:szCs w:val="18"/>
                <w:color w:val="auto"/>
              </w:rPr>
              <w:t>756</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1,602</w:t>
            </w:r>
          </w:p>
        </w:tc>
        <w:tc>
          <w:tcPr>
            <w:tcW w:w="1500" w:type="dxa"/>
            <w:vAlign w:val="bottom"/>
          </w:tcPr>
          <w:p>
            <w:pPr>
              <w:jc w:val="right"/>
              <w:ind w:right="370"/>
              <w:spacing w:after="0"/>
              <w:rPr>
                <w:sz w:val="20"/>
                <w:szCs w:val="20"/>
                <w:color w:val="auto"/>
              </w:rPr>
            </w:pPr>
            <w:r>
              <w:rPr>
                <w:rFonts w:ascii="Arial" w:cs="Arial" w:eastAsia="Arial" w:hAnsi="Arial"/>
                <w:sz w:val="18"/>
                <w:szCs w:val="18"/>
                <w:color w:val="auto"/>
              </w:rPr>
              <w:t>1,084</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3,442</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Charge for the period</w:t>
            </w:r>
          </w:p>
        </w:tc>
        <w:tc>
          <w:tcPr>
            <w:tcW w:w="3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w:t>
            </w: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75</w:t>
            </w:r>
          </w:p>
        </w:tc>
        <w:tc>
          <w:tcPr>
            <w:tcW w:w="15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72</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4000" w:type="dxa"/>
            <w:vAlign w:val="bottom"/>
          </w:tcPr>
          <w:p>
            <w:pPr>
              <w:ind w:left="340"/>
              <w:spacing w:after="0"/>
              <w:rPr>
                <w:sz w:val="20"/>
                <w:szCs w:val="20"/>
                <w:color w:val="auto"/>
              </w:rPr>
            </w:pPr>
            <w:r>
              <w:rPr>
                <w:rFonts w:ascii="Arial" w:cs="Arial" w:eastAsia="Arial" w:hAnsi="Arial"/>
                <w:sz w:val="18"/>
                <w:szCs w:val="18"/>
                <w:color w:val="auto"/>
              </w:rPr>
              <w:t>Eliminated on disposals</w:t>
            </w:r>
          </w:p>
        </w:tc>
        <w:tc>
          <w:tcPr>
            <w:tcW w:w="38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0"/>
              <w:spacing w:after="0"/>
              <w:rPr>
                <w:sz w:val="20"/>
                <w:szCs w:val="20"/>
                <w:color w:val="auto"/>
              </w:rPr>
            </w:pPr>
            <w:r>
              <w:rPr>
                <w:rFonts w:ascii="Arial" w:cs="Arial" w:eastAsia="Arial" w:hAnsi="Arial"/>
                <w:sz w:val="18"/>
                <w:szCs w:val="18"/>
                <w:color w:val="auto"/>
              </w:rPr>
              <w:t>(23)</w:t>
            </w: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Foreign currency movement</w:t>
            </w:r>
          </w:p>
        </w:tc>
        <w:tc>
          <w:tcPr>
            <w:tcW w:w="38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(56)</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(118)</w:t>
            </w:r>
          </w:p>
        </w:tc>
        <w:tc>
          <w:tcPr>
            <w:tcW w:w="1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(80)</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At 31 July 2015</w:t>
            </w:r>
          </w:p>
        </w:tc>
        <w:tc>
          <w:tcPr>
            <w:tcW w:w="38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716</w:t>
            </w: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1,559</w:t>
            </w:r>
          </w:p>
        </w:tc>
        <w:tc>
          <w:tcPr>
            <w:tcW w:w="15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1,053</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3,328</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book value</w:t>
            </w:r>
          </w:p>
        </w:tc>
        <w:tc>
          <w:tcPr>
            <w:tcW w:w="3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At 31 July 2015</w:t>
            </w:r>
          </w:p>
        </w:tc>
        <w:tc>
          <w:tcPr>
            <w:tcW w:w="3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73</w:t>
            </w: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139</w:t>
            </w:r>
          </w:p>
        </w:tc>
        <w:tc>
          <w:tcPr>
            <w:tcW w:w="15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192</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404</w:t>
            </w:r>
          </w:p>
        </w:tc>
        <w:tc>
          <w:tcPr>
            <w:tcW w:w="0" w:type="dxa"/>
            <w:vAlign w:val="bottom"/>
          </w:tcPr>
          <w:p>
            <w:pPr>
              <w:spacing w:after="0"/>
              <w:rPr>
                <w:sz w:val="1"/>
                <w:szCs w:val="1"/>
                <w:color w:val="auto"/>
              </w:rPr>
            </w:pPr>
          </w:p>
        </w:tc>
      </w:tr>
      <w:tr>
        <w:trPr>
          <w:trHeight w:val="21"/>
        </w:trPr>
        <w:tc>
          <w:tcPr>
            <w:tcW w:w="400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At 31 December 2014</w:t>
            </w:r>
          </w:p>
        </w:tc>
        <w:tc>
          <w:tcPr>
            <w:tcW w:w="3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96</w:t>
            </w: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232</w:t>
            </w:r>
          </w:p>
        </w:tc>
        <w:tc>
          <w:tcPr>
            <w:tcW w:w="15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286</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
        </w:trPr>
        <w:tc>
          <w:tcPr>
            <w:tcW w:w="400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4000" w:type="dxa"/>
            <w:vAlign w:val="bottom"/>
          </w:tcPr>
          <w:p>
            <w:pPr>
              <w:spacing w:after="0"/>
              <w:rPr>
                <w:sz w:val="24"/>
                <w:szCs w:val="24"/>
                <w:color w:val="auto"/>
              </w:rPr>
            </w:pPr>
          </w:p>
        </w:tc>
        <w:tc>
          <w:tcPr>
            <w:tcW w:w="3820" w:type="dxa"/>
            <w:vAlign w:val="bottom"/>
          </w:tcPr>
          <w:p>
            <w:pPr>
              <w:jc w:val="right"/>
              <w:ind w:right="1930"/>
              <w:spacing w:after="0"/>
              <w:rPr>
                <w:sz w:val="20"/>
                <w:szCs w:val="20"/>
                <w:color w:val="auto"/>
              </w:rPr>
            </w:pPr>
            <w:r>
              <w:rPr>
                <w:rFonts w:ascii="Arial" w:cs="Arial" w:eastAsia="Arial" w:hAnsi="Arial"/>
                <w:sz w:val="18"/>
                <w:szCs w:val="18"/>
                <w:color w:val="auto"/>
              </w:rPr>
              <w:t>21</w:t>
            </w:r>
          </w:p>
        </w:tc>
        <w:tc>
          <w:tcPr>
            <w:tcW w:w="1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000" w:type="dxa"/>
            <w:vAlign w:val="bottom"/>
            <w:tcBorders>
              <w:bottom w:val="single" w:sz="8" w:color="808080"/>
            </w:tcBorders>
          </w:tcPr>
          <w:p>
            <w:pPr>
              <w:spacing w:after="0"/>
              <w:rPr>
                <w:sz w:val="10"/>
                <w:szCs w:val="10"/>
                <w:color w:val="auto"/>
              </w:rPr>
            </w:pPr>
          </w:p>
        </w:tc>
        <w:tc>
          <w:tcPr>
            <w:tcW w:w="38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26" w:name="page27"/>
    <w:bookmarkEnd w:id="26"/>
    <w:p>
      <w:pPr>
        <w:spacing w:after="0"/>
        <w:rPr>
          <w:sz w:val="20"/>
          <w:szCs w:val="20"/>
          <w:color w:val="auto"/>
        </w:rPr>
      </w:pPr>
      <w:r>
        <w:rPr>
          <w:rFonts w:ascii="Arial" w:cs="Arial" w:eastAsia="Arial" w:hAnsi="Arial"/>
          <w:sz w:val="29"/>
          <w:szCs w:val="29"/>
          <w:color w:val="auto"/>
        </w:rPr>
        <w:t>ICON Plc</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Notes to the unaudited financial statements for the interim period ended 31 July 2015</w:t>
      </w:r>
    </w:p>
    <w:p>
      <w:pPr>
        <w:spacing w:after="0" w:line="236"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Property, plant and equipment </w:t>
      </w:r>
      <w:r>
        <w:rPr>
          <w:rFonts w:ascii="Arial" w:cs="Arial" w:eastAsia="Arial" w:hAnsi="Arial"/>
          <w:sz w:val="18"/>
          <w:szCs w:val="18"/>
          <w:i w:val="1"/>
          <w:iCs w:val="1"/>
          <w:color w:val="auto"/>
        </w:rPr>
        <w:t>(continued)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00" w:type="dxa"/>
            <w:vAlign w:val="bottom"/>
          </w:tcPr>
          <w:p>
            <w:pPr>
              <w:jc w:val="right"/>
              <w:ind w:right="370"/>
              <w:spacing w:after="0"/>
              <w:rPr>
                <w:sz w:val="20"/>
                <w:szCs w:val="20"/>
                <w:color w:val="auto"/>
              </w:rPr>
            </w:pPr>
            <w:r>
              <w:rPr>
                <w:rFonts w:ascii="Arial" w:cs="Arial" w:eastAsia="Arial" w:hAnsi="Arial"/>
                <w:sz w:val="18"/>
                <w:szCs w:val="18"/>
                <w:b w:val="1"/>
                <w:bCs w:val="1"/>
                <w:color w:val="auto"/>
              </w:rPr>
              <w:t>Office</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3820" w:type="dxa"/>
            <w:vAlign w:val="bottom"/>
          </w:tcPr>
          <w:p>
            <w:pPr>
              <w:jc w:val="right"/>
              <w:ind w:right="150"/>
              <w:spacing w:after="0"/>
              <w:rPr>
                <w:sz w:val="20"/>
                <w:szCs w:val="20"/>
                <w:color w:val="auto"/>
              </w:rPr>
            </w:pPr>
            <w:r>
              <w:rPr>
                <w:rFonts w:ascii="Arial" w:cs="Arial" w:eastAsia="Arial" w:hAnsi="Arial"/>
                <w:sz w:val="18"/>
                <w:szCs w:val="18"/>
                <w:b w:val="1"/>
                <w:bCs w:val="1"/>
                <w:color w:val="auto"/>
              </w:rPr>
              <w:t>Leasehold</w:t>
            </w: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rPr>
              <w:t>Computer</w:t>
            </w:r>
          </w:p>
        </w:tc>
        <w:tc>
          <w:tcPr>
            <w:tcW w:w="1500" w:type="dxa"/>
            <w:vAlign w:val="bottom"/>
          </w:tcPr>
          <w:p>
            <w:pPr>
              <w:jc w:val="right"/>
              <w:ind w:right="370"/>
              <w:spacing w:after="0"/>
              <w:rPr>
                <w:sz w:val="20"/>
                <w:szCs w:val="20"/>
                <w:color w:val="auto"/>
              </w:rPr>
            </w:pPr>
            <w:r>
              <w:rPr>
                <w:rFonts w:ascii="Arial" w:cs="Arial" w:eastAsia="Arial" w:hAnsi="Arial"/>
                <w:sz w:val="18"/>
                <w:szCs w:val="18"/>
                <w:b w:val="1"/>
                <w:bCs w:val="1"/>
                <w:color w:val="auto"/>
              </w:rPr>
              <w:t>furniture &amp;</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3820" w:type="dxa"/>
            <w:vAlign w:val="bottom"/>
          </w:tcPr>
          <w:p>
            <w:pPr>
              <w:jc w:val="right"/>
              <w:ind w:right="150"/>
              <w:spacing w:after="0"/>
              <w:rPr>
                <w:sz w:val="20"/>
                <w:szCs w:val="20"/>
                <w:color w:val="auto"/>
              </w:rPr>
            </w:pPr>
            <w:r>
              <w:rPr>
                <w:rFonts w:ascii="Arial" w:cs="Arial" w:eastAsia="Arial" w:hAnsi="Arial"/>
                <w:sz w:val="18"/>
                <w:szCs w:val="18"/>
                <w:b w:val="1"/>
                <w:bCs w:val="1"/>
                <w:color w:val="auto"/>
              </w:rPr>
              <w:t>improvements</w:t>
            </w: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rPr>
              <w:t>equipment</w:t>
            </w:r>
          </w:p>
        </w:tc>
        <w:tc>
          <w:tcPr>
            <w:tcW w:w="1500" w:type="dxa"/>
            <w:vAlign w:val="bottom"/>
          </w:tcPr>
          <w:p>
            <w:pPr>
              <w:jc w:val="right"/>
              <w:ind w:right="370"/>
              <w:spacing w:after="0"/>
              <w:rPr>
                <w:sz w:val="20"/>
                <w:szCs w:val="20"/>
                <w:color w:val="auto"/>
              </w:rPr>
            </w:pPr>
            <w:r>
              <w:rPr>
                <w:rFonts w:ascii="Arial" w:cs="Arial" w:eastAsia="Arial" w:hAnsi="Arial"/>
                <w:sz w:val="18"/>
                <w:szCs w:val="18"/>
                <w:b w:val="1"/>
                <w:bCs w:val="1"/>
                <w:color w:val="auto"/>
              </w:rPr>
              <w:t>fixtures</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400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Cost</w:t>
            </w:r>
          </w:p>
        </w:tc>
        <w:tc>
          <w:tcPr>
            <w:tcW w:w="3820" w:type="dxa"/>
            <w:vAlign w:val="bottom"/>
          </w:tcPr>
          <w:p>
            <w:pPr>
              <w:jc w:val="right"/>
              <w:ind w:right="150"/>
              <w:spacing w:after="0"/>
              <w:rPr>
                <w:sz w:val="20"/>
                <w:szCs w:val="20"/>
                <w:color w:val="auto"/>
              </w:rPr>
            </w:pPr>
            <w:r>
              <w:rPr>
                <w:rFonts w:ascii="Arial" w:cs="Arial" w:eastAsia="Arial" w:hAnsi="Arial"/>
                <w:sz w:val="18"/>
                <w:szCs w:val="18"/>
                <w:b w:val="1"/>
                <w:bCs w:val="1"/>
                <w:color w:val="auto"/>
              </w:rPr>
              <w:t>$’000</w:t>
            </w: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rPr>
              <w:t>$’000</w:t>
            </w:r>
          </w:p>
        </w:tc>
        <w:tc>
          <w:tcPr>
            <w:tcW w:w="1500" w:type="dxa"/>
            <w:vAlign w:val="bottom"/>
          </w:tcPr>
          <w:p>
            <w:pPr>
              <w:jc w:val="right"/>
              <w:ind w:right="370"/>
              <w:spacing w:after="0"/>
              <w:rPr>
                <w:sz w:val="20"/>
                <w:szCs w:val="20"/>
                <w:color w:val="auto"/>
              </w:rPr>
            </w:pPr>
            <w:r>
              <w:rPr>
                <w:rFonts w:ascii="Arial" w:cs="Arial" w:eastAsia="Arial" w:hAnsi="Arial"/>
                <w:sz w:val="18"/>
                <w:szCs w:val="18"/>
                <w:b w:val="1"/>
                <w:bCs w:val="1"/>
                <w:color w:val="auto"/>
              </w:rPr>
              <w:t>$’000</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6"/>
        </w:trPr>
        <w:tc>
          <w:tcPr>
            <w:tcW w:w="4000" w:type="dxa"/>
            <w:vAlign w:val="bottom"/>
            <w:vMerge w:val="continue"/>
          </w:tcPr>
          <w:p>
            <w:pPr>
              <w:spacing w:after="0"/>
              <w:rPr>
                <w:sz w:val="18"/>
                <w:szCs w:val="18"/>
                <w:color w:val="auto"/>
              </w:rPr>
            </w:pPr>
          </w:p>
        </w:tc>
        <w:tc>
          <w:tcPr>
            <w:tcW w:w="3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At 1 January 2014</w:t>
            </w:r>
          </w:p>
        </w:tc>
        <w:tc>
          <w:tcPr>
            <w:tcW w:w="3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980</w:t>
            </w: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2,017</w:t>
            </w:r>
          </w:p>
        </w:tc>
        <w:tc>
          <w:tcPr>
            <w:tcW w:w="15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1,563</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4,560</w:t>
            </w:r>
          </w:p>
        </w:tc>
        <w:tc>
          <w:tcPr>
            <w:tcW w:w="0" w:type="dxa"/>
            <w:vAlign w:val="bottom"/>
          </w:tcPr>
          <w:p>
            <w:pPr>
              <w:spacing w:after="0"/>
              <w:rPr>
                <w:sz w:val="1"/>
                <w:szCs w:val="1"/>
                <w:color w:val="auto"/>
              </w:rPr>
            </w:pPr>
          </w:p>
        </w:tc>
      </w:tr>
      <w:tr>
        <w:trPr>
          <w:trHeight w:val="216"/>
        </w:trPr>
        <w:tc>
          <w:tcPr>
            <w:tcW w:w="4000" w:type="dxa"/>
            <w:vAlign w:val="bottom"/>
          </w:tcPr>
          <w:p>
            <w:pPr>
              <w:ind w:left="340"/>
              <w:spacing w:after="0"/>
              <w:rPr>
                <w:sz w:val="20"/>
                <w:szCs w:val="20"/>
                <w:color w:val="auto"/>
              </w:rPr>
            </w:pPr>
            <w:r>
              <w:rPr>
                <w:rFonts w:ascii="Arial" w:cs="Arial" w:eastAsia="Arial" w:hAnsi="Arial"/>
                <w:sz w:val="18"/>
                <w:szCs w:val="18"/>
                <w:color w:val="auto"/>
              </w:rPr>
              <w:t>Additions</w:t>
            </w:r>
          </w:p>
        </w:tc>
        <w:tc>
          <w:tcPr>
            <w:tcW w:w="382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85</w:t>
            </w:r>
          </w:p>
        </w:tc>
        <w:tc>
          <w:tcPr>
            <w:tcW w:w="1500" w:type="dxa"/>
            <w:vAlign w:val="bottom"/>
          </w:tcPr>
          <w:p>
            <w:pPr>
              <w:jc w:val="right"/>
              <w:ind w:right="370"/>
              <w:spacing w:after="0"/>
              <w:rPr>
                <w:sz w:val="20"/>
                <w:szCs w:val="20"/>
                <w:color w:val="auto"/>
              </w:rPr>
            </w:pPr>
            <w:r>
              <w:rPr>
                <w:rFonts w:ascii="Arial" w:cs="Arial" w:eastAsia="Arial" w:hAnsi="Arial"/>
                <w:sz w:val="18"/>
                <w:szCs w:val="18"/>
                <w:color w:val="auto"/>
              </w:rPr>
              <w:t>3</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Foreign currency movement</w:t>
            </w:r>
          </w:p>
        </w:tc>
        <w:tc>
          <w:tcPr>
            <w:tcW w:w="38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(130)</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(268)</w:t>
            </w:r>
          </w:p>
        </w:tc>
        <w:tc>
          <w:tcPr>
            <w:tcW w:w="1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(196)</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At 31 December 2014</w:t>
            </w:r>
          </w:p>
        </w:tc>
        <w:tc>
          <w:tcPr>
            <w:tcW w:w="38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852</w:t>
            </w: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1,834</w:t>
            </w:r>
          </w:p>
        </w:tc>
        <w:tc>
          <w:tcPr>
            <w:tcW w:w="15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1,370</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4,056</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Depreciation</w:t>
            </w:r>
          </w:p>
        </w:tc>
        <w:tc>
          <w:tcPr>
            <w:tcW w:w="3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340"/>
              <w:spacing w:after="0"/>
              <w:rPr>
                <w:sz w:val="20"/>
                <w:szCs w:val="20"/>
                <w:color w:val="auto"/>
              </w:rPr>
            </w:pPr>
            <w:r>
              <w:rPr>
                <w:rFonts w:ascii="Arial" w:cs="Arial" w:eastAsia="Arial" w:hAnsi="Arial"/>
                <w:sz w:val="18"/>
                <w:szCs w:val="18"/>
                <w:color w:val="auto"/>
              </w:rPr>
              <w:t>At 1 January 2014</w:t>
            </w:r>
          </w:p>
        </w:tc>
        <w:tc>
          <w:tcPr>
            <w:tcW w:w="3820" w:type="dxa"/>
            <w:vAlign w:val="bottom"/>
          </w:tcPr>
          <w:p>
            <w:pPr>
              <w:jc w:val="right"/>
              <w:ind w:right="150"/>
              <w:spacing w:after="0"/>
              <w:rPr>
                <w:sz w:val="20"/>
                <w:szCs w:val="20"/>
                <w:color w:val="auto"/>
              </w:rPr>
            </w:pPr>
            <w:r>
              <w:rPr>
                <w:rFonts w:ascii="Arial" w:cs="Arial" w:eastAsia="Arial" w:hAnsi="Arial"/>
                <w:sz w:val="18"/>
                <w:szCs w:val="18"/>
                <w:color w:val="auto"/>
              </w:rPr>
              <w:t>817</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1,636</w:t>
            </w:r>
          </w:p>
        </w:tc>
        <w:tc>
          <w:tcPr>
            <w:tcW w:w="1500" w:type="dxa"/>
            <w:vAlign w:val="bottom"/>
          </w:tcPr>
          <w:p>
            <w:pPr>
              <w:jc w:val="right"/>
              <w:ind w:right="370"/>
              <w:spacing w:after="0"/>
              <w:rPr>
                <w:sz w:val="20"/>
                <w:szCs w:val="20"/>
                <w:color w:val="auto"/>
              </w:rPr>
            </w:pPr>
            <w:r>
              <w:rPr>
                <w:rFonts w:ascii="Arial" w:cs="Arial" w:eastAsia="Arial" w:hAnsi="Arial"/>
                <w:sz w:val="18"/>
                <w:szCs w:val="18"/>
                <w:color w:val="auto"/>
              </w:rPr>
              <w:t>1059</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3,512</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Charge for the year</w:t>
            </w:r>
          </w:p>
        </w:tc>
        <w:tc>
          <w:tcPr>
            <w:tcW w:w="3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55</w:t>
            </w: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194</w:t>
            </w:r>
          </w:p>
        </w:tc>
        <w:tc>
          <w:tcPr>
            <w:tcW w:w="15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174</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Foreign currency movement</w:t>
            </w:r>
          </w:p>
        </w:tc>
        <w:tc>
          <w:tcPr>
            <w:tcW w:w="3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(116)</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(228)</w:t>
            </w:r>
          </w:p>
        </w:tc>
        <w:tc>
          <w:tcPr>
            <w:tcW w:w="1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(149)</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At 31 December 2014</w:t>
            </w:r>
          </w:p>
        </w:tc>
        <w:tc>
          <w:tcPr>
            <w:tcW w:w="3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756</w:t>
            </w: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1,602</w:t>
            </w:r>
          </w:p>
        </w:tc>
        <w:tc>
          <w:tcPr>
            <w:tcW w:w="15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1,084</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3,442</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340"/>
              <w:spacing w:after="0"/>
              <w:rPr>
                <w:sz w:val="20"/>
                <w:szCs w:val="20"/>
                <w:color w:val="auto"/>
              </w:rPr>
            </w:pPr>
            <w:r>
              <w:rPr>
                <w:rFonts w:ascii="Arial" w:cs="Arial" w:eastAsia="Arial" w:hAnsi="Arial"/>
                <w:sz w:val="18"/>
                <w:szCs w:val="18"/>
                <w:b w:val="1"/>
                <w:bCs w:val="1"/>
                <w:color w:val="auto"/>
              </w:rPr>
              <w:t>Net book value</w:t>
            </w:r>
          </w:p>
        </w:tc>
        <w:tc>
          <w:tcPr>
            <w:tcW w:w="3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At 31 December 2014</w:t>
            </w:r>
          </w:p>
        </w:tc>
        <w:tc>
          <w:tcPr>
            <w:tcW w:w="38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96</w:t>
            </w: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232</w:t>
            </w:r>
          </w:p>
        </w:tc>
        <w:tc>
          <w:tcPr>
            <w:tcW w:w="15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286</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614</w:t>
            </w: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At 31 December 2013</w:t>
            </w:r>
          </w:p>
        </w:tc>
        <w:tc>
          <w:tcPr>
            <w:tcW w:w="38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163</w:t>
            </w: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381</w:t>
            </w:r>
          </w:p>
        </w:tc>
        <w:tc>
          <w:tcPr>
            <w:tcW w:w="15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504</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574"/>
        </w:trPr>
        <w:tc>
          <w:tcPr>
            <w:tcW w:w="4000" w:type="dxa"/>
            <w:vAlign w:val="bottom"/>
          </w:tcPr>
          <w:p>
            <w:pPr>
              <w:spacing w:after="0"/>
              <w:rPr>
                <w:sz w:val="24"/>
                <w:szCs w:val="24"/>
                <w:color w:val="auto"/>
              </w:rPr>
            </w:pPr>
          </w:p>
        </w:tc>
        <w:tc>
          <w:tcPr>
            <w:tcW w:w="3820" w:type="dxa"/>
            <w:vAlign w:val="bottom"/>
          </w:tcPr>
          <w:p>
            <w:pPr>
              <w:jc w:val="right"/>
              <w:ind w:right="1930"/>
              <w:spacing w:after="0"/>
              <w:rPr>
                <w:sz w:val="20"/>
                <w:szCs w:val="20"/>
                <w:color w:val="auto"/>
              </w:rPr>
            </w:pPr>
            <w:r>
              <w:rPr>
                <w:rFonts w:ascii="Arial" w:cs="Arial" w:eastAsia="Arial" w:hAnsi="Arial"/>
                <w:sz w:val="18"/>
                <w:szCs w:val="18"/>
                <w:color w:val="auto"/>
              </w:rPr>
              <w:t>22</w:t>
            </w:r>
          </w:p>
        </w:tc>
        <w:tc>
          <w:tcPr>
            <w:tcW w:w="1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000" w:type="dxa"/>
            <w:vAlign w:val="bottom"/>
            <w:tcBorders>
              <w:bottom w:val="single" w:sz="8" w:color="808080"/>
            </w:tcBorders>
          </w:tcPr>
          <w:p>
            <w:pPr>
              <w:spacing w:after="0"/>
              <w:rPr>
                <w:sz w:val="10"/>
                <w:szCs w:val="10"/>
                <w:color w:val="auto"/>
              </w:rPr>
            </w:pPr>
          </w:p>
        </w:tc>
        <w:tc>
          <w:tcPr>
            <w:tcW w:w="38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27" w:name="page28"/>
    <w:bookmarkEnd w:id="27"/>
    <w:p>
      <w:pPr>
        <w:spacing w:after="0"/>
        <w:rPr>
          <w:sz w:val="20"/>
          <w:szCs w:val="20"/>
          <w:color w:val="auto"/>
        </w:rPr>
      </w:pPr>
      <w:r>
        <w:rPr>
          <w:rFonts w:ascii="Arial" w:cs="Arial" w:eastAsia="Arial" w:hAnsi="Arial"/>
          <w:sz w:val="29"/>
          <w:szCs w:val="29"/>
          <w:color w:val="auto"/>
        </w:rPr>
        <w:t>ICON Plc</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Notes (continued)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r>
              <w:rPr>
                <w:rFonts w:ascii="Arial" w:cs="Arial" w:eastAsia="Arial" w:hAnsi="Arial"/>
                <w:sz w:val="18"/>
                <w:szCs w:val="18"/>
                <w:b w:val="1"/>
                <w:bCs w:val="1"/>
                <w:color w:val="auto"/>
              </w:rPr>
              <w:t>10.  Intangible assets</w:t>
            </w:r>
          </w:p>
        </w:tc>
        <w:tc>
          <w:tcPr>
            <w:tcW w:w="5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120" w:type="dxa"/>
            <w:vAlign w:val="bottom"/>
          </w:tcPr>
          <w:p>
            <w:pPr>
              <w:spacing w:after="0"/>
              <w:rPr>
                <w:sz w:val="24"/>
                <w:szCs w:val="24"/>
                <w:color w:val="auto"/>
              </w:rPr>
            </w:pPr>
          </w:p>
        </w:tc>
        <w:tc>
          <w:tcPr>
            <w:tcW w:w="5300" w:type="dxa"/>
            <w:vAlign w:val="bottom"/>
          </w:tcPr>
          <w:p>
            <w:pPr>
              <w:jc w:val="right"/>
              <w:ind w:right="10"/>
              <w:spacing w:after="0"/>
              <w:rPr>
                <w:sz w:val="20"/>
                <w:szCs w:val="20"/>
                <w:color w:val="auto"/>
              </w:rPr>
            </w:pPr>
            <w:r>
              <w:rPr>
                <w:rFonts w:ascii="Arial" w:cs="Arial" w:eastAsia="Arial" w:hAnsi="Arial"/>
                <w:sz w:val="18"/>
                <w:szCs w:val="18"/>
                <w:b w:val="1"/>
                <w:bCs w:val="1"/>
                <w:color w:val="auto"/>
              </w:rPr>
              <w:t>Computer Software</w:t>
            </w:r>
          </w:p>
        </w:tc>
        <w:tc>
          <w:tcPr>
            <w:tcW w:w="0" w:type="dxa"/>
            <w:vAlign w:val="bottom"/>
          </w:tcPr>
          <w:p>
            <w:pPr>
              <w:spacing w:after="0"/>
              <w:rPr>
                <w:sz w:val="1"/>
                <w:szCs w:val="1"/>
                <w:color w:val="auto"/>
              </w:rPr>
            </w:pPr>
          </w:p>
        </w:tc>
      </w:tr>
      <w:tr>
        <w:trPr>
          <w:trHeight w:val="234"/>
        </w:trPr>
        <w:tc>
          <w:tcPr>
            <w:tcW w:w="612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Cost:</w:t>
            </w:r>
          </w:p>
        </w:tc>
        <w:tc>
          <w:tcPr>
            <w:tcW w:w="530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6"/>
        </w:trPr>
        <w:tc>
          <w:tcPr>
            <w:tcW w:w="6120" w:type="dxa"/>
            <w:vAlign w:val="bottom"/>
            <w:vMerge w:val="continue"/>
          </w:tcPr>
          <w:p>
            <w:pPr>
              <w:spacing w:after="0"/>
              <w:rPr>
                <w:sz w:val="18"/>
                <w:szCs w:val="18"/>
                <w:color w:val="auto"/>
              </w:rPr>
            </w:pPr>
          </w:p>
        </w:tc>
        <w:tc>
          <w:tcPr>
            <w:tcW w:w="5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At 1 January 2015</w:t>
            </w:r>
          </w:p>
        </w:tc>
        <w:tc>
          <w:tcPr>
            <w:tcW w:w="5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Additions</w:t>
            </w:r>
          </w:p>
        </w:tc>
        <w:tc>
          <w:tcPr>
            <w:tcW w:w="530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61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Foreign exchange movement</w:t>
            </w:r>
          </w:p>
        </w:tc>
        <w:tc>
          <w:tcPr>
            <w:tcW w:w="5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At 31 July 2015</w:t>
            </w:r>
          </w:p>
        </w:tc>
        <w:tc>
          <w:tcPr>
            <w:tcW w:w="5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1,118</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Accumulated amortisation:</w:t>
            </w:r>
          </w:p>
        </w:tc>
        <w:tc>
          <w:tcPr>
            <w:tcW w:w="5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At 1 January 2015</w:t>
            </w:r>
          </w:p>
        </w:tc>
        <w:tc>
          <w:tcPr>
            <w:tcW w:w="5300" w:type="dxa"/>
            <w:vAlign w:val="bottom"/>
          </w:tcPr>
          <w:p>
            <w:pPr>
              <w:jc w:val="right"/>
              <w:ind w:right="1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Arising during the period</w:t>
            </w:r>
          </w:p>
        </w:tc>
        <w:tc>
          <w:tcPr>
            <w:tcW w:w="5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61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Foreign exchange movement</w:t>
            </w:r>
          </w:p>
        </w:tc>
        <w:tc>
          <w:tcPr>
            <w:tcW w:w="5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At 31 July 2015</w:t>
            </w:r>
          </w:p>
        </w:tc>
        <w:tc>
          <w:tcPr>
            <w:tcW w:w="5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966</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b w:val="1"/>
                <w:bCs w:val="1"/>
                <w:color w:val="auto"/>
              </w:rPr>
              <w:t>Net book value:</w:t>
            </w:r>
          </w:p>
        </w:tc>
        <w:tc>
          <w:tcPr>
            <w:tcW w:w="5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1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At 31 July 2015</w:t>
            </w:r>
          </w:p>
        </w:tc>
        <w:tc>
          <w:tcPr>
            <w:tcW w:w="5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152</w:t>
            </w:r>
          </w:p>
        </w:tc>
        <w:tc>
          <w:tcPr>
            <w:tcW w:w="0" w:type="dxa"/>
            <w:vAlign w:val="bottom"/>
          </w:tcPr>
          <w:p>
            <w:pPr>
              <w:spacing w:after="0"/>
              <w:rPr>
                <w:sz w:val="1"/>
                <w:szCs w:val="1"/>
                <w:color w:val="auto"/>
              </w:rPr>
            </w:pPr>
          </w:p>
        </w:tc>
      </w:tr>
      <w:tr>
        <w:trPr>
          <w:trHeight w:val="210"/>
        </w:trPr>
        <w:tc>
          <w:tcPr>
            <w:tcW w:w="61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1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At 31 December 2014</w:t>
            </w:r>
          </w:p>
        </w:tc>
        <w:tc>
          <w:tcPr>
            <w:tcW w:w="5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ind w:left="360"/>
              <w:spacing w:after="0"/>
              <w:rPr>
                <w:sz w:val="20"/>
                <w:szCs w:val="20"/>
                <w:color w:val="auto"/>
              </w:rPr>
            </w:pPr>
            <w:r>
              <w:rPr>
                <w:rFonts w:ascii="Arial" w:cs="Arial" w:eastAsia="Arial" w:hAnsi="Arial"/>
                <w:sz w:val="18"/>
                <w:szCs w:val="18"/>
                <w:b w:val="1"/>
                <w:bCs w:val="1"/>
                <w:color w:val="auto"/>
              </w:rPr>
              <w:t>Cost:</w:t>
            </w:r>
          </w:p>
        </w:tc>
        <w:tc>
          <w:tcPr>
            <w:tcW w:w="7380" w:type="dxa"/>
            <w:vAlign w:val="bottom"/>
          </w:tcPr>
          <w:p>
            <w:pPr>
              <w:spacing w:after="0"/>
              <w:rPr>
                <w:sz w:val="20"/>
                <w:szCs w:val="20"/>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At 1 January 2014</w:t>
            </w:r>
          </w:p>
        </w:tc>
        <w:tc>
          <w:tcPr>
            <w:tcW w:w="7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1,396</w:t>
            </w:r>
          </w:p>
        </w:tc>
      </w:tr>
      <w:tr>
        <w:trPr>
          <w:trHeight w:val="216"/>
        </w:trPr>
        <w:tc>
          <w:tcPr>
            <w:tcW w:w="4040" w:type="dxa"/>
            <w:vAlign w:val="bottom"/>
          </w:tcPr>
          <w:p>
            <w:pPr>
              <w:ind w:left="360"/>
              <w:spacing w:after="0"/>
              <w:rPr>
                <w:sz w:val="20"/>
                <w:szCs w:val="20"/>
                <w:color w:val="auto"/>
              </w:rPr>
            </w:pPr>
            <w:r>
              <w:rPr>
                <w:rFonts w:ascii="Arial" w:cs="Arial" w:eastAsia="Arial" w:hAnsi="Arial"/>
                <w:sz w:val="18"/>
                <w:szCs w:val="18"/>
                <w:color w:val="auto"/>
              </w:rPr>
              <w:t>Additions</w:t>
            </w:r>
          </w:p>
        </w:tc>
        <w:tc>
          <w:tcPr>
            <w:tcW w:w="7380" w:type="dxa"/>
            <w:vAlign w:val="bottom"/>
          </w:tcPr>
          <w:p>
            <w:pPr>
              <w:jc w:val="right"/>
              <w:ind w:right="10"/>
              <w:spacing w:after="0"/>
              <w:rPr>
                <w:sz w:val="20"/>
                <w:szCs w:val="20"/>
                <w:color w:val="auto"/>
              </w:rPr>
            </w:pPr>
            <w:r>
              <w:rPr>
                <w:rFonts w:ascii="Arial" w:cs="Arial" w:eastAsia="Arial" w:hAnsi="Arial"/>
                <w:sz w:val="18"/>
                <w:szCs w:val="18"/>
                <w:color w:val="auto"/>
              </w:rPr>
              <w:t>106</w:t>
            </w: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Disposals/reclassifications</w:t>
            </w:r>
          </w:p>
        </w:tc>
        <w:tc>
          <w:tcPr>
            <w:tcW w:w="7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23"/>
        </w:trPr>
        <w:tc>
          <w:tcPr>
            <w:tcW w:w="40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Foreign exchange movement</w:t>
            </w:r>
          </w:p>
        </w:tc>
        <w:tc>
          <w:tcPr>
            <w:tcW w:w="7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4040" w:type="dxa"/>
            <w:vAlign w:val="bottom"/>
            <w:shd w:val="clear" w:color="auto" w:fill="CCEEFF"/>
          </w:tcPr>
          <w:p>
            <w:pPr>
              <w:spacing w:after="0"/>
              <w:rPr>
                <w:sz w:val="18"/>
                <w:szCs w:val="18"/>
                <w:color w:val="auto"/>
              </w:rPr>
            </w:pPr>
          </w:p>
        </w:tc>
        <w:tc>
          <w:tcPr>
            <w:tcW w:w="7380" w:type="dxa"/>
            <w:vAlign w:val="bottom"/>
            <w:shd w:val="clear" w:color="auto" w:fill="CCEEFF"/>
          </w:tcPr>
          <w:p>
            <w:pPr>
              <w:spacing w:after="0"/>
              <w:rPr>
                <w:sz w:val="18"/>
                <w:szCs w:val="18"/>
                <w:color w:val="auto"/>
              </w:rPr>
            </w:pPr>
          </w:p>
        </w:tc>
      </w:tr>
      <w:tr>
        <w:trPr>
          <w:trHeight w:val="223"/>
        </w:trPr>
        <w:tc>
          <w:tcPr>
            <w:tcW w:w="40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At 31 December 2014</w:t>
            </w:r>
          </w:p>
        </w:tc>
        <w:tc>
          <w:tcPr>
            <w:tcW w:w="7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1,148</w:t>
            </w:r>
          </w:p>
        </w:tc>
      </w:tr>
      <w:tr>
        <w:trPr>
          <w:trHeight w:val="216"/>
        </w:trPr>
        <w:tc>
          <w:tcPr>
            <w:tcW w:w="4040" w:type="dxa"/>
            <w:vAlign w:val="bottom"/>
            <w:shd w:val="clear" w:color="auto" w:fill="CCEEFF"/>
          </w:tcPr>
          <w:p>
            <w:pPr>
              <w:spacing w:after="0"/>
              <w:rPr>
                <w:sz w:val="18"/>
                <w:szCs w:val="18"/>
                <w:color w:val="auto"/>
              </w:rPr>
            </w:pPr>
          </w:p>
        </w:tc>
        <w:tc>
          <w:tcPr>
            <w:tcW w:w="7380" w:type="dxa"/>
            <w:vAlign w:val="bottom"/>
            <w:shd w:val="clear" w:color="auto" w:fill="CCEEFF"/>
          </w:tcPr>
          <w:p>
            <w:pPr>
              <w:spacing w:after="0"/>
              <w:rPr>
                <w:sz w:val="18"/>
                <w:szCs w:val="18"/>
                <w:color w:val="auto"/>
              </w:rPr>
            </w:pPr>
          </w:p>
        </w:tc>
      </w:tr>
      <w:tr>
        <w:trPr>
          <w:trHeight w:val="216"/>
        </w:trPr>
        <w:tc>
          <w:tcPr>
            <w:tcW w:w="4040" w:type="dxa"/>
            <w:vAlign w:val="bottom"/>
          </w:tcPr>
          <w:p>
            <w:pPr>
              <w:ind w:left="360"/>
              <w:spacing w:after="0"/>
              <w:rPr>
                <w:sz w:val="20"/>
                <w:szCs w:val="20"/>
                <w:color w:val="auto"/>
              </w:rPr>
            </w:pPr>
            <w:r>
              <w:rPr>
                <w:rFonts w:ascii="Arial" w:cs="Arial" w:eastAsia="Arial" w:hAnsi="Arial"/>
                <w:sz w:val="18"/>
                <w:szCs w:val="18"/>
                <w:b w:val="1"/>
                <w:bCs w:val="1"/>
                <w:color w:val="auto"/>
              </w:rPr>
              <w:t>Accumulated amortisation:</w:t>
            </w:r>
          </w:p>
        </w:tc>
        <w:tc>
          <w:tcPr>
            <w:tcW w:w="7380" w:type="dxa"/>
            <w:vAlign w:val="bottom"/>
          </w:tcPr>
          <w:p>
            <w:pPr>
              <w:spacing w:after="0"/>
              <w:rPr>
                <w:sz w:val="18"/>
                <w:szCs w:val="18"/>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At 1 January 2014</w:t>
            </w:r>
          </w:p>
        </w:tc>
        <w:tc>
          <w:tcPr>
            <w:tcW w:w="7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892</w:t>
            </w:r>
          </w:p>
        </w:tc>
      </w:tr>
      <w:tr>
        <w:trPr>
          <w:trHeight w:val="216"/>
        </w:trPr>
        <w:tc>
          <w:tcPr>
            <w:tcW w:w="4040" w:type="dxa"/>
            <w:vAlign w:val="bottom"/>
          </w:tcPr>
          <w:p>
            <w:pPr>
              <w:ind w:left="360"/>
              <w:spacing w:after="0"/>
              <w:rPr>
                <w:sz w:val="20"/>
                <w:szCs w:val="20"/>
                <w:color w:val="auto"/>
              </w:rPr>
            </w:pPr>
            <w:r>
              <w:rPr>
                <w:rFonts w:ascii="Arial" w:cs="Arial" w:eastAsia="Arial" w:hAnsi="Arial"/>
                <w:sz w:val="18"/>
                <w:szCs w:val="18"/>
                <w:color w:val="auto"/>
              </w:rPr>
              <w:t>Arising during the year</w:t>
            </w:r>
          </w:p>
        </w:tc>
        <w:tc>
          <w:tcPr>
            <w:tcW w:w="7380" w:type="dxa"/>
            <w:vAlign w:val="bottom"/>
          </w:tcPr>
          <w:p>
            <w:pPr>
              <w:jc w:val="right"/>
              <w:ind w:right="10"/>
              <w:spacing w:after="0"/>
              <w:rPr>
                <w:sz w:val="20"/>
                <w:szCs w:val="20"/>
                <w:color w:val="auto"/>
              </w:rPr>
            </w:pPr>
            <w:r>
              <w:rPr>
                <w:rFonts w:ascii="Arial" w:cs="Arial" w:eastAsia="Arial" w:hAnsi="Arial"/>
                <w:sz w:val="18"/>
                <w:szCs w:val="18"/>
                <w:color w:val="auto"/>
              </w:rPr>
              <w:t>186</w:t>
            </w:r>
          </w:p>
        </w:tc>
      </w:tr>
      <w:tr>
        <w:trPr>
          <w:trHeight w:val="223"/>
        </w:trPr>
        <w:tc>
          <w:tcPr>
            <w:tcW w:w="40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Foreign exchange movement</w:t>
            </w:r>
          </w:p>
        </w:tc>
        <w:tc>
          <w:tcPr>
            <w:tcW w:w="7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4040" w:type="dxa"/>
            <w:vAlign w:val="bottom"/>
          </w:tcPr>
          <w:p>
            <w:pPr>
              <w:spacing w:after="0"/>
              <w:rPr>
                <w:sz w:val="18"/>
                <w:szCs w:val="18"/>
                <w:color w:val="auto"/>
              </w:rPr>
            </w:pPr>
          </w:p>
        </w:tc>
        <w:tc>
          <w:tcPr>
            <w:tcW w:w="7380" w:type="dxa"/>
            <w:vAlign w:val="bottom"/>
          </w:tcPr>
          <w:p>
            <w:pPr>
              <w:spacing w:after="0"/>
              <w:rPr>
                <w:sz w:val="18"/>
                <w:szCs w:val="18"/>
                <w:color w:val="auto"/>
              </w:rPr>
            </w:pPr>
          </w:p>
        </w:tc>
      </w:tr>
      <w:tr>
        <w:trPr>
          <w:trHeight w:val="223"/>
        </w:trPr>
        <w:tc>
          <w:tcPr>
            <w:tcW w:w="40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At 31 December 2014</w:t>
            </w:r>
          </w:p>
        </w:tc>
        <w:tc>
          <w:tcPr>
            <w:tcW w:w="7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951</w:t>
            </w:r>
          </w:p>
        </w:tc>
      </w:tr>
      <w:tr>
        <w:trPr>
          <w:trHeight w:val="216"/>
        </w:trPr>
        <w:tc>
          <w:tcPr>
            <w:tcW w:w="4040" w:type="dxa"/>
            <w:vAlign w:val="bottom"/>
          </w:tcPr>
          <w:p>
            <w:pPr>
              <w:spacing w:after="0"/>
              <w:rPr>
                <w:sz w:val="18"/>
                <w:szCs w:val="18"/>
                <w:color w:val="auto"/>
              </w:rPr>
            </w:pPr>
          </w:p>
        </w:tc>
        <w:tc>
          <w:tcPr>
            <w:tcW w:w="7380" w:type="dxa"/>
            <w:vAlign w:val="bottom"/>
          </w:tcPr>
          <w:p>
            <w:pPr>
              <w:spacing w:after="0"/>
              <w:rPr>
                <w:sz w:val="18"/>
                <w:szCs w:val="18"/>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book value:</w:t>
            </w:r>
          </w:p>
        </w:tc>
        <w:tc>
          <w:tcPr>
            <w:tcW w:w="7380" w:type="dxa"/>
            <w:vAlign w:val="bottom"/>
            <w:shd w:val="clear" w:color="auto" w:fill="CCEEFF"/>
          </w:tcPr>
          <w:p>
            <w:pPr>
              <w:spacing w:after="0"/>
              <w:rPr>
                <w:sz w:val="18"/>
                <w:szCs w:val="18"/>
                <w:color w:val="auto"/>
              </w:rPr>
            </w:pPr>
          </w:p>
        </w:tc>
      </w:tr>
      <w:tr>
        <w:trPr>
          <w:trHeight w:val="216"/>
        </w:trPr>
        <w:tc>
          <w:tcPr>
            <w:tcW w:w="40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At 31 December 2014</w:t>
            </w:r>
          </w:p>
        </w:tc>
        <w:tc>
          <w:tcPr>
            <w:tcW w:w="7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197</w:t>
            </w:r>
          </w:p>
        </w:tc>
      </w:tr>
      <w:tr>
        <w:trPr>
          <w:trHeight w:val="21"/>
        </w:trPr>
        <w:tc>
          <w:tcPr>
            <w:tcW w:w="4040" w:type="dxa"/>
            <w:vAlign w:val="bottom"/>
            <w:tcBorders>
              <w:bottom w:val="single" w:sz="8" w:color="auto"/>
            </w:tcBorders>
          </w:tcPr>
          <w:p>
            <w:pPr>
              <w:spacing w:after="0" w:line="20" w:lineRule="exact"/>
              <w:rPr>
                <w:sz w:val="1"/>
                <w:szCs w:val="1"/>
                <w:color w:val="auto"/>
              </w:rPr>
            </w:pPr>
          </w:p>
        </w:tc>
        <w:tc>
          <w:tcPr>
            <w:tcW w:w="7380" w:type="dxa"/>
            <w:vAlign w:val="bottom"/>
            <w:tcBorders>
              <w:bottom w:val="single" w:sz="8" w:color="auto"/>
            </w:tcBorders>
          </w:tcPr>
          <w:p>
            <w:pPr>
              <w:spacing w:after="0" w:line="20" w:lineRule="exact"/>
              <w:rPr>
                <w:sz w:val="1"/>
                <w:szCs w:val="1"/>
                <w:color w:val="auto"/>
              </w:rPr>
            </w:pPr>
          </w:p>
        </w:tc>
      </w:tr>
      <w:tr>
        <w:trPr>
          <w:trHeight w:val="210"/>
        </w:trPr>
        <w:tc>
          <w:tcPr>
            <w:tcW w:w="4040" w:type="dxa"/>
            <w:vAlign w:val="bottom"/>
            <w:shd w:val="clear" w:color="auto" w:fill="CCEEFF"/>
          </w:tcPr>
          <w:p>
            <w:pPr>
              <w:spacing w:after="0"/>
              <w:rPr>
                <w:sz w:val="18"/>
                <w:szCs w:val="18"/>
                <w:color w:val="auto"/>
              </w:rPr>
            </w:pPr>
          </w:p>
        </w:tc>
        <w:tc>
          <w:tcPr>
            <w:tcW w:w="7380" w:type="dxa"/>
            <w:vAlign w:val="bottom"/>
            <w:shd w:val="clear" w:color="auto" w:fill="CCEEFF"/>
          </w:tcPr>
          <w:p>
            <w:pPr>
              <w:spacing w:after="0"/>
              <w:rPr>
                <w:sz w:val="18"/>
                <w:szCs w:val="18"/>
                <w:color w:val="auto"/>
              </w:rPr>
            </w:pPr>
          </w:p>
        </w:tc>
      </w:tr>
      <w:tr>
        <w:trPr>
          <w:trHeight w:val="216"/>
        </w:trPr>
        <w:tc>
          <w:tcPr>
            <w:tcW w:w="40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At 31 December 2013</w:t>
            </w:r>
          </w:p>
        </w:tc>
        <w:tc>
          <w:tcPr>
            <w:tcW w:w="7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504</w:t>
            </w:r>
          </w:p>
        </w:tc>
      </w:tr>
      <w:tr>
        <w:trPr>
          <w:trHeight w:val="21"/>
        </w:trPr>
        <w:tc>
          <w:tcPr>
            <w:tcW w:w="4040" w:type="dxa"/>
            <w:vAlign w:val="bottom"/>
            <w:tcBorders>
              <w:bottom w:val="single" w:sz="8" w:color="auto"/>
            </w:tcBorders>
          </w:tcPr>
          <w:p>
            <w:pPr>
              <w:spacing w:after="0" w:line="20" w:lineRule="exact"/>
              <w:rPr>
                <w:sz w:val="1"/>
                <w:szCs w:val="1"/>
                <w:color w:val="auto"/>
              </w:rPr>
            </w:pPr>
          </w:p>
        </w:tc>
        <w:tc>
          <w:tcPr>
            <w:tcW w:w="7380" w:type="dxa"/>
            <w:vAlign w:val="bottom"/>
            <w:tcBorders>
              <w:bottom w:val="single" w:sz="8" w:color="auto"/>
            </w:tcBorders>
          </w:tcPr>
          <w:p>
            <w:pPr>
              <w:spacing w:after="0" w:line="20" w:lineRule="exact"/>
              <w:rPr>
                <w:sz w:val="1"/>
                <w:szCs w:val="1"/>
                <w:color w:val="auto"/>
              </w:rPr>
            </w:pPr>
          </w:p>
        </w:tc>
      </w:tr>
      <w:tr>
        <w:trPr>
          <w:trHeight w:val="574"/>
        </w:trPr>
        <w:tc>
          <w:tcPr>
            <w:tcW w:w="4040" w:type="dxa"/>
            <w:vAlign w:val="bottom"/>
          </w:tcPr>
          <w:p>
            <w:pPr>
              <w:spacing w:after="0"/>
              <w:rPr>
                <w:sz w:val="24"/>
                <w:szCs w:val="24"/>
                <w:color w:val="auto"/>
              </w:rPr>
            </w:pPr>
          </w:p>
        </w:tc>
        <w:tc>
          <w:tcPr>
            <w:tcW w:w="7380" w:type="dxa"/>
            <w:vAlign w:val="bottom"/>
          </w:tcPr>
          <w:p>
            <w:pPr>
              <w:jc w:val="right"/>
              <w:ind w:right="5530"/>
              <w:spacing w:after="0"/>
              <w:rPr>
                <w:sz w:val="20"/>
                <w:szCs w:val="20"/>
                <w:color w:val="auto"/>
              </w:rPr>
            </w:pPr>
            <w:r>
              <w:rPr>
                <w:rFonts w:ascii="Arial" w:cs="Arial" w:eastAsia="Arial" w:hAnsi="Arial"/>
                <w:sz w:val="18"/>
                <w:szCs w:val="18"/>
                <w:color w:val="auto"/>
              </w:rPr>
              <w:t>23</w:t>
            </w:r>
          </w:p>
        </w:tc>
      </w:tr>
      <w:tr>
        <w:trPr>
          <w:trHeight w:val="118"/>
        </w:trPr>
        <w:tc>
          <w:tcPr>
            <w:tcW w:w="4040" w:type="dxa"/>
            <w:vAlign w:val="bottom"/>
            <w:tcBorders>
              <w:bottom w:val="single" w:sz="8" w:color="808080"/>
            </w:tcBorders>
          </w:tcPr>
          <w:p>
            <w:pPr>
              <w:spacing w:after="0"/>
              <w:rPr>
                <w:sz w:val="10"/>
                <w:szCs w:val="10"/>
                <w:color w:val="auto"/>
              </w:rPr>
            </w:pPr>
          </w:p>
        </w:tc>
        <w:tc>
          <w:tcPr>
            <w:tcW w:w="73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28" w:name="page29"/>
    <w:bookmarkEnd w:id="28"/>
    <w:p>
      <w:pPr>
        <w:spacing w:after="0"/>
        <w:rPr>
          <w:sz w:val="20"/>
          <w:szCs w:val="20"/>
          <w:color w:val="auto"/>
        </w:rPr>
      </w:pPr>
      <w:r>
        <w:rPr>
          <w:rFonts w:ascii="Arial" w:cs="Arial" w:eastAsia="Arial" w:hAnsi="Arial"/>
          <w:sz w:val="29"/>
          <w:szCs w:val="29"/>
          <w:color w:val="auto"/>
        </w:rPr>
        <w:t>ICON Plc</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Notes (continued)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Arial" w:cs="Arial" w:eastAsia="Arial" w:hAnsi="Arial"/>
                <w:sz w:val="18"/>
                <w:szCs w:val="18"/>
                <w:b w:val="1"/>
                <w:bCs w:val="1"/>
                <w:color w:val="auto"/>
              </w:rPr>
              <w:t>11.  Investment in subsidiaries</w:t>
            </w:r>
          </w:p>
        </w:tc>
        <w:tc>
          <w:tcPr>
            <w:tcW w:w="28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9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600" w:type="dxa"/>
            <w:vAlign w:val="bottom"/>
          </w:tcPr>
          <w:p>
            <w:pPr>
              <w:jc w:val="right"/>
              <w:ind w:right="330"/>
              <w:spacing w:after="0"/>
              <w:rPr>
                <w:sz w:val="20"/>
                <w:szCs w:val="20"/>
                <w:color w:val="auto"/>
              </w:rPr>
            </w:pPr>
            <w:r>
              <w:rPr>
                <w:rFonts w:ascii="Arial" w:cs="Arial" w:eastAsia="Arial" w:hAnsi="Arial"/>
                <w:sz w:val="18"/>
                <w:szCs w:val="18"/>
                <w:b w:val="1"/>
                <w:bCs w:val="1"/>
                <w:color w:val="auto"/>
              </w:rPr>
              <w:t>Long Term</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2840" w:type="dxa"/>
            <w:vAlign w:val="bottom"/>
          </w:tcPr>
          <w:p>
            <w:pPr>
              <w:jc w:val="right"/>
              <w:ind w:right="90"/>
              <w:spacing w:after="0"/>
              <w:rPr>
                <w:sz w:val="20"/>
                <w:szCs w:val="20"/>
                <w:color w:val="auto"/>
              </w:rPr>
            </w:pPr>
            <w:r>
              <w:rPr>
                <w:rFonts w:ascii="Arial" w:cs="Arial" w:eastAsia="Arial" w:hAnsi="Arial"/>
                <w:sz w:val="18"/>
                <w:szCs w:val="18"/>
                <w:b w:val="1"/>
                <w:bCs w:val="1"/>
                <w:color w:val="auto"/>
              </w:rPr>
              <w:t>Investment in</w:t>
            </w:r>
          </w:p>
        </w:tc>
        <w:tc>
          <w:tcPr>
            <w:tcW w:w="1600" w:type="dxa"/>
            <w:vAlign w:val="bottom"/>
          </w:tcPr>
          <w:p>
            <w:pPr>
              <w:jc w:val="right"/>
              <w:ind w:right="330"/>
              <w:spacing w:after="0"/>
              <w:rPr>
                <w:sz w:val="20"/>
                <w:szCs w:val="20"/>
                <w:color w:val="auto"/>
              </w:rPr>
            </w:pPr>
            <w:r>
              <w:rPr>
                <w:rFonts w:ascii="Arial" w:cs="Arial" w:eastAsia="Arial" w:hAnsi="Arial"/>
                <w:sz w:val="18"/>
                <w:szCs w:val="18"/>
                <w:b w:val="1"/>
                <w:bCs w:val="1"/>
                <w:color w:val="auto"/>
              </w:rPr>
              <w:t>Advances to</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2840" w:type="dxa"/>
            <w:vAlign w:val="bottom"/>
          </w:tcPr>
          <w:p>
            <w:pPr>
              <w:jc w:val="right"/>
              <w:ind w:right="90"/>
              <w:spacing w:after="0"/>
              <w:rPr>
                <w:sz w:val="20"/>
                <w:szCs w:val="20"/>
                <w:color w:val="auto"/>
              </w:rPr>
            </w:pPr>
            <w:r>
              <w:rPr>
                <w:rFonts w:ascii="Arial" w:cs="Arial" w:eastAsia="Arial" w:hAnsi="Arial"/>
                <w:sz w:val="18"/>
                <w:szCs w:val="18"/>
                <w:b w:val="1"/>
                <w:bCs w:val="1"/>
                <w:color w:val="auto"/>
              </w:rPr>
              <w:t>Subsidiary</w:t>
            </w:r>
          </w:p>
        </w:tc>
        <w:tc>
          <w:tcPr>
            <w:tcW w:w="1600" w:type="dxa"/>
            <w:vAlign w:val="bottom"/>
          </w:tcPr>
          <w:p>
            <w:pPr>
              <w:jc w:val="right"/>
              <w:ind w:right="330"/>
              <w:spacing w:after="0"/>
              <w:rPr>
                <w:sz w:val="20"/>
                <w:szCs w:val="20"/>
                <w:color w:val="auto"/>
              </w:rPr>
            </w:pPr>
            <w:r>
              <w:rPr>
                <w:rFonts w:ascii="Arial" w:cs="Arial" w:eastAsia="Arial" w:hAnsi="Arial"/>
                <w:sz w:val="18"/>
                <w:szCs w:val="18"/>
                <w:b w:val="1"/>
                <w:bCs w:val="1"/>
                <w:color w:val="auto"/>
              </w:rPr>
              <w:t>Subsidiary</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2840" w:type="dxa"/>
            <w:vAlign w:val="bottom"/>
          </w:tcPr>
          <w:p>
            <w:pPr>
              <w:jc w:val="right"/>
              <w:ind w:right="90"/>
              <w:spacing w:after="0"/>
              <w:rPr>
                <w:sz w:val="20"/>
                <w:szCs w:val="20"/>
                <w:color w:val="auto"/>
              </w:rPr>
            </w:pPr>
            <w:r>
              <w:rPr>
                <w:rFonts w:ascii="Arial" w:cs="Arial" w:eastAsia="Arial" w:hAnsi="Arial"/>
                <w:sz w:val="18"/>
                <w:szCs w:val="18"/>
                <w:b w:val="1"/>
                <w:bCs w:val="1"/>
                <w:color w:val="auto"/>
              </w:rPr>
              <w:t>Undertakings</w:t>
            </w:r>
          </w:p>
        </w:tc>
        <w:tc>
          <w:tcPr>
            <w:tcW w:w="1600" w:type="dxa"/>
            <w:vAlign w:val="bottom"/>
          </w:tcPr>
          <w:p>
            <w:pPr>
              <w:jc w:val="right"/>
              <w:ind w:right="330"/>
              <w:spacing w:after="0"/>
              <w:rPr>
                <w:sz w:val="20"/>
                <w:szCs w:val="20"/>
                <w:color w:val="auto"/>
              </w:rPr>
            </w:pPr>
            <w:r>
              <w:rPr>
                <w:rFonts w:ascii="Arial" w:cs="Arial" w:eastAsia="Arial" w:hAnsi="Arial"/>
                <w:sz w:val="18"/>
                <w:szCs w:val="18"/>
                <w:b w:val="1"/>
                <w:bCs w:val="1"/>
                <w:color w:val="auto"/>
              </w:rPr>
              <w:t>Undertakings</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p>
        </w:tc>
        <w:tc>
          <w:tcPr>
            <w:tcW w:w="2840" w:type="dxa"/>
            <w:vAlign w:val="bottom"/>
          </w:tcPr>
          <w:p>
            <w:pPr>
              <w:jc w:val="right"/>
              <w:ind w:right="90"/>
              <w:spacing w:after="0"/>
              <w:rPr>
                <w:sz w:val="20"/>
                <w:szCs w:val="20"/>
                <w:color w:val="auto"/>
              </w:rPr>
            </w:pPr>
            <w:r>
              <w:rPr>
                <w:rFonts w:ascii="Arial" w:cs="Arial" w:eastAsia="Arial" w:hAnsi="Arial"/>
                <w:sz w:val="18"/>
                <w:szCs w:val="18"/>
                <w:b w:val="1"/>
                <w:bCs w:val="1"/>
                <w:color w:val="auto"/>
              </w:rPr>
              <w:t>$’000</w:t>
            </w:r>
          </w:p>
        </w:tc>
        <w:tc>
          <w:tcPr>
            <w:tcW w:w="1600" w:type="dxa"/>
            <w:vAlign w:val="bottom"/>
          </w:tcPr>
          <w:p>
            <w:pPr>
              <w:jc w:val="right"/>
              <w:ind w:right="330"/>
              <w:spacing w:after="0"/>
              <w:rPr>
                <w:sz w:val="20"/>
                <w:szCs w:val="20"/>
                <w:color w:val="auto"/>
              </w:rPr>
            </w:pPr>
            <w:r>
              <w:rPr>
                <w:rFonts w:ascii="Arial" w:cs="Arial" w:eastAsia="Arial" w:hAnsi="Arial"/>
                <w:sz w:val="18"/>
                <w:szCs w:val="18"/>
                <w:b w:val="1"/>
                <w:bCs w:val="1"/>
                <w:color w:val="auto"/>
              </w:rPr>
              <w:t>$’000</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432"/>
        </w:trPr>
        <w:tc>
          <w:tcPr>
            <w:tcW w:w="5940" w:type="dxa"/>
            <w:vAlign w:val="bottom"/>
          </w:tcPr>
          <w:p>
            <w:pPr>
              <w:ind w:left="360"/>
              <w:spacing w:after="0"/>
              <w:rPr>
                <w:sz w:val="20"/>
                <w:szCs w:val="20"/>
                <w:color w:val="auto"/>
              </w:rPr>
            </w:pPr>
            <w:r>
              <w:rPr>
                <w:rFonts w:ascii="Arial" w:cs="Arial" w:eastAsia="Arial" w:hAnsi="Arial"/>
                <w:sz w:val="18"/>
                <w:szCs w:val="18"/>
                <w:b w:val="1"/>
                <w:bCs w:val="1"/>
                <w:color w:val="auto"/>
              </w:rPr>
              <w:t>Cost:</w:t>
            </w:r>
          </w:p>
        </w:tc>
        <w:tc>
          <w:tcPr>
            <w:tcW w:w="28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At 1 January 2015</w:t>
            </w:r>
          </w:p>
        </w:tc>
        <w:tc>
          <w:tcPr>
            <w:tcW w:w="28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436,030</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32,094</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468,124</w:t>
            </w:r>
          </w:p>
        </w:tc>
        <w:tc>
          <w:tcPr>
            <w:tcW w:w="0" w:type="dxa"/>
            <w:vAlign w:val="bottom"/>
          </w:tcPr>
          <w:p>
            <w:pPr>
              <w:spacing w:after="0"/>
              <w:rPr>
                <w:sz w:val="1"/>
                <w:szCs w:val="1"/>
                <w:color w:val="auto"/>
              </w:rPr>
            </w:pPr>
          </w:p>
        </w:tc>
      </w:tr>
      <w:tr>
        <w:trPr>
          <w:trHeight w:val="216"/>
        </w:trPr>
        <w:tc>
          <w:tcPr>
            <w:tcW w:w="5940" w:type="dxa"/>
            <w:vAlign w:val="bottom"/>
          </w:tcPr>
          <w:p>
            <w:pPr>
              <w:ind w:left="360"/>
              <w:spacing w:after="0"/>
              <w:rPr>
                <w:sz w:val="20"/>
                <w:szCs w:val="20"/>
                <w:color w:val="auto"/>
              </w:rPr>
            </w:pPr>
            <w:r>
              <w:rPr>
                <w:rFonts w:ascii="Arial" w:cs="Arial" w:eastAsia="Arial" w:hAnsi="Arial"/>
                <w:sz w:val="18"/>
                <w:szCs w:val="18"/>
                <w:color w:val="auto"/>
              </w:rPr>
              <w:t>Share based payments</w:t>
            </w:r>
          </w:p>
        </w:tc>
        <w:tc>
          <w:tcPr>
            <w:tcW w:w="2840" w:type="dxa"/>
            <w:vAlign w:val="bottom"/>
          </w:tcPr>
          <w:p>
            <w:pPr>
              <w:jc w:val="right"/>
              <w:ind w:right="90"/>
              <w:spacing w:after="0"/>
              <w:rPr>
                <w:sz w:val="20"/>
                <w:szCs w:val="20"/>
                <w:color w:val="auto"/>
              </w:rPr>
            </w:pPr>
            <w:r>
              <w:rPr>
                <w:rFonts w:ascii="Arial" w:cs="Arial" w:eastAsia="Arial" w:hAnsi="Arial"/>
                <w:sz w:val="18"/>
                <w:szCs w:val="18"/>
                <w:b w:val="1"/>
                <w:bCs w:val="1"/>
                <w:color w:val="auto"/>
              </w:rPr>
              <w:t>17,318</w:t>
            </w:r>
          </w:p>
        </w:tc>
        <w:tc>
          <w:tcPr>
            <w:tcW w:w="160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17,318</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subscription payment from subsidiary companies</w:t>
            </w:r>
          </w:p>
        </w:tc>
        <w:tc>
          <w:tcPr>
            <w:tcW w:w="28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(41,501)</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(41,501)</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Foreign exchange movement</w:t>
            </w:r>
          </w:p>
        </w:tc>
        <w:tc>
          <w:tcPr>
            <w:tcW w:w="2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(40,277)</w:t>
            </w:r>
          </w:p>
        </w:tc>
        <w:tc>
          <w:tcPr>
            <w:tcW w:w="16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(2,927)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(43,204)</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At 31 July 2015</w:t>
            </w:r>
          </w:p>
        </w:tc>
        <w:tc>
          <w:tcPr>
            <w:tcW w:w="2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371,570</w:t>
            </w:r>
          </w:p>
        </w:tc>
        <w:tc>
          <w:tcPr>
            <w:tcW w:w="16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29,167</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400,737</w:t>
            </w:r>
          </w:p>
        </w:tc>
        <w:tc>
          <w:tcPr>
            <w:tcW w:w="0" w:type="dxa"/>
            <w:vAlign w:val="bottom"/>
          </w:tcPr>
          <w:p>
            <w:pPr>
              <w:spacing w:after="0"/>
              <w:rPr>
                <w:sz w:val="1"/>
                <w:szCs w:val="1"/>
                <w:color w:val="auto"/>
              </w:rPr>
            </w:pPr>
          </w:p>
        </w:tc>
      </w:tr>
      <w:tr>
        <w:trPr>
          <w:trHeight w:val="21"/>
        </w:trPr>
        <w:tc>
          <w:tcPr>
            <w:tcW w:w="594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59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Long Term</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2840" w:type="dxa"/>
            <w:vAlign w:val="bottom"/>
          </w:tcPr>
          <w:p>
            <w:pPr>
              <w:jc w:val="right"/>
              <w:ind w:right="90"/>
              <w:spacing w:after="0"/>
              <w:rPr>
                <w:sz w:val="20"/>
                <w:szCs w:val="20"/>
                <w:color w:val="auto"/>
              </w:rPr>
            </w:pPr>
            <w:r>
              <w:rPr>
                <w:rFonts w:ascii="Arial" w:cs="Arial" w:eastAsia="Arial" w:hAnsi="Arial"/>
                <w:sz w:val="18"/>
                <w:szCs w:val="18"/>
                <w:color w:val="auto"/>
              </w:rPr>
              <w:t>Investment in</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Advances to</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2840" w:type="dxa"/>
            <w:vAlign w:val="bottom"/>
          </w:tcPr>
          <w:p>
            <w:pPr>
              <w:jc w:val="right"/>
              <w:ind w:right="90"/>
              <w:spacing w:after="0"/>
              <w:rPr>
                <w:sz w:val="20"/>
                <w:szCs w:val="20"/>
                <w:color w:val="auto"/>
              </w:rPr>
            </w:pPr>
            <w:r>
              <w:rPr>
                <w:rFonts w:ascii="Arial" w:cs="Arial" w:eastAsia="Arial" w:hAnsi="Arial"/>
                <w:sz w:val="18"/>
                <w:szCs w:val="18"/>
                <w:color w:val="auto"/>
              </w:rPr>
              <w:t>Subsidiary</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Subsidiary</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2840" w:type="dxa"/>
            <w:vAlign w:val="bottom"/>
          </w:tcPr>
          <w:p>
            <w:pPr>
              <w:jc w:val="right"/>
              <w:ind w:right="90"/>
              <w:spacing w:after="0"/>
              <w:rPr>
                <w:sz w:val="20"/>
                <w:szCs w:val="20"/>
                <w:color w:val="auto"/>
              </w:rPr>
            </w:pPr>
            <w:r>
              <w:rPr>
                <w:rFonts w:ascii="Arial" w:cs="Arial" w:eastAsia="Arial" w:hAnsi="Arial"/>
                <w:sz w:val="18"/>
                <w:szCs w:val="18"/>
                <w:color w:val="auto"/>
              </w:rPr>
              <w:t>Undertakings</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Undertakings</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594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Cost:</w:t>
            </w:r>
          </w:p>
        </w:tc>
        <w:tc>
          <w:tcPr>
            <w:tcW w:w="2840" w:type="dxa"/>
            <w:vAlign w:val="bottom"/>
          </w:tcPr>
          <w:p>
            <w:pPr>
              <w:jc w:val="right"/>
              <w:ind w:right="90"/>
              <w:spacing w:after="0"/>
              <w:rPr>
                <w:sz w:val="20"/>
                <w:szCs w:val="20"/>
                <w:color w:val="auto"/>
              </w:rPr>
            </w:pPr>
            <w:r>
              <w:rPr>
                <w:rFonts w:ascii="Arial" w:cs="Arial" w:eastAsia="Arial" w:hAnsi="Arial"/>
                <w:sz w:val="18"/>
                <w:szCs w:val="18"/>
                <w:color w:val="auto"/>
              </w:rPr>
              <w:t>$’000</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$’000</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940" w:type="dxa"/>
            <w:vAlign w:val="bottom"/>
            <w:vMerge w:val="continue"/>
          </w:tcPr>
          <w:p>
            <w:pPr>
              <w:spacing w:after="0"/>
              <w:rPr>
                <w:sz w:val="18"/>
                <w:szCs w:val="18"/>
                <w:color w:val="auto"/>
              </w:rPr>
            </w:pPr>
          </w:p>
        </w:tc>
        <w:tc>
          <w:tcPr>
            <w:tcW w:w="28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At 1 January 2014</w:t>
            </w:r>
          </w:p>
        </w:tc>
        <w:tc>
          <w:tcPr>
            <w:tcW w:w="2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488,337</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36,473</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524,810</w:t>
            </w:r>
          </w:p>
        </w:tc>
        <w:tc>
          <w:tcPr>
            <w:tcW w:w="0" w:type="dxa"/>
            <w:vAlign w:val="bottom"/>
          </w:tcPr>
          <w:p>
            <w:pPr>
              <w:spacing w:after="0"/>
              <w:rPr>
                <w:sz w:val="1"/>
                <w:szCs w:val="1"/>
                <w:color w:val="auto"/>
              </w:rPr>
            </w:pPr>
          </w:p>
        </w:tc>
      </w:tr>
      <w:tr>
        <w:trPr>
          <w:trHeight w:val="216"/>
        </w:trPr>
        <w:tc>
          <w:tcPr>
            <w:tcW w:w="5940" w:type="dxa"/>
            <w:vAlign w:val="bottom"/>
          </w:tcPr>
          <w:p>
            <w:pPr>
              <w:ind w:left="360"/>
              <w:spacing w:after="0"/>
              <w:rPr>
                <w:sz w:val="20"/>
                <w:szCs w:val="20"/>
                <w:color w:val="auto"/>
              </w:rPr>
            </w:pPr>
            <w:r>
              <w:rPr>
                <w:rFonts w:ascii="Arial" w:cs="Arial" w:eastAsia="Arial" w:hAnsi="Arial"/>
                <w:sz w:val="18"/>
                <w:szCs w:val="18"/>
                <w:color w:val="auto"/>
              </w:rPr>
              <w:t>Additions (2)</w:t>
            </w:r>
          </w:p>
        </w:tc>
        <w:tc>
          <w:tcPr>
            <w:tcW w:w="2840" w:type="dxa"/>
            <w:vAlign w:val="bottom"/>
          </w:tcPr>
          <w:p>
            <w:pPr>
              <w:jc w:val="right"/>
              <w:ind w:right="90"/>
              <w:spacing w:after="0"/>
              <w:rPr>
                <w:sz w:val="20"/>
                <w:szCs w:val="20"/>
                <w:color w:val="auto"/>
              </w:rPr>
            </w:pPr>
            <w:r>
              <w:rPr>
                <w:rFonts w:ascii="Arial" w:cs="Arial" w:eastAsia="Arial" w:hAnsi="Arial"/>
                <w:sz w:val="18"/>
                <w:szCs w:val="18"/>
                <w:color w:val="auto"/>
              </w:rPr>
              <w:t>13,283</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13,283</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based payments</w:t>
            </w:r>
          </w:p>
        </w:tc>
        <w:tc>
          <w:tcPr>
            <w:tcW w:w="2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15,160</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15,160</w:t>
            </w:r>
          </w:p>
        </w:tc>
        <w:tc>
          <w:tcPr>
            <w:tcW w:w="0" w:type="dxa"/>
            <w:vAlign w:val="bottom"/>
          </w:tcPr>
          <w:p>
            <w:pPr>
              <w:spacing w:after="0"/>
              <w:rPr>
                <w:sz w:val="1"/>
                <w:szCs w:val="1"/>
                <w:color w:val="auto"/>
              </w:rPr>
            </w:pPr>
          </w:p>
        </w:tc>
      </w:tr>
      <w:tr>
        <w:trPr>
          <w:trHeight w:val="216"/>
        </w:trPr>
        <w:tc>
          <w:tcPr>
            <w:tcW w:w="5940" w:type="dxa"/>
            <w:vAlign w:val="bottom"/>
          </w:tcPr>
          <w:p>
            <w:pPr>
              <w:ind w:left="360"/>
              <w:spacing w:after="0"/>
              <w:rPr>
                <w:sz w:val="20"/>
                <w:szCs w:val="20"/>
                <w:color w:val="auto"/>
              </w:rPr>
            </w:pPr>
            <w:r>
              <w:rPr>
                <w:rFonts w:ascii="Arial" w:cs="Arial" w:eastAsia="Arial" w:hAnsi="Arial"/>
                <w:sz w:val="18"/>
                <w:szCs w:val="18"/>
                <w:color w:val="auto"/>
              </w:rPr>
              <w:t>Share subscription payment from subsidiary companies</w:t>
            </w:r>
          </w:p>
        </w:tc>
        <w:tc>
          <w:tcPr>
            <w:tcW w:w="2840" w:type="dxa"/>
            <w:vAlign w:val="bottom"/>
          </w:tcPr>
          <w:p>
            <w:pPr>
              <w:jc w:val="right"/>
              <w:ind w:right="30"/>
              <w:spacing w:after="0"/>
              <w:rPr>
                <w:sz w:val="20"/>
                <w:szCs w:val="20"/>
                <w:color w:val="auto"/>
              </w:rPr>
            </w:pPr>
            <w:r>
              <w:rPr>
                <w:rFonts w:ascii="Arial" w:cs="Arial" w:eastAsia="Arial" w:hAnsi="Arial"/>
                <w:sz w:val="18"/>
                <w:szCs w:val="18"/>
                <w:color w:val="auto"/>
              </w:rPr>
              <w:t>(20,497)</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(20,497)</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exchange movement</w:t>
            </w:r>
          </w:p>
        </w:tc>
        <w:tc>
          <w:tcPr>
            <w:tcW w:w="2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(60,253)</w:t>
            </w:r>
          </w:p>
        </w:tc>
        <w:tc>
          <w:tcPr>
            <w:tcW w:w="16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(4,379)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(64,632)</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At 31 December 2014</w:t>
            </w:r>
          </w:p>
        </w:tc>
        <w:tc>
          <w:tcPr>
            <w:tcW w:w="2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436,030</w:t>
            </w:r>
          </w:p>
        </w:tc>
        <w:tc>
          <w:tcPr>
            <w:tcW w:w="16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32,094</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468,124</w:t>
            </w:r>
          </w:p>
        </w:tc>
        <w:tc>
          <w:tcPr>
            <w:tcW w:w="0" w:type="dxa"/>
            <w:vAlign w:val="bottom"/>
          </w:tcPr>
          <w:p>
            <w:pPr>
              <w:spacing w:after="0"/>
              <w:rPr>
                <w:sz w:val="1"/>
                <w:szCs w:val="1"/>
                <w:color w:val="auto"/>
              </w:rPr>
            </w:pPr>
          </w:p>
        </w:tc>
      </w:tr>
      <w:tr>
        <w:trPr>
          <w:trHeight w:val="21"/>
        </w:trPr>
        <w:tc>
          <w:tcPr>
            <w:tcW w:w="594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360" w:hanging="281"/>
        <w:spacing w:after="0" w:line="264" w:lineRule="auto"/>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30 July 2015 the Company sold a 13% shareholding in its subsidiary ICON Clinical Research Limited to ICON Investments Four, a fellow Group company, for total proceeds of $350 million. This subsidiary had a $nil original cost and therefore the part disposal resulted in a profit on disposal of $350 million which has been recorded in the income statement during the period ended 31 July 2015.</w:t>
      </w:r>
    </w:p>
    <w:p>
      <w:pPr>
        <w:spacing w:after="0" w:line="208" w:lineRule="exact"/>
        <w:rPr>
          <w:rFonts w:ascii="Arial" w:cs="Arial" w:eastAsia="Arial" w:hAnsi="Arial"/>
          <w:sz w:val="18"/>
          <w:szCs w:val="18"/>
          <w:color w:val="auto"/>
        </w:rPr>
      </w:pPr>
    </w:p>
    <w:p>
      <w:pPr>
        <w:ind w:left="360" w:hanging="281"/>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December 2014 the Company made a capital contribution of $13.3 million to its subsidiary ICON Medical Imaging AG.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29" w:name="page30"/>
    <w:bookmarkEnd w:id="29"/>
    <w:p>
      <w:pPr>
        <w:spacing w:after="0"/>
        <w:rPr>
          <w:sz w:val="20"/>
          <w:szCs w:val="20"/>
          <w:color w:val="auto"/>
        </w:rPr>
      </w:pPr>
      <w:r>
        <w:rPr>
          <w:rFonts w:ascii="Arial" w:cs="Arial" w:eastAsia="Arial" w:hAnsi="Arial"/>
          <w:sz w:val="29"/>
          <w:szCs w:val="29"/>
          <w:color w:val="auto"/>
        </w:rPr>
        <w:t>ICON Plc</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Notes (continued)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12.  Other current assets</w:t>
            </w:r>
          </w:p>
        </w:tc>
        <w:tc>
          <w:tcPr>
            <w:tcW w:w="4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4200" w:type="dxa"/>
            <w:vAlign w:val="bottom"/>
          </w:tcPr>
          <w:p>
            <w:pPr>
              <w:jc w:val="right"/>
              <w:ind w:right="210"/>
              <w:spacing w:after="0"/>
              <w:rPr>
                <w:sz w:val="20"/>
                <w:szCs w:val="20"/>
                <w:color w:val="auto"/>
              </w:rPr>
            </w:pPr>
            <w:r>
              <w:rPr>
                <w:rFonts w:ascii="Arial" w:cs="Arial" w:eastAsia="Arial" w:hAnsi="Arial"/>
                <w:sz w:val="18"/>
                <w:szCs w:val="18"/>
                <w:b w:val="1"/>
                <w:bCs w:val="1"/>
                <w:color w:val="auto"/>
              </w:rPr>
              <w:t>31 July</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42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2015</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4200" w:type="dxa"/>
            <w:vAlign w:val="bottom"/>
          </w:tcPr>
          <w:p>
            <w:pPr>
              <w:jc w:val="right"/>
              <w:ind w:right="210"/>
              <w:spacing w:after="0"/>
              <w:rPr>
                <w:sz w:val="20"/>
                <w:szCs w:val="20"/>
                <w:color w:val="auto"/>
              </w:rPr>
            </w:pPr>
            <w:r>
              <w:rPr>
                <w:rFonts w:ascii="Arial" w:cs="Arial" w:eastAsia="Arial" w:hAnsi="Arial"/>
                <w:sz w:val="18"/>
                <w:szCs w:val="18"/>
                <w:b w:val="1"/>
                <w:bCs w:val="1"/>
                <w:color w:val="auto"/>
              </w:rPr>
              <w:t>$’000</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Prepayments</w:t>
            </w:r>
          </w:p>
        </w:tc>
        <w:tc>
          <w:tcPr>
            <w:tcW w:w="42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1,269</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receivables</w:t>
            </w:r>
          </w:p>
        </w:tc>
        <w:tc>
          <w:tcPr>
            <w:tcW w:w="42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2,409</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42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3,678</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20" w:type="dxa"/>
            <w:vAlign w:val="bottom"/>
            <w:tcBorders>
              <w:bottom w:val="single" w:sz="8" w:color="auto"/>
            </w:tcBorders>
          </w:tcPr>
          <w:p>
            <w:pPr>
              <w:spacing w:after="0" w:line="20" w:lineRule="exact"/>
              <w:rPr>
                <w:sz w:val="1"/>
                <w:szCs w:val="1"/>
                <w:color w:val="auto"/>
              </w:rPr>
            </w:pPr>
          </w:p>
        </w:tc>
        <w:tc>
          <w:tcPr>
            <w:tcW w:w="4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13.  Share capital</w:t>
            </w:r>
          </w:p>
        </w:tc>
        <w:tc>
          <w:tcPr>
            <w:tcW w:w="4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Authorised share capital:</w:t>
            </w:r>
          </w:p>
        </w:tc>
        <w:tc>
          <w:tcPr>
            <w:tcW w:w="55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No. of Ordinary Shares</w:t>
            </w:r>
          </w:p>
        </w:tc>
        <w:tc>
          <w:tcPr>
            <w:tcW w:w="0" w:type="dxa"/>
            <w:vAlign w:val="bottom"/>
          </w:tcPr>
          <w:p>
            <w:pPr>
              <w:spacing w:after="0"/>
              <w:rPr>
                <w:sz w:val="1"/>
                <w:szCs w:val="1"/>
                <w:color w:val="auto"/>
              </w:rPr>
            </w:pPr>
          </w:p>
        </w:tc>
      </w:tr>
      <w:tr>
        <w:trPr>
          <w:trHeight w:val="432"/>
        </w:trPr>
        <w:tc>
          <w:tcPr>
            <w:tcW w:w="5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Ordinary shares of par value €0.06</w:t>
            </w:r>
          </w:p>
        </w:tc>
        <w:tc>
          <w:tcPr>
            <w:tcW w:w="4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20" w:type="dxa"/>
            <w:vAlign w:val="bottom"/>
            <w:tcBorders>
              <w:bottom w:val="single" w:sz="8" w:color="auto"/>
            </w:tcBorders>
          </w:tcPr>
          <w:p>
            <w:pPr>
              <w:spacing w:after="0" w:line="20" w:lineRule="exact"/>
              <w:rPr>
                <w:sz w:val="1"/>
                <w:szCs w:val="1"/>
                <w:color w:val="auto"/>
              </w:rPr>
            </w:pPr>
          </w:p>
        </w:tc>
        <w:tc>
          <w:tcPr>
            <w:tcW w:w="4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780" w:type="dxa"/>
            <w:vAlign w:val="bottom"/>
          </w:tcPr>
          <w:p>
            <w:pPr>
              <w:jc w:val="right"/>
              <w:ind w:right="430"/>
              <w:spacing w:after="0"/>
              <w:rPr>
                <w:sz w:val="20"/>
                <w:szCs w:val="20"/>
                <w:color w:val="auto"/>
              </w:rPr>
            </w:pPr>
            <w:r>
              <w:rPr>
                <w:rFonts w:ascii="Arial" w:cs="Arial" w:eastAsia="Arial" w:hAnsi="Arial"/>
                <w:sz w:val="18"/>
                <w:szCs w:val="18"/>
                <w:b w:val="1"/>
                <w:bCs w:val="1"/>
                <w:color w:val="auto"/>
              </w:rPr>
              <w:t>31 July</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7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2780" w:type="dxa"/>
            <w:vAlign w:val="bottom"/>
          </w:tcPr>
          <w:p>
            <w:pPr>
              <w:jc w:val="right"/>
              <w:ind w:right="430"/>
              <w:spacing w:after="0"/>
              <w:rPr>
                <w:sz w:val="20"/>
                <w:szCs w:val="20"/>
                <w:color w:val="auto"/>
              </w:rPr>
            </w:pPr>
            <w:r>
              <w:rPr>
                <w:rFonts w:ascii="Arial" w:cs="Arial" w:eastAsia="Arial" w:hAnsi="Arial"/>
                <w:sz w:val="18"/>
                <w:szCs w:val="18"/>
                <w:b w:val="1"/>
                <w:bCs w:val="1"/>
                <w:color w:val="auto"/>
              </w:rPr>
              <w:t>$’000</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Allotted, called up and fully paid</w:t>
            </w:r>
          </w:p>
        </w:tc>
        <w:tc>
          <w:tcPr>
            <w:tcW w:w="27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59,869,421 (31 December 2014: 60,106,780) ordinary shares of €0.06 each</w:t>
            </w:r>
          </w:p>
        </w:tc>
        <w:tc>
          <w:tcPr>
            <w:tcW w:w="27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5,008</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0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780" w:type="dxa"/>
            <w:vAlign w:val="bottom"/>
          </w:tcPr>
          <w:p>
            <w:pPr>
              <w:jc w:val="right"/>
              <w:ind w:right="430"/>
              <w:spacing w:after="0"/>
              <w:rPr>
                <w:sz w:val="20"/>
                <w:szCs w:val="20"/>
                <w:color w:val="auto"/>
              </w:rPr>
            </w:pPr>
            <w:r>
              <w:rPr>
                <w:rFonts w:ascii="Arial" w:cs="Arial" w:eastAsia="Arial" w:hAnsi="Arial"/>
                <w:sz w:val="18"/>
                <w:szCs w:val="18"/>
                <w:b w:val="1"/>
                <w:bCs w:val="1"/>
                <w:color w:val="auto"/>
              </w:rPr>
              <w:t>31 July</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18"/>
                <w:szCs w:val="18"/>
                <w:color w:val="auto"/>
              </w:rPr>
            </w:pPr>
          </w:p>
        </w:tc>
        <w:tc>
          <w:tcPr>
            <w:tcW w:w="278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780" w:type="dxa"/>
            <w:vAlign w:val="bottom"/>
          </w:tcPr>
          <w:p>
            <w:pPr>
              <w:jc w:val="right"/>
              <w:ind w:right="430"/>
              <w:spacing w:after="0"/>
              <w:rPr>
                <w:sz w:val="20"/>
                <w:szCs w:val="20"/>
                <w:color w:val="auto"/>
              </w:rPr>
            </w:pPr>
            <w:r>
              <w:rPr>
                <w:rFonts w:ascii="Arial" w:cs="Arial" w:eastAsia="Arial" w:hAnsi="Arial"/>
                <w:sz w:val="18"/>
                <w:szCs w:val="18"/>
                <w:b w:val="1"/>
                <w:bCs w:val="1"/>
                <w:color w:val="auto"/>
              </w:rPr>
              <w:t>$’000</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b w:val="1"/>
                <w:bCs w:val="1"/>
                <w:color w:val="auto"/>
              </w:rPr>
              <w:t>Issued, fully paid share capital</w:t>
            </w:r>
          </w:p>
        </w:tc>
        <w:tc>
          <w:tcPr>
            <w:tcW w:w="2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At beginning of period/year</w:t>
            </w:r>
          </w:p>
        </w:tc>
        <w:tc>
          <w:tcPr>
            <w:tcW w:w="278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5,037</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Exercise of share options</w:t>
            </w:r>
          </w:p>
        </w:tc>
        <w:tc>
          <w:tcPr>
            <w:tcW w:w="2780" w:type="dxa"/>
            <w:vAlign w:val="bottom"/>
          </w:tcPr>
          <w:p>
            <w:pPr>
              <w:jc w:val="right"/>
              <w:ind w:right="430"/>
              <w:spacing w:after="0"/>
              <w:rPr>
                <w:sz w:val="20"/>
                <w:szCs w:val="20"/>
                <w:color w:val="auto"/>
              </w:rPr>
            </w:pPr>
            <w:r>
              <w:rPr>
                <w:rFonts w:ascii="Arial" w:cs="Arial" w:eastAsia="Arial" w:hAnsi="Arial"/>
                <w:sz w:val="18"/>
                <w:szCs w:val="18"/>
                <w:b w:val="1"/>
                <w:bCs w:val="1"/>
                <w:color w:val="auto"/>
              </w:rPr>
              <w:t>29</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Repurchase of ordinary shares</w:t>
            </w:r>
          </w:p>
        </w:tc>
        <w:tc>
          <w:tcPr>
            <w:tcW w:w="27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(58)</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At end of year</w:t>
            </w:r>
          </w:p>
        </w:tc>
        <w:tc>
          <w:tcPr>
            <w:tcW w:w="27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5,008</w:t>
            </w: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5,037</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of Ordinary Shares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will be repaid out of the assets available for distribution among the holders of the ordinary shares of the Company. Holders of ordinary shares have no conversion or redemption rights. On a show of hands, every holder of an ordinary share present in person or proxy at a general meeting of shareholders shall have one vote, for each ordinary share held with no individual having more than one vote.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30" w:name="page31"/>
    <w:bookmarkEnd w:id="30"/>
    <w:p>
      <w:pPr>
        <w:spacing w:after="0"/>
        <w:rPr>
          <w:sz w:val="20"/>
          <w:szCs w:val="20"/>
          <w:color w:val="auto"/>
        </w:rPr>
      </w:pPr>
      <w:r>
        <w:rPr>
          <w:rFonts w:ascii="Arial" w:cs="Arial" w:eastAsia="Arial" w:hAnsi="Arial"/>
          <w:sz w:val="29"/>
          <w:szCs w:val="29"/>
          <w:color w:val="auto"/>
        </w:rPr>
        <w:t>ICON Plc</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Notes (continued)</w:t>
      </w:r>
    </w:p>
    <w:p>
      <w:pPr>
        <w:spacing w:after="0" w:line="236" w:lineRule="exact"/>
        <w:rPr>
          <w:sz w:val="20"/>
          <w:szCs w:val="20"/>
          <w:color w:val="auto"/>
        </w:rPr>
      </w:pPr>
    </w:p>
    <w:p>
      <w:pPr>
        <w:ind w:right="9260" w:firstLine="8"/>
        <w:spacing w:after="0" w:line="534" w:lineRule="auto"/>
        <w:tabs>
          <w:tab w:leader="none" w:pos="27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 (</w:t>
      </w:r>
      <w:r>
        <w:rPr>
          <w:rFonts w:ascii="Arial" w:cs="Arial" w:eastAsia="Arial" w:hAnsi="Arial"/>
          <w:sz w:val="18"/>
          <w:szCs w:val="18"/>
          <w:i w:val="1"/>
          <w:iCs w:val="1"/>
          <w:color w:val="auto"/>
        </w:rPr>
        <w:t>continued)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Share issues</w:t>
      </w:r>
    </w:p>
    <w:p>
      <w:pPr>
        <w:spacing w:after="0" w:line="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During the period ended 31 July 2015, 422,255 share options were exercised by employees for total proceeds of $11.0 million. During the period ended 31 July 2015 222,805 ordinary shares were issued in respect of RSU’s previously awarded by the Company for total proceeds of $15,000.</w:t>
      </w:r>
    </w:p>
    <w:p>
      <w:pPr>
        <w:spacing w:after="0" w:line="17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During the year ended 31 December 2014, 926,407 share options were exercised by employees for total proceeds of $22.3 million. During the year ended 31 December 2014, 233,726 ordinary shares were issued in respect of certain RSU’s previously awarded by the Company for total proceeds of $18,000.</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programme</w:t>
      </w:r>
    </w:p>
    <w:p>
      <w:pPr>
        <w:spacing w:after="0" w:line="252" w:lineRule="exact"/>
        <w:rPr>
          <w:sz w:val="20"/>
          <w:szCs w:val="20"/>
          <w:color w:val="auto"/>
        </w:rPr>
      </w:pPr>
    </w:p>
    <w:p>
      <w:pPr>
        <w:ind w:right="740"/>
        <w:spacing w:after="0" w:line="264" w:lineRule="auto"/>
        <w:rPr>
          <w:sz w:val="20"/>
          <w:szCs w:val="20"/>
          <w:color w:val="auto"/>
        </w:rPr>
      </w:pPr>
      <w:r>
        <w:rPr>
          <w:rFonts w:ascii="Arial" w:cs="Arial" w:eastAsia="Arial" w:hAnsi="Arial"/>
          <w:sz w:val="18"/>
          <w:szCs w:val="18"/>
          <w:color w:val="auto"/>
        </w:rPr>
        <w:t>On 1 May 2015 the Company commenced a buyback program under which the Company could acquire its outstanding ordinary shares (by way of redemption), in accordance with Irish law, the United States securities laws and the Company’s constitutional documents through open market share acquisitions.</w:t>
      </w:r>
    </w:p>
    <w:p>
      <w:pPr>
        <w:spacing w:after="0" w:line="20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buyback program gave a broker authority to acquire the Company’s ordinary shares from time to time on the open market in accordance with agreed terms and limitations up to $60 million. The acquisition of shares pursuant to the buyback program was effected by way of redemption and cancellation of the shares, in accordance with the Constitution of the Company.</w:t>
      </w:r>
    </w:p>
    <w:p>
      <w:pPr>
        <w:spacing w:after="0" w:line="208"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During the interim period ended 31 July 2015, 882,419 ordinary shares were redeemed by the Company under this buyback program for a total consideration of $58.2 million. All ordinary shares that were redeemed under the buyback program were cancelled in accordance with the Constitution of the Company and the nominal value of these shares transferred to a capital redemption reserve fund as required under Irish Company Law.</w:t>
      </w:r>
    </w:p>
    <w:p>
      <w:pPr>
        <w:spacing w:after="0" w:line="193"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On 28 July 2015 the Company announced a further buyback program of up to $400 million under which the Company can acquire its outstanding ordinary shares (by way of redemption), in accordance with Irish law, the United States securities laws and the Company’s constitutional documents through open market share acquisitions. The buyback program gives a broker authority to acquire the Company’s ordinary shares from time to time on the open market in accordance with agreed terms and limitations. The acquisition of shares pursuant to the buyback program will be effected by way of redemption and cancellation of the shares, in accordance with the Constitution of the Company.</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4" w:right="239" w:bottom="1440" w:gutter="0" w:footer="0" w:header="0"/>
        </w:sectPr>
      </w:pPr>
    </w:p>
    <w:bookmarkStart w:id="31" w:name="page32"/>
    <w:bookmarkEnd w:id="31"/>
    <w:p>
      <w:pPr>
        <w:spacing w:after="0"/>
        <w:rPr>
          <w:sz w:val="20"/>
          <w:szCs w:val="20"/>
          <w:color w:val="auto"/>
        </w:rPr>
      </w:pPr>
      <w:r>
        <w:rPr>
          <w:rFonts w:ascii="Arial" w:cs="Arial" w:eastAsia="Arial" w:hAnsi="Arial"/>
          <w:sz w:val="29"/>
          <w:szCs w:val="29"/>
          <w:color w:val="auto"/>
        </w:rPr>
        <w:t>ICON Plc</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Notes (continued)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r>
              <w:rPr>
                <w:rFonts w:ascii="Arial" w:cs="Arial" w:eastAsia="Arial" w:hAnsi="Arial"/>
                <w:sz w:val="18"/>
                <w:szCs w:val="18"/>
                <w:b w:val="1"/>
                <w:bCs w:val="1"/>
                <w:color w:val="auto"/>
              </w:rPr>
              <w:t>14.  Capital and reserves</w:t>
            </w:r>
          </w:p>
        </w:tc>
        <w:tc>
          <w:tcPr>
            <w:tcW w:w="4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6080" w:type="dxa"/>
            <w:vAlign w:val="bottom"/>
          </w:tcPr>
          <w:p>
            <w:pPr>
              <w:spacing w:after="0"/>
              <w:rPr>
                <w:sz w:val="24"/>
                <w:szCs w:val="24"/>
                <w:color w:val="auto"/>
              </w:rPr>
            </w:pPr>
          </w:p>
        </w:tc>
        <w:tc>
          <w:tcPr>
            <w:tcW w:w="416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31 July</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2"/>
        </w:trPr>
        <w:tc>
          <w:tcPr>
            <w:tcW w:w="6080" w:type="dxa"/>
            <w:vAlign w:val="bottom"/>
          </w:tcPr>
          <w:p>
            <w:pPr>
              <w:spacing w:after="0"/>
              <w:rPr>
                <w:sz w:val="18"/>
                <w:szCs w:val="18"/>
                <w:color w:val="auto"/>
              </w:rPr>
            </w:pPr>
          </w:p>
        </w:tc>
        <w:tc>
          <w:tcPr>
            <w:tcW w:w="4160" w:type="dxa"/>
            <w:vAlign w:val="bottom"/>
            <w:vMerge w:val="continue"/>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December</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4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6080" w:type="dxa"/>
            <w:vAlign w:val="bottom"/>
          </w:tcPr>
          <w:p>
            <w:pPr>
              <w:spacing w:after="0"/>
              <w:rPr>
                <w:sz w:val="20"/>
                <w:szCs w:val="20"/>
                <w:color w:val="auto"/>
              </w:rPr>
            </w:pPr>
          </w:p>
        </w:tc>
        <w:tc>
          <w:tcPr>
            <w:tcW w:w="4160" w:type="dxa"/>
            <w:vAlign w:val="bottom"/>
          </w:tcPr>
          <w:p>
            <w:pPr>
              <w:jc w:val="right"/>
              <w:ind w:right="310"/>
              <w:spacing w:after="0"/>
              <w:rPr>
                <w:sz w:val="20"/>
                <w:szCs w:val="20"/>
                <w:color w:val="auto"/>
              </w:rPr>
            </w:pPr>
            <w:r>
              <w:rPr>
                <w:rFonts w:ascii="Arial" w:cs="Arial" w:eastAsia="Arial" w:hAnsi="Arial"/>
                <w:sz w:val="18"/>
                <w:szCs w:val="18"/>
                <w:b w:val="1"/>
                <w:bCs w:val="1"/>
                <w:color w:val="auto"/>
              </w:rPr>
              <w:t>$’000</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Ordinary share capital</w:t>
            </w:r>
          </w:p>
        </w:tc>
        <w:tc>
          <w:tcPr>
            <w:tcW w:w="416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5,008</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5,037</w:t>
            </w: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Share premium</w:t>
            </w:r>
          </w:p>
        </w:tc>
        <w:tc>
          <w:tcPr>
            <w:tcW w:w="4160" w:type="dxa"/>
            <w:vAlign w:val="bottom"/>
          </w:tcPr>
          <w:p>
            <w:pPr>
              <w:jc w:val="right"/>
              <w:ind w:right="310"/>
              <w:spacing w:after="0"/>
              <w:rPr>
                <w:sz w:val="20"/>
                <w:szCs w:val="20"/>
                <w:color w:val="auto"/>
              </w:rPr>
            </w:pPr>
            <w:r>
              <w:rPr>
                <w:rFonts w:ascii="Arial" w:cs="Arial" w:eastAsia="Arial" w:hAnsi="Arial"/>
                <w:sz w:val="18"/>
                <w:szCs w:val="18"/>
                <w:b w:val="1"/>
                <w:bCs w:val="1"/>
                <w:color w:val="auto"/>
              </w:rPr>
              <w:t>232,956</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221,965</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based payment reserve</w:t>
            </w:r>
          </w:p>
        </w:tc>
        <w:tc>
          <w:tcPr>
            <w:tcW w:w="416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65,103</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58,614</w:t>
            </w: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Capital redemption reserve</w:t>
            </w:r>
          </w:p>
        </w:tc>
        <w:tc>
          <w:tcPr>
            <w:tcW w:w="4160" w:type="dxa"/>
            <w:vAlign w:val="bottom"/>
          </w:tcPr>
          <w:p>
            <w:pPr>
              <w:jc w:val="right"/>
              <w:ind w:right="310"/>
              <w:spacing w:after="0"/>
              <w:rPr>
                <w:sz w:val="20"/>
                <w:szCs w:val="20"/>
                <w:color w:val="auto"/>
              </w:rPr>
            </w:pPr>
            <w:r>
              <w:rPr>
                <w:rFonts w:ascii="Arial" w:cs="Arial" w:eastAsia="Arial" w:hAnsi="Arial"/>
                <w:sz w:val="18"/>
                <w:szCs w:val="18"/>
                <w:b w:val="1"/>
                <w:bCs w:val="1"/>
                <w:color w:val="auto"/>
              </w:rPr>
              <w:t>363</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reserves</w:t>
            </w:r>
          </w:p>
        </w:tc>
        <w:tc>
          <w:tcPr>
            <w:tcW w:w="416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6,071</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6,071</w:t>
            </w: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Foreign currency translation reserve</w:t>
            </w:r>
          </w:p>
        </w:tc>
        <w:tc>
          <w:tcPr>
            <w:tcW w:w="4160" w:type="dxa"/>
            <w:vAlign w:val="bottom"/>
          </w:tcPr>
          <w:p>
            <w:pPr>
              <w:jc w:val="right"/>
              <w:ind w:right="250"/>
              <w:spacing w:after="0"/>
              <w:rPr>
                <w:sz w:val="20"/>
                <w:szCs w:val="20"/>
                <w:color w:val="auto"/>
              </w:rPr>
            </w:pPr>
            <w:r>
              <w:rPr>
                <w:rFonts w:ascii="Arial" w:cs="Arial" w:eastAsia="Arial" w:hAnsi="Arial"/>
                <w:sz w:val="18"/>
                <w:szCs w:val="18"/>
                <w:b w:val="1"/>
                <w:bCs w:val="1"/>
                <w:color w:val="auto"/>
              </w:rPr>
              <w:t>(113,576)</w:t>
            </w:r>
          </w:p>
        </w:tc>
        <w:tc>
          <w:tcPr>
            <w:tcW w:w="1180" w:type="dxa"/>
            <w:vAlign w:val="bottom"/>
          </w:tcPr>
          <w:p>
            <w:pPr>
              <w:jc w:val="right"/>
              <w:spacing w:after="0"/>
              <w:rPr>
                <w:sz w:val="20"/>
                <w:szCs w:val="20"/>
                <w:color w:val="auto"/>
              </w:rPr>
            </w:pPr>
            <w:r>
              <w:rPr>
                <w:rFonts w:ascii="Arial" w:cs="Arial" w:eastAsia="Arial" w:hAnsi="Arial"/>
                <w:sz w:val="18"/>
                <w:szCs w:val="18"/>
                <w:color w:val="auto"/>
              </w:rPr>
              <w:t>(59,038)</w:t>
            </w:r>
          </w:p>
        </w:tc>
        <w:tc>
          <w:tcPr>
            <w:tcW w:w="0" w:type="dxa"/>
            <w:vAlign w:val="bottom"/>
          </w:tcPr>
          <w:p>
            <w:pPr>
              <w:spacing w:after="0"/>
              <w:rPr>
                <w:sz w:val="1"/>
                <w:szCs w:val="1"/>
                <w:color w:val="auto"/>
              </w:rPr>
            </w:pPr>
          </w:p>
        </w:tc>
      </w:tr>
      <w:tr>
        <w:trPr>
          <w:trHeight w:val="223"/>
        </w:trPr>
        <w:tc>
          <w:tcPr>
            <w:tcW w:w="60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41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673,013</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368,553</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1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868,938</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601,507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based payment reserve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grant date fair value of share-based awards is calculated using a binomial lattice model and recorded in the Company financial statements over the period the related service is received, as an expense in the income statement in respect of awards to Company employees and as a financial asset in respect of awards to other Group employees, with a corresponding increase in the share-based payments reserve in both cases. On exercise or forfeiture of the award, an amount equal to the grant date fair value is transferred from the share-based payments reserve to retained earnings.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redemption reserve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Capital Redemption Reserve comprises the nominal value of shares repurchased and cancelled by the Group and transferred from share capital to the capital redemption reserve fund, as required under Irish Group Law. During the period ended 31 July 2015, 882,419 (31 December 2014: 2,640,610) ordinary shares were repurchased and cancelled by the Group.</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reserves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2005 the Company recognised a share-based payment charge of $6.1 million, representing the fair value of 576,000 ordinary shares held by Dr. John Climax and Dr. Ronan Lambe, the founding Directors of the Company, which were transferred to Mr. Peter Gray, the then Chief Executive Officer of the Company.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 reserve</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currency reserve comprises all foreign exchange differences arising from the translation of the financial statements of the company and its branches since 1 June 2004, the date of transition to IFRS.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Retained earnings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addition to the profit for the period a credit of $16.4 million (2014: $8.9 million) has been recognised during the year in respect of the grant date fair value of exercised and expired share-based awards transferred from the Share-based payments reserve.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4" w:right="239" w:bottom="1440" w:gutter="0" w:footer="0" w:header="0"/>
        </w:sectPr>
      </w:pPr>
    </w:p>
    <w:bookmarkStart w:id="32" w:name="page33"/>
    <w:bookmarkEnd w:id="32"/>
    <w:p>
      <w:pPr>
        <w:spacing w:after="0"/>
        <w:rPr>
          <w:sz w:val="20"/>
          <w:szCs w:val="20"/>
          <w:color w:val="auto"/>
        </w:rPr>
      </w:pPr>
      <w:r>
        <w:rPr>
          <w:rFonts w:ascii="Arial" w:cs="Arial" w:eastAsia="Arial" w:hAnsi="Arial"/>
          <w:sz w:val="29"/>
          <w:szCs w:val="29"/>
          <w:color w:val="auto"/>
        </w:rPr>
        <w:t>ICON Plc</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Notes (continued)</w:t>
      </w:r>
    </w:p>
    <w:p>
      <w:pPr>
        <w:spacing w:after="0" w:line="236"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parties</w:t>
      </w:r>
    </w:p>
    <w:p>
      <w:pPr>
        <w:spacing w:after="0" w:line="256"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Company entered into the following transactions with subsidiary companies during the period: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3700" w:type="dxa"/>
            <w:vAlign w:val="bottom"/>
          </w:tcPr>
          <w:p>
            <w:pPr>
              <w:jc w:val="right"/>
              <w:ind w:right="270"/>
              <w:spacing w:after="0"/>
              <w:rPr>
                <w:sz w:val="20"/>
                <w:szCs w:val="20"/>
                <w:color w:val="auto"/>
              </w:rPr>
            </w:pPr>
            <w:r>
              <w:rPr>
                <w:rFonts w:ascii="Arial" w:cs="Arial" w:eastAsia="Arial" w:hAnsi="Arial"/>
                <w:sz w:val="18"/>
                <w:szCs w:val="18"/>
                <w:b w:val="1"/>
                <w:bCs w:val="1"/>
                <w:color w:val="auto"/>
              </w:rPr>
              <w:t>Period</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Year</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3700" w:type="dxa"/>
            <w:vAlign w:val="bottom"/>
          </w:tcPr>
          <w:p>
            <w:pPr>
              <w:jc w:val="right"/>
              <w:ind w:right="270"/>
              <w:spacing w:after="0"/>
              <w:rPr>
                <w:sz w:val="20"/>
                <w:szCs w:val="20"/>
                <w:color w:val="auto"/>
              </w:rPr>
            </w:pPr>
            <w:r>
              <w:rPr>
                <w:rFonts w:ascii="Arial" w:cs="Arial" w:eastAsia="Arial" w:hAnsi="Arial"/>
                <w:sz w:val="18"/>
                <w:szCs w:val="18"/>
                <w:b w:val="1"/>
                <w:bCs w:val="1"/>
                <w:color w:val="auto"/>
              </w:rPr>
              <w:t>ended</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ended</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3700" w:type="dxa"/>
            <w:vAlign w:val="bottom"/>
          </w:tcPr>
          <w:p>
            <w:pPr>
              <w:jc w:val="right"/>
              <w:ind w:right="270"/>
              <w:spacing w:after="0"/>
              <w:rPr>
                <w:sz w:val="20"/>
                <w:szCs w:val="20"/>
                <w:color w:val="auto"/>
              </w:rPr>
            </w:pPr>
            <w:r>
              <w:rPr>
                <w:rFonts w:ascii="Arial" w:cs="Arial" w:eastAsia="Arial" w:hAnsi="Arial"/>
                <w:sz w:val="18"/>
                <w:szCs w:val="18"/>
                <w:b w:val="1"/>
                <w:bCs w:val="1"/>
                <w:color w:val="auto"/>
              </w:rPr>
              <w:t>31-Jul</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31-Dec</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37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6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Income Statement:</w:t>
            </w:r>
          </w:p>
        </w:tc>
        <w:tc>
          <w:tcPr>
            <w:tcW w:w="3700" w:type="dxa"/>
            <w:vAlign w:val="bottom"/>
          </w:tcPr>
          <w:p>
            <w:pPr>
              <w:jc w:val="right"/>
              <w:ind w:right="270"/>
              <w:spacing w:after="0"/>
              <w:rPr>
                <w:sz w:val="20"/>
                <w:szCs w:val="20"/>
                <w:color w:val="auto"/>
              </w:rPr>
            </w:pPr>
            <w:r>
              <w:rPr>
                <w:rFonts w:ascii="Arial" w:cs="Arial" w:eastAsia="Arial" w:hAnsi="Arial"/>
                <w:sz w:val="18"/>
                <w:szCs w:val="18"/>
                <w:b w:val="1"/>
                <w:bCs w:val="1"/>
                <w:color w:val="auto"/>
              </w:rPr>
              <w:t>$’000</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6360" w:type="dxa"/>
            <w:vAlign w:val="bottom"/>
            <w:gridSpan w:val="3"/>
            <w:vMerge w:val="continue"/>
          </w:tcPr>
          <w:p>
            <w:pPr>
              <w:spacing w:after="0"/>
              <w:rPr>
                <w:sz w:val="15"/>
                <w:szCs w:val="15"/>
                <w:color w:val="auto"/>
              </w:rPr>
            </w:pPr>
          </w:p>
        </w:tc>
        <w:tc>
          <w:tcPr>
            <w:tcW w:w="3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Management services</w:t>
            </w:r>
          </w:p>
        </w:tc>
        <w:tc>
          <w:tcPr>
            <w:tcW w:w="370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17,842</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35,750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360" w:type="dxa"/>
            <w:vAlign w:val="bottom"/>
            <w:gridSpan w:val="3"/>
          </w:tcPr>
          <w:p>
            <w:pPr>
              <w:spacing w:after="0"/>
              <w:rPr>
                <w:sz w:val="20"/>
                <w:szCs w:val="20"/>
                <w:color w:val="auto"/>
              </w:rPr>
            </w:pPr>
            <w:r>
              <w:rPr>
                <w:rFonts w:ascii="Arial" w:cs="Arial" w:eastAsia="Arial" w:hAnsi="Arial"/>
                <w:sz w:val="18"/>
                <w:szCs w:val="18"/>
                <w:color w:val="auto"/>
              </w:rPr>
              <w:t>Profit on disposal of interest in subsidiaries (1)</w:t>
            </w:r>
          </w:p>
        </w:tc>
        <w:tc>
          <w:tcPr>
            <w:tcW w:w="3700" w:type="dxa"/>
            <w:vAlign w:val="bottom"/>
          </w:tcPr>
          <w:p>
            <w:pPr>
              <w:jc w:val="right"/>
              <w:ind w:right="270"/>
              <w:spacing w:after="0"/>
              <w:rPr>
                <w:sz w:val="20"/>
                <w:szCs w:val="20"/>
                <w:color w:val="auto"/>
              </w:rPr>
            </w:pPr>
            <w:r>
              <w:rPr>
                <w:rFonts w:ascii="Arial" w:cs="Arial" w:eastAsia="Arial" w:hAnsi="Arial"/>
                <w:sz w:val="18"/>
                <w:szCs w:val="18"/>
                <w:b w:val="1"/>
                <w:bCs w:val="1"/>
                <w:color w:val="auto"/>
              </w:rPr>
              <w:t>350,000</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 received from subsidiary undertaking (2)</w:t>
            </w:r>
          </w:p>
        </w:tc>
        <w:tc>
          <w:tcPr>
            <w:tcW w:w="370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141,030</w:t>
            </w:r>
          </w:p>
        </w:tc>
        <w:tc>
          <w:tcPr>
            <w:tcW w:w="0" w:type="dxa"/>
            <w:vAlign w:val="bottom"/>
          </w:tcPr>
          <w:p>
            <w:pPr>
              <w:spacing w:after="0"/>
              <w:rPr>
                <w:sz w:val="1"/>
                <w:szCs w:val="1"/>
                <w:color w:val="auto"/>
              </w:rPr>
            </w:pPr>
          </w:p>
        </w:tc>
      </w:tr>
      <w:tr>
        <w:trPr>
          <w:trHeight w:val="223"/>
        </w:trPr>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72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bottom w:val="single" w:sz="8" w:color="auto"/>
            </w:tcBorders>
          </w:tcPr>
          <w:p>
            <w:pPr>
              <w:spacing w:after="0"/>
              <w:rPr>
                <w:sz w:val="18"/>
                <w:szCs w:val="18"/>
                <w:color w:val="auto"/>
              </w:rPr>
            </w:pPr>
          </w:p>
        </w:tc>
        <w:tc>
          <w:tcPr>
            <w:tcW w:w="63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Total</w:t>
            </w:r>
          </w:p>
        </w:tc>
        <w:tc>
          <w:tcPr>
            <w:tcW w:w="37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367,842</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176,780</w:t>
            </w:r>
          </w:p>
        </w:tc>
        <w:tc>
          <w:tcPr>
            <w:tcW w:w="0" w:type="dxa"/>
            <w:vAlign w:val="bottom"/>
          </w:tcPr>
          <w:p>
            <w:pPr>
              <w:spacing w:after="0"/>
              <w:rPr>
                <w:sz w:val="1"/>
                <w:szCs w:val="1"/>
                <w:color w:val="auto"/>
              </w:rPr>
            </w:pPr>
          </w:p>
        </w:tc>
      </w:tr>
      <w:tr>
        <w:trPr>
          <w:trHeight w:val="21"/>
        </w:trPr>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72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636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Cash Flow Statement</w:t>
            </w:r>
          </w:p>
        </w:tc>
        <w:tc>
          <w:tcPr>
            <w:tcW w:w="3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intercompany debtors and investments</w:t>
            </w:r>
          </w:p>
        </w:tc>
        <w:tc>
          <w:tcPr>
            <w:tcW w:w="37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(216,543)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(10,667)</w:t>
            </w:r>
          </w:p>
        </w:tc>
        <w:tc>
          <w:tcPr>
            <w:tcW w:w="0" w:type="dxa"/>
            <w:vAlign w:val="bottom"/>
          </w:tcPr>
          <w:p>
            <w:pPr>
              <w:spacing w:after="0"/>
              <w:rPr>
                <w:sz w:val="1"/>
                <w:szCs w:val="1"/>
                <w:color w:val="auto"/>
              </w:rPr>
            </w:pPr>
          </w:p>
        </w:tc>
      </w:tr>
      <w:tr>
        <w:trPr>
          <w:trHeight w:val="223"/>
        </w:trPr>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72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bottom w:val="single" w:sz="8" w:color="auto"/>
            </w:tcBorders>
          </w:tcPr>
          <w:p>
            <w:pPr>
              <w:spacing w:after="0"/>
              <w:rPr>
                <w:sz w:val="18"/>
                <w:szCs w:val="18"/>
                <w:color w:val="auto"/>
              </w:rPr>
            </w:pPr>
          </w:p>
        </w:tc>
        <w:tc>
          <w:tcPr>
            <w:tcW w:w="63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Total</w:t>
            </w:r>
          </w:p>
        </w:tc>
        <w:tc>
          <w:tcPr>
            <w:tcW w:w="3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(216,543)</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(10,667)</w:t>
            </w:r>
          </w:p>
        </w:tc>
        <w:tc>
          <w:tcPr>
            <w:tcW w:w="0" w:type="dxa"/>
            <w:vAlign w:val="bottom"/>
          </w:tcPr>
          <w:p>
            <w:pPr>
              <w:spacing w:after="0"/>
              <w:rPr>
                <w:sz w:val="1"/>
                <w:szCs w:val="1"/>
                <w:color w:val="auto"/>
              </w:rPr>
            </w:pPr>
          </w:p>
        </w:tc>
      </w:tr>
      <w:tr>
        <w:trPr>
          <w:trHeight w:val="21"/>
        </w:trPr>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72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60" w:hanging="281"/>
        <w:spacing w:after="0" w:line="277" w:lineRule="auto"/>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30 July 2015 the Company sold a 13% shareholding in its subsidiary ICON Clinical Research Limited to ICON Investments 4, a fellow Group company (see note 11).</w:t>
      </w:r>
    </w:p>
    <w:p>
      <w:pPr>
        <w:spacing w:after="0" w:line="197" w:lineRule="exact"/>
        <w:rPr>
          <w:rFonts w:ascii="Arial" w:cs="Arial" w:eastAsia="Arial" w:hAnsi="Arial"/>
          <w:sz w:val="18"/>
          <w:szCs w:val="18"/>
          <w:color w:val="auto"/>
        </w:rPr>
      </w:pPr>
    </w:p>
    <w:p>
      <w:pPr>
        <w:ind w:left="360" w:hanging="281"/>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During 2014 the Company received dividends from its subsidiary undertaking ICON Clinical Research Limited for $140 million.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33" w:name="page34"/>
    <w:bookmarkEnd w:id="33"/>
    <w:p>
      <w:pPr>
        <w:spacing w:after="0"/>
        <w:rPr>
          <w:sz w:val="20"/>
          <w:szCs w:val="20"/>
          <w:color w:val="auto"/>
        </w:rPr>
      </w:pPr>
      <w:r>
        <w:rPr>
          <w:rFonts w:ascii="Arial" w:cs="Arial" w:eastAsia="Arial" w:hAnsi="Arial"/>
          <w:sz w:val="29"/>
          <w:szCs w:val="29"/>
          <w:color w:val="auto"/>
        </w:rPr>
        <w:t>ICON Plc</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Notes (continued)</w:t>
      </w:r>
    </w:p>
    <w:p>
      <w:pPr>
        <w:spacing w:after="0" w:line="236" w:lineRule="exact"/>
        <w:rPr>
          <w:sz w:val="20"/>
          <w:szCs w:val="20"/>
          <w:color w:val="auto"/>
        </w:rPr>
      </w:pPr>
    </w:p>
    <w:p>
      <w:pPr>
        <w:ind w:left="360" w:hanging="352"/>
        <w:spacing w:after="0"/>
        <w:tabs>
          <w:tab w:leader="none" w:pos="3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Related parties </w:t>
      </w:r>
      <w:r>
        <w:rPr>
          <w:rFonts w:ascii="Arial" w:cs="Arial" w:eastAsia="Arial" w:hAnsi="Arial"/>
          <w:sz w:val="18"/>
          <w:szCs w:val="18"/>
          <w:i w:val="1"/>
          <w:iCs w:val="1"/>
          <w:color w:val="auto"/>
        </w:rPr>
        <w:t>(continued)</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6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aggregate payroll costs of Directors of the Company for the period ended 31 July 2015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3520" w:type="dxa"/>
            <w:vAlign w:val="bottom"/>
          </w:tcPr>
          <w:p>
            <w:pPr>
              <w:jc w:val="right"/>
              <w:ind w:right="250"/>
              <w:spacing w:after="0"/>
              <w:rPr>
                <w:sz w:val="20"/>
                <w:szCs w:val="20"/>
                <w:color w:val="auto"/>
              </w:rPr>
            </w:pPr>
            <w:r>
              <w:rPr>
                <w:rFonts w:ascii="Arial" w:cs="Arial" w:eastAsia="Arial" w:hAnsi="Arial"/>
                <w:sz w:val="18"/>
                <w:szCs w:val="18"/>
                <w:b w:val="1"/>
                <w:bCs w:val="1"/>
                <w:color w:val="auto"/>
              </w:rPr>
              <w:t>Period ended</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r>
      <w:tr>
        <w:trPr>
          <w:trHeight w:val="216"/>
        </w:trPr>
        <w:tc>
          <w:tcPr>
            <w:tcW w:w="6520" w:type="dxa"/>
            <w:vAlign w:val="bottom"/>
          </w:tcPr>
          <w:p>
            <w:pPr>
              <w:spacing w:after="0"/>
              <w:rPr>
                <w:sz w:val="18"/>
                <w:szCs w:val="18"/>
                <w:color w:val="auto"/>
              </w:rPr>
            </w:pPr>
          </w:p>
        </w:tc>
        <w:tc>
          <w:tcPr>
            <w:tcW w:w="3520" w:type="dxa"/>
            <w:vAlign w:val="bottom"/>
          </w:tcPr>
          <w:p>
            <w:pPr>
              <w:jc w:val="right"/>
              <w:ind w:right="250"/>
              <w:spacing w:after="0"/>
              <w:rPr>
                <w:sz w:val="20"/>
                <w:szCs w:val="20"/>
                <w:color w:val="auto"/>
              </w:rPr>
            </w:pPr>
            <w:r>
              <w:rPr>
                <w:rFonts w:ascii="Arial" w:cs="Arial" w:eastAsia="Arial" w:hAnsi="Arial"/>
                <w:sz w:val="18"/>
                <w:szCs w:val="18"/>
                <w:b w:val="1"/>
                <w:bCs w:val="1"/>
                <w:color w:val="auto"/>
              </w:rPr>
              <w:t>31 July</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r>
      <w:tr>
        <w:trPr>
          <w:trHeight w:val="216"/>
        </w:trPr>
        <w:tc>
          <w:tcPr>
            <w:tcW w:w="6520" w:type="dxa"/>
            <w:vAlign w:val="bottom"/>
          </w:tcPr>
          <w:p>
            <w:pPr>
              <w:spacing w:after="0"/>
              <w:rPr>
                <w:sz w:val="18"/>
                <w:szCs w:val="18"/>
                <w:color w:val="auto"/>
              </w:rPr>
            </w:pPr>
          </w:p>
        </w:tc>
        <w:tc>
          <w:tcPr>
            <w:tcW w:w="35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2014</w:t>
            </w:r>
          </w:p>
        </w:tc>
      </w:tr>
      <w:tr>
        <w:trPr>
          <w:trHeight w:val="234"/>
        </w:trPr>
        <w:tc>
          <w:tcPr>
            <w:tcW w:w="6520" w:type="dxa"/>
            <w:vAlign w:val="bottom"/>
          </w:tcPr>
          <w:p>
            <w:pPr>
              <w:spacing w:after="0"/>
              <w:rPr>
                <w:sz w:val="20"/>
                <w:szCs w:val="20"/>
                <w:color w:val="auto"/>
              </w:rPr>
            </w:pPr>
          </w:p>
        </w:tc>
        <w:tc>
          <w:tcPr>
            <w:tcW w:w="3520" w:type="dxa"/>
            <w:vAlign w:val="bottom"/>
          </w:tcPr>
          <w:p>
            <w:pPr>
              <w:jc w:val="right"/>
              <w:ind w:right="210"/>
              <w:spacing w:after="0"/>
              <w:rPr>
                <w:sz w:val="20"/>
                <w:szCs w:val="20"/>
                <w:color w:val="auto"/>
              </w:rPr>
            </w:pPr>
            <w:r>
              <w:rPr>
                <w:rFonts w:ascii="Arial" w:cs="Arial" w:eastAsia="Arial" w:hAnsi="Arial"/>
                <w:sz w:val="18"/>
                <w:szCs w:val="18"/>
                <w:b w:val="1"/>
                <w:bCs w:val="1"/>
                <w:color w:val="auto"/>
              </w:rPr>
              <w:t>$’000</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216"/>
        </w:trPr>
        <w:tc>
          <w:tcPr>
            <w:tcW w:w="65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Salary and fees</w:t>
            </w:r>
          </w:p>
        </w:tc>
        <w:tc>
          <w:tcPr>
            <w:tcW w:w="35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1,483</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2,330</w:t>
            </w: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Bonus</w:t>
            </w:r>
          </w:p>
        </w:tc>
        <w:tc>
          <w:tcPr>
            <w:tcW w:w="3520" w:type="dxa"/>
            <w:vAlign w:val="bottom"/>
          </w:tcPr>
          <w:p>
            <w:pPr>
              <w:jc w:val="right"/>
              <w:ind w:right="210"/>
              <w:spacing w:after="0"/>
              <w:rPr>
                <w:sz w:val="20"/>
                <w:szCs w:val="20"/>
                <w:color w:val="auto"/>
              </w:rPr>
            </w:pPr>
            <w:r>
              <w:rPr>
                <w:rFonts w:ascii="Arial" w:cs="Arial" w:eastAsia="Arial" w:hAnsi="Arial"/>
                <w:sz w:val="18"/>
                <w:szCs w:val="18"/>
                <w:b w:val="1"/>
                <w:bCs w:val="1"/>
                <w:color w:val="auto"/>
              </w:rPr>
              <w:t>1,210</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5,393</w:t>
            </w: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benefits</w:t>
            </w:r>
          </w:p>
        </w:tc>
        <w:tc>
          <w:tcPr>
            <w:tcW w:w="35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17</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w:t>
            </w: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Pension costs for defined contribution pension schemes</w:t>
            </w:r>
          </w:p>
        </w:tc>
        <w:tc>
          <w:tcPr>
            <w:tcW w:w="3520" w:type="dxa"/>
            <w:vAlign w:val="bottom"/>
          </w:tcPr>
          <w:p>
            <w:pPr>
              <w:jc w:val="right"/>
              <w:ind w:right="210"/>
              <w:spacing w:after="0"/>
              <w:rPr>
                <w:sz w:val="20"/>
                <w:szCs w:val="20"/>
                <w:color w:val="auto"/>
              </w:rPr>
            </w:pPr>
            <w:r>
              <w:rPr>
                <w:rFonts w:ascii="Arial" w:cs="Arial" w:eastAsia="Arial" w:hAnsi="Arial"/>
                <w:sz w:val="18"/>
                <w:szCs w:val="18"/>
                <w:b w:val="1"/>
                <w:bCs w:val="1"/>
                <w:color w:val="auto"/>
              </w:rPr>
              <w:t>77</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23"/>
        </w:trPr>
        <w:tc>
          <w:tcPr>
            <w:tcW w:w="65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Share-based payment</w:t>
            </w:r>
          </w:p>
        </w:tc>
        <w:tc>
          <w:tcPr>
            <w:tcW w:w="35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4,353</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5,944</w:t>
            </w:r>
          </w:p>
        </w:tc>
      </w:tr>
      <w:tr>
        <w:trPr>
          <w:trHeight w:val="216"/>
        </w:trPr>
        <w:tc>
          <w:tcPr>
            <w:tcW w:w="65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57"/>
        </w:trPr>
        <w:tc>
          <w:tcPr>
            <w:tcW w:w="65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35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7,140</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13,925</w:t>
            </w:r>
          </w:p>
        </w:tc>
      </w:tr>
    </w:tbl>
    <w:p>
      <w:pPr>
        <w:spacing w:after="0" w:line="229" w:lineRule="exact"/>
        <w:rPr>
          <w:sz w:val="20"/>
          <w:szCs w:val="20"/>
          <w:color w:val="auto"/>
        </w:rPr>
      </w:pPr>
    </w:p>
    <w:p>
      <w:pPr>
        <w:ind w:left="360" w:right="380"/>
        <w:spacing w:after="0" w:line="264" w:lineRule="auto"/>
        <w:rPr>
          <w:sz w:val="20"/>
          <w:szCs w:val="20"/>
          <w:color w:val="auto"/>
        </w:rPr>
      </w:pPr>
      <w:r>
        <w:rPr>
          <w:rFonts w:ascii="Arial" w:cs="Arial" w:eastAsia="Arial" w:hAnsi="Arial"/>
          <w:sz w:val="18"/>
          <w:szCs w:val="18"/>
          <w:color w:val="auto"/>
        </w:rPr>
        <w:t xml:space="preserve">Further information in relation to the remuneration of Directors and Executive Officers is set out in the Compensation and Organisation report in the Group’s Annual Report for the year ended 31 December 2014, which is available publically and can be obtained at </w:t>
      </w:r>
      <w:r>
        <w:rPr>
          <w:rFonts w:ascii="Arial" w:cs="Arial" w:eastAsia="Arial" w:hAnsi="Arial"/>
          <w:sz w:val="18"/>
          <w:szCs w:val="18"/>
          <w:u w:val="single" w:color="auto"/>
          <w:color w:val="auto"/>
        </w:rPr>
        <w:t>http://investor.iconplc.com/annuals.cfm</w:t>
      </w:r>
      <w:r>
        <w:rPr>
          <w:rFonts w:ascii="Arial" w:cs="Arial" w:eastAsia="Arial" w:hAnsi="Arial"/>
          <w:sz w:val="18"/>
          <w:szCs w:val="18"/>
          <w:color w:val="auto"/>
        </w:rPr>
        <w: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34" w:name="page35"/>
    <w:bookmarkEnd w:id="34"/>
    <w:p>
      <w:pPr>
        <w:spacing w:after="0"/>
        <w:rPr>
          <w:sz w:val="20"/>
          <w:szCs w:val="20"/>
          <w:color w:val="auto"/>
        </w:rPr>
      </w:pPr>
      <w:r>
        <w:rPr>
          <w:rFonts w:ascii="Arial" w:cs="Arial" w:eastAsia="Arial" w:hAnsi="Arial"/>
          <w:sz w:val="29"/>
          <w:szCs w:val="29"/>
          <w:color w:val="auto"/>
        </w:rPr>
        <w:t>ICON Plc</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Notes (continued)</w:t>
      </w:r>
    </w:p>
    <w:p>
      <w:pPr>
        <w:spacing w:after="0" w:line="236" w:lineRule="exact"/>
        <w:rPr>
          <w:sz w:val="20"/>
          <w:szCs w:val="20"/>
          <w:color w:val="auto"/>
        </w:rPr>
      </w:pPr>
    </w:p>
    <w:p>
      <w:pPr>
        <w:ind w:left="360" w:hanging="352"/>
        <w:spacing w:after="0"/>
        <w:tabs>
          <w:tab w:leader="none" w:pos="3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rFonts w:ascii="Arial" w:cs="Arial" w:eastAsia="Arial" w:hAnsi="Arial"/>
          <w:sz w:val="18"/>
          <w:szCs w:val="18"/>
          <w:b w:val="1"/>
          <w:bCs w:val="1"/>
          <w:color w:val="auto"/>
        </w:rPr>
      </w:pPr>
    </w:p>
    <w:p>
      <w:pPr>
        <w:ind w:left="36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has several non-cancellable operating leases that expire over the next 3 years. These leases generally contain renewal options and require the company to pay all executory costs such as maintenance and insurance. The company recognised $1.5 million and $3.2 million in rental expense (including rates) for the interim period ended July 31, 2015 and the year ended December 31, 2014 respectively. Future minimum rental commitments for opening leases with non-cancellable terms in excess of one year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5600" w:type="dxa"/>
            <w:vAlign w:val="bottom"/>
          </w:tcPr>
          <w:p>
            <w:pPr>
              <w:jc w:val="right"/>
              <w:ind w:right="10"/>
              <w:spacing w:after="0"/>
              <w:rPr>
                <w:sz w:val="20"/>
                <w:szCs w:val="20"/>
                <w:color w:val="auto"/>
              </w:rPr>
            </w:pPr>
            <w:r>
              <w:rPr>
                <w:rFonts w:ascii="Arial" w:cs="Arial" w:eastAsia="Arial" w:hAnsi="Arial"/>
                <w:sz w:val="18"/>
                <w:szCs w:val="18"/>
                <w:b w:val="1"/>
                <w:bCs w:val="1"/>
                <w:color w:val="auto"/>
              </w:rPr>
              <w:t>Minimum</w:t>
            </w:r>
          </w:p>
        </w:tc>
      </w:tr>
      <w:tr>
        <w:trPr>
          <w:trHeight w:val="216"/>
        </w:trPr>
        <w:tc>
          <w:tcPr>
            <w:tcW w:w="5820" w:type="dxa"/>
            <w:vAlign w:val="bottom"/>
          </w:tcPr>
          <w:p>
            <w:pPr>
              <w:spacing w:after="0"/>
              <w:rPr>
                <w:sz w:val="18"/>
                <w:szCs w:val="18"/>
                <w:color w:val="auto"/>
              </w:rPr>
            </w:pPr>
          </w:p>
        </w:tc>
        <w:tc>
          <w:tcPr>
            <w:tcW w:w="5600" w:type="dxa"/>
            <w:vAlign w:val="bottom"/>
          </w:tcPr>
          <w:p>
            <w:pPr>
              <w:jc w:val="right"/>
              <w:ind w:right="10"/>
              <w:spacing w:after="0"/>
              <w:rPr>
                <w:sz w:val="20"/>
                <w:szCs w:val="20"/>
                <w:color w:val="auto"/>
              </w:rPr>
            </w:pPr>
            <w:r>
              <w:rPr>
                <w:rFonts w:ascii="Arial" w:cs="Arial" w:eastAsia="Arial" w:hAnsi="Arial"/>
                <w:sz w:val="18"/>
                <w:szCs w:val="18"/>
                <w:b w:val="1"/>
                <w:bCs w:val="1"/>
                <w:color w:val="auto"/>
              </w:rPr>
              <w:t>rental</w:t>
            </w:r>
          </w:p>
        </w:tc>
      </w:tr>
      <w:tr>
        <w:trPr>
          <w:trHeight w:val="220"/>
        </w:trPr>
        <w:tc>
          <w:tcPr>
            <w:tcW w:w="5820" w:type="dxa"/>
            <w:vAlign w:val="bottom"/>
          </w:tcPr>
          <w:p>
            <w:pPr>
              <w:spacing w:after="0"/>
              <w:rPr>
                <w:sz w:val="19"/>
                <w:szCs w:val="19"/>
                <w:color w:val="auto"/>
              </w:rPr>
            </w:pPr>
          </w:p>
        </w:tc>
        <w:tc>
          <w:tcPr>
            <w:tcW w:w="5600" w:type="dxa"/>
            <w:vAlign w:val="bottom"/>
          </w:tcPr>
          <w:p>
            <w:pPr>
              <w:jc w:val="right"/>
              <w:ind w:right="10"/>
              <w:spacing w:after="0"/>
              <w:rPr>
                <w:sz w:val="20"/>
                <w:szCs w:val="20"/>
                <w:color w:val="auto"/>
              </w:rPr>
            </w:pPr>
            <w:r>
              <w:rPr>
                <w:rFonts w:ascii="Arial" w:cs="Arial" w:eastAsia="Arial" w:hAnsi="Arial"/>
                <w:sz w:val="18"/>
                <w:szCs w:val="18"/>
                <w:b w:val="1"/>
                <w:bCs w:val="1"/>
                <w:color w:val="auto"/>
              </w:rPr>
              <w:t>payments</w:t>
            </w:r>
          </w:p>
        </w:tc>
      </w:tr>
      <w:tr>
        <w:trPr>
          <w:trHeight w:val="230"/>
        </w:trPr>
        <w:tc>
          <w:tcPr>
            <w:tcW w:w="5820" w:type="dxa"/>
            <w:vAlign w:val="bottom"/>
          </w:tcPr>
          <w:p>
            <w:pPr>
              <w:spacing w:after="0"/>
              <w:rPr>
                <w:sz w:val="20"/>
                <w:szCs w:val="20"/>
                <w:color w:val="auto"/>
              </w:rPr>
            </w:pPr>
          </w:p>
        </w:tc>
        <w:tc>
          <w:tcPr>
            <w:tcW w:w="560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216"/>
        </w:trPr>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2015</w:t>
            </w:r>
          </w:p>
        </w:tc>
        <w:tc>
          <w:tcPr>
            <w:tcW w:w="5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1,070</w:t>
            </w:r>
          </w:p>
        </w:tc>
      </w:tr>
      <w:tr>
        <w:trPr>
          <w:trHeight w:val="216"/>
        </w:trPr>
        <w:tc>
          <w:tcPr>
            <w:tcW w:w="5820" w:type="dxa"/>
            <w:vAlign w:val="bottom"/>
          </w:tcPr>
          <w:p>
            <w:pPr>
              <w:ind w:left="340"/>
              <w:spacing w:after="0"/>
              <w:rPr>
                <w:sz w:val="20"/>
                <w:szCs w:val="20"/>
                <w:color w:val="auto"/>
              </w:rPr>
            </w:pPr>
            <w:r>
              <w:rPr>
                <w:rFonts w:ascii="Arial" w:cs="Arial" w:eastAsia="Arial" w:hAnsi="Arial"/>
                <w:sz w:val="18"/>
                <w:szCs w:val="18"/>
                <w:color w:val="auto"/>
              </w:rPr>
              <w:t>2016</w:t>
            </w:r>
          </w:p>
        </w:tc>
        <w:tc>
          <w:tcPr>
            <w:tcW w:w="5600" w:type="dxa"/>
            <w:vAlign w:val="bottom"/>
          </w:tcPr>
          <w:p>
            <w:pPr>
              <w:jc w:val="right"/>
              <w:ind w:right="10"/>
              <w:spacing w:after="0"/>
              <w:rPr>
                <w:sz w:val="20"/>
                <w:szCs w:val="20"/>
                <w:color w:val="auto"/>
              </w:rPr>
            </w:pPr>
            <w:r>
              <w:rPr>
                <w:rFonts w:ascii="Arial" w:cs="Arial" w:eastAsia="Arial" w:hAnsi="Arial"/>
                <w:sz w:val="18"/>
                <w:szCs w:val="18"/>
                <w:color w:val="auto"/>
              </w:rPr>
              <w:t>2,252</w:t>
            </w:r>
          </w:p>
        </w:tc>
      </w:tr>
      <w:tr>
        <w:trPr>
          <w:trHeight w:val="216"/>
        </w:trPr>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2017</w:t>
            </w:r>
          </w:p>
        </w:tc>
        <w:tc>
          <w:tcPr>
            <w:tcW w:w="5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1,760</w:t>
            </w:r>
          </w:p>
        </w:tc>
      </w:tr>
      <w:tr>
        <w:trPr>
          <w:trHeight w:val="216"/>
        </w:trPr>
        <w:tc>
          <w:tcPr>
            <w:tcW w:w="5820" w:type="dxa"/>
            <w:vAlign w:val="bottom"/>
          </w:tcPr>
          <w:p>
            <w:pPr>
              <w:ind w:left="340"/>
              <w:spacing w:after="0"/>
              <w:rPr>
                <w:sz w:val="20"/>
                <w:szCs w:val="20"/>
                <w:color w:val="auto"/>
              </w:rPr>
            </w:pPr>
            <w:r>
              <w:rPr>
                <w:rFonts w:ascii="Arial" w:cs="Arial" w:eastAsia="Arial" w:hAnsi="Arial"/>
                <w:sz w:val="18"/>
                <w:szCs w:val="18"/>
                <w:color w:val="auto"/>
              </w:rPr>
              <w:t>2018</w:t>
            </w:r>
          </w:p>
        </w:tc>
        <w:tc>
          <w:tcPr>
            <w:tcW w:w="5600" w:type="dxa"/>
            <w:vAlign w:val="bottom"/>
          </w:tcPr>
          <w:p>
            <w:pPr>
              <w:jc w:val="right"/>
              <w:ind w:right="10"/>
              <w:spacing w:after="0"/>
              <w:rPr>
                <w:sz w:val="20"/>
                <w:szCs w:val="20"/>
                <w:color w:val="auto"/>
              </w:rPr>
            </w:pPr>
            <w:r>
              <w:rPr>
                <w:rFonts w:ascii="Arial" w:cs="Arial" w:eastAsia="Arial" w:hAnsi="Arial"/>
                <w:sz w:val="18"/>
                <w:szCs w:val="18"/>
                <w:color w:val="auto"/>
              </w:rPr>
              <w:t>1,027</w:t>
            </w:r>
          </w:p>
        </w:tc>
      </w:tr>
      <w:tr>
        <w:trPr>
          <w:trHeight w:val="223"/>
        </w:trPr>
        <w:tc>
          <w:tcPr>
            <w:tcW w:w="58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Thereafter</w:t>
            </w:r>
          </w:p>
        </w:tc>
        <w:tc>
          <w:tcPr>
            <w:tcW w:w="5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tcPr>
          <w:p>
            <w:pPr>
              <w:spacing w:after="0"/>
              <w:rPr>
                <w:sz w:val="18"/>
                <w:szCs w:val="18"/>
                <w:color w:val="auto"/>
              </w:rPr>
            </w:pPr>
          </w:p>
        </w:tc>
        <w:tc>
          <w:tcPr>
            <w:tcW w:w="5600" w:type="dxa"/>
            <w:vAlign w:val="bottom"/>
          </w:tcPr>
          <w:p>
            <w:pPr>
              <w:spacing w:after="0"/>
              <w:rPr>
                <w:sz w:val="18"/>
                <w:szCs w:val="18"/>
                <w:color w:val="auto"/>
              </w:rPr>
            </w:pPr>
          </w:p>
        </w:tc>
      </w:tr>
      <w:tr>
        <w:trPr>
          <w:trHeight w:val="257"/>
        </w:trPr>
        <w:tc>
          <w:tcPr>
            <w:tcW w:w="58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w:t>
            </w:r>
          </w:p>
        </w:tc>
        <w:tc>
          <w:tcPr>
            <w:tcW w:w="5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6,109</w:t>
            </w:r>
          </w:p>
        </w:tc>
      </w:tr>
    </w:tbl>
    <w:p>
      <w:pPr>
        <w:spacing w:after="0" w:line="200" w:lineRule="exact"/>
        <w:rPr>
          <w:sz w:val="20"/>
          <w:szCs w:val="20"/>
          <w:color w:val="auto"/>
        </w:rPr>
      </w:pPr>
    </w:p>
    <w:p>
      <w:pPr>
        <w:spacing w:after="0" w:line="272" w:lineRule="exact"/>
        <w:rPr>
          <w:sz w:val="20"/>
          <w:szCs w:val="20"/>
          <w:color w:val="auto"/>
        </w:rPr>
      </w:pPr>
    </w:p>
    <w:p>
      <w:pPr>
        <w:ind w:left="360" w:right="20" w:hanging="352"/>
        <w:spacing w:after="0" w:line="277" w:lineRule="auto"/>
        <w:tabs>
          <w:tab w:leader="none" w:pos="3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The Company is not party to any litigation or other legal proceedings that the Company believes could reasonably be expected to have a material adverse effect on the Company’s business, results of operations and financial position.</w:t>
      </w:r>
    </w:p>
    <w:p>
      <w:pPr>
        <w:spacing w:after="0" w:line="166" w:lineRule="exact"/>
        <w:rPr>
          <w:rFonts w:ascii="Arial" w:cs="Arial" w:eastAsia="Arial" w:hAnsi="Arial"/>
          <w:sz w:val="18"/>
          <w:szCs w:val="18"/>
          <w:b w:val="1"/>
          <w:bCs w:val="1"/>
          <w:color w:val="auto"/>
        </w:rPr>
      </w:pPr>
    </w:p>
    <w:p>
      <w:pPr>
        <w:ind w:left="360" w:hanging="352"/>
        <w:spacing w:after="0"/>
        <w:tabs>
          <w:tab w:leader="none" w:pos="3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Group relationships and controlling parties</w:t>
      </w:r>
    </w:p>
    <w:p>
      <w:pPr>
        <w:spacing w:after="0" w:line="229" w:lineRule="exact"/>
        <w:rPr>
          <w:rFonts w:ascii="Arial" w:cs="Arial" w:eastAsia="Arial" w:hAnsi="Arial"/>
          <w:sz w:val="18"/>
          <w:szCs w:val="18"/>
          <w:b w:val="1"/>
          <w:bCs w:val="1"/>
          <w:color w:val="auto"/>
        </w:rPr>
      </w:pPr>
    </w:p>
    <w:p>
      <w:pPr>
        <w:jc w:val="both"/>
        <w:ind w:left="3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xml:space="preserve">The Company is a public limited company incorporated in the Republic of Ireland. The Company’s ordinary shares are traded on the NASDAQ market. The Company prepares consolidated financial statements for itself and its subsidiary undertakings. These consolidated financial statements may be obtained from the Company’s website </w:t>
      </w:r>
      <w:r>
        <w:rPr>
          <w:rFonts w:ascii="Arial" w:cs="Arial" w:eastAsia="Arial" w:hAnsi="Arial"/>
          <w:sz w:val="18"/>
          <w:szCs w:val="18"/>
          <w:u w:val="single" w:color="auto"/>
          <w:color w:val="auto"/>
        </w:rPr>
        <w:t>www.iconplc.com</w:t>
      </w:r>
      <w:r>
        <w:rPr>
          <w:rFonts w:ascii="Arial" w:cs="Arial" w:eastAsia="Arial" w:hAnsi="Arial"/>
          <w:sz w:val="18"/>
          <w:szCs w:val="18"/>
          <w:color w:val="auto"/>
        </w:rPr>
        <w:t>.</w:t>
      </w:r>
    </w:p>
    <w:p>
      <w:pPr>
        <w:spacing w:after="0" w:line="177" w:lineRule="exact"/>
        <w:rPr>
          <w:rFonts w:ascii="Arial" w:cs="Arial" w:eastAsia="Arial" w:hAnsi="Arial"/>
          <w:sz w:val="18"/>
          <w:szCs w:val="18"/>
          <w:b w:val="1"/>
          <w:bCs w:val="1"/>
          <w:color w:val="auto"/>
        </w:rPr>
      </w:pPr>
    </w:p>
    <w:p>
      <w:pPr>
        <w:ind w:left="360" w:hanging="352"/>
        <w:spacing w:after="0"/>
        <w:tabs>
          <w:tab w:leader="none" w:pos="3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Approval of financial statements</w:t>
      </w:r>
    </w:p>
    <w:p>
      <w:pPr>
        <w:spacing w:after="0" w:line="229"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board of directors approved these financial statements on 27 August 2015.</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sectPr>
      <w:pgSz w:w="11900" w:h="16838" w:orient="portrait"/>
      <w:cols w:equalWidth="0" w:num="1">
        <w:col w:w="11420"/>
      </w:cols>
      <w:pgMar w:left="240" w:top="50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2"/>
    </w:lvl>
  </w:abstractNum>
  <w:abstractNum w:abstractNumId="7">
    <w:nsid w:val="1BEFD79F"/>
    <w:multiLevelType w:val="hybridMultilevel"/>
    <w:lvl w:ilvl="0">
      <w:lvlJc w:val="left"/>
      <w:lvlText w:val="%1."/>
      <w:numFmt w:val="decimal"/>
      <w:start w:val="5"/>
    </w:lvl>
  </w:abstractNum>
  <w:abstractNum w:abstractNumId="8">
    <w:nsid w:val="41A7C4C9"/>
    <w:multiLevelType w:val="hybridMultilevel"/>
    <w:lvl w:ilvl="0">
      <w:lvlJc w:val="left"/>
      <w:lvlText w:val="%1."/>
      <w:numFmt w:val="decimal"/>
      <w:start w:val="6"/>
    </w:lvl>
  </w:abstractNum>
  <w:abstractNum w:abstractNumId="9">
    <w:nsid w:val="6B68079A"/>
    <w:multiLevelType w:val="hybridMultilevel"/>
    <w:lvl w:ilvl="0">
      <w:lvlJc w:val="left"/>
      <w:lvlText w:val="%1."/>
      <w:numFmt w:val="decimal"/>
      <w:start w:val="7"/>
    </w:lvl>
  </w:abstractNum>
  <w:abstractNum w:abstractNumId="10">
    <w:nsid w:val="4E6AFB66"/>
    <w:multiLevelType w:val="hybridMultilevel"/>
    <w:lvl w:ilvl="0">
      <w:lvlJc w:val="left"/>
      <w:lvlText w:val="%1."/>
      <w:numFmt w:val="decimal"/>
      <w:start w:val="7"/>
    </w:lvl>
  </w:abstractNum>
  <w:abstractNum w:abstractNumId="11">
    <w:nsid w:val="25E45D32"/>
    <w:multiLevelType w:val="hybridMultilevel"/>
    <w:lvl w:ilvl="0">
      <w:lvlJc w:val="left"/>
      <w:lvlText w:val="%1."/>
      <w:numFmt w:val="decimal"/>
      <w:start w:val="8"/>
    </w:lvl>
  </w:abstractNum>
  <w:abstractNum w:abstractNumId="12">
    <w:nsid w:val="519B500D"/>
    <w:multiLevelType w:val="hybridMultilevel"/>
    <w:lvl w:ilvl="0">
      <w:lvlJc w:val="left"/>
      <w:lvlText w:val="%1."/>
      <w:numFmt w:val="decimal"/>
      <w:start w:val="8"/>
    </w:lvl>
  </w:abstractNum>
  <w:abstractNum w:abstractNumId="13">
    <w:nsid w:val="431BD7B7"/>
    <w:multiLevelType w:val="hybridMultilevel"/>
    <w:lvl w:ilvl="0">
      <w:lvlJc w:val="left"/>
      <w:lvlText w:val="%1."/>
      <w:numFmt w:val="decimal"/>
      <w:start w:val="9"/>
    </w:lvl>
  </w:abstractNum>
  <w:abstractNum w:abstractNumId="14">
    <w:nsid w:val="3F2DBA31"/>
    <w:multiLevelType w:val="hybridMultilevel"/>
    <w:lvl w:ilvl="0">
      <w:lvlJc w:val="left"/>
      <w:lvlText w:val="%1."/>
      <w:numFmt w:val="decimal"/>
      <w:start w:val="9"/>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13"/>
    </w:lvl>
  </w:abstractNum>
  <w:abstractNum w:abstractNumId="17">
    <w:nsid w:val="62BBD95A"/>
    <w:multiLevelType w:val="hybridMultilevel"/>
    <w:lvl w:ilvl="0">
      <w:lvlJc w:val="left"/>
      <w:lvlText w:val="%1."/>
      <w:numFmt w:val="decimal"/>
      <w:start w:val="15"/>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decimal"/>
      <w:start w:val="15"/>
    </w:lvl>
  </w:abstractNum>
  <w:abstractNum w:abstractNumId="20">
    <w:nsid w:val="333AB105"/>
    <w:multiLevelType w:val="hybridMultilevel"/>
    <w:lvl w:ilvl="0">
      <w:lvlJc w:val="left"/>
      <w:lvlText w:val="%1."/>
      <w:numFmt w:val="decimal"/>
      <w:start w:val="16"/>
    </w:lvl>
  </w:abstractNum>
  <w:abstractNum w:abstractNumId="21">
    <w:nsid w:val="721DA317"/>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2019-12-07T03:45:06Z</dcterms:created>
  <dcterms:modified xsi:type="dcterms:W3CDTF">2019-12-07T03:45:06Z</dcterms:modified>
</cp:coreProperties>
</file>