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5,145,562.00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5,913,037.00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5,913,037.00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5,145,562.00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5,913,037.00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5,913,037.00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5,145,562.00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5,913,037.00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5,913,037.00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4,954,400.00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5,081,854.00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5,913,037.00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Public Limited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County Business Park, Leopardstown, Dublin 00000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44" w:lineRule="auto"/>
        <w:rPr>
          <w:sz w:val="20"/>
          <w:szCs w:val="20"/>
          <w:color w:val="auto"/>
        </w:rPr>
      </w:pPr>
      <w:r>
        <w:rPr>
          <w:rFonts w:ascii="Times New Roman" w:cs="Times New Roman" w:eastAsia="Times New Roman" w:hAnsi="Times New Roman"/>
          <w:sz w:val="21"/>
          <w:szCs w:val="21"/>
          <w:color w:val="auto"/>
        </w:rPr>
        <w:t>The undersigned hereby agree that this Schedule 13G (the “Schedule 13G”) with respect to the common stock of Icon Public Limited Company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2026-05-15T06:25:57Z</dcterms:created>
  <dcterms:modified xsi:type="dcterms:W3CDTF">2026-05-15T06:25:57Z</dcterms:modified>
</cp:coreProperties>
</file>