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For the month ended </w:t>
      </w:r>
      <w:r>
        <w:rPr>
          <w:rFonts w:ascii="Times New Roman" w:cs="Times New Roman" w:eastAsia="Times New Roman" w:hAnsi="Times New Roman"/>
          <w:sz w:val="18"/>
          <w:szCs w:val="18"/>
          <w:color w:val="auto"/>
        </w:rPr>
        <w:t>October,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ICON plc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8"/>
          <w:szCs w:val="18"/>
          <w:color w:val="auto"/>
        </w:rPr>
        <w:t>egistrant's name)</w:t>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119"/>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02" w:lineRule="exact"/>
        <w:rPr>
          <w:sz w:val="24"/>
          <w:szCs w:val="24"/>
          <w:color w:val="auto"/>
        </w:rPr>
      </w:pPr>
    </w:p>
    <w:p>
      <w:pPr>
        <w:ind w:left="4080"/>
        <w:spacing w:after="0"/>
        <w:tabs>
          <w:tab w:leader="none" w:pos="706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101(b)(1):</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101(b)(7):</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4"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color w:val="auto"/>
        </w:rPr>
        <w:t>_</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ectPr>
          <w:pgSz w:w="11900" w:h="16838" w:orient="portrait"/>
          <w:cols w:equalWidth="0" w:num="1">
            <w:col w:w="11300"/>
          </w:cols>
          <w:pgMar w:left="240" w:top="462"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Times New Roman" w:cs="Times New Roman" w:eastAsia="Times New Roman" w:hAnsi="Times New Roman"/>
          <w:sz w:val="22"/>
          <w:szCs w:val="22"/>
          <w:color w:val="auto"/>
        </w:rPr>
        <w:t>If "Yes" is marked, indicate below the file number assigned to the registrant in connection with Rule 12g3-2(b):82</w:t>
      </w:r>
      <w:r>
        <w:rPr>
          <w:sz w:val="20"/>
          <w:szCs w:val="20"/>
          <w:color w:val="auto"/>
        </w:rPr>
        <w:tab/>
      </w:r>
      <w:r>
        <w:rPr>
          <w:rFonts w:ascii="Times New Roman" w:cs="Times New Roman" w:eastAsia="Times New Roman" w:hAnsi="Times New Roman"/>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2" w:right="359" w:bottom="1440" w:gutter="0" w:footer="0" w:header="0"/>
          <w:type w:val="continuous"/>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October 24, 2018 - ICON Reports Third Quarter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36" w:lineRule="exact"/>
        <w:rPr>
          <w:sz w:val="20"/>
          <w:szCs w:val="20"/>
          <w:color w:val="auto"/>
        </w:rPr>
      </w:pPr>
    </w:p>
    <w:p>
      <w:pPr>
        <w:ind w:left="580" w:right="2700" w:hanging="6846"/>
        <w:spacing w:after="0" w:line="276" w:lineRule="auto"/>
        <w:tabs>
          <w:tab w:leader="none" w:pos="560" w:val="left"/>
        </w:tabs>
        <w:rPr>
          <w:sz w:val="20"/>
          <w:szCs w:val="20"/>
          <w:color w:val="auto"/>
        </w:rPr>
      </w:pPr>
      <w:r>
        <w:rPr>
          <w:rFonts w:ascii="Times New Roman" w:cs="Times New Roman" w:eastAsia="Times New Roman" w:hAnsi="Times New Roman"/>
          <w:sz w:val="18"/>
          <w:szCs w:val="18"/>
          <w:color w:val="auto"/>
        </w:rPr>
        <w:t>Date:</w:t>
        <w:tab/>
        <w:t>October 24, 2018 Brendan Brennan Chief Financial Officer</w:t>
      </w:r>
    </w:p>
    <w:p>
      <w:pPr>
        <w:sectPr>
          <w:pgSz w:w="11900" w:h="16838" w:orient="portrait"/>
          <w:cols w:equalWidth="0" w:num="1">
            <w:col w:w="11240"/>
          </w:cols>
          <w:pgMar w:left="240" w:top="360"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Reports Third Quarter 2018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Excluding the impact of ASC 606, record net business wins in the quarter of $605 million, a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Excluding the impact of ASC 606, closing backlog of $5.3 billion, an increase of 10.5%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740"/>
        <w:spacing w:after="0" w:line="262" w:lineRule="auto"/>
        <w:rPr>
          <w:sz w:val="20"/>
          <w:szCs w:val="20"/>
          <w:color w:val="auto"/>
        </w:rPr>
      </w:pPr>
      <w:r>
        <w:rPr>
          <w:rFonts w:ascii="Times New Roman" w:cs="Times New Roman" w:eastAsia="Times New Roman" w:hAnsi="Times New Roman"/>
          <w:sz w:val="22"/>
          <w:szCs w:val="22"/>
          <w:b w:val="1"/>
          <w:bCs w:val="1"/>
          <w:color w:val="auto"/>
        </w:rPr>
        <w:t>Quarter 3 reported revenue of $655.0 million. Excluding the impact of ASC 606, quarter 3 revenue was $476.4 million, representing an 8.2% increase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200"/>
        <w:spacing w:after="0" w:line="262" w:lineRule="auto"/>
        <w:rPr>
          <w:sz w:val="20"/>
          <w:szCs w:val="20"/>
          <w:color w:val="auto"/>
        </w:rPr>
      </w:pPr>
      <w:r>
        <w:rPr>
          <w:rFonts w:ascii="Times New Roman" w:cs="Times New Roman" w:eastAsia="Times New Roman" w:hAnsi="Times New Roman"/>
          <w:sz w:val="22"/>
          <w:szCs w:val="22"/>
          <w:b w:val="1"/>
          <w:bCs w:val="1"/>
          <w:color w:val="auto"/>
        </w:rPr>
        <w:t>Reported income from operations was $97.9 million, or 15.0% of revenue. Excluding the impact of ASC 606, income from operations was $98.8 million, a 16.4% increase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Reported earnings per share of $1.54. Year to date earnings per share before non-recurring charges of $4.47.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b w:val="1"/>
          <w:bCs w:val="1"/>
          <w:color w:val="auto"/>
        </w:rPr>
        <w:t>Excluding the impact of ASC 606, earnings per share was $1.55, a 14.8% increase year on year.</w:t>
      </w:r>
    </w:p>
    <w:p>
      <w:pPr>
        <w:spacing w:after="0" w:line="178"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2"/>
          <w:szCs w:val="22"/>
          <w:color w:val="auto"/>
        </w:rPr>
        <w:t>DUBLIN--(BUSINESS WIRE)--October 24, 2018--</w:t>
      </w:r>
      <w:r>
        <w:rPr>
          <w:rFonts w:ascii="Times New Roman" w:cs="Times New Roman" w:eastAsia="Times New Roman" w:hAnsi="Times New Roman"/>
          <w:sz w:val="22"/>
          <w:szCs w:val="22"/>
          <w:b w:val="1"/>
          <w:bCs w:val="1"/>
          <w:color w:val="auto"/>
        </w:rPr>
        <w:t>ICON plc (NASDAQ: ICLR),</w:t>
      </w:r>
      <w:r>
        <w:rPr>
          <w:rFonts w:ascii="Times New Roman" w:cs="Times New Roman" w:eastAsia="Times New Roman" w:hAnsi="Times New Roman"/>
          <w:sz w:val="22"/>
          <w:szCs w:val="22"/>
          <w:color w:val="auto"/>
        </w:rPr>
        <w:t xml:space="preserve"> a global provider of drug development solutions and services to the pharmaceutical, biotechnology and medical device industries, today reported its financial results for the third quarter ended September 30, 2018.</w:t>
      </w:r>
    </w:p>
    <w:p>
      <w:pPr>
        <w:spacing w:after="0" w:line="1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1"/>
          <w:szCs w:val="21"/>
          <w:color w:val="auto"/>
        </w:rPr>
        <w:t xml:space="preserve">CEO Dr. Steve Cutler commented, </w:t>
      </w:r>
      <w:r>
        <w:rPr>
          <w:rFonts w:ascii="Times New Roman" w:cs="Times New Roman" w:eastAsia="Times New Roman" w:hAnsi="Times New Roman"/>
          <w:sz w:val="21"/>
          <w:szCs w:val="21"/>
          <w:i w:val="1"/>
          <w:iCs w:val="1"/>
          <w:color w:val="auto"/>
        </w:rPr>
        <w:t>“Quarter 3 was another strong quarter for ICON. Net business wins were a record $605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million, representing a book to bill of 1.27 and our backlog grew by 11% over last year to $5.3 billion. As a result, revenue grew over 8% to $476 million compared to the same quarter last year and earnings per share increased by 15% to $1.55. I am very pleased with our continued ability to execute our strategic plans which position us well for sustainable revenue and EPS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2018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Excluding the impact of ASC 606, gross business wins in the third quarter were $716 million and cancellations were $111 million.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resulted in net business wins of $605 million, a book to bill of 1.27.</w:t>
      </w:r>
    </w:p>
    <w:p>
      <w:pPr>
        <w:spacing w:after="0" w:line="18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Reported revenue for quarter 3 was $655.0 million. Excluding the impact of ASC 606, quarter 3 revenue increased to $476.4 million from $440.3 million in the same quarter last year, an increase of 8.2%.</w:t>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Reported income from operations in the quarter was $97.9 million or 15.0% of revenue. Excluding the impact of ASC 606, income from operations increased by 16.4% to $98.8 million, or 20.7% of revenue, compared to $84.9 million or 19.3% for the same quarter last year.</w:t>
      </w:r>
    </w:p>
    <w:p>
      <w:pPr>
        <w:spacing w:after="0" w:line="174"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Reported net income for the quarter was $84.5 million or 12.9% of revenue. Excluding the impact of ASC 606, net income increased by 15.1% to $85.3 million, compared with $74.2 million in the same quarter last year.</w:t>
      </w:r>
    </w:p>
    <w:p>
      <w:pPr>
        <w:spacing w:after="0" w:line="158"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2"/>
          <w:szCs w:val="22"/>
          <w:color w:val="auto"/>
        </w:rPr>
        <w:t>Reported earnings per share on a diluted basis was $1.54. Excluding the impact of ASC 606, diluted earnings per share increased by 14.8% to $1.55, compared to $1.35 per share for the same quarter last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to date 2018 Results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Excluding the impact of ASC 606, gross business wins year to date were $2,139 million and cancellations were $344 million. This resulted in net business wins of $1,795 million, a book to bill of 1.27.</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Year to date reported revenue was $1,916.8 million. Excluding the impact of ASC 606, year to date revenue increased to $1,412.9 million from $1,303.3 million in the same quarter last year, an increase of 8.4%.</w:t>
      </w:r>
    </w:p>
    <w:p>
      <w:pPr>
        <w:spacing w:after="0" w:line="158"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Reported income from operations year to date, before non-recurring charges was $284.1 million or 14.8% of revenue. Excluding the impact of ASC 606, income from operations before non-recurring charges increased by 12.2% to $287.6 million, or 20.4% of revenue, compared to $256.3 million or 19.7% for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220"/>
        <w:spacing w:after="0" w:line="244" w:lineRule="auto"/>
        <w:rPr>
          <w:sz w:val="20"/>
          <w:szCs w:val="20"/>
          <w:color w:val="auto"/>
        </w:rPr>
      </w:pPr>
      <w:r>
        <w:rPr>
          <w:rFonts w:ascii="Times New Roman" w:cs="Times New Roman" w:eastAsia="Times New Roman" w:hAnsi="Times New Roman"/>
          <w:sz w:val="22"/>
          <w:szCs w:val="22"/>
          <w:color w:val="auto"/>
        </w:rPr>
        <w:t>Reported net income year to date, before non-recurring charges was $245.5 million or 12.8% of revenue. Excluding the impact of ASC 606, net income before non-recurring charges increased by 14.5% to $248.7 million, compared with $217.2 million in the same quarter last year.</w:t>
      </w:r>
    </w:p>
    <w:p>
      <w:pPr>
        <w:spacing w:after="0" w:line="17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Reported earnings per share year to date on a diluted basis before non-recurring charges was $4.47. Excluding the impact of ASC 606, diluted earnings per share before non-recurring charges increased by 14.4% to $4.53, compared to $3.96 per share for the same quarter last year.</w:t>
      </w:r>
    </w:p>
    <w:p>
      <w:pPr>
        <w:spacing w:after="0" w:line="1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Days sales outstanding, comprising accounts receivable and unbilled revenue less payments on account, were 49 days at September 30, 2018, compared with 49 days at the end of June 2018 and 50 days at the end of September 2017.</w:t>
      </w:r>
    </w:p>
    <w:p>
      <w:pPr>
        <w:spacing w:after="0" w:line="158"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Cash generated from operating activities for the quarter was $128.1 million. Capital expenditure for the quarter was $11.2 million. As a result, at September 30, 2018, the company had net cash of $142.3 million, compared to net cash of $23.9 million at June 30, 2018 and net debt of $56.3 million at the end of September 2017.</w:t>
      </w:r>
    </w:p>
    <w:p>
      <w:pPr>
        <w:spacing w:after="0" w:line="17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new revenue recognition standard (ASU No. 2014-09) ‘Revenue from Contracts with Customers’ was effective for ICON plc from January 1, 2018. ICON has elected to adopt the new standard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Results for the three and nine months ended September 2017 are therefore presented under the previous revenue recognition accounting principles.</w:t>
      </w:r>
    </w:p>
    <w:p>
      <w:pPr>
        <w:spacing w:after="0" w:line="182"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8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ICON will hold its third quarter conference call tomorrow, October 25th, 2018 at 09:00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93 locations in 37 countries and has approximately 13,620 employees. Further information is available at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Source: ICON plc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Investor Relations +1888 381 7923 or</w:t>
      </w:r>
    </w:p>
    <w:p>
      <w:pPr>
        <w:spacing w:after="0" w:line="230" w:lineRule="auto"/>
        <w:rPr>
          <w:sz w:val="20"/>
          <w:szCs w:val="20"/>
          <w:color w:val="auto"/>
        </w:rPr>
      </w:pPr>
      <w:r>
        <w:rPr>
          <w:rFonts w:ascii="Times New Roman" w:cs="Times New Roman" w:eastAsia="Times New Roman" w:hAnsi="Times New Roman"/>
          <w:sz w:val="22"/>
          <w:szCs w:val="22"/>
          <w:color w:val="auto"/>
        </w:rPr>
        <w:t>Brendan Brennan Chief Financial Officer +353 1 291 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Jonathan Curtain Vice President Corporate Finance and Investor Relations +1 215 616 3000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(Before restructuring and other items)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2018 and September 30, 2017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5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8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Revenue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655,017</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596,169</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1,916,752</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1,766,016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Reimbursable expenses</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(155,846)</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(462,716)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440,323</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1,303,300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Direct costs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Reimbursable expenses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(179,642)</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(507,708)</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Other direct costs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(279,554)</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(259,672)</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(831,306)</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(760,175)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(80,819)</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(79,433)</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(242,670)</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(241,655)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(17,062)</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(16,280)</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(51,006)</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(45,123)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(557,077)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(355,385)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(1,632,690)</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(1,046,953)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97,940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84,938</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284,062</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256,347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(1,887)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(7,769)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96,053</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82,393</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276,918</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248,578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(11,526)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(8,239)</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(31,388)</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(31,414)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84,527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74,154</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245,530</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217,164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54,368,656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54,109,566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54,134,639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54,110,022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54,901,404</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54,756,184</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54,888,151</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54,840,112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8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2018 and September 30, 2017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5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8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Revenue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655,017</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596,169</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1,916,752</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1,766,016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Reimbursable expenses</w:t>
            </w: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(155,846)</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(462,716)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440,323</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1,303,300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Direct costs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Reimbursable expenses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(179,642)</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(507,708)</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Other direct costs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(279,554)</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(259,672)</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(831,306)</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(760,175)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(80,819)</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(79,433)</w:t>
            </w:r>
          </w:p>
        </w:tc>
        <w:tc>
          <w:tcPr>
            <w:tcW w:w="13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(242,670)</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(241,655)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(17,062)</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(16,280)</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(51,006)</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(45,123)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Restructuring costs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(12,490)</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(557,077)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(355,385)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(1,645,180)</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(1,054,706)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97,940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84,938</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271,572</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248,594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(1,887)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(7,769)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96,053</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82,393</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264,428</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240,825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(11,526)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(8,239)</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(29,935)</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(30,445)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84,527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74,154</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234,493</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210,380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 outstanding:</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54,368,656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54,109,566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54,134,639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54,110,022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54,901,404</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54,756,184</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54,888,151</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54,840,112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8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Impact of the adoption of ASC 606 on revenue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2018 and September 30, 2017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5"/>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ASC 606 Adjustments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Balances without adoption of ASC 606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655,017</w:t>
            </w:r>
          </w:p>
        </w:tc>
        <w:tc>
          <w:tcPr>
            <w:tcW w:w="184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color w:val="auto"/>
              </w:rPr>
              <w:t>1,022</w:t>
            </w:r>
          </w:p>
        </w:tc>
        <w:tc>
          <w:tcPr>
            <w:tcW w:w="3120" w:type="dxa"/>
            <w:vAlign w:val="bottom"/>
            <w:gridSpan w:val="4"/>
          </w:tcPr>
          <w:p>
            <w:pPr>
              <w:ind w:left="1360"/>
              <w:spacing w:after="0"/>
              <w:rPr>
                <w:sz w:val="20"/>
                <w:szCs w:val="20"/>
                <w:color w:val="auto"/>
              </w:rPr>
            </w:pPr>
            <w:r>
              <w:rPr>
                <w:rFonts w:ascii="Times New Roman" w:cs="Times New Roman" w:eastAsia="Times New Roman" w:hAnsi="Times New Roman"/>
                <w:sz w:val="14"/>
                <w:szCs w:val="14"/>
                <w:color w:val="auto"/>
              </w:rPr>
              <w:t>656,039</w:t>
            </w:r>
          </w:p>
        </w:tc>
        <w:tc>
          <w:tcPr>
            <w:tcW w:w="3420" w:type="dxa"/>
            <w:vAlign w:val="bottom"/>
            <w:gridSpan w:val="4"/>
          </w:tcPr>
          <w:p>
            <w:pPr>
              <w:jc w:val="right"/>
              <w:ind w:right="1368"/>
              <w:spacing w:after="0"/>
              <w:rPr>
                <w:sz w:val="20"/>
                <w:szCs w:val="20"/>
                <w:color w:val="auto"/>
              </w:rPr>
            </w:pPr>
            <w:r>
              <w:rPr>
                <w:rFonts w:ascii="Times New Roman" w:cs="Times New Roman" w:eastAsia="Times New Roman" w:hAnsi="Times New Roman"/>
                <w:sz w:val="14"/>
                <w:szCs w:val="14"/>
                <w:color w:val="auto"/>
              </w:rPr>
              <w:t>596,169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Reimbursable expenses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color w:val="auto"/>
              </w:rPr>
              <w:t>(179,642)</w:t>
            </w:r>
          </w:p>
        </w:tc>
        <w:tc>
          <w:tcPr>
            <w:tcW w:w="3120" w:type="dxa"/>
            <w:vAlign w:val="bottom"/>
            <w:gridSpan w:val="4"/>
          </w:tcPr>
          <w:p>
            <w:pPr>
              <w:jc w:val="right"/>
              <w:ind w:right="1168"/>
              <w:spacing w:after="0"/>
              <w:rPr>
                <w:sz w:val="20"/>
                <w:szCs w:val="20"/>
                <w:color w:val="auto"/>
              </w:rPr>
            </w:pPr>
            <w:r>
              <w:rPr>
                <w:rFonts w:ascii="Times New Roman" w:cs="Times New Roman" w:eastAsia="Times New Roman" w:hAnsi="Times New Roman"/>
                <w:sz w:val="14"/>
                <w:szCs w:val="14"/>
                <w:color w:val="auto"/>
              </w:rPr>
              <w:t>(179,642)</w:t>
            </w:r>
          </w:p>
        </w:tc>
        <w:tc>
          <w:tcPr>
            <w:tcW w:w="3420" w:type="dxa"/>
            <w:vAlign w:val="bottom"/>
            <w:gridSpan w:val="4"/>
          </w:tcPr>
          <w:p>
            <w:pPr>
              <w:jc w:val="right"/>
              <w:ind w:right="1308"/>
              <w:spacing w:after="0"/>
              <w:rPr>
                <w:sz w:val="20"/>
                <w:szCs w:val="20"/>
                <w:color w:val="auto"/>
              </w:rPr>
            </w:pPr>
            <w:r>
              <w:rPr>
                <w:rFonts w:ascii="Times New Roman" w:cs="Times New Roman" w:eastAsia="Times New Roman" w:hAnsi="Times New Roman"/>
                <w:sz w:val="14"/>
                <w:szCs w:val="14"/>
                <w:color w:val="auto"/>
              </w:rPr>
              <w:t>(155,846)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655,017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(178,620)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476,397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auto"/>
              <w:bottom w:val="single" w:sz="8" w:color="auto"/>
            </w:tcBorders>
            <w:gridSpan w:val="2"/>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440,323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ASC 606 Adjustments</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Balances without adoption of ASC 606</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1,916,752</w:t>
            </w:r>
          </w:p>
        </w:tc>
        <w:tc>
          <w:tcPr>
            <w:tcW w:w="18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color w:val="auto"/>
              </w:rPr>
              <w:t>3,867</w:t>
            </w:r>
          </w:p>
        </w:tc>
        <w:tc>
          <w:tcPr>
            <w:tcW w:w="3120" w:type="dxa"/>
            <w:vAlign w:val="bottom"/>
            <w:gridSpan w:val="4"/>
          </w:tcPr>
          <w:p>
            <w:pPr>
              <w:ind w:left="1360"/>
              <w:spacing w:after="0"/>
              <w:rPr>
                <w:sz w:val="20"/>
                <w:szCs w:val="20"/>
                <w:color w:val="auto"/>
              </w:rPr>
            </w:pPr>
            <w:r>
              <w:rPr>
                <w:rFonts w:ascii="Times New Roman" w:cs="Times New Roman" w:eastAsia="Times New Roman" w:hAnsi="Times New Roman"/>
                <w:sz w:val="14"/>
                <w:szCs w:val="14"/>
                <w:color w:val="auto"/>
              </w:rPr>
              <w:t>1,920,619</w:t>
            </w:r>
          </w:p>
        </w:tc>
        <w:tc>
          <w:tcPr>
            <w:tcW w:w="342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color w:val="auto"/>
              </w:rPr>
              <w:t>1,766,016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Reimbursable expenses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color w:val="auto"/>
              </w:rPr>
              <w:t>(507,708)</w:t>
            </w:r>
          </w:p>
        </w:tc>
        <w:tc>
          <w:tcPr>
            <w:tcW w:w="312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(507,708)</w:t>
            </w:r>
          </w:p>
        </w:tc>
        <w:tc>
          <w:tcPr>
            <w:tcW w:w="342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color w:val="auto"/>
              </w:rPr>
              <w:t>(462,716)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1,916,752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(503,841)</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300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1,412,911</w:t>
            </w: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3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1,303,300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7"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Summary Balance Sheet Data</w:t>
      </w:r>
    </w:p>
    <w:p>
      <w:pPr>
        <w:spacing w:after="0" w:line="206"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September 30, 2018 and June 30, 2018</w:t>
      </w:r>
    </w:p>
    <w:p>
      <w:pPr>
        <w:spacing w:after="0" w:line="206"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432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6"/>
        </w:trPr>
        <w:tc>
          <w:tcPr>
            <w:tcW w:w="4380" w:type="dxa"/>
            <w:vAlign w:val="bottom"/>
          </w:tcPr>
          <w:p>
            <w:pPr>
              <w:spacing w:after="0"/>
              <w:rPr>
                <w:sz w:val="15"/>
                <w:szCs w:val="15"/>
                <w:color w:val="auto"/>
              </w:rPr>
            </w:pPr>
          </w:p>
        </w:tc>
        <w:tc>
          <w:tcPr>
            <w:tcW w:w="432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90"/>
        </w:trPr>
        <w:tc>
          <w:tcPr>
            <w:tcW w:w="4380" w:type="dxa"/>
            <w:vAlign w:val="bottom"/>
          </w:tcPr>
          <w:p>
            <w:pPr>
              <w:spacing w:after="0"/>
              <w:rPr>
                <w:sz w:val="16"/>
                <w:szCs w:val="16"/>
                <w:color w:val="auto"/>
              </w:rPr>
            </w:pP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514"/>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Cash and short-term investments</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491,482</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372,996</w:t>
            </w:r>
          </w:p>
        </w:tc>
      </w:tr>
      <w:tr>
        <w:trPr>
          <w:trHeight w:val="17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43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(349,169)</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(349,074)</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Net cash/(debt)</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142,313</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23,922</w:t>
            </w:r>
          </w:p>
        </w:tc>
      </w:tr>
      <w:tr>
        <w:trPr>
          <w:trHeight w:val="351"/>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Net Accounts Receivable</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358,151</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352,332</w:t>
            </w:r>
          </w:p>
        </w:tc>
      </w:tr>
      <w:tr>
        <w:trPr>
          <w:trHeight w:val="351"/>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703,401</w:t>
            </w:r>
          </w:p>
        </w:tc>
        <w:tc>
          <w:tcPr>
            <w:tcW w:w="17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600,398</w:t>
            </w:r>
          </w:p>
        </w:tc>
      </w:tr>
      <w:tr>
        <w:trPr>
          <w:trHeight w:val="351"/>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2,325,728</w:t>
            </w:r>
          </w:p>
        </w:tc>
        <w:tc>
          <w:tcPr>
            <w:tcW w:w="17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rPr>
              <w:t>2,174,496</w:t>
            </w:r>
          </w:p>
        </w:tc>
      </w:tr>
      <w:tr>
        <w:trPr>
          <w:trHeight w:val="351"/>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432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1,334,484</w:t>
            </w:r>
          </w:p>
        </w:tc>
        <w:tc>
          <w:tcPr>
            <w:tcW w:w="17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rPr>
              <w:t>1,238,748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230" w:lineRule="auto"/>
        <w:rPr>
          <w:sz w:val="20"/>
          <w:szCs w:val="20"/>
          <w:color w:val="auto"/>
        </w:rPr>
      </w:pPr>
      <w:r>
        <w:rPr>
          <w:rFonts w:ascii="Times New Roman" w:cs="Times New Roman" w:eastAsia="Times New Roman" w:hAnsi="Times New Roman"/>
          <w:sz w:val="22"/>
          <w:szCs w:val="22"/>
          <w:color w:val="auto"/>
        </w:rPr>
        <w:t>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+1 888 381 7923</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Brendan Brennan</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+353 1 291 2000</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Jonathan Curtain</w:t>
      </w:r>
    </w:p>
    <w:p>
      <w:pPr>
        <w:spacing w:after="0" w:line="231" w:lineRule="auto"/>
        <w:rPr>
          <w:sz w:val="20"/>
          <w:szCs w:val="20"/>
          <w:color w:val="auto"/>
        </w:rPr>
      </w:pPr>
      <w:r>
        <w:rPr>
          <w:rFonts w:ascii="Times New Roman" w:cs="Times New Roman" w:eastAsia="Times New Roman" w:hAnsi="Times New Roman"/>
          <w:sz w:val="22"/>
          <w:szCs w:val="22"/>
          <w:color w:val="auto"/>
        </w:rPr>
        <w:t>Vice President Corporate Finance &amp;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+1 215 616 3000</w:t>
      </w:r>
    </w:p>
    <w:p>
      <w:pPr>
        <w:spacing w:after="0"/>
        <w:rPr>
          <w:sz w:val="20"/>
          <w:szCs w:val="20"/>
          <w:color w:val="auto"/>
        </w:rPr>
      </w:pPr>
      <w:r>
        <w:rPr>
          <w:rFonts w:ascii="Times New Roman" w:cs="Times New Roman" w:eastAsia="Times New Roman" w:hAnsi="Times New Roman"/>
          <w:sz w:val="22"/>
          <w:szCs w:val="22"/>
          <w:color w:val="auto"/>
        </w:rPr>
        <w:t>http://www.iconplc.com</w:t>
      </w:r>
    </w:p>
    <w:sectPr>
      <w:pgSz w:w="11900" w:h="16838" w:orient="portrait"/>
      <w:cols w:equalWidth="0" w:num="1">
        <w:col w:w="10400"/>
      </w:cols>
      <w:pgMar w:left="240" w:top="108"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2019-12-06T12:17:44Z</dcterms:created>
  <dcterms:modified xsi:type="dcterms:W3CDTF">2019-12-06T12:17:44Z</dcterms:modified>
</cp:coreProperties>
</file>