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81"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FORM 6-K</w:t>
      </w:r>
    </w:p>
    <w:p>
      <w:pPr>
        <w:spacing w:after="0" w:line="225" w:lineRule="exact"/>
        <w:rPr>
          <w:sz w:val="24"/>
          <w:szCs w:val="24"/>
          <w:color w:val="auto"/>
        </w:rPr>
      </w:pPr>
    </w:p>
    <w:p>
      <w:pPr>
        <w:jc w:val="center"/>
        <w:ind w:left="360" w:right="20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April 2009</w:t>
      </w:r>
      <w:r>
        <w:rPr>
          <w:rFonts w:ascii="Arial" w:cs="Arial" w:eastAsia="Arial" w:hAnsi="Arial"/>
          <w:sz w:val="18"/>
          <w:szCs w:val="18"/>
          <w:color w:val="auto"/>
        </w:rPr>
        <w:t>.</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333-08704</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ICON plc</w:t>
      </w:r>
    </w:p>
    <w:p>
      <w:pPr>
        <w:spacing w:after="0" w:line="4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(Translation of registrant's name into English)</w:t>
      </w:r>
    </w:p>
    <w:p>
      <w:pPr>
        <w:spacing w:after="0" w:line="19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South County Business Park, Leopardstown, Dublin 18, Ireland</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5"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color w:val="auto"/>
        </w:rPr>
        <w:t>Form 20-F [ x ]</w:t>
      </w:r>
      <w:r>
        <w:rPr>
          <w:sz w:val="20"/>
          <w:szCs w:val="20"/>
          <w:color w:val="auto"/>
        </w:rPr>
        <w:tab/>
      </w:r>
      <w:r>
        <w:rPr>
          <w:rFonts w:ascii="Arial" w:cs="Arial" w:eastAsia="Arial" w:hAnsi="Arial"/>
          <w:sz w:val="16"/>
          <w:szCs w:val="16"/>
          <w:color w:val="auto"/>
        </w:rPr>
        <w:t>Form 40-F [  ]</w:t>
      </w:r>
    </w:p>
    <w:p>
      <w:pPr>
        <w:spacing w:after="0" w:line="219" w:lineRule="exact"/>
        <w:rPr>
          <w:sz w:val="24"/>
          <w:szCs w:val="24"/>
          <w:color w:val="auto"/>
        </w:rPr>
      </w:pPr>
    </w:p>
    <w:p>
      <w:pPr>
        <w:spacing w:after="0"/>
        <w:tabs>
          <w:tab w:leader="none" w:pos="8980" w:val="left"/>
        </w:tabs>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w:t>
      </w:r>
      <w:r>
        <w:rPr>
          <w:sz w:val="20"/>
          <w:szCs w:val="20"/>
          <w:color w:val="auto"/>
        </w:rPr>
        <w:tab/>
      </w:r>
      <w:r>
        <w:rPr>
          <w:rFonts w:ascii="Arial" w:cs="Arial" w:eastAsia="Arial" w:hAnsi="Arial"/>
          <w:sz w:val="18"/>
          <w:szCs w:val="18"/>
          <w:color w:val="auto"/>
        </w:rPr>
        <w:t>]</w:t>
      </w:r>
    </w:p>
    <w:p>
      <w:pPr>
        <w:spacing w:after="0" w:line="219" w:lineRule="exact"/>
        <w:rPr>
          <w:sz w:val="24"/>
          <w:szCs w:val="24"/>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Regulation S-T Rule 101(b)(1) only permits the submission in paper of a Form 6-K if submitted solely to provide an attached annual report to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holders.</w:t>
      </w:r>
    </w:p>
    <w:p>
      <w:pPr>
        <w:spacing w:after="0" w:line="180" w:lineRule="exact"/>
        <w:rPr>
          <w:sz w:val="24"/>
          <w:szCs w:val="24"/>
          <w:color w:val="auto"/>
        </w:rPr>
      </w:pPr>
    </w:p>
    <w:p>
      <w:pPr>
        <w:spacing w:after="0"/>
        <w:tabs>
          <w:tab w:leader="none" w:pos="8980" w:val="left"/>
        </w:tabs>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w:t>
      </w:r>
      <w:r>
        <w:rPr>
          <w:sz w:val="20"/>
          <w:szCs w:val="20"/>
          <w:color w:val="auto"/>
        </w:rPr>
        <w:tab/>
      </w:r>
      <w:r>
        <w:rPr>
          <w:rFonts w:ascii="Arial" w:cs="Arial" w:eastAsia="Arial" w:hAnsi="Arial"/>
          <w:sz w:val="18"/>
          <w:szCs w:val="18"/>
          <w:color w:val="auto"/>
        </w:rPr>
        <w:t>]</w:t>
      </w:r>
    </w:p>
    <w:p>
      <w:pPr>
        <w:spacing w:after="0" w:line="219" w:lineRule="exact"/>
        <w:rPr>
          <w:sz w:val="24"/>
          <w:szCs w:val="24"/>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Regulation S-T Rule 101(b)(7) only permits the submission in paper of a Form 6-K if submitted to furnish a report or other document that the registrant</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6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 Yes [ ] No [ x ]</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On April 28, 2009 the Registrant issued a press release, a copy of which is attached hereto as Exhibit 99.1 and is incorporated herein by reference.</w:t>
      </w:r>
    </w:p>
    <w:p>
      <w:pPr>
        <w:spacing w:after="0" w:line="200" w:lineRule="exact"/>
        <w:rPr>
          <w:sz w:val="24"/>
          <w:szCs w:val="24"/>
          <w:color w:val="auto"/>
        </w:rPr>
      </w:pPr>
    </w:p>
    <w:p>
      <w:pPr>
        <w:spacing w:after="0" w:line="264"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 99.1. Press release dated April 28,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6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800" w:type="dxa"/>
            <w:vAlign w:val="bottom"/>
            <w:gridSpan w:val="3"/>
          </w:tcPr>
          <w:p>
            <w:pPr>
              <w:jc w:val="center"/>
              <w:spacing w:after="0"/>
              <w:rPr>
                <w:sz w:val="20"/>
                <w:szCs w:val="20"/>
                <w:color w:val="auto"/>
              </w:rPr>
            </w:pPr>
            <w:r>
              <w:rPr>
                <w:rFonts w:ascii="Arial" w:cs="Arial" w:eastAsia="Arial" w:hAnsi="Arial"/>
                <w:sz w:val="22"/>
                <w:szCs w:val="22"/>
                <w:b w:val="1"/>
                <w:bCs w:val="1"/>
                <w:color w:val="auto"/>
                <w:w w:val="94"/>
              </w:rPr>
              <w:t>ICON plc</w:t>
            </w:r>
          </w:p>
        </w:tc>
      </w:tr>
      <w:tr>
        <w:trPr>
          <w:trHeight w:val="235"/>
        </w:trPr>
        <w:tc>
          <w:tcPr>
            <w:tcW w:w="46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(Registrant)</w:t>
            </w:r>
          </w:p>
        </w:tc>
        <w:tc>
          <w:tcPr>
            <w:tcW w:w="460" w:type="dxa"/>
            <w:vAlign w:val="bottom"/>
          </w:tcPr>
          <w:p>
            <w:pPr>
              <w:spacing w:after="0"/>
              <w:rPr>
                <w:sz w:val="20"/>
                <w:szCs w:val="20"/>
                <w:color w:val="auto"/>
              </w:rPr>
            </w:pPr>
          </w:p>
        </w:tc>
      </w:tr>
      <w:tr>
        <w:trPr>
          <w:trHeight w:val="421"/>
        </w:trPr>
        <w:tc>
          <w:tcPr>
            <w:tcW w:w="4660" w:type="dxa"/>
            <w:vAlign w:val="bottom"/>
          </w:tcPr>
          <w:p>
            <w:pPr>
              <w:spacing w:after="0"/>
              <w:rPr>
                <w:sz w:val="20"/>
                <w:szCs w:val="20"/>
                <w:color w:val="auto"/>
              </w:rPr>
            </w:pPr>
            <w:r>
              <w:rPr>
                <w:rFonts w:ascii="Arial" w:cs="Arial" w:eastAsia="Arial" w:hAnsi="Arial"/>
                <w:sz w:val="18"/>
                <w:szCs w:val="18"/>
                <w:color w:val="auto"/>
              </w:rPr>
              <w:t>Date: April 29, 2009</w:t>
            </w:r>
          </w:p>
        </w:tc>
        <w:tc>
          <w:tcPr>
            <w:tcW w:w="4980" w:type="dxa"/>
            <w:vAlign w:val="bottom"/>
            <w:gridSpan w:val="4"/>
          </w:tcPr>
          <w:p>
            <w:pPr>
              <w:jc w:val="center"/>
              <w:ind w:left="3032"/>
              <w:spacing w:after="0"/>
              <w:rPr>
                <w:sz w:val="20"/>
                <w:szCs w:val="20"/>
                <w:color w:val="auto"/>
              </w:rPr>
            </w:pPr>
            <w:r>
              <w:rPr>
                <w:rFonts w:ascii="Arial" w:cs="Arial" w:eastAsia="Arial" w:hAnsi="Arial"/>
                <w:sz w:val="18"/>
                <w:szCs w:val="18"/>
                <w:b w:val="1"/>
                <w:bCs w:val="1"/>
                <w:color w:val="auto"/>
                <w:w w:val="97"/>
              </w:rPr>
              <w:t>/s/ CIARAN MURRAY</w:t>
            </w:r>
          </w:p>
        </w:tc>
      </w:tr>
      <w:tr>
        <w:trPr>
          <w:trHeight w:val="228"/>
        </w:trPr>
        <w:tc>
          <w:tcPr>
            <w:tcW w:w="46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8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Ciaran Murray</w:t>
            </w:r>
          </w:p>
        </w:tc>
      </w:tr>
      <w:tr>
        <w:trPr>
          <w:trHeight w:val="222"/>
        </w:trPr>
        <w:tc>
          <w:tcPr>
            <w:tcW w:w="46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2"/>
              </w:rPr>
              <w:t>Chief Financial Officer</w:t>
            </w:r>
          </w:p>
        </w:tc>
      </w:tr>
    </w:tbl>
    <w:p>
      <w:pPr>
        <w:sectPr>
          <w:pgSz w:w="11900" w:h="16838" w:orient="portrait"/>
          <w:cols w:equalWidth="0" w:num="1">
            <w:col w:w="11300"/>
          </w:cols>
          <w:pgMar w:left="240" w:top="219" w:right="359" w:bottom="1440" w:gutter="0" w:footer="0" w:header="0"/>
        </w:sectPr>
      </w:pPr>
    </w:p>
    <w:bookmarkStart w:id="1" w:name="page2"/>
    <w:bookmarkEnd w:id="1"/>
    <w:p>
      <w:pPr>
        <w:ind w:left="10120"/>
        <w:spacing w:after="0"/>
        <w:rPr>
          <w:sz w:val="20"/>
          <w:szCs w:val="20"/>
          <w:color w:val="auto"/>
        </w:rPr>
      </w:pPr>
      <w:r>
        <w:rPr>
          <w:rFonts w:ascii="Arial" w:cs="Arial" w:eastAsia="Arial" w:hAnsi="Arial"/>
          <w:sz w:val="21"/>
          <w:szCs w:val="21"/>
          <w:color w:val="auto"/>
        </w:rPr>
        <w:t>EXHIBIT 99.1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ICON Reports 9% Increase in Revenue, 25% Increase in EPS and Acquisition of a U.S. Phase I Facility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Highlights - First Quarter Fiscal 2009</w:t>
      </w:r>
    </w:p>
    <w:p>
      <w:pPr>
        <w:spacing w:after="0" w:line="207" w:lineRule="exact"/>
        <w:rPr>
          <w:sz w:val="20"/>
          <w:szCs w:val="20"/>
          <w:color w:val="auto"/>
        </w:rPr>
      </w:pPr>
    </w:p>
    <w:p>
      <w:pPr>
        <w:ind w:left="320" w:right="4780" w:hanging="207"/>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quarter net revenues increased 9% over the comparative quarter, to $219.8 million.</w:t>
      </w:r>
    </w:p>
    <w:p>
      <w:pPr>
        <w:spacing w:after="0" w:line="202" w:lineRule="exact"/>
        <w:rPr>
          <w:rFonts w:ascii="Courier New" w:cs="Courier New" w:eastAsia="Courier New" w:hAnsi="Courier New"/>
          <w:sz w:val="18"/>
          <w:szCs w:val="18"/>
          <w:color w:val="auto"/>
        </w:rPr>
      </w:pPr>
    </w:p>
    <w:p>
      <w:pPr>
        <w:ind w:left="320" w:hanging="207"/>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from operations increased by 25%, to $26.9 million.</w:t>
      </w:r>
    </w:p>
    <w:p>
      <w:pPr>
        <w:spacing w:after="0" w:line="201" w:lineRule="exact"/>
        <w:rPr>
          <w:rFonts w:ascii="Courier New" w:cs="Courier New" w:eastAsia="Courier New" w:hAnsi="Courier New"/>
          <w:sz w:val="18"/>
          <w:szCs w:val="18"/>
          <w:color w:val="auto"/>
        </w:rPr>
      </w:pPr>
    </w:p>
    <w:p>
      <w:pPr>
        <w:ind w:left="320" w:hanging="207"/>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margins expanded to 12.2% from 10.7%</w:t>
      </w:r>
    </w:p>
    <w:p>
      <w:pPr>
        <w:spacing w:after="0" w:line="201" w:lineRule="exact"/>
        <w:rPr>
          <w:rFonts w:ascii="Courier New" w:cs="Courier New" w:eastAsia="Courier New" w:hAnsi="Courier New"/>
          <w:sz w:val="18"/>
          <w:szCs w:val="18"/>
          <w:color w:val="auto"/>
        </w:rPr>
      </w:pPr>
    </w:p>
    <w:p>
      <w:pPr>
        <w:ind w:left="320" w:hanging="207"/>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earnings per share increased by 25%, to 35 cents.</w:t>
      </w:r>
    </w:p>
    <w:p>
      <w:pPr>
        <w:spacing w:after="0" w:line="206" w:lineRule="exact"/>
        <w:rPr>
          <w:rFonts w:ascii="Courier New" w:cs="Courier New" w:eastAsia="Courier New" w:hAnsi="Courier New"/>
          <w:sz w:val="18"/>
          <w:szCs w:val="18"/>
          <w:color w:val="auto"/>
        </w:rPr>
      </w:pPr>
    </w:p>
    <w:p>
      <w:pPr>
        <w:ind w:left="320" w:right="4680" w:hanging="207"/>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new business wins in the quarter of $265m, representing a book-to-bill ratio of 1.2.</w:t>
      </w:r>
    </w:p>
    <w:p>
      <w:pPr>
        <w:spacing w:after="0" w:line="202" w:lineRule="exact"/>
        <w:rPr>
          <w:rFonts w:ascii="Courier New" w:cs="Courier New" w:eastAsia="Courier New" w:hAnsi="Courier New"/>
          <w:sz w:val="18"/>
          <w:szCs w:val="18"/>
          <w:color w:val="auto"/>
        </w:rPr>
      </w:pPr>
    </w:p>
    <w:p>
      <w:pPr>
        <w:ind w:left="320" w:hanging="207"/>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Acquired a 100 bed Phase I unit in Omaha, Nebraska.</w:t>
      </w:r>
    </w:p>
    <w:p>
      <w:pPr>
        <w:spacing w:after="0" w:line="197"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DUBLIN, Ireland, April 28, 2009 (GLOBE NEWSWIRE) -- ICON (Nasdaq:ICLR) (ISIN:IE0005711209), a global provider of outsourced development services to the pharmaceutical, biotechnology and medical device industries, today reported its financial results for the first quarter ended March 31, 2009.</w:t>
      </w:r>
    </w:p>
    <w:p>
      <w:pPr>
        <w:spacing w:after="0" w:line="186"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Net revenues for the quarter were $219.8 million, representing a 9.2% increase over net revenues of $201.3 million for the comparative quarter last year.</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Income from operations was $26.9 million or 12.2% of revenue, compared to $21.5 million or 10.7% for the same quarter last year.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Net income was $20.9 million or 35 cents per share on a diluted basis, compared with $16.9 million or 28 cents per share last year.</w:t>
      </w:r>
    </w:p>
    <w:p>
      <w:pPr>
        <w:spacing w:after="0" w:line="22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59 days at March 31, 2009, compared to 69 days at December 31, 2008.</w:t>
      </w:r>
    </w:p>
    <w:p>
      <w:pPr>
        <w:spacing w:after="0" w:line="173"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For the quarter ended March 31, 2009, cash provided from operating activities was $24.7 million and capital expenditure was $8.1 million. As a result, the company's net debt, amounted to $2.2 million at March 31, 2009, compared to net debt of $4.3 million at December 31, 2008.</w:t>
      </w:r>
    </w:p>
    <w:p>
      <w:pPr>
        <w:spacing w:after="0" w:line="186"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"The last quarter represented a solid start to 2009," commented Chairman Dr. John Climax. "Revenue was 9% ahead of prior year and earnings per share were up 25%."</w:t>
      </w:r>
    </w:p>
    <w:p>
      <w:pPr>
        <w:spacing w:after="0" w:line="173"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"In a much more difficult market, we are pleased with the results for the quarter," said CEO Peter Gray. "Further margin expansion, despite some challenges, led to an overall increase in operating income of 25% compared to the same period last year. Business activity, which was slow to develop early in the quarter, finished strongly to deliver solid net business wins of $265 million and a book to bill of 1.2.</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"Demonstrating our confidence in the long term health of the market, on April 20th we acquired the assets of the former Qualia Clinical Services, a Phase I facility based in Omaha, Nebraska, and intend to reopen the unit in May. This investment is expected to be moderately dilutive to 2009 earnings (approx 4 - 6c). Excluding this, we continue to expect to achieve the 2009 guidance given in January, albeit at the lower end."</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The company will hold its first quarter conference call today, April 28, 2009 at 9:00 EDT (14:00 Ireland &amp; UK). This call and linked slide presentation can be accessed live from our website at http://www.iconplc.com.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financial information presented herein has been prepared in accordance with U.S. GAAP.</w:t>
      </w:r>
    </w:p>
    <w:p>
      <w:pPr>
        <w:spacing w:after="0" w:line="206" w:lineRule="exact"/>
        <w:rPr>
          <w:sz w:val="20"/>
          <w:szCs w:val="20"/>
          <w:color w:val="auto"/>
        </w:rPr>
      </w:pPr>
    </w:p>
    <w:p>
      <w:pPr>
        <w:ind w:right="480"/>
        <w:spacing w:after="0" w:line="236"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71 locations in 38 countries and has approximately 7,100 employees. Further information is available at www.iconplc.com.</w:t>
      </w:r>
    </w:p>
    <w:p>
      <w:pPr>
        <w:sectPr>
          <w:pgSz w:w="11900" w:h="16838" w:orient="portrait"/>
          <w:cols w:equalWidth="0" w:num="1">
            <w:col w:w="11420"/>
          </w:cols>
          <w:pgMar w:left="240" w:top="118" w:right="239" w:bottom="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ICON/ICLR-F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Consolidated Income Statements (Unaudited)</w:t>
      </w:r>
    </w:p>
    <w:p>
      <w:pPr>
        <w:spacing w:after="0" w:line="20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Three Months ended March 31, 2009 and March 31, 2008</w:t>
      </w:r>
    </w:p>
    <w:p>
      <w:pPr>
        <w:jc w:val="center"/>
        <w:ind w:right="2819"/>
        <w:spacing w:after="0" w:line="238" w:lineRule="auto"/>
        <w:rPr>
          <w:sz w:val="20"/>
          <w:szCs w:val="20"/>
          <w:color w:val="auto"/>
        </w:rPr>
      </w:pPr>
      <w:r>
        <w:rPr>
          <w:rFonts w:ascii="Courier New" w:cs="Courier New" w:eastAsia="Courier New" w:hAnsi="Courier New"/>
          <w:sz w:val="18"/>
          <w:szCs w:val="18"/>
          <w:color w:val="auto"/>
        </w:rPr>
        <w:t>(Dollars, in thousands, except share and per share data)</w:t>
      </w: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March 31,</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March 31,</w:t>
            </w:r>
          </w:p>
        </w:tc>
      </w:tr>
      <w:tr>
        <w:trPr>
          <w:trHeight w:val="203"/>
        </w:trPr>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2009</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2008</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Gross Revenue</w:t>
            </w:r>
          </w:p>
        </w:tc>
        <w:tc>
          <w:tcPr>
            <w:tcW w:w="2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318,538</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283,853</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Reimbursable expenses</w:t>
            </w:r>
          </w:p>
        </w:tc>
        <w:tc>
          <w:tcPr>
            <w:tcW w:w="2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98,707</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82,509</w:t>
            </w:r>
          </w:p>
        </w:tc>
      </w:tr>
      <w:tr>
        <w:trPr>
          <w:trHeight w:val="405"/>
        </w:trPr>
        <w:tc>
          <w:tcPr>
            <w:tcW w:w="4520" w:type="dxa"/>
            <w:vAlign w:val="bottom"/>
          </w:tcPr>
          <w:p>
            <w:pPr>
              <w:spacing w:after="0"/>
              <w:rPr>
                <w:sz w:val="24"/>
                <w:szCs w:val="24"/>
                <w:color w:val="auto"/>
              </w:rPr>
            </w:pPr>
          </w:p>
        </w:tc>
        <w:tc>
          <w:tcPr>
            <w:tcW w:w="14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219,831</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201,344</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costs</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124,168</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113,189</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61,258</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60,545</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7,490</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6,098</w:t>
            </w:r>
          </w:p>
        </w:tc>
      </w:tr>
      <w:tr>
        <w:trPr>
          <w:trHeight w:val="405"/>
        </w:trPr>
        <w:tc>
          <w:tcPr>
            <w:tcW w:w="4520" w:type="dxa"/>
            <w:vAlign w:val="bottom"/>
          </w:tcPr>
          <w:p>
            <w:pPr>
              <w:spacing w:after="0"/>
              <w:rPr>
                <w:sz w:val="24"/>
                <w:szCs w:val="24"/>
                <w:color w:val="auto"/>
              </w:rPr>
            </w:pPr>
          </w:p>
        </w:tc>
        <w:tc>
          <w:tcPr>
            <w:tcW w:w="14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192,916</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179,832</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2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26,915</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21,512</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Net interest expense</w:t>
            </w:r>
          </w:p>
        </w:tc>
        <w:tc>
          <w:tcPr>
            <w:tcW w:w="22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(736)</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(43)</w:t>
            </w:r>
          </w:p>
        </w:tc>
      </w:tr>
      <w:tr>
        <w:trPr>
          <w:trHeight w:val="405"/>
        </w:trPr>
        <w:tc>
          <w:tcPr>
            <w:tcW w:w="4520" w:type="dxa"/>
            <w:vAlign w:val="bottom"/>
          </w:tcPr>
          <w:p>
            <w:pPr>
              <w:spacing w:after="0"/>
              <w:rPr>
                <w:sz w:val="24"/>
                <w:szCs w:val="24"/>
                <w:color w:val="auto"/>
              </w:rPr>
            </w:pPr>
          </w:p>
        </w:tc>
        <w:tc>
          <w:tcPr>
            <w:tcW w:w="14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 taxes</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26,179</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21,469</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5,235</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4,247</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20,944</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16,894</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Net income per ordinary share</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0.29</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0.35</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0.28</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w w:val="99"/>
              </w:rPr>
              <w:t>Weighted average number of ordinary shares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58,537,795</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57,805,260</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14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59,771,335</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60,079,472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Summary Balance Sheet Data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March 31, 2009 and December 31, 2008</w:t>
      </w:r>
    </w:p>
    <w:p>
      <w:pPr>
        <w:ind w:left="2440"/>
        <w:spacing w:after="0" w:line="238" w:lineRule="auto"/>
        <w:rPr>
          <w:sz w:val="20"/>
          <w:szCs w:val="20"/>
          <w:color w:val="auto"/>
        </w:rPr>
      </w:pPr>
      <w:r>
        <w:rPr>
          <w:rFonts w:ascii="Courier New" w:cs="Courier New" w:eastAsia="Courier New" w:hAnsi="Courier New"/>
          <w:sz w:val="18"/>
          <w:szCs w:val="18"/>
          <w:color w:val="auto"/>
        </w:rPr>
        <w:t>(Dollars,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000" w:type="dxa"/>
            <w:vAlign w:val="bottom"/>
          </w:tcPr>
          <w:p>
            <w:pPr>
              <w:spacing w:after="0"/>
              <w:rPr>
                <w:sz w:val="17"/>
                <w:szCs w:val="17"/>
                <w:color w:val="auto"/>
              </w:rPr>
            </w:pP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March 31,</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000" w:type="dxa"/>
            <w:vAlign w:val="bottom"/>
          </w:tcPr>
          <w:p>
            <w:pPr>
              <w:spacing w:after="0"/>
              <w:rPr>
                <w:sz w:val="17"/>
                <w:szCs w:val="17"/>
                <w:color w:val="auto"/>
              </w:rPr>
            </w:pPr>
          </w:p>
        </w:tc>
        <w:tc>
          <w:tcPr>
            <w:tcW w:w="1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2009</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400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(audited)</w:t>
            </w:r>
          </w:p>
        </w:tc>
      </w:tr>
      <w:tr>
        <w:trPr>
          <w:trHeight w:val="405"/>
        </w:trPr>
        <w:tc>
          <w:tcPr>
            <w:tcW w:w="4000" w:type="dxa"/>
            <w:vAlign w:val="bottom"/>
          </w:tcPr>
          <w:p>
            <w:pPr>
              <w:spacing w:after="0"/>
              <w:rPr>
                <w:sz w:val="20"/>
                <w:szCs w:val="20"/>
                <w:color w:val="auto"/>
              </w:rPr>
            </w:pPr>
            <w:r>
              <w:rPr>
                <w:rFonts w:ascii="Courier New" w:cs="Courier New" w:eastAsia="Courier New" w:hAnsi="Courier New"/>
                <w:sz w:val="18"/>
                <w:szCs w:val="18"/>
                <w:color w:val="auto"/>
              </w:rPr>
              <w:t>Cash and short-term investments</w:t>
            </w:r>
          </w:p>
        </w:tc>
        <w:tc>
          <w:tcPr>
            <w:tcW w:w="1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96,998</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101,104</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Debt</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(99,211)</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105,379</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debt</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(2,213)</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(4,275)</w:t>
            </w:r>
          </w:p>
        </w:tc>
      </w:tr>
      <w:tr>
        <w:trPr>
          <w:trHeight w:val="405"/>
        </w:trPr>
        <w:tc>
          <w:tcPr>
            <w:tcW w:w="4000" w:type="dxa"/>
            <w:vAlign w:val="bottom"/>
          </w:tcPr>
          <w:p>
            <w:pPr>
              <w:spacing w:after="0"/>
              <w:rPr>
                <w:sz w:val="20"/>
                <w:szCs w:val="20"/>
                <w:color w:val="auto"/>
              </w:rPr>
            </w:pPr>
            <w:r>
              <w:rPr>
                <w:rFonts w:ascii="Courier New" w:cs="Courier New" w:eastAsia="Courier New" w:hAnsi="Courier New"/>
                <w:sz w:val="18"/>
                <w:szCs w:val="18"/>
                <w:color w:val="auto"/>
              </w:rPr>
              <w:t>Accounts receivable</w:t>
            </w:r>
          </w:p>
        </w:tc>
        <w:tc>
          <w:tcPr>
            <w:tcW w:w="1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222,564</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210,535</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Unbilled revenue</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122,757</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141,727</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on account</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(134,989)</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(121,935)</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210,332</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230,327</w:t>
            </w:r>
          </w:p>
        </w:tc>
      </w:tr>
      <w:tr>
        <w:trPr>
          <w:trHeight w:val="405"/>
        </w:trPr>
        <w:tc>
          <w:tcPr>
            <w:tcW w:w="4000" w:type="dxa"/>
            <w:vAlign w:val="bottom"/>
          </w:tcPr>
          <w:p>
            <w:pPr>
              <w:spacing w:after="0"/>
              <w:rPr>
                <w:sz w:val="20"/>
                <w:szCs w:val="20"/>
                <w:color w:val="auto"/>
              </w:rPr>
            </w:pPr>
            <w:r>
              <w:rPr>
                <w:rFonts w:ascii="Courier New" w:cs="Courier New" w:eastAsia="Courier New" w:hAnsi="Courier New"/>
                <w:sz w:val="18"/>
                <w:szCs w:val="18"/>
                <w:color w:val="auto"/>
              </w:rPr>
              <w:t>Working Capital</w:t>
            </w:r>
          </w:p>
        </w:tc>
        <w:tc>
          <w:tcPr>
            <w:tcW w:w="1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209,099</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185,957</w:t>
            </w:r>
          </w:p>
        </w:tc>
      </w:tr>
    </w:tbl>
    <w:p>
      <w:pPr>
        <w:sectPr>
          <w:pgSz w:w="11900" w:h="16838" w:orient="portrait"/>
          <w:cols w:equalWidth="0" w:num="1">
            <w:col w:w="10219"/>
          </w:cols>
          <w:pgMar w:left="240" w:top="118" w:right="1440" w:bottom="0" w:gutter="0" w:footer="0" w:header="0"/>
        </w:sectPr>
      </w:pPr>
    </w:p>
    <w:bookmarkStart w:id="3" w:name="page4"/>
    <w:bookmarkEnd w:id="3"/>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2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2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850,536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867,285</w:t>
            </w:r>
          </w:p>
        </w:tc>
      </w:tr>
      <w:tr>
        <w:trPr>
          <w:trHeight w:val="405"/>
        </w:trPr>
        <w:tc>
          <w:tcPr>
            <w:tcW w:w="35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2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474,391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456,366</w:t>
            </w:r>
          </w:p>
        </w:tc>
      </w:tr>
    </w:tbl>
    <w:p>
      <w:pPr>
        <w:spacing w:after="0" w:line="1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ICON plc</w:t>
      </w:r>
    </w:p>
    <w:p>
      <w:pPr>
        <w:ind w:left="1060"/>
        <w:spacing w:after="0" w:line="238" w:lineRule="auto"/>
        <w:rPr>
          <w:sz w:val="20"/>
          <w:szCs w:val="20"/>
          <w:color w:val="auto"/>
        </w:rPr>
      </w:pPr>
      <w:r>
        <w:rPr>
          <w:rFonts w:ascii="Courier New" w:cs="Courier New" w:eastAsia="Courier New" w:hAnsi="Courier New"/>
          <w:sz w:val="18"/>
          <w:szCs w:val="18"/>
          <w:color w:val="auto"/>
        </w:rPr>
        <w:t>Investor Relations</w:t>
      </w:r>
    </w:p>
    <w:p>
      <w:pPr>
        <w:jc w:val="center"/>
        <w:ind w:right="6199"/>
        <w:spacing w:after="0"/>
        <w:rPr>
          <w:sz w:val="20"/>
          <w:szCs w:val="20"/>
          <w:color w:val="auto"/>
        </w:rPr>
      </w:pPr>
      <w:r>
        <w:rPr>
          <w:rFonts w:ascii="Courier New" w:cs="Courier New" w:eastAsia="Courier New" w:hAnsi="Courier New"/>
          <w:sz w:val="18"/>
          <w:szCs w:val="18"/>
          <w:color w:val="auto"/>
        </w:rPr>
        <w:t>1-888-381-7923</w:t>
      </w:r>
    </w:p>
    <w:p>
      <w:pPr>
        <w:jc w:val="right"/>
        <w:ind w:right="7259"/>
        <w:spacing w:after="0" w:line="237" w:lineRule="auto"/>
        <w:rPr>
          <w:sz w:val="20"/>
          <w:szCs w:val="20"/>
          <w:color w:val="auto"/>
        </w:rPr>
      </w:pPr>
      <w:r>
        <w:rPr>
          <w:rFonts w:ascii="Courier New" w:cs="Courier New" w:eastAsia="Courier New" w:hAnsi="Courier New"/>
          <w:sz w:val="18"/>
          <w:szCs w:val="18"/>
          <w:color w:val="auto"/>
        </w:rPr>
        <w:t>Ciaran Murray, CFO</w:t>
      </w:r>
    </w:p>
    <w:p>
      <w:pPr>
        <w:jc w:val="right"/>
        <w:ind w:right="7259"/>
        <w:spacing w:after="0" w:line="238" w:lineRule="auto"/>
        <w:rPr>
          <w:sz w:val="20"/>
          <w:szCs w:val="20"/>
          <w:color w:val="auto"/>
        </w:rPr>
      </w:pPr>
      <w:r>
        <w:rPr>
          <w:rFonts w:ascii="Courier New" w:cs="Courier New" w:eastAsia="Courier New" w:hAnsi="Courier New"/>
          <w:sz w:val="18"/>
          <w:szCs w:val="18"/>
          <w:color w:val="auto"/>
        </w:rPr>
        <w:t>+ 353-1-291-2000</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2019-12-10T16:37:20Z</dcterms:created>
  <dcterms:modified xsi:type="dcterms:W3CDTF">2019-12-10T16:37:20Z</dcterms:modified>
</cp:coreProperties>
</file>