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8"/>
          <w:szCs w:val="18"/>
          <w:b w:val="1"/>
          <w:bCs w:val="1"/>
          <w:color w:val="auto"/>
        </w:rPr>
        <w:t>As filed with the Securities and Exchange Commission on July 1, 2021</w:t>
      </w:r>
    </w:p>
    <w:p>
      <w:pPr>
        <w:spacing w:after="0" w:line="27" w:lineRule="exact"/>
        <w:rPr>
          <w:sz w:val="24"/>
          <w:szCs w:val="24"/>
          <w:color w:val="auto"/>
        </w:rPr>
      </w:pPr>
    </w:p>
    <w:p>
      <w:pPr>
        <w:ind w:left="9000"/>
        <w:spacing w:after="0"/>
        <w:rPr>
          <w:sz w:val="20"/>
          <w:szCs w:val="20"/>
          <w:color w:val="auto"/>
        </w:rPr>
      </w:pPr>
      <w:r>
        <w:rPr>
          <w:rFonts w:ascii="Arial" w:cs="Arial" w:eastAsia="Arial" w:hAnsi="Arial"/>
          <w:sz w:val="16"/>
          <w:szCs w:val="16"/>
          <w:b w:val="1"/>
          <w:bCs w:val="1"/>
          <w:color w:val="auto"/>
        </w:rPr>
        <w:t>Registration No. 333-254891</w:t>
      </w:r>
    </w:p>
    <w:p>
      <w:pPr>
        <w:spacing w:after="0" w:line="32" w:lineRule="exact"/>
        <w:rPr>
          <w:sz w:val="24"/>
          <w:szCs w:val="24"/>
          <w:color w:val="auto"/>
        </w:rPr>
      </w:pPr>
    </w:p>
    <w:p>
      <w:pPr>
        <w:ind w:left="9000"/>
        <w:spacing w:after="0"/>
        <w:rPr>
          <w:sz w:val="20"/>
          <w:szCs w:val="20"/>
          <w:color w:val="auto"/>
        </w:rPr>
      </w:pPr>
      <w:r>
        <w:rPr>
          <w:rFonts w:ascii="Arial" w:cs="Arial" w:eastAsia="Arial" w:hAnsi="Arial"/>
          <w:sz w:val="16"/>
          <w:szCs w:val="16"/>
          <w:b w:val="1"/>
          <w:bCs w:val="1"/>
          <w:color w:val="auto"/>
        </w:rPr>
        <w:t>Registration No. 333-257578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208915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POST-EFFECTIVE AMENDMENT NO. 1 ON FORM S-8 TO FORM F-4</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 UNDER THE SECURITIES ACT OF 1933</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ICON PUBLIC COMPANY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63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4"/>
              </w:rPr>
              <w:t>Ireland</w:t>
            </w:r>
          </w:p>
        </w:tc>
        <w:tc>
          <w:tcPr>
            <w:tcW w:w="49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2"/>
              </w:rPr>
              <w:t>Not Applicable</w:t>
            </w:r>
          </w:p>
        </w:tc>
      </w:tr>
      <w:tr>
        <w:trPr>
          <w:trHeight w:val="224"/>
        </w:trPr>
        <w:tc>
          <w:tcPr>
            <w:tcW w:w="6320" w:type="dxa"/>
            <w:vAlign w:val="bottom"/>
          </w:tcPr>
          <w:p>
            <w:pPr>
              <w:jc w:val="center"/>
              <w:ind w:right="3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4920" w:type="dxa"/>
            <w:vAlign w:val="bottom"/>
          </w:tcPr>
          <w:p>
            <w:pPr>
              <w:jc w:val="center"/>
              <w:ind w:right="50"/>
              <w:spacing w:after="0"/>
              <w:rPr>
                <w:sz w:val="20"/>
                <w:szCs w:val="20"/>
                <w:color w:val="auto"/>
              </w:rPr>
            </w:pPr>
            <w:r>
              <w:rPr>
                <w:rFonts w:ascii="Arial" w:cs="Arial" w:eastAsia="Arial" w:hAnsi="Arial"/>
                <w:sz w:val="18"/>
                <w:szCs w:val="18"/>
                <w:color w:val="auto"/>
                <w:w w:val="94"/>
              </w:rPr>
              <w:t>(I.R.S. Employer Identification No.)</w:t>
            </w:r>
          </w:p>
        </w:tc>
      </w:tr>
      <w:tr>
        <w:trPr>
          <w:trHeight w:val="399"/>
        </w:trPr>
        <w:tc>
          <w:tcPr>
            <w:tcW w:w="632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South County Business Park</w:t>
            </w:r>
          </w:p>
        </w:tc>
        <w:tc>
          <w:tcPr>
            <w:tcW w:w="4920" w:type="dxa"/>
            <w:vAlign w:val="bottom"/>
          </w:tcPr>
          <w:p>
            <w:pPr>
              <w:spacing w:after="0"/>
              <w:rPr>
                <w:sz w:val="24"/>
                <w:szCs w:val="24"/>
                <w:color w:val="auto"/>
              </w:rPr>
            </w:pPr>
          </w:p>
        </w:tc>
      </w:tr>
      <w:tr>
        <w:trPr>
          <w:trHeight w:val="216"/>
        </w:trPr>
        <w:tc>
          <w:tcPr>
            <w:tcW w:w="632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Leopardstown</w:t>
            </w:r>
          </w:p>
        </w:tc>
        <w:tc>
          <w:tcPr>
            <w:tcW w:w="4920" w:type="dxa"/>
            <w:vAlign w:val="bottom"/>
          </w:tcPr>
          <w:p>
            <w:pPr>
              <w:spacing w:after="0"/>
              <w:rPr>
                <w:sz w:val="18"/>
                <w:szCs w:val="18"/>
                <w:color w:val="auto"/>
              </w:rPr>
            </w:pPr>
          </w:p>
        </w:tc>
      </w:tr>
      <w:tr>
        <w:trPr>
          <w:trHeight w:val="234"/>
        </w:trPr>
        <w:tc>
          <w:tcPr>
            <w:tcW w:w="63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3"/>
              </w:rPr>
              <w:t>Dublin 18, Ireland</w:t>
            </w:r>
          </w:p>
        </w:tc>
        <w:tc>
          <w:tcPr>
            <w:tcW w:w="49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2"/>
              </w:rPr>
              <w:t>Not Applicable</w:t>
            </w:r>
          </w:p>
        </w:tc>
      </w:tr>
      <w:tr>
        <w:trPr>
          <w:trHeight w:val="224"/>
        </w:trPr>
        <w:tc>
          <w:tcPr>
            <w:tcW w:w="6320" w:type="dxa"/>
            <w:vAlign w:val="bottom"/>
          </w:tcPr>
          <w:p>
            <w:pPr>
              <w:jc w:val="center"/>
              <w:ind w:right="30"/>
              <w:spacing w:after="0"/>
              <w:rPr>
                <w:sz w:val="20"/>
                <w:szCs w:val="20"/>
                <w:color w:val="auto"/>
              </w:rPr>
            </w:pPr>
            <w:r>
              <w:rPr>
                <w:rFonts w:ascii="Arial" w:cs="Arial" w:eastAsia="Arial" w:hAnsi="Arial"/>
                <w:sz w:val="18"/>
                <w:szCs w:val="18"/>
                <w:color w:val="auto"/>
                <w:w w:val="92"/>
              </w:rPr>
              <w:t>(Address of Principal Executive Offices)</w:t>
            </w:r>
          </w:p>
        </w:tc>
        <w:tc>
          <w:tcPr>
            <w:tcW w:w="4920" w:type="dxa"/>
            <w:vAlign w:val="bottom"/>
          </w:tcPr>
          <w:p>
            <w:pPr>
              <w:jc w:val="center"/>
              <w:ind w:right="30"/>
              <w:spacing w:after="0"/>
              <w:rPr>
                <w:sz w:val="20"/>
                <w:szCs w:val="20"/>
                <w:color w:val="auto"/>
              </w:rPr>
            </w:pPr>
            <w:r>
              <w:rPr>
                <w:rFonts w:ascii="Arial" w:cs="Arial" w:eastAsia="Arial" w:hAnsi="Arial"/>
                <w:sz w:val="18"/>
                <w:szCs w:val="18"/>
                <w:color w:val="auto"/>
                <w:w w:val="94"/>
              </w:rPr>
              <w:t>(Zip Code)</w:t>
            </w:r>
          </w:p>
        </w:tc>
      </w:tr>
    </w:tbl>
    <w:p>
      <w:pPr>
        <w:spacing w:after="0" w:line="183" w:lineRule="exact"/>
        <w:rPr>
          <w:sz w:val="24"/>
          <w:szCs w:val="24"/>
          <w:color w:val="auto"/>
        </w:rPr>
      </w:pPr>
    </w:p>
    <w:p>
      <w:pPr>
        <w:jc w:val="center"/>
        <w:ind w:left="340" w:right="2160"/>
        <w:spacing w:after="0" w:line="261" w:lineRule="auto"/>
        <w:rPr>
          <w:sz w:val="20"/>
          <w:szCs w:val="20"/>
          <w:color w:val="auto"/>
        </w:rPr>
      </w:pPr>
      <w:r>
        <w:rPr>
          <w:rFonts w:ascii="Arial" w:cs="Arial" w:eastAsia="Arial" w:hAnsi="Arial"/>
          <w:sz w:val="18"/>
          <w:szCs w:val="18"/>
          <w:b w:val="1"/>
          <w:bCs w:val="1"/>
          <w:color w:val="auto"/>
        </w:rPr>
        <w:t>PRA Health Sciences, Inc. 2020 Stock Incentive Plan PRA Health Sciences, Inc. 2018 Stock Incentive Plan PRA Health Sciences, Inc. 2014 Omnibus Incentive Plan 2013 Stock Incentive Plan for Key Employees of PRA Health Sciences and its Subsidiaries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(Full title of the plans)</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Puglisi &amp; Associates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850 Library Avenue, Suite 204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Newark, Delaware 19711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and address of agent for service)</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(302) 738-6680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(Telephone number, including area code, of agent for service)</w:t>
      </w:r>
    </w:p>
    <w:p>
      <w:pPr>
        <w:spacing w:after="0" w:line="221" w:lineRule="exact"/>
        <w:rPr>
          <w:sz w:val="24"/>
          <w:szCs w:val="24"/>
          <w:color w:val="auto"/>
        </w:rPr>
      </w:pPr>
    </w:p>
    <w:tbl>
      <w:tblPr>
        <w:tblLayout w:type="fixed"/>
        <w:tblInd w:w="1700" w:type="dxa"/>
        <w:tblCellMar>
          <w:top w:w="0" w:type="dxa"/>
          <w:left w:w="0" w:type="dxa"/>
          <w:bottom w:w="0" w:type="dxa"/>
          <w:right w:w="0" w:type="dxa"/>
        </w:tblCellMar>
      </w:tblPr>
      <w:tr>
        <w:trPr>
          <w:trHeight w:val="234"/>
        </w:trPr>
        <w:tc>
          <w:tcPr>
            <w:tcW w:w="2940" w:type="dxa"/>
            <w:vAlign w:val="bottom"/>
          </w:tcPr>
          <w:p>
            <w:pPr>
              <w:spacing w:after="0"/>
              <w:rPr>
                <w:sz w:val="20"/>
                <w:szCs w:val="20"/>
                <w:color w:val="auto"/>
              </w:rPr>
            </w:pPr>
          </w:p>
        </w:tc>
        <w:tc>
          <w:tcPr>
            <w:tcW w:w="4960" w:type="dxa"/>
            <w:vAlign w:val="bottom"/>
          </w:tcPr>
          <w:p>
            <w:pPr>
              <w:ind w:left="600"/>
              <w:spacing w:after="0"/>
              <w:rPr>
                <w:sz w:val="20"/>
                <w:szCs w:val="20"/>
                <w:color w:val="auto"/>
              </w:rPr>
            </w:pPr>
            <w:r>
              <w:rPr>
                <w:rFonts w:ascii="Arial" w:cs="Arial" w:eastAsia="Arial" w:hAnsi="Arial"/>
                <w:sz w:val="18"/>
                <w:szCs w:val="18"/>
                <w:b w:val="1"/>
                <w:bCs w:val="1"/>
                <w:color w:val="auto"/>
              </w:rPr>
              <w:t>Copies to:</w:t>
            </w:r>
          </w:p>
        </w:tc>
      </w:tr>
      <w:tr>
        <w:trPr>
          <w:trHeight w:val="414"/>
        </w:trPr>
        <w:tc>
          <w:tcPr>
            <w:tcW w:w="2940" w:type="dxa"/>
            <w:vAlign w:val="bottom"/>
          </w:tcPr>
          <w:p>
            <w:pPr>
              <w:jc w:val="center"/>
              <w:ind w:right="490"/>
              <w:spacing w:after="0"/>
              <w:rPr>
                <w:sz w:val="20"/>
                <w:szCs w:val="20"/>
                <w:color w:val="auto"/>
              </w:rPr>
            </w:pPr>
            <w:r>
              <w:rPr>
                <w:rFonts w:ascii="Arial" w:cs="Arial" w:eastAsia="Arial" w:hAnsi="Arial"/>
                <w:sz w:val="18"/>
                <w:szCs w:val="18"/>
                <w:b w:val="1"/>
                <w:bCs w:val="1"/>
                <w:color w:val="auto"/>
                <w:w w:val="98"/>
              </w:rPr>
              <w:t>William M. Hartnett</w:t>
            </w:r>
          </w:p>
        </w:tc>
        <w:tc>
          <w:tcPr>
            <w:tcW w:w="4960" w:type="dxa"/>
            <w:vAlign w:val="bottom"/>
          </w:tcPr>
          <w:p>
            <w:pPr>
              <w:jc w:val="center"/>
              <w:ind w:left="2670"/>
              <w:spacing w:after="0"/>
              <w:rPr>
                <w:sz w:val="20"/>
                <w:szCs w:val="20"/>
                <w:color w:val="auto"/>
              </w:rPr>
            </w:pPr>
            <w:r>
              <w:rPr>
                <w:rFonts w:ascii="Arial" w:cs="Arial" w:eastAsia="Arial" w:hAnsi="Arial"/>
                <w:sz w:val="18"/>
                <w:szCs w:val="18"/>
                <w:b w:val="1"/>
                <w:bCs w:val="1"/>
                <w:color w:val="auto"/>
                <w:w w:val="93"/>
              </w:rPr>
              <w:t>Diarmaid Cunningham</w:t>
            </w:r>
          </w:p>
        </w:tc>
      </w:tr>
      <w:tr>
        <w:trPr>
          <w:trHeight w:val="216"/>
        </w:trPr>
        <w:tc>
          <w:tcPr>
            <w:tcW w:w="2940" w:type="dxa"/>
            <w:vAlign w:val="bottom"/>
          </w:tcPr>
          <w:p>
            <w:pPr>
              <w:jc w:val="center"/>
              <w:ind w:right="490"/>
              <w:spacing w:after="0"/>
              <w:rPr>
                <w:sz w:val="20"/>
                <w:szCs w:val="20"/>
                <w:color w:val="auto"/>
              </w:rPr>
            </w:pPr>
            <w:r>
              <w:rPr>
                <w:rFonts w:ascii="Arial" w:cs="Arial" w:eastAsia="Arial" w:hAnsi="Arial"/>
                <w:sz w:val="18"/>
                <w:szCs w:val="18"/>
                <w:b w:val="1"/>
                <w:bCs w:val="1"/>
                <w:color w:val="auto"/>
                <w:w w:val="90"/>
              </w:rPr>
              <w:t>Kimberly Petillo-Décossard</w:t>
            </w:r>
          </w:p>
        </w:tc>
        <w:tc>
          <w:tcPr>
            <w:tcW w:w="4960" w:type="dxa"/>
            <w:vAlign w:val="bottom"/>
          </w:tcPr>
          <w:p>
            <w:pPr>
              <w:jc w:val="center"/>
              <w:ind w:left="2670"/>
              <w:spacing w:after="0"/>
              <w:rPr>
                <w:sz w:val="20"/>
                <w:szCs w:val="20"/>
                <w:color w:val="auto"/>
              </w:rPr>
            </w:pPr>
            <w:r>
              <w:rPr>
                <w:rFonts w:ascii="Arial" w:cs="Arial" w:eastAsia="Arial" w:hAnsi="Arial"/>
                <w:sz w:val="18"/>
                <w:szCs w:val="18"/>
                <w:b w:val="1"/>
                <w:bCs w:val="1"/>
                <w:color w:val="auto"/>
                <w:w w:val="89"/>
              </w:rPr>
              <w:t>General Counsel</w:t>
            </w:r>
          </w:p>
        </w:tc>
      </w:tr>
      <w:tr>
        <w:trPr>
          <w:trHeight w:val="216"/>
        </w:trPr>
        <w:tc>
          <w:tcPr>
            <w:tcW w:w="2940" w:type="dxa"/>
            <w:vAlign w:val="bottom"/>
          </w:tcPr>
          <w:p>
            <w:pPr>
              <w:jc w:val="center"/>
              <w:ind w:right="510"/>
              <w:spacing w:after="0"/>
              <w:rPr>
                <w:sz w:val="20"/>
                <w:szCs w:val="20"/>
                <w:color w:val="auto"/>
              </w:rPr>
            </w:pPr>
            <w:r>
              <w:rPr>
                <w:rFonts w:ascii="Arial" w:cs="Arial" w:eastAsia="Arial" w:hAnsi="Arial"/>
                <w:sz w:val="18"/>
                <w:szCs w:val="18"/>
                <w:b w:val="1"/>
                <w:bCs w:val="1"/>
                <w:color w:val="auto"/>
                <w:w w:val="90"/>
              </w:rPr>
              <w:t>Ross E. Sturman</w:t>
            </w:r>
          </w:p>
        </w:tc>
        <w:tc>
          <w:tcPr>
            <w:tcW w:w="4960" w:type="dxa"/>
            <w:vAlign w:val="bottom"/>
          </w:tcPr>
          <w:p>
            <w:pPr>
              <w:jc w:val="center"/>
              <w:ind w:left="2650"/>
              <w:spacing w:after="0"/>
              <w:rPr>
                <w:sz w:val="20"/>
                <w:szCs w:val="20"/>
                <w:color w:val="auto"/>
              </w:rPr>
            </w:pPr>
            <w:r>
              <w:rPr>
                <w:rFonts w:ascii="Arial" w:cs="Arial" w:eastAsia="Arial" w:hAnsi="Arial"/>
                <w:sz w:val="18"/>
                <w:szCs w:val="18"/>
                <w:b w:val="1"/>
                <w:bCs w:val="1"/>
                <w:color w:val="auto"/>
                <w:w w:val="97"/>
              </w:rPr>
              <w:t>ICON plc</w:t>
            </w:r>
          </w:p>
        </w:tc>
      </w:tr>
      <w:tr>
        <w:trPr>
          <w:trHeight w:val="216"/>
        </w:trPr>
        <w:tc>
          <w:tcPr>
            <w:tcW w:w="2940" w:type="dxa"/>
            <w:vAlign w:val="bottom"/>
          </w:tcPr>
          <w:p>
            <w:pPr>
              <w:jc w:val="center"/>
              <w:ind w:right="510"/>
              <w:spacing w:after="0"/>
              <w:rPr>
                <w:sz w:val="20"/>
                <w:szCs w:val="20"/>
                <w:color w:val="auto"/>
              </w:rPr>
            </w:pPr>
            <w:r>
              <w:rPr>
                <w:rFonts w:ascii="Arial" w:cs="Arial" w:eastAsia="Arial" w:hAnsi="Arial"/>
                <w:sz w:val="18"/>
                <w:szCs w:val="18"/>
                <w:b w:val="1"/>
                <w:bCs w:val="1"/>
                <w:color w:val="auto"/>
                <w:w w:val="95"/>
              </w:rPr>
              <w:t>Cahill Gordon &amp; Reindel LLP</w:t>
            </w:r>
          </w:p>
        </w:tc>
        <w:tc>
          <w:tcPr>
            <w:tcW w:w="4960" w:type="dxa"/>
            <w:vAlign w:val="bottom"/>
          </w:tcPr>
          <w:p>
            <w:pPr>
              <w:jc w:val="center"/>
              <w:ind w:left="2670"/>
              <w:spacing w:after="0"/>
              <w:rPr>
                <w:sz w:val="20"/>
                <w:szCs w:val="20"/>
                <w:color w:val="auto"/>
              </w:rPr>
            </w:pPr>
            <w:r>
              <w:rPr>
                <w:rFonts w:ascii="Arial" w:cs="Arial" w:eastAsia="Arial" w:hAnsi="Arial"/>
                <w:sz w:val="18"/>
                <w:szCs w:val="18"/>
                <w:b w:val="1"/>
                <w:bCs w:val="1"/>
                <w:color w:val="auto"/>
                <w:w w:val="89"/>
              </w:rPr>
              <w:t>South County Business Park</w:t>
            </w:r>
          </w:p>
        </w:tc>
      </w:tr>
      <w:tr>
        <w:trPr>
          <w:trHeight w:val="216"/>
        </w:trPr>
        <w:tc>
          <w:tcPr>
            <w:tcW w:w="2940" w:type="dxa"/>
            <w:vAlign w:val="bottom"/>
          </w:tcPr>
          <w:p>
            <w:pPr>
              <w:jc w:val="center"/>
              <w:ind w:right="510"/>
              <w:spacing w:after="0"/>
              <w:rPr>
                <w:sz w:val="20"/>
                <w:szCs w:val="20"/>
                <w:color w:val="auto"/>
              </w:rPr>
            </w:pPr>
            <w:r>
              <w:rPr>
                <w:rFonts w:ascii="Arial" w:cs="Arial" w:eastAsia="Arial" w:hAnsi="Arial"/>
                <w:sz w:val="18"/>
                <w:szCs w:val="18"/>
                <w:b w:val="1"/>
                <w:bCs w:val="1"/>
                <w:color w:val="auto"/>
                <w:w w:val="92"/>
              </w:rPr>
              <w:t>32 Old Slip</w:t>
            </w:r>
          </w:p>
        </w:tc>
        <w:tc>
          <w:tcPr>
            <w:tcW w:w="4960" w:type="dxa"/>
            <w:vAlign w:val="bottom"/>
          </w:tcPr>
          <w:p>
            <w:pPr>
              <w:jc w:val="center"/>
              <w:ind w:left="2650"/>
              <w:spacing w:after="0"/>
              <w:rPr>
                <w:sz w:val="20"/>
                <w:szCs w:val="20"/>
                <w:color w:val="auto"/>
              </w:rPr>
            </w:pPr>
            <w:r>
              <w:rPr>
                <w:rFonts w:ascii="Arial" w:cs="Arial" w:eastAsia="Arial" w:hAnsi="Arial"/>
                <w:sz w:val="18"/>
                <w:szCs w:val="18"/>
                <w:b w:val="1"/>
                <w:bCs w:val="1"/>
                <w:color w:val="auto"/>
                <w:w w:val="89"/>
              </w:rPr>
              <w:t>Leopardstown</w:t>
            </w:r>
          </w:p>
        </w:tc>
      </w:tr>
      <w:tr>
        <w:trPr>
          <w:trHeight w:val="216"/>
        </w:trPr>
        <w:tc>
          <w:tcPr>
            <w:tcW w:w="2940" w:type="dxa"/>
            <w:vAlign w:val="bottom"/>
          </w:tcPr>
          <w:p>
            <w:pPr>
              <w:jc w:val="center"/>
              <w:ind w:right="490"/>
              <w:spacing w:after="0"/>
              <w:rPr>
                <w:sz w:val="20"/>
                <w:szCs w:val="20"/>
                <w:color w:val="auto"/>
              </w:rPr>
            </w:pPr>
            <w:r>
              <w:rPr>
                <w:rFonts w:ascii="Arial" w:cs="Arial" w:eastAsia="Arial" w:hAnsi="Arial"/>
                <w:sz w:val="18"/>
                <w:szCs w:val="18"/>
                <w:b w:val="1"/>
                <w:bCs w:val="1"/>
                <w:color w:val="auto"/>
                <w:w w:val="92"/>
              </w:rPr>
              <w:t>New York, NY 10005</w:t>
            </w:r>
          </w:p>
        </w:tc>
        <w:tc>
          <w:tcPr>
            <w:tcW w:w="4960" w:type="dxa"/>
            <w:vAlign w:val="bottom"/>
          </w:tcPr>
          <w:p>
            <w:pPr>
              <w:jc w:val="center"/>
              <w:ind w:left="2650"/>
              <w:spacing w:after="0"/>
              <w:rPr>
                <w:sz w:val="20"/>
                <w:szCs w:val="20"/>
                <w:color w:val="auto"/>
              </w:rPr>
            </w:pPr>
            <w:r>
              <w:rPr>
                <w:rFonts w:ascii="Arial" w:cs="Arial" w:eastAsia="Arial" w:hAnsi="Arial"/>
                <w:sz w:val="18"/>
                <w:szCs w:val="18"/>
                <w:b w:val="1"/>
                <w:bCs w:val="1"/>
                <w:color w:val="auto"/>
                <w:w w:val="94"/>
              </w:rPr>
              <w:t>Dublin 18, Ireland</w:t>
            </w:r>
          </w:p>
        </w:tc>
      </w:tr>
      <w:tr>
        <w:trPr>
          <w:trHeight w:val="234"/>
        </w:trPr>
        <w:tc>
          <w:tcPr>
            <w:tcW w:w="2940" w:type="dxa"/>
            <w:vAlign w:val="bottom"/>
          </w:tcPr>
          <w:p>
            <w:pPr>
              <w:jc w:val="center"/>
              <w:ind w:right="490"/>
              <w:spacing w:after="0"/>
              <w:rPr>
                <w:sz w:val="20"/>
                <w:szCs w:val="20"/>
                <w:color w:val="auto"/>
              </w:rPr>
            </w:pPr>
            <w:r>
              <w:rPr>
                <w:rFonts w:ascii="Arial" w:cs="Arial" w:eastAsia="Arial" w:hAnsi="Arial"/>
                <w:sz w:val="18"/>
                <w:szCs w:val="18"/>
                <w:b w:val="1"/>
                <w:bCs w:val="1"/>
                <w:color w:val="auto"/>
                <w:w w:val="90"/>
              </w:rPr>
              <w:t>(212) 701-3000</w:t>
            </w:r>
          </w:p>
        </w:tc>
        <w:tc>
          <w:tcPr>
            <w:tcW w:w="4960" w:type="dxa"/>
            <w:vAlign w:val="bottom"/>
          </w:tcPr>
          <w:p>
            <w:pPr>
              <w:jc w:val="center"/>
              <w:ind w:left="2650"/>
              <w:spacing w:after="0"/>
              <w:rPr>
                <w:sz w:val="20"/>
                <w:szCs w:val="20"/>
                <w:color w:val="auto"/>
              </w:rPr>
            </w:pPr>
            <w:r>
              <w:rPr>
                <w:rFonts w:ascii="Arial" w:cs="Arial" w:eastAsia="Arial" w:hAnsi="Arial"/>
                <w:sz w:val="18"/>
                <w:szCs w:val="18"/>
                <w:b w:val="1"/>
                <w:bCs w:val="1"/>
                <w:color w:val="auto"/>
                <w:w w:val="90"/>
              </w:rPr>
              <w:t>+353-1-291-2000</w:t>
            </w:r>
          </w:p>
        </w:tc>
      </w:tr>
    </w:tbl>
    <w:p>
      <w:pPr>
        <w:spacing w:after="0" w:line="202" w:lineRule="exact"/>
        <w:rPr>
          <w:sz w:val="24"/>
          <w:szCs w:val="24"/>
          <w:color w:val="auto"/>
        </w:rPr>
      </w:pPr>
    </w:p>
    <w:p>
      <w:pPr>
        <w:ind w:right="2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14" w:lineRule="exact"/>
        <w:rPr>
          <w:sz w:val="24"/>
          <w:szCs w:val="24"/>
          <w:color w:val="auto"/>
        </w:rPr>
      </w:pPr>
    </w:p>
    <w:tbl>
      <w:tblPr>
        <w:tblLayout w:type="fixed"/>
        <w:tblInd w:w="10" w:type="dxa"/>
        <w:tblCellMar>
          <w:top w:w="0" w:type="dxa"/>
          <w:left w:w="0" w:type="dxa"/>
          <w:bottom w:w="0" w:type="dxa"/>
          <w:right w:w="0" w:type="dxa"/>
        </w:tblCellMar>
      </w:tblPr>
      <w:tr>
        <w:trPr>
          <w:trHeight w:val="216"/>
        </w:trPr>
        <w:tc>
          <w:tcPr>
            <w:tcW w:w="2280" w:type="dxa"/>
            <w:vAlign w:val="bottom"/>
          </w:tcPr>
          <w:p>
            <w:pPr>
              <w:ind w:left="340"/>
              <w:spacing w:after="0" w:line="207" w:lineRule="exact"/>
              <w:rPr>
                <w:sz w:val="20"/>
                <w:szCs w:val="20"/>
                <w:color w:val="auto"/>
              </w:rPr>
            </w:pPr>
            <w:r>
              <w:rPr>
                <w:rFonts w:ascii="Arial" w:cs="Arial" w:eastAsia="Arial" w:hAnsi="Arial"/>
                <w:sz w:val="18"/>
                <w:szCs w:val="18"/>
                <w:color w:val="auto"/>
                <w:w w:val="94"/>
              </w:rPr>
              <w:t xml:space="preserve">Large accelerated filer </w:t>
            </w:r>
            <w:r>
              <w:rPr>
                <w:rFonts w:ascii="MS PGothic" w:cs="MS PGothic" w:eastAsia="MS PGothic" w:hAnsi="MS PGothic"/>
                <w:sz w:val="18"/>
                <w:szCs w:val="18"/>
                <w:color w:val="auto"/>
                <w:w w:val="94"/>
              </w:rPr>
              <w:t>☒</w:t>
            </w:r>
          </w:p>
        </w:tc>
        <w:tc>
          <w:tcPr>
            <w:tcW w:w="22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240" w:type="dxa"/>
            <w:vAlign w:val="bottom"/>
          </w:tcPr>
          <w:p>
            <w:pPr>
              <w:ind w:left="780"/>
              <w:spacing w:after="0" w:line="207" w:lineRule="exact"/>
              <w:rPr>
                <w:sz w:val="20"/>
                <w:szCs w:val="20"/>
                <w:color w:val="auto"/>
              </w:rPr>
            </w:pPr>
            <w:r>
              <w:rPr>
                <w:rFonts w:ascii="Arial" w:cs="Arial" w:eastAsia="Arial" w:hAnsi="Arial"/>
                <w:sz w:val="18"/>
                <w:szCs w:val="18"/>
                <w:color w:val="auto"/>
                <w:w w:val="93"/>
              </w:rPr>
              <w:t xml:space="preserve">Accelerated filer </w:t>
            </w:r>
            <w:r>
              <w:rPr>
                <w:rFonts w:ascii="MS PGothic" w:cs="MS PGothic" w:eastAsia="MS PGothic" w:hAnsi="MS PGothic"/>
                <w:sz w:val="18"/>
                <w:szCs w:val="18"/>
                <w:color w:val="auto"/>
                <w:w w:val="93"/>
              </w:rPr>
              <w:t>☐</w:t>
            </w: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6760" w:type="dxa"/>
            <w:vAlign w:val="bottom"/>
            <w:gridSpan w:val="3"/>
          </w:tcPr>
          <w:p>
            <w:pPr>
              <w:ind w:left="340"/>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4480" w:type="dxa"/>
            <w:vAlign w:val="bottom"/>
            <w:gridSpan w:val="2"/>
          </w:tcPr>
          <w:p>
            <w:pPr>
              <w:ind w:left="780"/>
              <w:spacing w:after="0" w:line="207" w:lineRule="exact"/>
              <w:rPr>
                <w:sz w:val="20"/>
                <w:szCs w:val="20"/>
                <w:color w:val="auto"/>
              </w:rPr>
            </w:pPr>
            <w:r>
              <w:rPr>
                <w:rFonts w:ascii="Arial" w:cs="Arial" w:eastAsia="Arial" w:hAnsi="Arial"/>
                <w:sz w:val="18"/>
                <w:szCs w:val="18"/>
                <w:color w:val="auto"/>
              </w:rPr>
              <w:t xml:space="preserve">Smaller reporting company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628"/>
        </w:trPr>
        <w:tc>
          <w:tcPr>
            <w:tcW w:w="2280" w:type="dxa"/>
            <w:vAlign w:val="bottom"/>
          </w:tcPr>
          <w:p>
            <w:pPr>
              <w:spacing w:after="0"/>
              <w:rPr>
                <w:sz w:val="24"/>
                <w:szCs w:val="24"/>
                <w:color w:val="auto"/>
              </w:rPr>
            </w:pPr>
          </w:p>
        </w:tc>
        <w:tc>
          <w:tcPr>
            <w:tcW w:w="6720" w:type="dxa"/>
            <w:vAlign w:val="bottom"/>
            <w:gridSpan w:val="3"/>
          </w:tcPr>
          <w:p>
            <w:pPr>
              <w:jc w:val="center"/>
              <w:spacing w:after="0"/>
              <w:rPr>
                <w:sz w:val="20"/>
                <w:szCs w:val="20"/>
                <w:color w:val="auto"/>
              </w:rPr>
            </w:pPr>
            <w:r>
              <w:rPr>
                <w:rFonts w:ascii="Arial" w:cs="Arial" w:eastAsia="Arial" w:hAnsi="Arial"/>
                <w:sz w:val="18"/>
                <w:szCs w:val="18"/>
                <w:b w:val="1"/>
                <w:bCs w:val="1"/>
                <w:color w:val="auto"/>
              </w:rPr>
              <w:t>CALCULATION OF REGISTRATION FEE</w:t>
            </w: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28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280" w:type="dxa"/>
            <w:vAlign w:val="bottom"/>
            <w:tcBorders>
              <w:left w:val="single" w:sz="8" w:color="auto"/>
              <w:right w:val="single" w:sz="8" w:color="auto"/>
            </w:tcBorders>
          </w:tcPr>
          <w:p>
            <w:pPr>
              <w:spacing w:after="0"/>
              <w:rPr>
                <w:sz w:val="17"/>
                <w:szCs w:val="17"/>
                <w:color w:val="auto"/>
              </w:rPr>
            </w:pPr>
          </w:p>
        </w:tc>
        <w:tc>
          <w:tcPr>
            <w:tcW w:w="2240" w:type="dxa"/>
            <w:vAlign w:val="bottom"/>
            <w:tcBorders>
              <w:right w:val="single" w:sz="8" w:color="auto"/>
            </w:tcBorders>
          </w:tcPr>
          <w:p>
            <w:pPr>
              <w:spacing w:after="0"/>
              <w:rPr>
                <w:sz w:val="17"/>
                <w:szCs w:val="17"/>
                <w:color w:val="auto"/>
              </w:rPr>
            </w:pPr>
          </w:p>
        </w:tc>
        <w:tc>
          <w:tcPr>
            <w:tcW w:w="2240" w:type="dxa"/>
            <w:vAlign w:val="bottom"/>
            <w:tcBorders>
              <w:right w:val="single" w:sz="8" w:color="auto"/>
            </w:tcBorders>
          </w:tcPr>
          <w:p>
            <w:pPr>
              <w:jc w:val="center"/>
              <w:spacing w:after="0" w:line="205" w:lineRule="exact"/>
              <w:rPr>
                <w:sz w:val="20"/>
                <w:szCs w:val="20"/>
                <w:color w:val="auto"/>
              </w:rPr>
            </w:pPr>
            <w:r>
              <w:rPr>
                <w:rFonts w:ascii="Arial" w:cs="Arial" w:eastAsia="Arial" w:hAnsi="Arial"/>
                <w:sz w:val="18"/>
                <w:szCs w:val="18"/>
                <w:b w:val="1"/>
                <w:bCs w:val="1"/>
                <w:color w:val="auto"/>
                <w:w w:val="91"/>
              </w:rPr>
              <w:t>Proposed Maximum</w:t>
            </w:r>
          </w:p>
        </w:tc>
        <w:tc>
          <w:tcPr>
            <w:tcW w:w="2240" w:type="dxa"/>
            <w:vAlign w:val="bottom"/>
            <w:tcBorders>
              <w:right w:val="single" w:sz="8" w:color="auto"/>
            </w:tcBorders>
          </w:tcPr>
          <w:p>
            <w:pPr>
              <w:jc w:val="center"/>
              <w:spacing w:after="0" w:line="205" w:lineRule="exact"/>
              <w:rPr>
                <w:sz w:val="20"/>
                <w:szCs w:val="20"/>
                <w:color w:val="auto"/>
              </w:rPr>
            </w:pPr>
            <w:r>
              <w:rPr>
                <w:rFonts w:ascii="Arial" w:cs="Arial" w:eastAsia="Arial" w:hAnsi="Arial"/>
                <w:sz w:val="18"/>
                <w:szCs w:val="18"/>
                <w:b w:val="1"/>
                <w:bCs w:val="1"/>
                <w:color w:val="auto"/>
                <w:w w:val="91"/>
              </w:rPr>
              <w:t>Proposed Maximum</w:t>
            </w:r>
          </w:p>
        </w:tc>
        <w:tc>
          <w:tcPr>
            <w:tcW w:w="22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80" w:type="dxa"/>
            <w:vAlign w:val="bottom"/>
            <w:tcBorders>
              <w:left w:val="single" w:sz="8" w:color="auto"/>
              <w:right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Title of Securities to be</w:t>
            </w:r>
          </w:p>
        </w:tc>
        <w:tc>
          <w:tcPr>
            <w:tcW w:w="224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w w:val="90"/>
              </w:rPr>
              <w:t>Amount to be Registered (1)</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Offering Price</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Aggregate Offering</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Amount of Registration Fee</w:t>
            </w:r>
          </w:p>
        </w:tc>
        <w:tc>
          <w:tcPr>
            <w:tcW w:w="0" w:type="dxa"/>
            <w:vAlign w:val="bottom"/>
          </w:tcPr>
          <w:p>
            <w:pPr>
              <w:spacing w:after="0"/>
              <w:rPr>
                <w:sz w:val="1"/>
                <w:szCs w:val="1"/>
                <w:color w:val="auto"/>
              </w:rPr>
            </w:pPr>
          </w:p>
        </w:tc>
      </w:tr>
      <w:tr>
        <w:trPr>
          <w:trHeight w:val="234"/>
        </w:trPr>
        <w:tc>
          <w:tcPr>
            <w:tcW w:w="2280" w:type="dxa"/>
            <w:vAlign w:val="bottom"/>
            <w:tcBorders>
              <w:left w:val="single" w:sz="8" w:color="auto"/>
              <w:right w:val="single" w:sz="8" w:color="auto"/>
            </w:tcBorders>
          </w:tcPr>
          <w:p>
            <w:pPr>
              <w:ind w:left="740"/>
              <w:spacing w:after="0"/>
              <w:rPr>
                <w:sz w:val="20"/>
                <w:szCs w:val="20"/>
                <w:color w:val="auto"/>
              </w:rPr>
            </w:pPr>
            <w:r>
              <w:rPr>
                <w:rFonts w:ascii="Arial" w:cs="Arial" w:eastAsia="Arial" w:hAnsi="Arial"/>
                <w:sz w:val="18"/>
                <w:szCs w:val="18"/>
                <w:b w:val="1"/>
                <w:bCs w:val="1"/>
                <w:color w:val="auto"/>
              </w:rPr>
              <w:t>Registered</w:t>
            </w:r>
          </w:p>
        </w:tc>
        <w:tc>
          <w:tcPr>
            <w:tcW w:w="2240" w:type="dxa"/>
            <w:vAlign w:val="bottom"/>
            <w:tcBorders>
              <w:right w:val="single" w:sz="8" w:color="auto"/>
            </w:tcBorders>
          </w:tcPr>
          <w:p>
            <w:pPr>
              <w:jc w:val="right"/>
              <w:ind w:right="930"/>
              <w:spacing w:after="0"/>
              <w:rPr>
                <w:sz w:val="20"/>
                <w:szCs w:val="20"/>
                <w:color w:val="auto"/>
              </w:rPr>
            </w:pPr>
            <w:r>
              <w:rPr>
                <w:rFonts w:ascii="Arial" w:cs="Arial" w:eastAsia="Arial" w:hAnsi="Arial"/>
                <w:sz w:val="18"/>
                <w:szCs w:val="18"/>
                <w:b w:val="1"/>
                <w:bCs w:val="1"/>
                <w:color w:val="auto"/>
              </w:rPr>
              <w:t>(2)</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per share (3)</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Price (3)</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(3)</w:t>
            </w:r>
          </w:p>
        </w:tc>
        <w:tc>
          <w:tcPr>
            <w:tcW w:w="0" w:type="dxa"/>
            <w:vAlign w:val="bottom"/>
          </w:tcPr>
          <w:p>
            <w:pPr>
              <w:spacing w:after="0"/>
              <w:rPr>
                <w:sz w:val="1"/>
                <w:szCs w:val="1"/>
                <w:color w:val="auto"/>
              </w:rPr>
            </w:pPr>
          </w:p>
        </w:tc>
      </w:tr>
      <w:tr>
        <w:trPr>
          <w:trHeight w:val="41"/>
        </w:trPr>
        <w:tc>
          <w:tcPr>
            <w:tcW w:w="228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2280" w:type="dxa"/>
            <w:vAlign w:val="bottom"/>
            <w:tcBorders>
              <w:left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w w:val="93"/>
              </w:rPr>
              <w:t>Ordinary Shares, par value</w:t>
            </w:r>
          </w:p>
        </w:tc>
        <w:tc>
          <w:tcPr>
            <w:tcW w:w="2240" w:type="dxa"/>
            <w:vAlign w:val="bottom"/>
            <w:tcBorders>
              <w:right w:val="single" w:sz="8" w:color="auto"/>
            </w:tcBorders>
            <w:vMerge w:val="restart"/>
          </w:tcPr>
          <w:p>
            <w:pPr>
              <w:jc w:val="right"/>
              <w:ind w:right="450"/>
              <w:spacing w:after="0"/>
              <w:rPr>
                <w:sz w:val="20"/>
                <w:szCs w:val="20"/>
                <w:color w:val="auto"/>
              </w:rPr>
            </w:pPr>
            <w:r>
              <w:rPr>
                <w:rFonts w:ascii="Arial" w:cs="Arial" w:eastAsia="Arial" w:hAnsi="Arial"/>
                <w:sz w:val="18"/>
                <w:szCs w:val="18"/>
                <w:color w:val="auto"/>
              </w:rPr>
              <w:t>2,605,853 (2)(3)</w:t>
            </w:r>
          </w:p>
        </w:tc>
        <w:tc>
          <w:tcPr>
            <w:tcW w:w="2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N/A</w:t>
            </w:r>
          </w:p>
        </w:tc>
        <w:tc>
          <w:tcPr>
            <w:tcW w:w="2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N/A</w:t>
            </w:r>
          </w:p>
        </w:tc>
        <w:tc>
          <w:tcPr>
            <w:tcW w:w="2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122"/>
        </w:trPr>
        <w:tc>
          <w:tcPr>
            <w:tcW w:w="228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18"/>
                <w:szCs w:val="18"/>
                <w:color w:val="auto"/>
              </w:rPr>
              <w:t>€0.06 per share</w:t>
            </w:r>
          </w:p>
        </w:tc>
        <w:tc>
          <w:tcPr>
            <w:tcW w:w="2240" w:type="dxa"/>
            <w:vAlign w:val="bottom"/>
            <w:tcBorders>
              <w:right w:val="single" w:sz="8" w:color="auto"/>
            </w:tcBorders>
            <w:vMerge w:val="continue"/>
          </w:tcPr>
          <w:p>
            <w:pPr>
              <w:spacing w:after="0"/>
              <w:rPr>
                <w:sz w:val="10"/>
                <w:szCs w:val="10"/>
                <w:color w:val="auto"/>
              </w:rPr>
            </w:pPr>
          </w:p>
        </w:tc>
        <w:tc>
          <w:tcPr>
            <w:tcW w:w="2240" w:type="dxa"/>
            <w:vAlign w:val="bottom"/>
            <w:tcBorders>
              <w:right w:val="single" w:sz="8" w:color="auto"/>
            </w:tcBorders>
            <w:vMerge w:val="continue"/>
          </w:tcPr>
          <w:p>
            <w:pPr>
              <w:spacing w:after="0"/>
              <w:rPr>
                <w:sz w:val="10"/>
                <w:szCs w:val="10"/>
                <w:color w:val="auto"/>
              </w:rPr>
            </w:pPr>
          </w:p>
        </w:tc>
        <w:tc>
          <w:tcPr>
            <w:tcW w:w="2240" w:type="dxa"/>
            <w:vAlign w:val="bottom"/>
            <w:tcBorders>
              <w:right w:val="single" w:sz="8" w:color="auto"/>
            </w:tcBorders>
            <w:vMerge w:val="continue"/>
          </w:tcPr>
          <w:p>
            <w:pPr>
              <w:spacing w:after="0"/>
              <w:rPr>
                <w:sz w:val="10"/>
                <w:szCs w:val="10"/>
                <w:color w:val="auto"/>
              </w:rPr>
            </w:pPr>
          </w:p>
        </w:tc>
        <w:tc>
          <w:tcPr>
            <w:tcW w:w="22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280" w:type="dxa"/>
            <w:vAlign w:val="bottom"/>
            <w:tcBorders>
              <w:left w:val="single" w:sz="8" w:color="auto"/>
              <w:right w:val="single" w:sz="8" w:color="auto"/>
            </w:tcBorders>
            <w:vMerge w:val="continue"/>
          </w:tcPr>
          <w:p>
            <w:pPr>
              <w:spacing w:after="0"/>
              <w:rPr>
                <w:sz w:val="9"/>
                <w:szCs w:val="9"/>
                <w:color w:val="auto"/>
              </w:rPr>
            </w:pPr>
          </w:p>
        </w:tc>
        <w:tc>
          <w:tcPr>
            <w:tcW w:w="2240" w:type="dxa"/>
            <w:vAlign w:val="bottom"/>
            <w:tcBorders>
              <w:right w:val="single" w:sz="8" w:color="auto"/>
            </w:tcBorders>
          </w:tcPr>
          <w:p>
            <w:pPr>
              <w:spacing w:after="0"/>
              <w:rPr>
                <w:sz w:val="9"/>
                <w:szCs w:val="9"/>
                <w:color w:val="auto"/>
              </w:rPr>
            </w:pPr>
          </w:p>
        </w:tc>
        <w:tc>
          <w:tcPr>
            <w:tcW w:w="2240" w:type="dxa"/>
            <w:vAlign w:val="bottom"/>
            <w:tcBorders>
              <w:right w:val="single" w:sz="8" w:color="auto"/>
            </w:tcBorders>
          </w:tcPr>
          <w:p>
            <w:pPr>
              <w:spacing w:after="0"/>
              <w:rPr>
                <w:sz w:val="9"/>
                <w:szCs w:val="9"/>
                <w:color w:val="auto"/>
              </w:rPr>
            </w:pPr>
          </w:p>
        </w:tc>
        <w:tc>
          <w:tcPr>
            <w:tcW w:w="2240" w:type="dxa"/>
            <w:vAlign w:val="bottom"/>
            <w:tcBorders>
              <w:right w:val="single" w:sz="8" w:color="auto"/>
            </w:tcBorders>
          </w:tcPr>
          <w:p>
            <w:pPr>
              <w:spacing w:after="0"/>
              <w:rPr>
                <w:sz w:val="9"/>
                <w:szCs w:val="9"/>
                <w:color w:val="auto"/>
              </w:rPr>
            </w:pPr>
          </w:p>
        </w:tc>
        <w:tc>
          <w:tcPr>
            <w:tcW w:w="22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0"/>
        </w:trPr>
        <w:tc>
          <w:tcPr>
            <w:tcW w:w="228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29" w:lineRule="exact"/>
        <w:rPr>
          <w:sz w:val="24"/>
          <w:szCs w:val="24"/>
          <w:color w:val="auto"/>
        </w:rPr>
      </w:pPr>
    </w:p>
    <w:p>
      <w:pPr>
        <w:ind w:left="340" w:right="40" w:hanging="332"/>
        <w:spacing w:after="0" w:line="259"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Ordinary Shares, par value €0.06 per share (“Ordinary Shares”), of ICON public limited company (the “Registrant”) that may be offered or issued pursuant to outstanding stock options and restricted stock units previously granted under the PRA Health Sciences, Inc. 2020 Stock Incentive Plan, PRA Health Sciences, Inc. 2018 Stock Incentive Plan, PRA Health Sciences, Inc. 2014 Omnibus Incentive Plan or 2013 Stock Incentive Plan for Key Employees of PRA Health Sciences and its Subsidiaries (the “PRA Plans”).</w:t>
      </w:r>
    </w:p>
    <w:p>
      <w:pPr>
        <w:spacing w:after="0" w:line="186" w:lineRule="exact"/>
        <w:rPr>
          <w:rFonts w:ascii="Arial" w:cs="Arial" w:eastAsia="Arial" w:hAnsi="Arial"/>
          <w:sz w:val="18"/>
          <w:szCs w:val="18"/>
          <w:color w:val="auto"/>
        </w:rPr>
      </w:pPr>
    </w:p>
    <w:p>
      <w:pPr>
        <w:ind w:left="340" w:right="100" w:hanging="332"/>
        <w:spacing w:after="0" w:line="263"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416(a) under the Securities Act of 1933, as amended (the “Securities Act”), this Registration Statement also registers such additional Ordinary Shares that may be offered or issued pursuant to the PRA Plans to prevent dilution resulting from stock splits, stock dividends, or similar transactions resulting in an increase in the number of outstanding Ordinary Shares.</w:t>
      </w:r>
    </w:p>
    <w:p>
      <w:pPr>
        <w:spacing w:after="0" w:line="183" w:lineRule="exact"/>
        <w:rPr>
          <w:rFonts w:ascii="Arial" w:cs="Arial" w:eastAsia="Arial" w:hAnsi="Arial"/>
          <w:sz w:val="18"/>
          <w:szCs w:val="18"/>
          <w:color w:val="auto"/>
        </w:rPr>
      </w:pPr>
    </w:p>
    <w:p>
      <w:pPr>
        <w:ind w:left="340" w:right="200" w:hanging="332"/>
        <w:spacing w:after="0" w:line="342" w:lineRule="auto"/>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filing fee payable in connection with the registration of the Ordinary Shares was previously paid in connection with the filing of the Registrant’s Registration Statement on Form F-4 (File No. 333-254891) filed with the Securities and Exchange Commission (the “Commission”) on March 31,</w:t>
      </w:r>
    </w:p>
    <w:p>
      <w:pPr>
        <w:sectPr>
          <w:pgSz w:w="11900" w:h="16838" w:orient="portrait"/>
          <w:cols w:equalWidth="0" w:num="1">
            <w:col w:w="11240"/>
          </w:cols>
          <w:pgMar w:left="320" w:top="229" w:right="339" w:bottom="0" w:gutter="0" w:footer="0" w:header="0"/>
        </w:sectPr>
      </w:pPr>
    </w:p>
    <w:bookmarkStart w:id="1" w:name="page2"/>
    <w:bookmarkEnd w:id="1"/>
    <w:p>
      <w:pPr>
        <w:spacing w:after="0" w:line="277" w:lineRule="auto"/>
        <w:rPr>
          <w:sz w:val="20"/>
          <w:szCs w:val="20"/>
          <w:color w:val="auto"/>
        </w:rPr>
      </w:pPr>
      <w:r>
        <w:rPr>
          <w:rFonts w:ascii="Arial" w:cs="Arial" w:eastAsia="Arial" w:hAnsi="Arial"/>
          <w:sz w:val="18"/>
          <w:szCs w:val="18"/>
          <w:color w:val="auto"/>
        </w:rPr>
        <w:t>2021, and amended by Amendment No. 1 on April 26, 2021, and Registration Statement on Form F-4 (File No. 333- 257578) filed with the Commission on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186055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-210185</wp:posOffset>
            </wp:positionH>
            <wp:positionV relativeFrom="paragraph">
              <wp:posOffset>280035</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-210185</wp:posOffset>
            </wp:positionH>
            <wp:positionV relativeFrom="paragraph">
              <wp:posOffset>622935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40"/>
          </w:cols>
          <w:pgMar w:left="660" w:top="125" w:right="119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This Post-Effective Amendment No. 1 on Form S-8 (“Post-Effective Amendment”) amends the Registrant’s Registration Statement on Form F-4 (File No. 333-254891) filed with the Commission on March 31, 2021, as previously amended by the Amendment No. 1 filed with the Commission on April 26, 2021, and which became effective on April 27, 2021, and Registration Statement on Form F-4 (File No. 333-257578), filed with the Commission on June 30, 2021, which became effective on filing (the “Forms F-4” and, together with this Post-Effective Amendment, the “Registration Statement”). The Registrant filed the Forms F-4 in connection with the transactions contemplated by the Agreement and Plan of Merger dated as of February 24, 2021 (the “Merger Agreement”), by and among the Registrant, ICON US Holdings Inc., a wholly owned subsidiary of the Registrant (“US Holdco”), Indigo Merger Sub, Inc., a wholly owned subsidiary of the Registrant and US Holdco (“Merger Sub”) and PRA Health Sciences, Inc. (“PRA”).</w:t>
      </w:r>
    </w:p>
    <w:p>
      <w:pPr>
        <w:spacing w:after="0" w:line="166"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Pursuant to the Merger Agreement, effective on July 1, 2021, Merger Sub merged with and into PRA, with PRA surviving the merger as a wholly owned subsidiary of the Registrant and US Holdco (the “Merger”), and each outstanding share of PRA common stock (each, a “PRA Share”) converted into the right to receive (i) 0.4125 of one Ordinary Share and (ii) $80.00 in cash. Further, each outstanding stock option and restricted stock unit under the PRA Plans was assumed by the Registrant and converted into a stock option or restricted stock unit exercisable for or payable in Ordinary Shares based on the ratio of the average trading price per Ordinary Share for the ten days prior to July 1, 2021, and the corresponding value of the merger consideration for each PRA Share. This Post-Effective Amendment relates to 2,605,853 Ordinary Shares previously registered on the Forms F-4 for issuance under stock options and restricted stock units assumed by the Registrant under the PRA Plans.</w:t>
      </w:r>
    </w:p>
    <w:p>
      <w:pPr>
        <w:spacing w:after="0" w:line="38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 w:name="page4"/>
    <w:bookmarkEnd w:id="3"/>
    <w:p>
      <w:pPr>
        <w:jc w:val="center"/>
        <w:ind w:right="-83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center"/>
        <w:ind w:right="-83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information required by Part I of Form S-8 is omitted from this filing in accordance with Rule 428 under the Securities Act and the introductory note to Part I of Form S-8.</w:t>
      </w:r>
    </w:p>
    <w:p>
      <w:pPr>
        <w:spacing w:after="0" w:line="37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20"/>
          </w:cols>
          <w:pgMar w:left="320" w:top="337" w:right="115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229"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following documents filed by the Registrant with the Commission (File No. 000-29714) are incorporated by reference in this Registration Statement:</w:t>
      </w:r>
    </w:p>
    <w:p>
      <w:pPr>
        <w:spacing w:after="0" w:line="170" w:lineRule="exact"/>
        <w:rPr>
          <w:sz w:val="20"/>
          <w:szCs w:val="20"/>
          <w:color w:val="auto"/>
        </w:rPr>
      </w:pPr>
    </w:p>
    <w:p>
      <w:pPr>
        <w:ind w:left="640" w:right="80" w:hanging="376"/>
        <w:spacing w:after="0" w:line="277" w:lineRule="auto"/>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 Registrant’s Annual Report on Form 20-F for the fiscal year ended </w:t>
      </w:r>
      <w:hyperlink r:id="rId19">
        <w:r>
          <w:rPr>
            <w:rFonts w:ascii="Arial" w:cs="Arial" w:eastAsia="Arial" w:hAnsi="Arial"/>
            <w:sz w:val="18"/>
            <w:szCs w:val="18"/>
            <w:u w:val="single" w:color="auto"/>
            <w:color w:val="0000EE"/>
          </w:rPr>
          <w:t>December 31, 2020</w:t>
        </w:r>
      </w:hyperlink>
      <w:r>
        <w:rPr>
          <w:rFonts w:ascii="Arial" w:cs="Arial" w:eastAsia="Arial" w:hAnsi="Arial"/>
          <w:sz w:val="18"/>
          <w:szCs w:val="18"/>
          <w:color w:val="auto"/>
        </w:rPr>
        <w:t>, filed with the Commission on February 24, 2021 (the “Annual Report”);</w:t>
      </w:r>
    </w:p>
    <w:p>
      <w:pPr>
        <w:spacing w:after="0" w:line="170" w:lineRule="exact"/>
        <w:rPr>
          <w:rFonts w:ascii="Arial" w:cs="Arial" w:eastAsia="Arial" w:hAnsi="Arial"/>
          <w:sz w:val="18"/>
          <w:szCs w:val="18"/>
          <w:color w:val="auto"/>
        </w:rPr>
      </w:pPr>
    </w:p>
    <w:p>
      <w:pPr>
        <w:ind w:left="640" w:hanging="376"/>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 Registrant’s Report on Form 6-K filed with the Commission on </w:t>
      </w:r>
      <w:hyperlink r:id="rId20">
        <w:r>
          <w:rPr>
            <w:rFonts w:ascii="Arial" w:cs="Arial" w:eastAsia="Arial" w:hAnsi="Arial"/>
            <w:sz w:val="18"/>
            <w:szCs w:val="18"/>
            <w:u w:val="single" w:color="auto"/>
            <w:color w:val="0000EE"/>
          </w:rPr>
          <w:t>July 1, 2021</w:t>
        </w:r>
      </w:hyperlink>
      <w:r>
        <w:rPr>
          <w:rFonts w:ascii="Arial" w:cs="Arial" w:eastAsia="Arial" w:hAnsi="Arial"/>
          <w:sz w:val="18"/>
          <w:szCs w:val="18"/>
          <w:color w:val="auto"/>
        </w:rPr>
        <w:t>; and</w:t>
      </w:r>
    </w:p>
    <w:p>
      <w:pPr>
        <w:spacing w:after="0" w:line="225" w:lineRule="exact"/>
        <w:rPr>
          <w:rFonts w:ascii="Arial" w:cs="Arial" w:eastAsia="Arial" w:hAnsi="Arial"/>
          <w:sz w:val="18"/>
          <w:szCs w:val="18"/>
          <w:color w:val="auto"/>
        </w:rPr>
      </w:pPr>
    </w:p>
    <w:p>
      <w:pPr>
        <w:ind w:left="640" w:right="300" w:hanging="376"/>
        <w:spacing w:after="0" w:line="277" w:lineRule="auto"/>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 description of Ordinary Shares contained in Exhibit </w:t>
      </w:r>
      <w:hyperlink r:id="rId21">
        <w:r>
          <w:rPr>
            <w:rFonts w:ascii="Arial" w:cs="Arial" w:eastAsia="Arial" w:hAnsi="Arial"/>
            <w:sz w:val="18"/>
            <w:szCs w:val="18"/>
            <w:u w:val="single" w:color="auto"/>
            <w:color w:val="0000EE"/>
          </w:rPr>
          <w:t>2.2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Annual Report, including any amendment or reports filed for the purpose of updating such description.</w:t>
      </w:r>
    </w:p>
    <w:p>
      <w:pPr>
        <w:spacing w:after="0" w:line="170" w:lineRule="exact"/>
        <w:rPr>
          <w:rFonts w:ascii="Arial" w:cs="Arial" w:eastAsia="Arial" w:hAnsi="Arial"/>
          <w:sz w:val="18"/>
          <w:szCs w:val="18"/>
          <w:color w:val="auto"/>
        </w:rPr>
      </w:pPr>
    </w:p>
    <w:p>
      <w:pPr>
        <w:ind w:right="20" w:firstLine="648"/>
        <w:spacing w:after="0" w:line="259" w:lineRule="auto"/>
        <w:rPr>
          <w:sz w:val="20"/>
          <w:szCs w:val="20"/>
          <w:color w:val="auto"/>
        </w:rPr>
      </w:pPr>
      <w:r>
        <w:rPr>
          <w:rFonts w:ascii="Arial" w:cs="Arial" w:eastAsia="Arial" w:hAnsi="Arial"/>
          <w:sz w:val="18"/>
          <w:szCs w:val="18"/>
          <w:color w:val="auto"/>
        </w:rPr>
        <w:t>In addition, all documents subsequently filed with the Commission by the Registrant pursuant to Sections 13(a), 13(c), 14 and 15(d) of the Securities Exchange Act of 1934 (the “Exchange Act”), prior to the filing of a post-effective amendment to this Registration Statement which indicates that all securities offered have been sold or which deregisters all securities then remaining unsold, shall be deemed to be incorporated by reference in this Registration Statement and to be part thereof from the filing date of such documents.</w:t>
      </w:r>
    </w:p>
    <w:p>
      <w:pPr>
        <w:spacing w:after="0" w:line="183"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color w:val="auto"/>
        </w:rPr>
        <w:t>Item 4. Description of Securities.</w:t>
      </w:r>
    </w:p>
    <w:p>
      <w:pPr>
        <w:spacing w:after="0" w:line="229" w:lineRule="exact"/>
        <w:rPr>
          <w:rFonts w:ascii="Arial" w:cs="Arial" w:eastAsia="Arial" w:hAnsi="Arial"/>
          <w:sz w:val="18"/>
          <w:szCs w:val="18"/>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229" w:lineRule="exact"/>
        <w:rPr>
          <w:rFonts w:ascii="Arial" w:cs="Arial" w:eastAsia="Arial" w:hAnsi="Arial"/>
          <w:sz w:val="18"/>
          <w:szCs w:val="18"/>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229" w:lineRule="exact"/>
        <w:rPr>
          <w:rFonts w:ascii="Arial" w:cs="Arial" w:eastAsia="Arial" w:hAnsi="Arial"/>
          <w:sz w:val="18"/>
          <w:szCs w:val="18"/>
          <w:color w:val="auto"/>
        </w:rPr>
      </w:pPr>
    </w:p>
    <w:p>
      <w:pPr>
        <w:ind w:firstLine="648"/>
        <w:spacing w:after="0" w:line="272" w:lineRule="auto"/>
        <w:rPr>
          <w:sz w:val="20"/>
          <w:szCs w:val="20"/>
          <w:color w:val="auto"/>
        </w:rPr>
      </w:pPr>
      <w:r>
        <w:rPr>
          <w:rFonts w:ascii="Arial" w:cs="Arial" w:eastAsia="Arial" w:hAnsi="Arial"/>
          <w:sz w:val="17"/>
          <w:szCs w:val="17"/>
          <w:color w:val="auto"/>
        </w:rPr>
        <w:t>The constitution of the Registrant provides that, so far as may be permitted by the Irish Companies Act, every director, managing director, secretary or other officer of the Registrant shall be entitled to be indemnified by the Registrant against all costs, charges, losses, expenses, and liabilities incurred by them in the execution and discharge of their duties or in relation thereto including any liability incurred by them in defending any proceedings, civil or criminal, which relate to anything done or omitted or alleged to have been done or omitted by them as an officer or employee of the Registrant and in which judgment is given in their favor (or the proceedings are otherwise disposed of without any finding or admission of any material breach of duty on their part) or in which he is acquitted or in connection with any proceedings or any application under the Irish Companies Act or under any statute for relief from liability in respect of any such act or omission in which relief is granted to them by the court.</w:t>
      </w:r>
    </w:p>
    <w:p>
      <w:pPr>
        <w:spacing w:after="0" w:line="177" w:lineRule="exact"/>
        <w:rPr>
          <w:rFonts w:ascii="Arial" w:cs="Arial" w:eastAsia="Arial" w:hAnsi="Arial"/>
          <w:sz w:val="18"/>
          <w:szCs w:val="18"/>
          <w:color w:val="auto"/>
        </w:rPr>
      </w:pPr>
    </w:p>
    <w:p>
      <w:pPr>
        <w:ind w:right="100" w:firstLine="648"/>
        <w:spacing w:after="0" w:line="296" w:lineRule="auto"/>
        <w:rPr>
          <w:sz w:val="20"/>
          <w:szCs w:val="20"/>
          <w:color w:val="auto"/>
        </w:rPr>
      </w:pPr>
      <w:r>
        <w:rPr>
          <w:rFonts w:ascii="Arial" w:cs="Arial" w:eastAsia="Arial" w:hAnsi="Arial"/>
          <w:sz w:val="16"/>
          <w:szCs w:val="16"/>
          <w:color w:val="auto"/>
        </w:rPr>
        <w:t>However the Irish Companies Act only permits the Registrant to enter into an agreement to pay the costs or discharge the liability of a director or the secretary where judgment is given in their favor in any civil or criminal action in respect of such costs or liability, or where an Irish court grants relief because the director or secretary acted honestly and reasonably and ought fairly to be excused. This restriction does not apply to executives who are not directors or the secretary of the Registrant. Any obligation of an Irish company which purports to indemnify a director or secretary of an Irish company over and above this will be void under Irish law, whether contained in its constitution or any contract between the director and the company.</w:t>
      </w:r>
    </w:p>
    <w:p>
      <w:pPr>
        <w:spacing w:after="0" w:line="161" w:lineRule="exact"/>
        <w:rPr>
          <w:rFonts w:ascii="Arial" w:cs="Arial" w:eastAsia="Arial" w:hAnsi="Arial"/>
          <w:sz w:val="18"/>
          <w:szCs w:val="18"/>
          <w:color w:val="auto"/>
        </w:rPr>
      </w:pPr>
    </w:p>
    <w:p>
      <w:pPr>
        <w:ind w:right="220" w:firstLine="648"/>
        <w:spacing w:after="0" w:line="277" w:lineRule="auto"/>
        <w:rPr>
          <w:sz w:val="20"/>
          <w:szCs w:val="20"/>
          <w:color w:val="auto"/>
        </w:rPr>
      </w:pPr>
      <w:r>
        <w:rPr>
          <w:rFonts w:ascii="Arial" w:cs="Arial" w:eastAsia="Arial" w:hAnsi="Arial"/>
          <w:sz w:val="18"/>
          <w:szCs w:val="18"/>
          <w:color w:val="auto"/>
        </w:rPr>
        <w:t>The Irish company law restrictions outlined above do not prevent the Registrant from obtaining, and paying for, directors’ and officers’ liability insurance, as well as other types of insurance, for its directors and officers.</w:t>
      </w:r>
    </w:p>
    <w:p>
      <w:pPr>
        <w:spacing w:after="0" w:line="373" w:lineRule="exact"/>
        <w:rPr>
          <w:rFonts w:ascii="Arial" w:cs="Arial" w:eastAsia="Arial" w:hAnsi="Arial"/>
          <w:sz w:val="18"/>
          <w:szCs w:val="18"/>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Item 7. Exemption from Registration Claimed.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exhibits are filed or incorporated by reference as part of this Post-Effective Amendment:</w:t>
      </w:r>
    </w:p>
    <w:p>
      <w:pPr>
        <w:spacing w:after="0" w:line="208" w:lineRule="exact"/>
        <w:rPr>
          <w:sz w:val="20"/>
          <w:szCs w:val="20"/>
          <w:color w:val="auto"/>
        </w:rPr>
      </w:pPr>
    </w:p>
    <w:tbl>
      <w:tblPr>
        <w:tblLayout w:type="fixed"/>
        <w:tblInd w:w="540" w:type="dxa"/>
        <w:tblCellMar>
          <w:top w:w="0" w:type="dxa"/>
          <w:left w:w="0" w:type="dxa"/>
          <w:bottom w:w="0" w:type="dxa"/>
          <w:right w:w="0" w:type="dxa"/>
        </w:tblCellMar>
      </w:tblPr>
      <w:tr>
        <w:trPr>
          <w:trHeight w:val="207"/>
        </w:trPr>
        <w:tc>
          <w:tcPr>
            <w:tcW w:w="1380" w:type="dxa"/>
            <w:vAlign w:val="bottom"/>
            <w:gridSpan w:val="6"/>
          </w:tcPr>
          <w:p>
            <w:pPr>
              <w:spacing w:after="0"/>
              <w:rPr>
                <w:sz w:val="20"/>
                <w:szCs w:val="20"/>
                <w:color w:val="auto"/>
              </w:rPr>
            </w:pPr>
            <w:r>
              <w:rPr>
                <w:rFonts w:ascii="Arial" w:cs="Arial" w:eastAsia="Arial" w:hAnsi="Arial"/>
                <w:sz w:val="18"/>
                <w:szCs w:val="18"/>
                <w:color w:val="auto"/>
              </w:rPr>
              <w:t>Exhibit No.</w:t>
            </w:r>
          </w:p>
        </w:tc>
        <w:tc>
          <w:tcPr>
            <w:tcW w:w="9300" w:type="dxa"/>
            <w:vAlign w:val="bottom"/>
            <w:gridSpan w:val="2"/>
          </w:tcPr>
          <w:p>
            <w:pPr>
              <w:spacing w:after="0"/>
              <w:rPr>
                <w:sz w:val="20"/>
                <w:szCs w:val="20"/>
                <w:color w:val="auto"/>
              </w:rPr>
            </w:pPr>
            <w:r>
              <w:rPr>
                <w:rFonts w:ascii="Arial" w:cs="Arial" w:eastAsia="Arial" w:hAnsi="Arial"/>
                <w:sz w:val="18"/>
                <w:szCs w:val="18"/>
                <w:color w:val="auto"/>
              </w:rPr>
              <w:t>Description</w:t>
            </w:r>
          </w:p>
        </w:tc>
      </w:tr>
      <w:tr>
        <w:trPr>
          <w:trHeight w:val="20"/>
        </w:trPr>
        <w:tc>
          <w:tcPr>
            <w:tcW w:w="2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r>
      <w:tr>
        <w:trPr>
          <w:trHeight w:val="412"/>
        </w:trPr>
        <w:tc>
          <w:tcPr>
            <w:tcW w:w="580" w:type="dxa"/>
            <w:vAlign w:val="bottom"/>
            <w:gridSpan w:val="4"/>
          </w:tcPr>
          <w:p>
            <w:pPr>
              <w:jc w:val="center"/>
              <w:ind w:left="190"/>
              <w:spacing w:after="0"/>
              <w:rPr>
                <w:rFonts w:ascii="Arial" w:cs="Arial" w:eastAsia="Arial" w:hAnsi="Arial"/>
                <w:sz w:val="18"/>
                <w:szCs w:val="18"/>
                <w:color w:val="0000EE"/>
                <w:w w:val="87"/>
              </w:rPr>
            </w:pPr>
            <w:hyperlink w:anchor="page11">
              <w:r>
                <w:rPr>
                  <w:rFonts w:ascii="Arial" w:cs="Arial" w:eastAsia="Arial" w:hAnsi="Arial"/>
                  <w:sz w:val="18"/>
                  <w:szCs w:val="18"/>
                  <w:color w:val="0000EE"/>
                  <w:w w:val="87"/>
                </w:rPr>
                <w:t>4.</w:t>
              </w:r>
              <w:r>
                <w:rPr>
                  <w:rFonts w:ascii="Arial" w:cs="Arial" w:eastAsia="Arial" w:hAnsi="Arial"/>
                  <w:sz w:val="18"/>
                  <w:szCs w:val="18"/>
                  <w:u w:val="single" w:color="auto"/>
                  <w:color w:val="0000EE"/>
                  <w:w w:val="87"/>
                </w:rPr>
                <w:t>1</w:t>
              </w:r>
            </w:hyperlink>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300" w:type="dxa"/>
            <w:vAlign w:val="bottom"/>
            <w:gridSpan w:val="2"/>
          </w:tcPr>
          <w:p>
            <w:pPr>
              <w:spacing w:after="0"/>
              <w:rPr>
                <w:sz w:val="20"/>
                <w:szCs w:val="20"/>
                <w:color w:val="auto"/>
              </w:rPr>
            </w:pPr>
            <w:r>
              <w:rPr>
                <w:rFonts w:ascii="Arial" w:cs="Arial" w:eastAsia="Arial" w:hAnsi="Arial"/>
                <w:sz w:val="18"/>
                <w:szCs w:val="18"/>
                <w:color w:val="auto"/>
                <w:w w:val="91"/>
              </w:rPr>
              <w:t>PRA Health Sciences, Inc. 2020 Stock Incentive Plan (as amended and restated and assumed by the Registrant effective as of</w:t>
            </w:r>
          </w:p>
        </w:tc>
      </w:tr>
      <w:tr>
        <w:trPr>
          <w:trHeight w:val="237"/>
        </w:trPr>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300" w:type="dxa"/>
            <w:vAlign w:val="bottom"/>
            <w:gridSpan w:val="2"/>
          </w:tcPr>
          <w:p>
            <w:pPr>
              <w:spacing w:after="0"/>
              <w:rPr>
                <w:sz w:val="20"/>
                <w:szCs w:val="20"/>
                <w:color w:val="auto"/>
              </w:rPr>
            </w:pPr>
            <w:r>
              <w:rPr>
                <w:rFonts w:ascii="Arial" w:cs="Arial" w:eastAsia="Arial" w:hAnsi="Arial"/>
                <w:sz w:val="18"/>
                <w:szCs w:val="18"/>
                <w:color w:val="auto"/>
              </w:rPr>
              <w:t>July 1, 2021).</w:t>
            </w:r>
          </w:p>
        </w:tc>
      </w:tr>
      <w:tr>
        <w:trPr>
          <w:trHeight w:val="392"/>
        </w:trPr>
        <w:tc>
          <w:tcPr>
            <w:tcW w:w="580" w:type="dxa"/>
            <w:vAlign w:val="bottom"/>
            <w:gridSpan w:val="4"/>
          </w:tcPr>
          <w:p>
            <w:pPr>
              <w:jc w:val="center"/>
              <w:ind w:left="190"/>
              <w:spacing w:after="0"/>
              <w:rPr>
                <w:rFonts w:ascii="Arial" w:cs="Arial" w:eastAsia="Arial" w:hAnsi="Arial"/>
                <w:sz w:val="18"/>
                <w:szCs w:val="18"/>
                <w:color w:val="0000EE"/>
                <w:w w:val="87"/>
              </w:rPr>
            </w:pPr>
            <w:hyperlink w:anchor="page33">
              <w:r>
                <w:rPr>
                  <w:rFonts w:ascii="Arial" w:cs="Arial" w:eastAsia="Arial" w:hAnsi="Arial"/>
                  <w:sz w:val="18"/>
                  <w:szCs w:val="18"/>
                  <w:color w:val="0000EE"/>
                  <w:w w:val="87"/>
                </w:rPr>
                <w:t>4.</w:t>
              </w:r>
              <w:r>
                <w:rPr>
                  <w:rFonts w:ascii="Arial" w:cs="Arial" w:eastAsia="Arial" w:hAnsi="Arial"/>
                  <w:sz w:val="18"/>
                  <w:szCs w:val="18"/>
                  <w:u w:val="single" w:color="auto"/>
                  <w:color w:val="0000EE"/>
                  <w:w w:val="87"/>
                </w:rPr>
                <w:t>2</w:t>
              </w:r>
            </w:hyperlink>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300" w:type="dxa"/>
            <w:vAlign w:val="bottom"/>
            <w:gridSpan w:val="2"/>
          </w:tcPr>
          <w:p>
            <w:pPr>
              <w:spacing w:after="0"/>
              <w:rPr>
                <w:sz w:val="20"/>
                <w:szCs w:val="20"/>
                <w:color w:val="auto"/>
              </w:rPr>
            </w:pPr>
            <w:r>
              <w:rPr>
                <w:rFonts w:ascii="Arial" w:cs="Arial" w:eastAsia="Arial" w:hAnsi="Arial"/>
                <w:sz w:val="18"/>
                <w:szCs w:val="18"/>
                <w:color w:val="auto"/>
                <w:w w:val="91"/>
              </w:rPr>
              <w:t>PRA Health Sciences, Inc. 2018 Stock Incentive Plan (as amended and restated and assumed by the Registrant effective as of</w:t>
            </w:r>
          </w:p>
        </w:tc>
      </w:tr>
      <w:tr>
        <w:trPr>
          <w:trHeight w:val="237"/>
        </w:trPr>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300" w:type="dxa"/>
            <w:vAlign w:val="bottom"/>
            <w:gridSpan w:val="2"/>
          </w:tcPr>
          <w:p>
            <w:pPr>
              <w:spacing w:after="0"/>
              <w:rPr>
                <w:sz w:val="20"/>
                <w:szCs w:val="20"/>
                <w:color w:val="auto"/>
              </w:rPr>
            </w:pPr>
            <w:r>
              <w:rPr>
                <w:rFonts w:ascii="Arial" w:cs="Arial" w:eastAsia="Arial" w:hAnsi="Arial"/>
                <w:sz w:val="18"/>
                <w:szCs w:val="18"/>
                <w:color w:val="auto"/>
              </w:rPr>
              <w:t>July 1, 2021).</w:t>
            </w:r>
          </w:p>
        </w:tc>
      </w:tr>
      <w:tr>
        <w:trPr>
          <w:trHeight w:val="391"/>
        </w:trPr>
        <w:tc>
          <w:tcPr>
            <w:tcW w:w="580" w:type="dxa"/>
            <w:vAlign w:val="bottom"/>
            <w:gridSpan w:val="4"/>
          </w:tcPr>
          <w:p>
            <w:pPr>
              <w:jc w:val="center"/>
              <w:ind w:left="190"/>
              <w:spacing w:after="0"/>
              <w:rPr>
                <w:rFonts w:ascii="Arial" w:cs="Arial" w:eastAsia="Arial" w:hAnsi="Arial"/>
                <w:sz w:val="18"/>
                <w:szCs w:val="18"/>
                <w:color w:val="0000EE"/>
                <w:w w:val="87"/>
              </w:rPr>
            </w:pPr>
            <w:hyperlink w:anchor="page54">
              <w:r>
                <w:rPr>
                  <w:rFonts w:ascii="Arial" w:cs="Arial" w:eastAsia="Arial" w:hAnsi="Arial"/>
                  <w:sz w:val="18"/>
                  <w:szCs w:val="18"/>
                  <w:color w:val="0000EE"/>
                  <w:w w:val="87"/>
                </w:rPr>
                <w:t>4.</w:t>
              </w:r>
              <w:r>
                <w:rPr>
                  <w:rFonts w:ascii="Arial" w:cs="Arial" w:eastAsia="Arial" w:hAnsi="Arial"/>
                  <w:sz w:val="18"/>
                  <w:szCs w:val="18"/>
                  <w:u w:val="single" w:color="auto"/>
                  <w:color w:val="0000EE"/>
                  <w:w w:val="87"/>
                </w:rPr>
                <w:t>3</w:t>
              </w:r>
            </w:hyperlink>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300" w:type="dxa"/>
            <w:vAlign w:val="bottom"/>
            <w:gridSpan w:val="2"/>
          </w:tcPr>
          <w:p>
            <w:pPr>
              <w:spacing w:after="0"/>
              <w:rPr>
                <w:sz w:val="20"/>
                <w:szCs w:val="20"/>
                <w:color w:val="auto"/>
              </w:rPr>
            </w:pPr>
            <w:r>
              <w:rPr>
                <w:rFonts w:ascii="Arial" w:cs="Arial" w:eastAsia="Arial" w:hAnsi="Arial"/>
                <w:sz w:val="18"/>
                <w:szCs w:val="18"/>
                <w:color w:val="auto"/>
                <w:w w:val="89"/>
              </w:rPr>
              <w:t>PRA Health Sciences, Inc. 2014 Omnibus Incentive Plan (as amended and restated and assumed by the Registrant effective as of</w:t>
            </w:r>
          </w:p>
        </w:tc>
      </w:tr>
      <w:tr>
        <w:trPr>
          <w:trHeight w:val="237"/>
        </w:trPr>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300" w:type="dxa"/>
            <w:vAlign w:val="bottom"/>
            <w:gridSpan w:val="2"/>
          </w:tcPr>
          <w:p>
            <w:pPr>
              <w:spacing w:after="0"/>
              <w:rPr>
                <w:sz w:val="20"/>
                <w:szCs w:val="20"/>
                <w:color w:val="auto"/>
              </w:rPr>
            </w:pPr>
            <w:r>
              <w:rPr>
                <w:rFonts w:ascii="Arial" w:cs="Arial" w:eastAsia="Arial" w:hAnsi="Arial"/>
                <w:sz w:val="18"/>
                <w:szCs w:val="18"/>
                <w:color w:val="auto"/>
              </w:rPr>
              <w:t>July 1, 2021).</w:t>
            </w:r>
          </w:p>
        </w:tc>
      </w:tr>
      <w:tr>
        <w:trPr>
          <w:trHeight w:val="392"/>
        </w:trPr>
        <w:tc>
          <w:tcPr>
            <w:tcW w:w="580" w:type="dxa"/>
            <w:vAlign w:val="bottom"/>
            <w:gridSpan w:val="4"/>
          </w:tcPr>
          <w:p>
            <w:pPr>
              <w:jc w:val="center"/>
              <w:ind w:left="190"/>
              <w:spacing w:after="0"/>
              <w:rPr>
                <w:rFonts w:ascii="Arial" w:cs="Arial" w:eastAsia="Arial" w:hAnsi="Arial"/>
                <w:sz w:val="18"/>
                <w:szCs w:val="18"/>
                <w:color w:val="0000EE"/>
                <w:w w:val="87"/>
              </w:rPr>
            </w:pPr>
            <w:hyperlink w:anchor="page77">
              <w:r>
                <w:rPr>
                  <w:rFonts w:ascii="Arial" w:cs="Arial" w:eastAsia="Arial" w:hAnsi="Arial"/>
                  <w:sz w:val="18"/>
                  <w:szCs w:val="18"/>
                  <w:color w:val="0000EE"/>
                  <w:w w:val="87"/>
                </w:rPr>
                <w:t>4.</w:t>
              </w:r>
              <w:r>
                <w:rPr>
                  <w:rFonts w:ascii="Arial" w:cs="Arial" w:eastAsia="Arial" w:hAnsi="Arial"/>
                  <w:sz w:val="18"/>
                  <w:szCs w:val="18"/>
                  <w:u w:val="single" w:color="auto"/>
                  <w:color w:val="0000EE"/>
                  <w:w w:val="87"/>
                </w:rPr>
                <w:t>4</w:t>
              </w:r>
            </w:hyperlink>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300" w:type="dxa"/>
            <w:vAlign w:val="bottom"/>
            <w:gridSpan w:val="2"/>
          </w:tcPr>
          <w:p>
            <w:pPr>
              <w:spacing w:after="0"/>
              <w:rPr>
                <w:sz w:val="20"/>
                <w:szCs w:val="20"/>
                <w:color w:val="auto"/>
              </w:rPr>
            </w:pPr>
            <w:r>
              <w:rPr>
                <w:rFonts w:ascii="Arial" w:cs="Arial" w:eastAsia="Arial" w:hAnsi="Arial"/>
                <w:sz w:val="18"/>
                <w:szCs w:val="18"/>
                <w:color w:val="auto"/>
                <w:w w:val="95"/>
              </w:rPr>
              <w:t>2013 Stock Incentive Plan for Key Employees of PRA Health Sciences and its Subsidiaries (as amended and restated and</w:t>
            </w:r>
          </w:p>
        </w:tc>
      </w:tr>
      <w:tr>
        <w:trPr>
          <w:trHeight w:val="237"/>
        </w:trPr>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300" w:type="dxa"/>
            <w:vAlign w:val="bottom"/>
            <w:gridSpan w:val="2"/>
          </w:tcPr>
          <w:p>
            <w:pPr>
              <w:spacing w:after="0"/>
              <w:rPr>
                <w:sz w:val="20"/>
                <w:szCs w:val="20"/>
                <w:color w:val="auto"/>
              </w:rPr>
            </w:pPr>
            <w:r>
              <w:rPr>
                <w:rFonts w:ascii="Arial" w:cs="Arial" w:eastAsia="Arial" w:hAnsi="Arial"/>
                <w:sz w:val="18"/>
                <w:szCs w:val="18"/>
                <w:color w:val="auto"/>
              </w:rPr>
              <w:t>assumed by the Registrant effective as of July 1, 2021).</w:t>
            </w:r>
          </w:p>
        </w:tc>
      </w:tr>
      <w:tr>
        <w:trPr>
          <w:trHeight w:val="391"/>
        </w:trPr>
        <w:tc>
          <w:tcPr>
            <w:tcW w:w="580" w:type="dxa"/>
            <w:vAlign w:val="bottom"/>
            <w:gridSpan w:val="4"/>
          </w:tcPr>
          <w:p>
            <w:pPr>
              <w:jc w:val="center"/>
              <w:ind w:left="190"/>
              <w:spacing w:after="0"/>
              <w:rPr>
                <w:rFonts w:ascii="Arial" w:cs="Arial" w:eastAsia="Arial" w:hAnsi="Arial"/>
                <w:sz w:val="18"/>
                <w:szCs w:val="18"/>
                <w:color w:val="0000EE"/>
                <w:w w:val="87"/>
              </w:rPr>
            </w:pPr>
            <w:hyperlink w:anchor="page91">
              <w:r>
                <w:rPr>
                  <w:rFonts w:ascii="Arial" w:cs="Arial" w:eastAsia="Arial" w:hAnsi="Arial"/>
                  <w:sz w:val="18"/>
                  <w:szCs w:val="18"/>
                  <w:color w:val="0000EE"/>
                  <w:w w:val="87"/>
                </w:rPr>
                <w:t>5.</w:t>
              </w:r>
              <w:r>
                <w:rPr>
                  <w:rFonts w:ascii="Arial" w:cs="Arial" w:eastAsia="Arial" w:hAnsi="Arial"/>
                  <w:sz w:val="18"/>
                  <w:szCs w:val="18"/>
                  <w:u w:val="single" w:color="auto"/>
                  <w:color w:val="0000EE"/>
                  <w:w w:val="87"/>
                </w:rPr>
                <w:t>1</w:t>
              </w:r>
            </w:hyperlink>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300" w:type="dxa"/>
            <w:vAlign w:val="bottom"/>
            <w:gridSpan w:val="2"/>
          </w:tcPr>
          <w:p>
            <w:pPr>
              <w:spacing w:after="0"/>
              <w:rPr>
                <w:sz w:val="20"/>
                <w:szCs w:val="20"/>
                <w:color w:val="auto"/>
              </w:rPr>
            </w:pPr>
            <w:r>
              <w:rPr>
                <w:rFonts w:ascii="Arial" w:cs="Arial" w:eastAsia="Arial" w:hAnsi="Arial"/>
                <w:sz w:val="18"/>
                <w:szCs w:val="18"/>
                <w:color w:val="auto"/>
                <w:w w:val="99"/>
              </w:rPr>
              <w:t>Opinion of A&amp;L Goodbody LLP as to the validity of the Ordinary Shares being registered pursuant to this Registration</w:t>
            </w:r>
          </w:p>
        </w:tc>
      </w:tr>
      <w:tr>
        <w:trPr>
          <w:trHeight w:val="237"/>
        </w:trPr>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300" w:type="dxa"/>
            <w:vAlign w:val="bottom"/>
            <w:gridSpan w:val="2"/>
          </w:tcPr>
          <w:p>
            <w:pPr>
              <w:spacing w:after="0"/>
              <w:rPr>
                <w:sz w:val="20"/>
                <w:szCs w:val="20"/>
                <w:color w:val="auto"/>
              </w:rPr>
            </w:pPr>
            <w:r>
              <w:rPr>
                <w:rFonts w:ascii="Arial" w:cs="Arial" w:eastAsia="Arial" w:hAnsi="Arial"/>
                <w:sz w:val="18"/>
                <w:szCs w:val="18"/>
                <w:color w:val="auto"/>
              </w:rPr>
              <w:t>Statement.</w:t>
            </w:r>
          </w:p>
        </w:tc>
      </w:tr>
      <w:tr>
        <w:trPr>
          <w:trHeight w:val="392"/>
        </w:trPr>
        <w:tc>
          <w:tcPr>
            <w:tcW w:w="260" w:type="dxa"/>
            <w:vAlign w:val="bottom"/>
          </w:tcPr>
          <w:p>
            <w:pPr>
              <w:spacing w:after="0"/>
              <w:rPr>
                <w:sz w:val="24"/>
                <w:szCs w:val="24"/>
                <w:color w:val="auto"/>
              </w:rPr>
            </w:pPr>
          </w:p>
        </w:tc>
        <w:tc>
          <w:tcPr>
            <w:tcW w:w="320" w:type="dxa"/>
            <w:vAlign w:val="bottom"/>
            <w:tcBorders>
              <w:bottom w:val="single" w:sz="8" w:color="0000EE"/>
            </w:tcBorders>
            <w:gridSpan w:val="3"/>
          </w:tcPr>
          <w:p>
            <w:pPr>
              <w:jc w:val="center"/>
              <w:spacing w:after="0"/>
              <w:rPr>
                <w:rFonts w:ascii="Arial" w:cs="Arial" w:eastAsia="Arial" w:hAnsi="Arial"/>
                <w:sz w:val="18"/>
                <w:szCs w:val="18"/>
                <w:color w:val="0000EE"/>
                <w:w w:val="91"/>
              </w:rPr>
            </w:pPr>
            <w:hyperlink w:anchor="page94">
              <w:r>
                <w:rPr>
                  <w:rFonts w:ascii="Arial" w:cs="Arial" w:eastAsia="Arial" w:hAnsi="Arial"/>
                  <w:sz w:val="18"/>
                  <w:szCs w:val="18"/>
                  <w:color w:val="0000EE"/>
                  <w:w w:val="91"/>
                </w:rPr>
                <w:t>23.</w:t>
              </w:r>
              <w:r>
                <w:rPr>
                  <w:rFonts w:ascii="Arial" w:cs="Arial" w:eastAsia="Arial" w:hAnsi="Arial"/>
                  <w:sz w:val="18"/>
                  <w:szCs w:val="18"/>
                  <w:u w:val="single" w:color="auto"/>
                  <w:color w:val="0000EE"/>
                  <w:w w:val="91"/>
                </w:rPr>
                <w:t>1</w:t>
              </w:r>
            </w:hyperlink>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300" w:type="dxa"/>
            <w:vAlign w:val="bottom"/>
            <w:gridSpan w:val="2"/>
          </w:tcPr>
          <w:p>
            <w:pPr>
              <w:spacing w:after="0"/>
              <w:rPr>
                <w:sz w:val="20"/>
                <w:szCs w:val="20"/>
                <w:color w:val="auto"/>
              </w:rPr>
            </w:pPr>
            <w:r>
              <w:rPr>
                <w:rFonts w:ascii="Arial" w:cs="Arial" w:eastAsia="Arial" w:hAnsi="Arial"/>
                <w:sz w:val="18"/>
                <w:szCs w:val="18"/>
                <w:color w:val="auto"/>
                <w:w w:val="96"/>
              </w:rPr>
              <w:t>Consent of KPMG, Independent Registered Public Accounting Firm, relating to the financial statements of the Registrant.</w:t>
            </w:r>
          </w:p>
        </w:tc>
      </w:tr>
      <w:tr>
        <w:trPr>
          <w:trHeight w:val="412"/>
        </w:trPr>
        <w:tc>
          <w:tcPr>
            <w:tcW w:w="260" w:type="dxa"/>
            <w:vAlign w:val="bottom"/>
          </w:tcPr>
          <w:p>
            <w:pPr>
              <w:spacing w:after="0"/>
              <w:rPr>
                <w:sz w:val="24"/>
                <w:szCs w:val="24"/>
                <w:color w:val="auto"/>
              </w:rPr>
            </w:pPr>
          </w:p>
        </w:tc>
        <w:tc>
          <w:tcPr>
            <w:tcW w:w="320" w:type="dxa"/>
            <w:vAlign w:val="bottom"/>
            <w:tcBorders>
              <w:bottom w:val="single" w:sz="8" w:color="0000EE"/>
            </w:tcBorders>
            <w:gridSpan w:val="3"/>
          </w:tcPr>
          <w:p>
            <w:pPr>
              <w:jc w:val="center"/>
              <w:spacing w:after="0"/>
              <w:rPr>
                <w:rFonts w:ascii="Arial" w:cs="Arial" w:eastAsia="Arial" w:hAnsi="Arial"/>
                <w:sz w:val="18"/>
                <w:szCs w:val="18"/>
                <w:color w:val="0000EE"/>
                <w:w w:val="91"/>
              </w:rPr>
            </w:pPr>
            <w:hyperlink w:anchor="page91">
              <w:r>
                <w:rPr>
                  <w:rFonts w:ascii="Arial" w:cs="Arial" w:eastAsia="Arial" w:hAnsi="Arial"/>
                  <w:sz w:val="18"/>
                  <w:szCs w:val="18"/>
                  <w:color w:val="0000EE"/>
                  <w:w w:val="91"/>
                </w:rPr>
                <w:t>23.</w:t>
              </w:r>
              <w:r>
                <w:rPr>
                  <w:rFonts w:ascii="Arial" w:cs="Arial" w:eastAsia="Arial" w:hAnsi="Arial"/>
                  <w:sz w:val="18"/>
                  <w:szCs w:val="18"/>
                  <w:u w:val="single" w:color="auto"/>
                  <w:color w:val="0000EE"/>
                  <w:w w:val="91"/>
                </w:rPr>
                <w:t>3</w:t>
              </w:r>
            </w:hyperlink>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300" w:type="dxa"/>
            <w:vAlign w:val="bottom"/>
            <w:gridSpan w:val="2"/>
          </w:tcPr>
          <w:p>
            <w:pPr>
              <w:spacing w:after="0"/>
              <w:rPr>
                <w:sz w:val="20"/>
                <w:szCs w:val="20"/>
                <w:color w:val="auto"/>
              </w:rPr>
            </w:pPr>
            <w:r>
              <w:rPr>
                <w:rFonts w:ascii="Arial" w:cs="Arial" w:eastAsia="Arial" w:hAnsi="Arial"/>
                <w:sz w:val="18"/>
                <w:szCs w:val="18"/>
                <w:color w:val="auto"/>
              </w:rPr>
              <w:t>Consent of A&amp;L Goodbody LLP (included in Exhibit 5.1).</w:t>
            </w:r>
          </w:p>
        </w:tc>
      </w:tr>
      <w:tr>
        <w:trPr>
          <w:trHeight w:val="412"/>
        </w:trPr>
        <w:tc>
          <w:tcPr>
            <w:tcW w:w="580" w:type="dxa"/>
            <w:vAlign w:val="bottom"/>
            <w:gridSpan w:val="4"/>
          </w:tcPr>
          <w:p>
            <w:pPr>
              <w:jc w:val="center"/>
              <w:ind w:left="170"/>
              <w:spacing w:after="0"/>
              <w:rPr>
                <w:rFonts w:ascii="Arial" w:cs="Arial" w:eastAsia="Arial" w:hAnsi="Arial"/>
                <w:sz w:val="18"/>
                <w:szCs w:val="18"/>
                <w:color w:val="0000EE"/>
                <w:w w:val="91"/>
              </w:rPr>
            </w:pPr>
            <w:hyperlink r:id="rId23">
              <w:r>
                <w:rPr>
                  <w:rFonts w:ascii="Arial" w:cs="Arial" w:eastAsia="Arial" w:hAnsi="Arial"/>
                  <w:sz w:val="18"/>
                  <w:szCs w:val="18"/>
                  <w:color w:val="0000EE"/>
                  <w:w w:val="91"/>
                </w:rPr>
                <w:t>24.</w:t>
              </w:r>
              <w:r>
                <w:rPr>
                  <w:rFonts w:ascii="Arial" w:cs="Arial" w:eastAsia="Arial" w:hAnsi="Arial"/>
                  <w:sz w:val="18"/>
                  <w:szCs w:val="18"/>
                  <w:u w:val="single" w:color="auto"/>
                  <w:color w:val="0000EE"/>
                  <w:w w:val="91"/>
                </w:rPr>
                <w:t>1</w:t>
              </w:r>
            </w:hyperlink>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300" w:type="dxa"/>
            <w:vAlign w:val="bottom"/>
            <w:gridSpan w:val="2"/>
          </w:tcPr>
          <w:p>
            <w:pPr>
              <w:spacing w:after="0"/>
              <w:rPr>
                <w:sz w:val="20"/>
                <w:szCs w:val="20"/>
                <w:color w:val="auto"/>
              </w:rPr>
            </w:pPr>
            <w:r>
              <w:rPr>
                <w:rFonts w:ascii="Arial" w:cs="Arial" w:eastAsia="Arial" w:hAnsi="Arial"/>
                <w:sz w:val="18"/>
                <w:szCs w:val="18"/>
                <w:color w:val="auto"/>
                <w:w w:val="91"/>
              </w:rPr>
              <w:t>Power of Attorney of Officers and Directors (included on the signature page of the Registration Statement on Form F-4 (File No.</w:t>
            </w:r>
          </w:p>
        </w:tc>
      </w:tr>
      <w:tr>
        <w:trPr>
          <w:trHeight w:val="237"/>
        </w:trPr>
        <w:tc>
          <w:tcPr>
            <w:tcW w:w="260" w:type="dxa"/>
            <w:vAlign w:val="bottom"/>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300" w:type="dxa"/>
            <w:vAlign w:val="bottom"/>
            <w:gridSpan w:val="2"/>
          </w:tcPr>
          <w:p>
            <w:pPr>
              <w:spacing w:after="0"/>
              <w:rPr>
                <w:sz w:val="20"/>
                <w:szCs w:val="20"/>
                <w:color w:val="auto"/>
              </w:rPr>
            </w:pPr>
            <w:r>
              <w:rPr>
                <w:rFonts w:ascii="Arial" w:cs="Arial" w:eastAsia="Arial" w:hAnsi="Arial"/>
                <w:sz w:val="18"/>
                <w:szCs w:val="18"/>
                <w:color w:val="auto"/>
              </w:rPr>
              <w:t>333-254891) filed with the Commission on March 31, 2021).</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Undertakings.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undersigned Registrant hereby undertakes: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  To file, during any period in which offers or sales are being made, a post-effective amendment to this Registration Statement:</w:t>
      </w:r>
    </w:p>
    <w:p>
      <w:pPr>
        <w:spacing w:after="0" w:line="225"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225" w:lineRule="exact"/>
        <w:rPr>
          <w:rFonts w:ascii="Arial" w:cs="Arial" w:eastAsia="Arial" w:hAnsi="Arial"/>
          <w:sz w:val="18"/>
          <w:szCs w:val="18"/>
          <w:color w:val="auto"/>
        </w:rPr>
      </w:pPr>
    </w:p>
    <w:p>
      <w:pPr>
        <w:ind w:left="980" w:right="60" w:hanging="324"/>
        <w:spacing w:after="0" w:line="254"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w:t>
      </w:r>
    </w:p>
    <w:p>
      <w:pPr>
        <w:spacing w:after="0" w:line="39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6" w:name="page7"/>
    <w:bookmarkEnd w:id="6"/>
    <w:p>
      <w:pPr>
        <w:ind w:left="980" w:right="32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170" w:lineRule="exact"/>
        <w:rPr>
          <w:sz w:val="20"/>
          <w:szCs w:val="20"/>
          <w:color w:val="auto"/>
        </w:rPr>
      </w:pPr>
    </w:p>
    <w:p>
      <w:pPr>
        <w:spacing w:after="0" w:line="263"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paragraphs (1)(i) and (1)(ii) do not apply if the information required to be included in a post-effective amendment by those</w:t>
      </w:r>
      <w:r>
        <w:rPr>
          <w:rFonts w:ascii="Arial" w:cs="Arial" w:eastAsia="Arial" w:hAnsi="Arial"/>
          <w:sz w:val="18"/>
          <w:szCs w:val="18"/>
          <w:i w:val="1"/>
          <w:iCs w:val="1"/>
          <w:color w:val="auto"/>
        </w:rPr>
        <w:t xml:space="preserve"> </w:t>
      </w:r>
      <w:r>
        <w:rPr>
          <w:rFonts w:ascii="Arial" w:cs="Arial" w:eastAsia="Arial" w:hAnsi="Arial"/>
          <w:sz w:val="18"/>
          <w:szCs w:val="18"/>
          <w:color w:val="auto"/>
        </w:rPr>
        <w:t>paragraphs is contained in reports filed with or furnished to the Commission by the Registrant pursuant to Section 13 or Section 15(d) of the Exchange Act that are incorporated by reference in this Registration Statement.</w:t>
      </w:r>
    </w:p>
    <w:p>
      <w:pPr>
        <w:spacing w:after="0" w:line="184" w:lineRule="exact"/>
        <w:rPr>
          <w:sz w:val="20"/>
          <w:szCs w:val="20"/>
          <w:color w:val="auto"/>
        </w:rPr>
      </w:pPr>
    </w:p>
    <w:p>
      <w:pPr>
        <w:ind w:right="80" w:firstLine="656"/>
        <w:spacing w:after="0" w:line="263" w:lineRule="auto"/>
        <w:tabs>
          <w:tab w:leader="none" w:pos="989"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83" w:lineRule="exact"/>
        <w:rPr>
          <w:rFonts w:ascii="Arial" w:cs="Arial" w:eastAsia="Arial" w:hAnsi="Arial"/>
          <w:sz w:val="18"/>
          <w:szCs w:val="18"/>
          <w:color w:val="auto"/>
        </w:rPr>
      </w:pPr>
    </w:p>
    <w:p>
      <w:pPr>
        <w:ind w:right="480" w:firstLine="656"/>
        <w:spacing w:after="0" w:line="277" w:lineRule="auto"/>
        <w:tabs>
          <w:tab w:leader="none" w:pos="989"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88"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341" w:right="419" w:bottom="1440" w:gutter="0" w:footer="0" w:header="0"/>
        </w:sectPr>
      </w:pPr>
    </w:p>
    <w:bookmarkStart w:id="7" w:name="page8"/>
    <w:bookmarkEnd w:id="7"/>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Post-Effective Amendment to be signed on its behalf by the undersigned, thereunto duly authorized, in Dublin, Ireland, on July 1, 2021.</w:t>
      </w:r>
    </w:p>
    <w:p>
      <w:pPr>
        <w:spacing w:after="0" w:line="180"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ICON PLC</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Brendan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35572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Brendan Brennan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200" w:lineRule="exact"/>
        <w:rPr>
          <w:sz w:val="20"/>
          <w:szCs w:val="20"/>
          <w:color w:val="auto"/>
        </w:rPr>
      </w:pPr>
    </w:p>
    <w:p>
      <w:pPr>
        <w:spacing w:after="0" w:line="21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337" w:right="479" w:bottom="1440" w:gutter="0" w:footer="0" w:header="0"/>
        </w:sectPr>
      </w:pPr>
    </w:p>
    <w:bookmarkStart w:id="8" w:name="page9"/>
    <w:bookmarkEnd w:id="8"/>
    <w:p>
      <w:pPr>
        <w:ind w:right="100"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this Post-Effective Amendment has been signed below by the following persons in the capacities and on the date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tcPr>
          <w:p>
            <w:pPr>
              <w:jc w:val="center"/>
              <w:ind w:right="470"/>
              <w:spacing w:after="0"/>
              <w:rPr>
                <w:sz w:val="20"/>
                <w:szCs w:val="20"/>
                <w:color w:val="auto"/>
              </w:rPr>
            </w:pPr>
            <w:r>
              <w:rPr>
                <w:rFonts w:ascii="Arial" w:cs="Arial" w:eastAsia="Arial" w:hAnsi="Arial"/>
                <w:sz w:val="18"/>
                <w:szCs w:val="18"/>
                <w:b w:val="1"/>
                <w:bCs w:val="1"/>
                <w:color w:val="auto"/>
                <w:w w:val="91"/>
              </w:rPr>
              <w:t>Signature</w:t>
            </w:r>
          </w:p>
        </w:tc>
        <w:tc>
          <w:tcPr>
            <w:tcW w:w="4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426"/>
        </w:trPr>
        <w:tc>
          <w:tcPr>
            <w:tcW w:w="39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w:t>
            </w:r>
          </w:p>
        </w:tc>
        <w:tc>
          <w:tcPr>
            <w:tcW w:w="4520" w:type="dxa"/>
            <w:vAlign w:val="bottom"/>
          </w:tcPr>
          <w:p>
            <w:pPr>
              <w:jc w:val="center"/>
              <w:spacing w:after="0"/>
              <w:rPr>
                <w:sz w:val="20"/>
                <w:szCs w:val="20"/>
                <w:color w:val="auto"/>
              </w:rPr>
            </w:pPr>
            <w:r>
              <w:rPr>
                <w:rFonts w:ascii="Arial" w:cs="Arial" w:eastAsia="Arial" w:hAnsi="Arial"/>
                <w:sz w:val="18"/>
                <w:szCs w:val="18"/>
                <w:color w:val="auto"/>
                <w:w w:val="91"/>
              </w:rPr>
              <w:t>Chairman of the Board and Director</w:t>
            </w:r>
          </w:p>
        </w:tc>
        <w:tc>
          <w:tcPr>
            <w:tcW w:w="2780" w:type="dxa"/>
            <w:vAlign w:val="bottom"/>
          </w:tcPr>
          <w:p>
            <w:pPr>
              <w:jc w:val="center"/>
              <w:spacing w:after="0"/>
              <w:rPr>
                <w:sz w:val="20"/>
                <w:szCs w:val="20"/>
                <w:color w:val="auto"/>
              </w:rPr>
            </w:pPr>
            <w:r>
              <w:rPr>
                <w:rFonts w:ascii="Arial" w:cs="Arial" w:eastAsia="Arial" w:hAnsi="Arial"/>
                <w:sz w:val="18"/>
                <w:szCs w:val="18"/>
                <w:color w:val="auto"/>
                <w:w w:val="90"/>
              </w:rPr>
              <w:t>July 1, 2021</w:t>
            </w:r>
          </w:p>
        </w:tc>
      </w:tr>
      <w:tr>
        <w:trPr>
          <w:trHeight w:val="224"/>
        </w:trPr>
        <w:tc>
          <w:tcPr>
            <w:tcW w:w="580" w:type="dxa"/>
            <w:vAlign w:val="bottom"/>
          </w:tcPr>
          <w:p>
            <w:pPr>
              <w:spacing w:after="0"/>
              <w:rPr>
                <w:sz w:val="19"/>
                <w:szCs w:val="19"/>
                <w:color w:val="auto"/>
              </w:rPr>
            </w:pPr>
          </w:p>
        </w:tc>
        <w:tc>
          <w:tcPr>
            <w:tcW w:w="3360" w:type="dxa"/>
            <w:vAlign w:val="bottom"/>
          </w:tcPr>
          <w:p>
            <w:pPr>
              <w:jc w:val="center"/>
              <w:ind w:right="470"/>
              <w:spacing w:after="0"/>
              <w:rPr>
                <w:sz w:val="20"/>
                <w:szCs w:val="20"/>
                <w:color w:val="auto"/>
              </w:rPr>
            </w:pPr>
            <w:r>
              <w:rPr>
                <w:rFonts w:ascii="Arial" w:cs="Arial" w:eastAsia="Arial" w:hAnsi="Arial"/>
                <w:sz w:val="18"/>
                <w:szCs w:val="18"/>
                <w:color w:val="auto"/>
                <w:w w:val="94"/>
              </w:rPr>
              <w:t>Ciaran Murray</w:t>
            </w:r>
          </w:p>
        </w:tc>
        <w:tc>
          <w:tcPr>
            <w:tcW w:w="4520" w:type="dxa"/>
            <w:vAlign w:val="bottom"/>
          </w:tcPr>
          <w:p>
            <w:pPr>
              <w:spacing w:after="0"/>
              <w:rPr>
                <w:sz w:val="19"/>
                <w:szCs w:val="19"/>
                <w:color w:val="auto"/>
              </w:rPr>
            </w:pPr>
          </w:p>
        </w:tc>
        <w:tc>
          <w:tcPr>
            <w:tcW w:w="2780" w:type="dxa"/>
            <w:vAlign w:val="bottom"/>
          </w:tcPr>
          <w:p>
            <w:pPr>
              <w:spacing w:after="0"/>
              <w:rPr>
                <w:sz w:val="19"/>
                <w:szCs w:val="19"/>
                <w:color w:val="auto"/>
              </w:rPr>
            </w:pPr>
          </w:p>
        </w:tc>
      </w:tr>
      <w:tr>
        <w:trPr>
          <w:trHeight w:val="418"/>
        </w:trPr>
        <w:tc>
          <w:tcPr>
            <w:tcW w:w="39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w:t>
            </w:r>
          </w:p>
        </w:tc>
        <w:tc>
          <w:tcPr>
            <w:tcW w:w="4520" w:type="dxa"/>
            <w:vAlign w:val="bottom"/>
          </w:tcPr>
          <w:p>
            <w:pPr>
              <w:jc w:val="center"/>
              <w:spacing w:after="0"/>
              <w:rPr>
                <w:sz w:val="20"/>
                <w:szCs w:val="20"/>
                <w:color w:val="auto"/>
              </w:rPr>
            </w:pPr>
            <w:r>
              <w:rPr>
                <w:rFonts w:ascii="Arial" w:cs="Arial" w:eastAsia="Arial" w:hAnsi="Arial"/>
                <w:sz w:val="18"/>
                <w:szCs w:val="18"/>
                <w:color w:val="auto"/>
                <w:w w:val="93"/>
              </w:rPr>
              <w:t>Chief Executive Officer and Director</w:t>
            </w:r>
          </w:p>
        </w:tc>
        <w:tc>
          <w:tcPr>
            <w:tcW w:w="2780" w:type="dxa"/>
            <w:vAlign w:val="bottom"/>
          </w:tcPr>
          <w:p>
            <w:pPr>
              <w:jc w:val="center"/>
              <w:spacing w:after="0"/>
              <w:rPr>
                <w:sz w:val="20"/>
                <w:szCs w:val="20"/>
                <w:color w:val="auto"/>
              </w:rPr>
            </w:pPr>
            <w:r>
              <w:rPr>
                <w:rFonts w:ascii="Arial" w:cs="Arial" w:eastAsia="Arial" w:hAnsi="Arial"/>
                <w:sz w:val="18"/>
                <w:szCs w:val="18"/>
                <w:color w:val="auto"/>
                <w:w w:val="90"/>
              </w:rPr>
              <w:t>July 1, 2021</w:t>
            </w:r>
          </w:p>
        </w:tc>
      </w:tr>
      <w:tr>
        <w:trPr>
          <w:trHeight w:val="224"/>
        </w:trPr>
        <w:tc>
          <w:tcPr>
            <w:tcW w:w="580" w:type="dxa"/>
            <w:vAlign w:val="bottom"/>
          </w:tcPr>
          <w:p>
            <w:pPr>
              <w:spacing w:after="0"/>
              <w:rPr>
                <w:sz w:val="19"/>
                <w:szCs w:val="19"/>
                <w:color w:val="auto"/>
              </w:rPr>
            </w:pPr>
          </w:p>
        </w:tc>
        <w:tc>
          <w:tcPr>
            <w:tcW w:w="3360" w:type="dxa"/>
            <w:vAlign w:val="bottom"/>
          </w:tcPr>
          <w:p>
            <w:pPr>
              <w:jc w:val="center"/>
              <w:ind w:right="470"/>
              <w:spacing w:after="0"/>
              <w:rPr>
                <w:sz w:val="20"/>
                <w:szCs w:val="20"/>
                <w:color w:val="auto"/>
              </w:rPr>
            </w:pPr>
            <w:r>
              <w:rPr>
                <w:rFonts w:ascii="Arial" w:cs="Arial" w:eastAsia="Arial" w:hAnsi="Arial"/>
                <w:sz w:val="18"/>
                <w:szCs w:val="18"/>
                <w:color w:val="auto"/>
                <w:w w:val="90"/>
              </w:rPr>
              <w:t>Dr. Steve Cutler</w:t>
            </w:r>
          </w:p>
        </w:tc>
        <w:tc>
          <w:tcPr>
            <w:tcW w:w="4520" w:type="dxa"/>
            <w:vAlign w:val="bottom"/>
          </w:tcPr>
          <w:p>
            <w:pPr>
              <w:jc w:val="center"/>
              <w:spacing w:after="0"/>
              <w:rPr>
                <w:sz w:val="20"/>
                <w:szCs w:val="20"/>
                <w:color w:val="auto"/>
              </w:rPr>
            </w:pPr>
            <w:r>
              <w:rPr>
                <w:rFonts w:ascii="Arial" w:cs="Arial" w:eastAsia="Arial" w:hAnsi="Arial"/>
                <w:sz w:val="18"/>
                <w:szCs w:val="18"/>
                <w:color w:val="auto"/>
                <w:w w:val="93"/>
              </w:rPr>
              <w:t>(Principal Executive Officer)</w:t>
            </w:r>
          </w:p>
        </w:tc>
        <w:tc>
          <w:tcPr>
            <w:tcW w:w="2780" w:type="dxa"/>
            <w:vAlign w:val="bottom"/>
          </w:tcPr>
          <w:p>
            <w:pPr>
              <w:spacing w:after="0"/>
              <w:rPr>
                <w:sz w:val="19"/>
                <w:szCs w:val="19"/>
                <w:color w:val="auto"/>
              </w:rPr>
            </w:pPr>
          </w:p>
        </w:tc>
      </w:tr>
      <w:tr>
        <w:trPr>
          <w:trHeight w:val="418"/>
        </w:trPr>
        <w:tc>
          <w:tcPr>
            <w:tcW w:w="58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jc w:val="center"/>
              <w:ind w:right="470"/>
              <w:spacing w:after="0"/>
              <w:rPr>
                <w:sz w:val="20"/>
                <w:szCs w:val="20"/>
                <w:color w:val="auto"/>
              </w:rPr>
            </w:pPr>
            <w:r>
              <w:rPr>
                <w:rFonts w:ascii="Arial" w:cs="Arial" w:eastAsia="Arial" w:hAnsi="Arial"/>
                <w:sz w:val="18"/>
                <w:szCs w:val="18"/>
                <w:color w:val="auto"/>
                <w:w w:val="89"/>
              </w:rPr>
              <w:t>/s/ Brendan Brennan</w:t>
            </w:r>
          </w:p>
        </w:tc>
        <w:tc>
          <w:tcPr>
            <w:tcW w:w="452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c>
          <w:tcPr>
            <w:tcW w:w="2780" w:type="dxa"/>
            <w:vAlign w:val="bottom"/>
          </w:tcPr>
          <w:p>
            <w:pPr>
              <w:jc w:val="center"/>
              <w:spacing w:after="0"/>
              <w:rPr>
                <w:sz w:val="20"/>
                <w:szCs w:val="20"/>
                <w:color w:val="auto"/>
              </w:rPr>
            </w:pPr>
            <w:r>
              <w:rPr>
                <w:rFonts w:ascii="Arial" w:cs="Arial" w:eastAsia="Arial" w:hAnsi="Arial"/>
                <w:sz w:val="18"/>
                <w:szCs w:val="18"/>
                <w:color w:val="auto"/>
                <w:w w:val="90"/>
              </w:rPr>
              <w:t>July 1, 2021</w:t>
            </w:r>
          </w:p>
        </w:tc>
      </w:tr>
      <w:tr>
        <w:trPr>
          <w:trHeight w:val="224"/>
        </w:trPr>
        <w:tc>
          <w:tcPr>
            <w:tcW w:w="580" w:type="dxa"/>
            <w:vAlign w:val="bottom"/>
          </w:tcPr>
          <w:p>
            <w:pPr>
              <w:spacing w:after="0"/>
              <w:rPr>
                <w:sz w:val="19"/>
                <w:szCs w:val="19"/>
                <w:color w:val="auto"/>
              </w:rPr>
            </w:pPr>
          </w:p>
        </w:tc>
        <w:tc>
          <w:tcPr>
            <w:tcW w:w="3360" w:type="dxa"/>
            <w:vAlign w:val="bottom"/>
          </w:tcPr>
          <w:p>
            <w:pPr>
              <w:jc w:val="center"/>
              <w:ind w:right="470"/>
              <w:spacing w:after="0"/>
              <w:rPr>
                <w:sz w:val="20"/>
                <w:szCs w:val="20"/>
                <w:color w:val="auto"/>
              </w:rPr>
            </w:pPr>
            <w:r>
              <w:rPr>
                <w:rFonts w:ascii="Arial" w:cs="Arial" w:eastAsia="Arial" w:hAnsi="Arial"/>
                <w:sz w:val="18"/>
                <w:szCs w:val="18"/>
                <w:color w:val="auto"/>
                <w:w w:val="90"/>
              </w:rPr>
              <w:t>Brendan Brennan</w:t>
            </w:r>
          </w:p>
        </w:tc>
        <w:tc>
          <w:tcPr>
            <w:tcW w:w="4520" w:type="dxa"/>
            <w:vAlign w:val="bottom"/>
          </w:tcPr>
          <w:p>
            <w:pPr>
              <w:jc w:val="center"/>
              <w:spacing w:after="0"/>
              <w:rPr>
                <w:sz w:val="20"/>
                <w:szCs w:val="20"/>
                <w:color w:val="auto"/>
              </w:rPr>
            </w:pPr>
            <w:r>
              <w:rPr>
                <w:rFonts w:ascii="Arial" w:cs="Arial" w:eastAsia="Arial" w:hAnsi="Arial"/>
                <w:sz w:val="18"/>
                <w:szCs w:val="18"/>
                <w:color w:val="auto"/>
                <w:w w:val="94"/>
              </w:rPr>
              <w:t>(Principal Financial Officer)</w:t>
            </w:r>
          </w:p>
        </w:tc>
        <w:tc>
          <w:tcPr>
            <w:tcW w:w="2780" w:type="dxa"/>
            <w:vAlign w:val="bottom"/>
          </w:tcPr>
          <w:p>
            <w:pPr>
              <w:spacing w:after="0"/>
              <w:rPr>
                <w:sz w:val="19"/>
                <w:szCs w:val="19"/>
                <w:color w:val="auto"/>
              </w:rPr>
            </w:pPr>
          </w:p>
        </w:tc>
      </w:tr>
      <w:tr>
        <w:trPr>
          <w:trHeight w:val="418"/>
        </w:trPr>
        <w:tc>
          <w:tcPr>
            <w:tcW w:w="39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w:t>
            </w:r>
          </w:p>
        </w:tc>
        <w:tc>
          <w:tcPr>
            <w:tcW w:w="4520" w:type="dxa"/>
            <w:vAlign w:val="bottom"/>
          </w:tcPr>
          <w:p>
            <w:pPr>
              <w:jc w:val="center"/>
              <w:spacing w:after="0"/>
              <w:rPr>
                <w:sz w:val="20"/>
                <w:szCs w:val="20"/>
                <w:color w:val="auto"/>
              </w:rPr>
            </w:pPr>
            <w:r>
              <w:rPr>
                <w:rFonts w:ascii="Arial" w:cs="Arial" w:eastAsia="Arial" w:hAnsi="Arial"/>
                <w:sz w:val="18"/>
                <w:szCs w:val="18"/>
                <w:color w:val="auto"/>
                <w:w w:val="91"/>
              </w:rPr>
              <w:t>Lead Independent Director</w:t>
            </w:r>
          </w:p>
        </w:tc>
        <w:tc>
          <w:tcPr>
            <w:tcW w:w="2780" w:type="dxa"/>
            <w:vAlign w:val="bottom"/>
          </w:tcPr>
          <w:p>
            <w:pPr>
              <w:jc w:val="center"/>
              <w:spacing w:after="0"/>
              <w:rPr>
                <w:sz w:val="20"/>
                <w:szCs w:val="20"/>
                <w:color w:val="auto"/>
              </w:rPr>
            </w:pPr>
            <w:r>
              <w:rPr>
                <w:rFonts w:ascii="Arial" w:cs="Arial" w:eastAsia="Arial" w:hAnsi="Arial"/>
                <w:sz w:val="18"/>
                <w:szCs w:val="18"/>
                <w:color w:val="auto"/>
                <w:w w:val="90"/>
              </w:rPr>
              <w:t>July 1, 2021</w:t>
            </w:r>
          </w:p>
        </w:tc>
      </w:tr>
      <w:tr>
        <w:trPr>
          <w:trHeight w:val="224"/>
        </w:trPr>
        <w:tc>
          <w:tcPr>
            <w:tcW w:w="580" w:type="dxa"/>
            <w:vAlign w:val="bottom"/>
          </w:tcPr>
          <w:p>
            <w:pPr>
              <w:spacing w:after="0"/>
              <w:rPr>
                <w:sz w:val="19"/>
                <w:szCs w:val="19"/>
                <w:color w:val="auto"/>
              </w:rPr>
            </w:pPr>
          </w:p>
        </w:tc>
        <w:tc>
          <w:tcPr>
            <w:tcW w:w="3360" w:type="dxa"/>
            <w:vAlign w:val="bottom"/>
          </w:tcPr>
          <w:p>
            <w:pPr>
              <w:jc w:val="center"/>
              <w:ind w:right="470"/>
              <w:spacing w:after="0"/>
              <w:rPr>
                <w:sz w:val="20"/>
                <w:szCs w:val="20"/>
                <w:color w:val="auto"/>
              </w:rPr>
            </w:pPr>
            <w:r>
              <w:rPr>
                <w:rFonts w:ascii="Arial" w:cs="Arial" w:eastAsia="Arial" w:hAnsi="Arial"/>
                <w:sz w:val="18"/>
                <w:szCs w:val="18"/>
                <w:color w:val="auto"/>
                <w:w w:val="91"/>
              </w:rPr>
              <w:t>Rónán Murphy</w:t>
            </w:r>
          </w:p>
        </w:tc>
        <w:tc>
          <w:tcPr>
            <w:tcW w:w="4520" w:type="dxa"/>
            <w:vAlign w:val="bottom"/>
          </w:tcPr>
          <w:p>
            <w:pPr>
              <w:spacing w:after="0"/>
              <w:rPr>
                <w:sz w:val="19"/>
                <w:szCs w:val="19"/>
                <w:color w:val="auto"/>
              </w:rPr>
            </w:pPr>
          </w:p>
        </w:tc>
        <w:tc>
          <w:tcPr>
            <w:tcW w:w="2780" w:type="dxa"/>
            <w:vAlign w:val="bottom"/>
          </w:tcPr>
          <w:p>
            <w:pPr>
              <w:spacing w:after="0"/>
              <w:rPr>
                <w:sz w:val="19"/>
                <w:szCs w:val="19"/>
                <w:color w:val="auto"/>
              </w:rPr>
            </w:pPr>
          </w:p>
        </w:tc>
      </w:tr>
      <w:tr>
        <w:trPr>
          <w:trHeight w:val="418"/>
        </w:trPr>
        <w:tc>
          <w:tcPr>
            <w:tcW w:w="39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w:t>
            </w:r>
          </w:p>
        </w:tc>
        <w:tc>
          <w:tcPr>
            <w:tcW w:w="452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780" w:type="dxa"/>
            <w:vAlign w:val="bottom"/>
          </w:tcPr>
          <w:p>
            <w:pPr>
              <w:jc w:val="center"/>
              <w:spacing w:after="0"/>
              <w:rPr>
                <w:sz w:val="20"/>
                <w:szCs w:val="20"/>
                <w:color w:val="auto"/>
              </w:rPr>
            </w:pPr>
            <w:r>
              <w:rPr>
                <w:rFonts w:ascii="Arial" w:cs="Arial" w:eastAsia="Arial" w:hAnsi="Arial"/>
                <w:sz w:val="18"/>
                <w:szCs w:val="18"/>
                <w:color w:val="auto"/>
                <w:w w:val="90"/>
              </w:rPr>
              <w:t>July 1, 2021</w:t>
            </w:r>
          </w:p>
        </w:tc>
      </w:tr>
      <w:tr>
        <w:trPr>
          <w:trHeight w:val="224"/>
        </w:trPr>
        <w:tc>
          <w:tcPr>
            <w:tcW w:w="580" w:type="dxa"/>
            <w:vAlign w:val="bottom"/>
          </w:tcPr>
          <w:p>
            <w:pPr>
              <w:spacing w:after="0"/>
              <w:rPr>
                <w:sz w:val="19"/>
                <w:szCs w:val="19"/>
                <w:color w:val="auto"/>
              </w:rPr>
            </w:pPr>
          </w:p>
        </w:tc>
        <w:tc>
          <w:tcPr>
            <w:tcW w:w="3360" w:type="dxa"/>
            <w:vAlign w:val="bottom"/>
          </w:tcPr>
          <w:p>
            <w:pPr>
              <w:jc w:val="center"/>
              <w:ind w:right="470"/>
              <w:spacing w:after="0"/>
              <w:rPr>
                <w:sz w:val="20"/>
                <w:szCs w:val="20"/>
                <w:color w:val="auto"/>
              </w:rPr>
            </w:pPr>
            <w:r>
              <w:rPr>
                <w:rFonts w:ascii="Arial" w:cs="Arial" w:eastAsia="Arial" w:hAnsi="Arial"/>
                <w:sz w:val="18"/>
                <w:szCs w:val="18"/>
                <w:color w:val="auto"/>
                <w:w w:val="90"/>
              </w:rPr>
              <w:t>Professor Hugh Brady</w:t>
            </w:r>
          </w:p>
        </w:tc>
        <w:tc>
          <w:tcPr>
            <w:tcW w:w="4520" w:type="dxa"/>
            <w:vAlign w:val="bottom"/>
          </w:tcPr>
          <w:p>
            <w:pPr>
              <w:spacing w:after="0"/>
              <w:rPr>
                <w:sz w:val="19"/>
                <w:szCs w:val="19"/>
                <w:color w:val="auto"/>
              </w:rPr>
            </w:pPr>
          </w:p>
        </w:tc>
        <w:tc>
          <w:tcPr>
            <w:tcW w:w="2780" w:type="dxa"/>
            <w:vAlign w:val="bottom"/>
          </w:tcPr>
          <w:p>
            <w:pPr>
              <w:spacing w:after="0"/>
              <w:rPr>
                <w:sz w:val="19"/>
                <w:szCs w:val="19"/>
                <w:color w:val="auto"/>
              </w:rPr>
            </w:pPr>
          </w:p>
        </w:tc>
      </w:tr>
      <w:tr>
        <w:trPr>
          <w:trHeight w:val="418"/>
        </w:trPr>
        <w:tc>
          <w:tcPr>
            <w:tcW w:w="39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w:t>
            </w:r>
          </w:p>
        </w:tc>
        <w:tc>
          <w:tcPr>
            <w:tcW w:w="452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780" w:type="dxa"/>
            <w:vAlign w:val="bottom"/>
          </w:tcPr>
          <w:p>
            <w:pPr>
              <w:jc w:val="center"/>
              <w:spacing w:after="0"/>
              <w:rPr>
                <w:sz w:val="20"/>
                <w:szCs w:val="20"/>
                <w:color w:val="auto"/>
              </w:rPr>
            </w:pPr>
            <w:r>
              <w:rPr>
                <w:rFonts w:ascii="Arial" w:cs="Arial" w:eastAsia="Arial" w:hAnsi="Arial"/>
                <w:sz w:val="18"/>
                <w:szCs w:val="18"/>
                <w:color w:val="auto"/>
                <w:w w:val="90"/>
              </w:rPr>
              <w:t>July 1, 2021</w:t>
            </w:r>
          </w:p>
        </w:tc>
      </w:tr>
      <w:tr>
        <w:trPr>
          <w:trHeight w:val="224"/>
        </w:trPr>
        <w:tc>
          <w:tcPr>
            <w:tcW w:w="580" w:type="dxa"/>
            <w:vAlign w:val="bottom"/>
          </w:tcPr>
          <w:p>
            <w:pPr>
              <w:spacing w:after="0"/>
              <w:rPr>
                <w:sz w:val="19"/>
                <w:szCs w:val="19"/>
                <w:color w:val="auto"/>
              </w:rPr>
            </w:pPr>
          </w:p>
        </w:tc>
        <w:tc>
          <w:tcPr>
            <w:tcW w:w="3360" w:type="dxa"/>
            <w:vAlign w:val="bottom"/>
          </w:tcPr>
          <w:p>
            <w:pPr>
              <w:jc w:val="center"/>
              <w:ind w:right="470"/>
              <w:spacing w:after="0"/>
              <w:rPr>
                <w:sz w:val="20"/>
                <w:szCs w:val="20"/>
                <w:color w:val="auto"/>
              </w:rPr>
            </w:pPr>
            <w:r>
              <w:rPr>
                <w:rFonts w:ascii="Arial" w:cs="Arial" w:eastAsia="Arial" w:hAnsi="Arial"/>
                <w:sz w:val="18"/>
                <w:szCs w:val="18"/>
                <w:color w:val="auto"/>
                <w:w w:val="93"/>
              </w:rPr>
              <w:t>Dr. John Climax</w:t>
            </w:r>
          </w:p>
        </w:tc>
        <w:tc>
          <w:tcPr>
            <w:tcW w:w="4520" w:type="dxa"/>
            <w:vAlign w:val="bottom"/>
          </w:tcPr>
          <w:p>
            <w:pPr>
              <w:spacing w:after="0"/>
              <w:rPr>
                <w:sz w:val="19"/>
                <w:szCs w:val="19"/>
                <w:color w:val="auto"/>
              </w:rPr>
            </w:pPr>
          </w:p>
        </w:tc>
        <w:tc>
          <w:tcPr>
            <w:tcW w:w="2780" w:type="dxa"/>
            <w:vAlign w:val="bottom"/>
          </w:tcPr>
          <w:p>
            <w:pPr>
              <w:spacing w:after="0"/>
              <w:rPr>
                <w:sz w:val="19"/>
                <w:szCs w:val="19"/>
                <w:color w:val="auto"/>
              </w:rPr>
            </w:pPr>
          </w:p>
        </w:tc>
      </w:tr>
      <w:tr>
        <w:trPr>
          <w:trHeight w:val="418"/>
        </w:trPr>
        <w:tc>
          <w:tcPr>
            <w:tcW w:w="39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w:t>
            </w:r>
          </w:p>
        </w:tc>
        <w:tc>
          <w:tcPr>
            <w:tcW w:w="452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780" w:type="dxa"/>
            <w:vAlign w:val="bottom"/>
          </w:tcPr>
          <w:p>
            <w:pPr>
              <w:jc w:val="center"/>
              <w:spacing w:after="0"/>
              <w:rPr>
                <w:sz w:val="20"/>
                <w:szCs w:val="20"/>
                <w:color w:val="auto"/>
              </w:rPr>
            </w:pPr>
            <w:r>
              <w:rPr>
                <w:rFonts w:ascii="Arial" w:cs="Arial" w:eastAsia="Arial" w:hAnsi="Arial"/>
                <w:sz w:val="18"/>
                <w:szCs w:val="18"/>
                <w:color w:val="auto"/>
                <w:w w:val="90"/>
              </w:rPr>
              <w:t>July 1, 2021</w:t>
            </w:r>
          </w:p>
        </w:tc>
      </w:tr>
      <w:tr>
        <w:trPr>
          <w:trHeight w:val="224"/>
        </w:trPr>
        <w:tc>
          <w:tcPr>
            <w:tcW w:w="580" w:type="dxa"/>
            <w:vAlign w:val="bottom"/>
          </w:tcPr>
          <w:p>
            <w:pPr>
              <w:spacing w:after="0"/>
              <w:rPr>
                <w:sz w:val="19"/>
                <w:szCs w:val="19"/>
                <w:color w:val="auto"/>
              </w:rPr>
            </w:pPr>
          </w:p>
        </w:tc>
        <w:tc>
          <w:tcPr>
            <w:tcW w:w="3360" w:type="dxa"/>
            <w:vAlign w:val="bottom"/>
          </w:tcPr>
          <w:p>
            <w:pPr>
              <w:jc w:val="center"/>
              <w:ind w:right="470"/>
              <w:spacing w:after="0"/>
              <w:rPr>
                <w:sz w:val="20"/>
                <w:szCs w:val="20"/>
                <w:color w:val="auto"/>
              </w:rPr>
            </w:pPr>
            <w:r>
              <w:rPr>
                <w:rFonts w:ascii="Arial" w:cs="Arial" w:eastAsia="Arial" w:hAnsi="Arial"/>
                <w:sz w:val="18"/>
                <w:szCs w:val="18"/>
                <w:color w:val="auto"/>
                <w:w w:val="89"/>
              </w:rPr>
              <w:t>Joan Garahy</w:t>
            </w:r>
          </w:p>
        </w:tc>
        <w:tc>
          <w:tcPr>
            <w:tcW w:w="4520" w:type="dxa"/>
            <w:vAlign w:val="bottom"/>
          </w:tcPr>
          <w:p>
            <w:pPr>
              <w:spacing w:after="0"/>
              <w:rPr>
                <w:sz w:val="19"/>
                <w:szCs w:val="19"/>
                <w:color w:val="auto"/>
              </w:rPr>
            </w:pPr>
          </w:p>
        </w:tc>
        <w:tc>
          <w:tcPr>
            <w:tcW w:w="2780" w:type="dxa"/>
            <w:vAlign w:val="bottom"/>
          </w:tcPr>
          <w:p>
            <w:pPr>
              <w:spacing w:after="0"/>
              <w:rPr>
                <w:sz w:val="19"/>
                <w:szCs w:val="19"/>
                <w:color w:val="auto"/>
              </w:rPr>
            </w:pPr>
          </w:p>
        </w:tc>
      </w:tr>
      <w:tr>
        <w:trPr>
          <w:trHeight w:val="418"/>
        </w:trPr>
        <w:tc>
          <w:tcPr>
            <w:tcW w:w="39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w:t>
            </w:r>
          </w:p>
        </w:tc>
        <w:tc>
          <w:tcPr>
            <w:tcW w:w="452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780" w:type="dxa"/>
            <w:vAlign w:val="bottom"/>
          </w:tcPr>
          <w:p>
            <w:pPr>
              <w:jc w:val="center"/>
              <w:spacing w:after="0"/>
              <w:rPr>
                <w:sz w:val="20"/>
                <w:szCs w:val="20"/>
                <w:color w:val="auto"/>
              </w:rPr>
            </w:pPr>
            <w:r>
              <w:rPr>
                <w:rFonts w:ascii="Arial" w:cs="Arial" w:eastAsia="Arial" w:hAnsi="Arial"/>
                <w:sz w:val="18"/>
                <w:szCs w:val="18"/>
                <w:color w:val="auto"/>
                <w:w w:val="90"/>
              </w:rPr>
              <w:t>July 1, 2021</w:t>
            </w:r>
          </w:p>
        </w:tc>
      </w:tr>
      <w:tr>
        <w:trPr>
          <w:trHeight w:val="224"/>
        </w:trPr>
        <w:tc>
          <w:tcPr>
            <w:tcW w:w="580" w:type="dxa"/>
            <w:vAlign w:val="bottom"/>
          </w:tcPr>
          <w:p>
            <w:pPr>
              <w:spacing w:after="0"/>
              <w:rPr>
                <w:sz w:val="19"/>
                <w:szCs w:val="19"/>
                <w:color w:val="auto"/>
              </w:rPr>
            </w:pPr>
          </w:p>
        </w:tc>
        <w:tc>
          <w:tcPr>
            <w:tcW w:w="3360" w:type="dxa"/>
            <w:vAlign w:val="bottom"/>
          </w:tcPr>
          <w:p>
            <w:pPr>
              <w:jc w:val="center"/>
              <w:ind w:right="470"/>
              <w:spacing w:after="0"/>
              <w:rPr>
                <w:sz w:val="20"/>
                <w:szCs w:val="20"/>
                <w:color w:val="auto"/>
              </w:rPr>
            </w:pPr>
            <w:r>
              <w:rPr>
                <w:rFonts w:ascii="Arial" w:cs="Arial" w:eastAsia="Arial" w:hAnsi="Arial"/>
                <w:sz w:val="18"/>
                <w:szCs w:val="18"/>
                <w:color w:val="auto"/>
                <w:w w:val="95"/>
              </w:rPr>
              <w:t>Professor William Hall</w:t>
            </w:r>
          </w:p>
        </w:tc>
        <w:tc>
          <w:tcPr>
            <w:tcW w:w="4520" w:type="dxa"/>
            <w:vAlign w:val="bottom"/>
          </w:tcPr>
          <w:p>
            <w:pPr>
              <w:spacing w:after="0"/>
              <w:rPr>
                <w:sz w:val="19"/>
                <w:szCs w:val="19"/>
                <w:color w:val="auto"/>
              </w:rPr>
            </w:pPr>
          </w:p>
        </w:tc>
        <w:tc>
          <w:tcPr>
            <w:tcW w:w="2780" w:type="dxa"/>
            <w:vAlign w:val="bottom"/>
          </w:tcPr>
          <w:p>
            <w:pPr>
              <w:spacing w:after="0"/>
              <w:rPr>
                <w:sz w:val="19"/>
                <w:szCs w:val="19"/>
                <w:color w:val="auto"/>
              </w:rPr>
            </w:pPr>
          </w:p>
        </w:tc>
      </w:tr>
      <w:tr>
        <w:trPr>
          <w:trHeight w:val="418"/>
        </w:trPr>
        <w:tc>
          <w:tcPr>
            <w:tcW w:w="39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w:t>
            </w:r>
          </w:p>
        </w:tc>
        <w:tc>
          <w:tcPr>
            <w:tcW w:w="452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780" w:type="dxa"/>
            <w:vAlign w:val="bottom"/>
          </w:tcPr>
          <w:p>
            <w:pPr>
              <w:jc w:val="center"/>
              <w:spacing w:after="0"/>
              <w:rPr>
                <w:sz w:val="20"/>
                <w:szCs w:val="20"/>
                <w:color w:val="auto"/>
              </w:rPr>
            </w:pPr>
            <w:r>
              <w:rPr>
                <w:rFonts w:ascii="Arial" w:cs="Arial" w:eastAsia="Arial" w:hAnsi="Arial"/>
                <w:sz w:val="18"/>
                <w:szCs w:val="18"/>
                <w:color w:val="auto"/>
                <w:w w:val="90"/>
              </w:rPr>
              <w:t>July 1, 2021</w:t>
            </w:r>
          </w:p>
        </w:tc>
      </w:tr>
      <w:tr>
        <w:trPr>
          <w:trHeight w:val="224"/>
        </w:trPr>
        <w:tc>
          <w:tcPr>
            <w:tcW w:w="580" w:type="dxa"/>
            <w:vAlign w:val="bottom"/>
          </w:tcPr>
          <w:p>
            <w:pPr>
              <w:spacing w:after="0"/>
              <w:rPr>
                <w:sz w:val="19"/>
                <w:szCs w:val="19"/>
                <w:color w:val="auto"/>
              </w:rPr>
            </w:pPr>
          </w:p>
        </w:tc>
        <w:tc>
          <w:tcPr>
            <w:tcW w:w="3360" w:type="dxa"/>
            <w:vAlign w:val="bottom"/>
          </w:tcPr>
          <w:p>
            <w:pPr>
              <w:jc w:val="center"/>
              <w:ind w:right="470"/>
              <w:spacing w:after="0"/>
              <w:rPr>
                <w:sz w:val="20"/>
                <w:szCs w:val="20"/>
                <w:color w:val="auto"/>
              </w:rPr>
            </w:pPr>
            <w:r>
              <w:rPr>
                <w:rFonts w:ascii="Arial" w:cs="Arial" w:eastAsia="Arial" w:hAnsi="Arial"/>
                <w:sz w:val="18"/>
                <w:szCs w:val="18"/>
                <w:color w:val="auto"/>
                <w:w w:val="88"/>
              </w:rPr>
              <w:t>Eugene McCague</w:t>
            </w:r>
          </w:p>
        </w:tc>
        <w:tc>
          <w:tcPr>
            <w:tcW w:w="4520" w:type="dxa"/>
            <w:vAlign w:val="bottom"/>
          </w:tcPr>
          <w:p>
            <w:pPr>
              <w:spacing w:after="0"/>
              <w:rPr>
                <w:sz w:val="19"/>
                <w:szCs w:val="19"/>
                <w:color w:val="auto"/>
              </w:rPr>
            </w:pPr>
          </w:p>
        </w:tc>
        <w:tc>
          <w:tcPr>
            <w:tcW w:w="2780" w:type="dxa"/>
            <w:vAlign w:val="bottom"/>
          </w:tcPr>
          <w:p>
            <w:pPr>
              <w:spacing w:after="0"/>
              <w:rPr>
                <w:sz w:val="19"/>
                <w:szCs w:val="19"/>
                <w:color w:val="auto"/>
              </w:rPr>
            </w:pPr>
          </w:p>
        </w:tc>
      </w:tr>
      <w:tr>
        <w:trPr>
          <w:trHeight w:val="418"/>
        </w:trPr>
        <w:tc>
          <w:tcPr>
            <w:tcW w:w="39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w:t>
            </w:r>
          </w:p>
        </w:tc>
        <w:tc>
          <w:tcPr>
            <w:tcW w:w="452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780" w:type="dxa"/>
            <w:vAlign w:val="bottom"/>
          </w:tcPr>
          <w:p>
            <w:pPr>
              <w:jc w:val="center"/>
              <w:spacing w:after="0"/>
              <w:rPr>
                <w:sz w:val="20"/>
                <w:szCs w:val="20"/>
                <w:color w:val="auto"/>
              </w:rPr>
            </w:pPr>
            <w:r>
              <w:rPr>
                <w:rFonts w:ascii="Arial" w:cs="Arial" w:eastAsia="Arial" w:hAnsi="Arial"/>
                <w:sz w:val="18"/>
                <w:szCs w:val="18"/>
                <w:color w:val="auto"/>
                <w:w w:val="90"/>
              </w:rPr>
              <w:t>July 1, 2021</w:t>
            </w:r>
          </w:p>
        </w:tc>
      </w:tr>
      <w:tr>
        <w:trPr>
          <w:trHeight w:val="224"/>
        </w:trPr>
        <w:tc>
          <w:tcPr>
            <w:tcW w:w="580" w:type="dxa"/>
            <w:vAlign w:val="bottom"/>
          </w:tcPr>
          <w:p>
            <w:pPr>
              <w:spacing w:after="0"/>
              <w:rPr>
                <w:sz w:val="19"/>
                <w:szCs w:val="19"/>
                <w:color w:val="auto"/>
              </w:rPr>
            </w:pPr>
          </w:p>
        </w:tc>
        <w:tc>
          <w:tcPr>
            <w:tcW w:w="3360" w:type="dxa"/>
            <w:vAlign w:val="bottom"/>
          </w:tcPr>
          <w:p>
            <w:pPr>
              <w:jc w:val="center"/>
              <w:ind w:right="470"/>
              <w:spacing w:after="0"/>
              <w:rPr>
                <w:sz w:val="20"/>
                <w:szCs w:val="20"/>
                <w:color w:val="auto"/>
              </w:rPr>
            </w:pPr>
            <w:r>
              <w:rPr>
                <w:rFonts w:ascii="Arial" w:cs="Arial" w:eastAsia="Arial" w:hAnsi="Arial"/>
                <w:sz w:val="18"/>
                <w:szCs w:val="18"/>
                <w:color w:val="auto"/>
                <w:w w:val="96"/>
              </w:rPr>
              <w:t>Julie O’Neill</w:t>
            </w:r>
          </w:p>
        </w:tc>
        <w:tc>
          <w:tcPr>
            <w:tcW w:w="4520" w:type="dxa"/>
            <w:vAlign w:val="bottom"/>
          </w:tcPr>
          <w:p>
            <w:pPr>
              <w:spacing w:after="0"/>
              <w:rPr>
                <w:sz w:val="19"/>
                <w:szCs w:val="19"/>
                <w:color w:val="auto"/>
              </w:rPr>
            </w:pPr>
          </w:p>
        </w:tc>
        <w:tc>
          <w:tcPr>
            <w:tcW w:w="2780" w:type="dxa"/>
            <w:vAlign w:val="bottom"/>
          </w:tcPr>
          <w:p>
            <w:pPr>
              <w:spacing w:after="0"/>
              <w:rPr>
                <w:sz w:val="19"/>
                <w:szCs w:val="19"/>
                <w:color w:val="auto"/>
              </w:rPr>
            </w:pPr>
          </w:p>
        </w:tc>
      </w:tr>
      <w:tr>
        <w:trPr>
          <w:trHeight w:val="418"/>
        </w:trPr>
        <w:tc>
          <w:tcPr>
            <w:tcW w:w="39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w:t>
            </w:r>
          </w:p>
        </w:tc>
        <w:tc>
          <w:tcPr>
            <w:tcW w:w="452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780" w:type="dxa"/>
            <w:vAlign w:val="bottom"/>
          </w:tcPr>
          <w:p>
            <w:pPr>
              <w:jc w:val="center"/>
              <w:spacing w:after="0"/>
              <w:rPr>
                <w:sz w:val="20"/>
                <w:szCs w:val="20"/>
                <w:color w:val="auto"/>
              </w:rPr>
            </w:pPr>
            <w:r>
              <w:rPr>
                <w:rFonts w:ascii="Arial" w:cs="Arial" w:eastAsia="Arial" w:hAnsi="Arial"/>
                <w:sz w:val="18"/>
                <w:szCs w:val="18"/>
                <w:color w:val="auto"/>
                <w:w w:val="90"/>
              </w:rPr>
              <w:t>July 1, 2021</w:t>
            </w:r>
          </w:p>
        </w:tc>
      </w:tr>
      <w:tr>
        <w:trPr>
          <w:trHeight w:val="224"/>
        </w:trPr>
        <w:tc>
          <w:tcPr>
            <w:tcW w:w="580" w:type="dxa"/>
            <w:vAlign w:val="bottom"/>
          </w:tcPr>
          <w:p>
            <w:pPr>
              <w:spacing w:after="0"/>
              <w:rPr>
                <w:sz w:val="19"/>
                <w:szCs w:val="19"/>
                <w:color w:val="auto"/>
              </w:rPr>
            </w:pPr>
          </w:p>
        </w:tc>
        <w:tc>
          <w:tcPr>
            <w:tcW w:w="3360" w:type="dxa"/>
            <w:vAlign w:val="bottom"/>
          </w:tcPr>
          <w:p>
            <w:pPr>
              <w:jc w:val="center"/>
              <w:ind w:right="490"/>
              <w:spacing w:after="0"/>
              <w:rPr>
                <w:sz w:val="20"/>
                <w:szCs w:val="20"/>
                <w:color w:val="auto"/>
              </w:rPr>
            </w:pPr>
            <w:r>
              <w:rPr>
                <w:rFonts w:ascii="Arial" w:cs="Arial" w:eastAsia="Arial" w:hAnsi="Arial"/>
                <w:sz w:val="18"/>
                <w:szCs w:val="18"/>
                <w:color w:val="auto"/>
                <w:w w:val="88"/>
              </w:rPr>
              <w:t>Mary Pendergast</w:t>
            </w:r>
          </w:p>
        </w:tc>
        <w:tc>
          <w:tcPr>
            <w:tcW w:w="4520" w:type="dxa"/>
            <w:vAlign w:val="bottom"/>
          </w:tcPr>
          <w:p>
            <w:pPr>
              <w:spacing w:after="0"/>
              <w:rPr>
                <w:sz w:val="19"/>
                <w:szCs w:val="19"/>
                <w:color w:val="auto"/>
              </w:rPr>
            </w:pPr>
          </w:p>
        </w:tc>
        <w:tc>
          <w:tcPr>
            <w:tcW w:w="2780" w:type="dxa"/>
            <w:vAlign w:val="bottom"/>
          </w:tcPr>
          <w:p>
            <w:pPr>
              <w:spacing w:after="0"/>
              <w:rPr>
                <w:sz w:val="19"/>
                <w:szCs w:val="19"/>
                <w:color w:val="auto"/>
              </w:rPr>
            </w:pPr>
          </w:p>
        </w:tc>
      </w:tr>
      <w:tr>
        <w:trPr>
          <w:trHeight w:val="418"/>
        </w:trPr>
        <w:tc>
          <w:tcPr>
            <w:tcW w:w="3940" w:type="dxa"/>
            <w:vAlign w:val="bottom"/>
            <w:gridSpan w:val="2"/>
          </w:tcPr>
          <w:p>
            <w:pPr>
              <w:spacing w:after="0"/>
              <w:rPr>
                <w:sz w:val="20"/>
                <w:szCs w:val="20"/>
                <w:color w:val="auto"/>
              </w:rPr>
            </w:pPr>
            <w:r>
              <w:rPr>
                <w:rFonts w:ascii="Arial" w:cs="Arial" w:eastAsia="Arial" w:hAnsi="Arial"/>
                <w:sz w:val="18"/>
                <w:szCs w:val="18"/>
                <w:color w:val="auto"/>
              </w:rPr>
              <w:t>*By:   /s/ Brendan Brennan</w:t>
            </w:r>
          </w:p>
        </w:tc>
        <w:tc>
          <w:tcPr>
            <w:tcW w:w="452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224"/>
        </w:trPr>
        <w:tc>
          <w:tcPr>
            <w:tcW w:w="580" w:type="dxa"/>
            <w:vAlign w:val="bottom"/>
          </w:tcPr>
          <w:p>
            <w:pPr>
              <w:spacing w:after="0"/>
              <w:rPr>
                <w:sz w:val="19"/>
                <w:szCs w:val="19"/>
                <w:color w:val="auto"/>
              </w:rPr>
            </w:pPr>
          </w:p>
        </w:tc>
        <w:tc>
          <w:tcPr>
            <w:tcW w:w="3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Brendan Brennan, Attorney-in-Fact</w:t>
            </w:r>
          </w:p>
        </w:tc>
        <w:tc>
          <w:tcPr>
            <w:tcW w:w="4520" w:type="dxa"/>
            <w:vAlign w:val="bottom"/>
          </w:tcPr>
          <w:p>
            <w:pPr>
              <w:spacing w:after="0"/>
              <w:rPr>
                <w:sz w:val="19"/>
                <w:szCs w:val="19"/>
                <w:color w:val="auto"/>
              </w:rPr>
            </w:pPr>
          </w:p>
        </w:tc>
        <w:tc>
          <w:tcPr>
            <w:tcW w:w="2780" w:type="dxa"/>
            <w:vAlign w:val="bottom"/>
          </w:tcPr>
          <w:p>
            <w:pPr>
              <w:spacing w:after="0"/>
              <w:rPr>
                <w:sz w:val="19"/>
                <w:szCs w:val="19"/>
                <w:color w:val="auto"/>
              </w:rPr>
            </w:pPr>
          </w:p>
        </w:tc>
      </w:tr>
      <w:tr>
        <w:trPr>
          <w:trHeight w:val="620"/>
        </w:trPr>
        <w:tc>
          <w:tcPr>
            <w:tcW w:w="5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4520" w:type="dxa"/>
            <w:vAlign w:val="bottom"/>
          </w:tcPr>
          <w:p>
            <w:pPr>
              <w:jc w:val="right"/>
              <w:ind w:right="2730"/>
              <w:spacing w:after="0"/>
              <w:rPr>
                <w:sz w:val="20"/>
                <w:szCs w:val="20"/>
                <w:color w:val="auto"/>
              </w:rPr>
            </w:pPr>
            <w:r>
              <w:rPr>
                <w:rFonts w:ascii="Arial" w:cs="Arial" w:eastAsia="Arial" w:hAnsi="Arial"/>
                <w:sz w:val="18"/>
                <w:szCs w:val="18"/>
                <w:color w:val="auto"/>
              </w:rPr>
              <w:t>8</w:t>
            </w:r>
          </w:p>
        </w:tc>
        <w:tc>
          <w:tcPr>
            <w:tcW w:w="2780" w:type="dxa"/>
            <w:vAlign w:val="bottom"/>
          </w:tcPr>
          <w:p>
            <w:pPr>
              <w:spacing w:after="0"/>
              <w:rPr>
                <w:sz w:val="24"/>
                <w:szCs w:val="24"/>
                <w:color w:val="auto"/>
              </w:rPr>
            </w:pPr>
          </w:p>
        </w:tc>
      </w:tr>
      <w:tr>
        <w:trPr>
          <w:trHeight w:val="61"/>
        </w:trPr>
        <w:tc>
          <w:tcPr>
            <w:tcW w:w="580" w:type="dxa"/>
            <w:vAlign w:val="bottom"/>
            <w:tcBorders>
              <w:bottom w:val="single" w:sz="8" w:color="auto"/>
            </w:tcBorders>
          </w:tcPr>
          <w:p>
            <w:pPr>
              <w:spacing w:after="0"/>
              <w:rPr>
                <w:sz w:val="5"/>
                <w:szCs w:val="5"/>
                <w:color w:val="auto"/>
              </w:rPr>
            </w:pPr>
          </w:p>
        </w:tc>
        <w:tc>
          <w:tcPr>
            <w:tcW w:w="3360" w:type="dxa"/>
            <w:vAlign w:val="bottom"/>
            <w:tcBorders>
              <w:bottom w:val="single" w:sz="8" w:color="auto"/>
            </w:tcBorders>
          </w:tcPr>
          <w:p>
            <w:pPr>
              <w:spacing w:after="0"/>
              <w:rPr>
                <w:sz w:val="5"/>
                <w:szCs w:val="5"/>
                <w:color w:val="auto"/>
              </w:rPr>
            </w:pPr>
          </w:p>
        </w:tc>
        <w:tc>
          <w:tcPr>
            <w:tcW w:w="4520" w:type="dxa"/>
            <w:vAlign w:val="bottom"/>
            <w:tcBorders>
              <w:bottom w:val="single" w:sz="8" w:color="auto"/>
            </w:tcBorders>
          </w:tcPr>
          <w:p>
            <w:pPr>
              <w:spacing w:after="0"/>
              <w:rPr>
                <w:sz w:val="5"/>
                <w:szCs w:val="5"/>
                <w:color w:val="auto"/>
              </w:rPr>
            </w:pPr>
          </w:p>
        </w:tc>
        <w:tc>
          <w:tcPr>
            <w:tcW w:w="278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34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AUTHORIZED REPRESENTATIVE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r>
              <w:rPr>
                <w:rFonts w:ascii="Arial" w:cs="Arial" w:eastAsia="Arial" w:hAnsi="Arial"/>
                <w:sz w:val="18"/>
                <w:szCs w:val="18"/>
                <w:b w:val="1"/>
                <w:bCs w:val="1"/>
                <w:color w:val="auto"/>
              </w:rPr>
              <w:t>Puglisi &amp; Associates</w:t>
            </w:r>
          </w:p>
        </w:tc>
        <w:tc>
          <w:tcPr>
            <w:tcW w:w="4640" w:type="dxa"/>
            <w:vAlign w:val="bottom"/>
          </w:tcPr>
          <w:p>
            <w:pPr>
              <w:spacing w:after="0"/>
              <w:rPr>
                <w:sz w:val="20"/>
                <w:szCs w:val="20"/>
                <w:color w:val="auto"/>
              </w:rPr>
            </w:pPr>
          </w:p>
        </w:tc>
        <w:tc>
          <w:tcPr>
            <w:tcW w:w="3100" w:type="dxa"/>
            <w:vAlign w:val="bottom"/>
          </w:tcPr>
          <w:p>
            <w:pPr>
              <w:spacing w:after="0"/>
              <w:rPr>
                <w:sz w:val="20"/>
                <w:szCs w:val="20"/>
                <w:color w:val="auto"/>
              </w:rPr>
            </w:pPr>
          </w:p>
        </w:tc>
      </w:tr>
      <w:tr>
        <w:trPr>
          <w:trHeight w:val="648"/>
        </w:trPr>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Donald J. Puglisi</w:t>
            </w:r>
          </w:p>
        </w:tc>
        <w:tc>
          <w:tcPr>
            <w:tcW w:w="4640" w:type="dxa"/>
            <w:vAlign w:val="bottom"/>
          </w:tcPr>
          <w:p>
            <w:pPr>
              <w:jc w:val="right"/>
              <w:ind w:right="990"/>
              <w:spacing w:after="0"/>
              <w:rPr>
                <w:sz w:val="20"/>
                <w:szCs w:val="20"/>
                <w:color w:val="auto"/>
              </w:rPr>
            </w:pPr>
            <w:r>
              <w:rPr>
                <w:rFonts w:ascii="Arial" w:cs="Arial" w:eastAsia="Arial" w:hAnsi="Arial"/>
                <w:sz w:val="18"/>
                <w:szCs w:val="18"/>
                <w:color w:val="auto"/>
                <w:w w:val="94"/>
              </w:rPr>
              <w:t>Authorized Representative in the United States</w:t>
            </w:r>
          </w:p>
        </w:tc>
        <w:tc>
          <w:tcPr>
            <w:tcW w:w="3100" w:type="dxa"/>
            <w:vAlign w:val="bottom"/>
          </w:tcPr>
          <w:p>
            <w:pPr>
              <w:ind w:left="1080"/>
              <w:spacing w:after="0"/>
              <w:rPr>
                <w:sz w:val="20"/>
                <w:szCs w:val="20"/>
                <w:color w:val="auto"/>
              </w:rPr>
            </w:pPr>
            <w:r>
              <w:rPr>
                <w:rFonts w:ascii="Arial" w:cs="Arial" w:eastAsia="Arial" w:hAnsi="Arial"/>
                <w:sz w:val="18"/>
                <w:szCs w:val="18"/>
                <w:color w:val="auto"/>
              </w:rPr>
              <w:t>July 1, 2021</w:t>
            </w:r>
          </w:p>
        </w:tc>
      </w:tr>
      <w:tr>
        <w:trPr>
          <w:trHeight w:val="195"/>
        </w:trPr>
        <w:tc>
          <w:tcPr>
            <w:tcW w:w="3500" w:type="dxa"/>
            <w:vAlign w:val="bottom"/>
          </w:tcPr>
          <w:p>
            <w:pPr>
              <w:spacing w:after="0" w:line="195" w:lineRule="exact"/>
              <w:rPr>
                <w:sz w:val="20"/>
                <w:szCs w:val="20"/>
                <w:color w:val="auto"/>
              </w:rPr>
            </w:pPr>
            <w:r>
              <w:rPr>
                <w:rFonts w:ascii="Arial" w:cs="Arial" w:eastAsia="Arial" w:hAnsi="Arial"/>
                <w:sz w:val="18"/>
                <w:szCs w:val="18"/>
                <w:color w:val="auto"/>
              </w:rPr>
              <w:t>Donald J. Puglisi</w:t>
            </w:r>
          </w:p>
        </w:tc>
        <w:tc>
          <w:tcPr>
            <w:tcW w:w="4640" w:type="dxa"/>
            <w:vAlign w:val="bottom"/>
          </w:tcPr>
          <w:p>
            <w:pPr>
              <w:spacing w:after="0"/>
              <w:rPr>
                <w:sz w:val="16"/>
                <w:szCs w:val="16"/>
                <w:color w:val="auto"/>
              </w:rPr>
            </w:pPr>
          </w:p>
        </w:tc>
        <w:tc>
          <w:tcPr>
            <w:tcW w:w="3100" w:type="dxa"/>
            <w:vAlign w:val="bottom"/>
          </w:tcPr>
          <w:p>
            <w:pPr>
              <w:spacing w:after="0"/>
              <w:rPr>
                <w:sz w:val="16"/>
                <w:szCs w:val="16"/>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Managing Director, Puglisi &amp; Associates</w:t>
            </w:r>
          </w:p>
        </w:tc>
        <w:tc>
          <w:tcPr>
            <w:tcW w:w="4640" w:type="dxa"/>
            <w:vAlign w:val="bottom"/>
          </w:tcPr>
          <w:p>
            <w:pPr>
              <w:spacing w:after="0"/>
              <w:rPr>
                <w:sz w:val="20"/>
                <w:szCs w:val="20"/>
                <w:color w:val="auto"/>
              </w:rPr>
            </w:pPr>
          </w:p>
        </w:tc>
        <w:tc>
          <w:tcPr>
            <w:tcW w:w="3100" w:type="dxa"/>
            <w:vAlign w:val="bottom"/>
          </w:tcPr>
          <w:p>
            <w:pPr>
              <w:spacing w:after="0"/>
              <w:rPr>
                <w:sz w:val="20"/>
                <w:szCs w:val="20"/>
                <w:color w:val="auto"/>
              </w:rPr>
            </w:pPr>
          </w:p>
        </w:tc>
      </w:tr>
      <w:tr>
        <w:trPr>
          <w:trHeight w:val="432"/>
        </w:trPr>
        <w:tc>
          <w:tcPr>
            <w:tcW w:w="3500" w:type="dxa"/>
            <w:vAlign w:val="bottom"/>
          </w:tcPr>
          <w:p>
            <w:pPr>
              <w:spacing w:after="0"/>
              <w:rPr>
                <w:sz w:val="24"/>
                <w:szCs w:val="24"/>
                <w:color w:val="auto"/>
              </w:rPr>
            </w:pPr>
          </w:p>
        </w:tc>
        <w:tc>
          <w:tcPr>
            <w:tcW w:w="4640" w:type="dxa"/>
            <w:vAlign w:val="bottom"/>
          </w:tcPr>
          <w:p>
            <w:pPr>
              <w:jc w:val="right"/>
              <w:ind w:right="2330"/>
              <w:spacing w:after="0"/>
              <w:rPr>
                <w:sz w:val="20"/>
                <w:szCs w:val="20"/>
                <w:color w:val="auto"/>
              </w:rPr>
            </w:pPr>
            <w:r>
              <w:rPr>
                <w:rFonts w:ascii="Arial" w:cs="Arial" w:eastAsia="Arial" w:hAnsi="Arial"/>
                <w:sz w:val="18"/>
                <w:szCs w:val="18"/>
                <w:color w:val="auto"/>
              </w:rPr>
              <w:t>10</w:t>
            </w:r>
          </w:p>
        </w:tc>
        <w:tc>
          <w:tcPr>
            <w:tcW w:w="3100" w:type="dxa"/>
            <w:vAlign w:val="bottom"/>
          </w:tcPr>
          <w:p>
            <w:pPr>
              <w:spacing w:after="0"/>
              <w:rPr>
                <w:sz w:val="24"/>
                <w:szCs w:val="24"/>
                <w:color w:val="auto"/>
              </w:rPr>
            </w:pPr>
          </w:p>
        </w:tc>
      </w:tr>
      <w:tr>
        <w:trPr>
          <w:trHeight w:val="290"/>
        </w:trPr>
        <w:tc>
          <w:tcPr>
            <w:tcW w:w="350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31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7132320" cy="43180"/>
                    </a:xfrm>
                    <a:prstGeom prst="rect">
                      <a:avLst/>
                    </a:prstGeom>
                    <a:noFill/>
                  </pic:spPr>
                </pic:pic>
              </a:graphicData>
            </a:graphic>
          </wp:anchor>
        </w:drawing>
        <w:t>Exhibit 4.1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PRA HEALTH SCIENCES, INC. 2020 STOCK INCENTIVE PLAN</w:t>
      </w:r>
    </w:p>
    <w:p>
      <w:pPr>
        <w:spacing w:after="0" w:line="207" w:lineRule="exact"/>
        <w:rPr>
          <w:sz w:val="20"/>
          <w:szCs w:val="20"/>
          <w:color w:val="auto"/>
        </w:rPr>
      </w:pPr>
    </w:p>
    <w:p>
      <w:pPr>
        <w:ind w:left="560" w:hanging="552"/>
        <w:spacing w:after="0"/>
        <w:tabs>
          <w:tab w:leader="none" w:pos="5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Purpose</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left="560" w:right="300" w:firstLine="268"/>
        <w:spacing w:after="0" w:line="301" w:lineRule="auto"/>
        <w:tabs>
          <w:tab w:leader="none" w:pos="1412" w:val="left"/>
        </w:tabs>
        <w:numPr>
          <w:ilvl w:val="1"/>
          <w:numId w:val="6"/>
        </w:numPr>
        <w:rPr>
          <w:rFonts w:ascii="Arial" w:cs="Arial" w:eastAsia="Arial" w:hAnsi="Arial"/>
          <w:sz w:val="16"/>
          <w:szCs w:val="16"/>
          <w:color w:val="auto"/>
        </w:rPr>
      </w:pPr>
      <w:r>
        <w:rPr>
          <w:rFonts w:ascii="Arial" w:cs="Arial" w:eastAsia="Arial" w:hAnsi="Arial"/>
          <w:sz w:val="16"/>
          <w:szCs w:val="16"/>
          <w:color w:val="auto"/>
        </w:rPr>
        <w:t>The Plan, which was initially adopted by PRA Health Sciences, Inc., was amended and restated in its current form in connection with the transaction entered into by ICON plc (the “Company”), ICON US Holdings Inc., Indigo Merger Sub, Inc. and PRA Health Sciences, Inc., pursuant to which PRA Health Sciences, Inc. became a Subsidiary of the Company, a public limited company incorporated in Ireland, and the Plan, together with all awards granted thereunder, was assumed by the Company with effect from 1 July 2021 (the “Assumption Date”).</w:t>
      </w:r>
    </w:p>
    <w:p>
      <w:pPr>
        <w:spacing w:after="0" w:line="157" w:lineRule="exact"/>
        <w:rPr>
          <w:rFonts w:ascii="Arial" w:cs="Arial" w:eastAsia="Arial" w:hAnsi="Arial"/>
          <w:sz w:val="16"/>
          <w:szCs w:val="16"/>
          <w:color w:val="auto"/>
        </w:rPr>
      </w:pPr>
    </w:p>
    <w:p>
      <w:pPr>
        <w:jc w:val="both"/>
        <w:ind w:left="560" w:right="300" w:firstLine="268"/>
        <w:spacing w:after="0" w:line="275" w:lineRule="auto"/>
        <w:tabs>
          <w:tab w:leader="none" w:pos="1389" w:val="left"/>
        </w:tabs>
        <w:numPr>
          <w:ilvl w:val="1"/>
          <w:numId w:val="6"/>
        </w:numPr>
        <w:rPr>
          <w:rFonts w:ascii="Arial" w:cs="Arial" w:eastAsia="Arial" w:hAnsi="Arial"/>
          <w:sz w:val="17"/>
          <w:szCs w:val="17"/>
          <w:color w:val="auto"/>
        </w:rPr>
      </w:pPr>
      <w:r>
        <w:rPr>
          <w:rFonts w:ascii="Arial" w:cs="Arial" w:eastAsia="Arial" w:hAnsi="Arial"/>
          <w:sz w:val="17"/>
          <w:szCs w:val="17"/>
          <w:color w:val="auto"/>
        </w:rPr>
        <w:t>The purpose of the PRA Health Sciences, Inc. 2020 Stock Incentive Plan is to provide a means through which the Company, and the other members of the Company Group, may attract and retain key personnel, and to provide a means whereby directors, officers, employees, consultants and advisors of the Company and the other members of the Company Group can acquire and maintain an equity interest in the Company, or be paid incentive compensation measured by reference to the value of Common Stock, thereby strengthening their commitment to the welfare of the Company Group and aligning their interests with those of the Company’s stockholders.</w:t>
      </w:r>
    </w:p>
    <w:p>
      <w:pPr>
        <w:spacing w:after="0" w:line="172" w:lineRule="exact"/>
        <w:rPr>
          <w:sz w:val="20"/>
          <w:szCs w:val="20"/>
          <w:color w:val="auto"/>
        </w:rPr>
      </w:pPr>
    </w:p>
    <w:p>
      <w:pPr>
        <w:ind w:left="560" w:hanging="552"/>
        <w:spacing w:after="0"/>
        <w:tabs>
          <w:tab w:leader="none" w:pos="56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 The following definitions shall be applicable throughout the Plan.</w:t>
      </w:r>
    </w:p>
    <w:p>
      <w:pPr>
        <w:spacing w:after="0" w:line="229" w:lineRule="exact"/>
        <w:rPr>
          <w:rFonts w:ascii="Arial" w:cs="Arial" w:eastAsia="Arial" w:hAnsi="Arial"/>
          <w:sz w:val="18"/>
          <w:szCs w:val="18"/>
          <w:color w:val="auto"/>
        </w:rPr>
      </w:pPr>
    </w:p>
    <w:p>
      <w:pPr>
        <w:ind w:left="1340" w:hanging="512"/>
        <w:spacing w:after="0"/>
        <w:tabs>
          <w:tab w:leader="none" w:pos="1340" w:val="left"/>
        </w:tabs>
        <w:numPr>
          <w:ilvl w:val="1"/>
          <w:numId w:val="7"/>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Adjustment Event</w:t>
      </w:r>
      <w:r>
        <w:rPr>
          <w:rFonts w:ascii="Arial" w:cs="Arial" w:eastAsia="Arial" w:hAnsi="Arial"/>
          <w:sz w:val="18"/>
          <w:szCs w:val="18"/>
          <w:color w:val="auto"/>
        </w:rPr>
        <w:t>” has the meaning given to such term in Section 12(a) of the Plan.</w:t>
      </w:r>
    </w:p>
    <w:p>
      <w:pPr>
        <w:spacing w:after="0" w:line="225" w:lineRule="exact"/>
        <w:rPr>
          <w:rFonts w:ascii="Arial" w:cs="Arial" w:eastAsia="Arial" w:hAnsi="Arial"/>
          <w:sz w:val="18"/>
          <w:szCs w:val="18"/>
          <w:color w:val="010000"/>
        </w:rPr>
      </w:pPr>
    </w:p>
    <w:p>
      <w:pPr>
        <w:jc w:val="both"/>
        <w:ind w:left="560" w:right="300" w:firstLine="268"/>
        <w:spacing w:after="0" w:line="259" w:lineRule="auto"/>
        <w:tabs>
          <w:tab w:leader="none" w:pos="1343" w:val="left"/>
        </w:tabs>
        <w:numPr>
          <w:ilvl w:val="1"/>
          <w:numId w:val="7"/>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any Person that directly or indirectly controls, is controlled by or is under common control with the Company. The term “control” (including, with correlative meaning, the terms “controlled by” and “under common control with”), as applied to any Person, means the possession, directly or indirectly, of the power to direct or cause the direction of the management and policies of such Person, whether through the ownership of voting or other securities, by contract or otherwise.</w:t>
      </w:r>
    </w:p>
    <w:p>
      <w:pPr>
        <w:spacing w:after="0" w:line="186" w:lineRule="exact"/>
        <w:rPr>
          <w:rFonts w:ascii="Arial" w:cs="Arial" w:eastAsia="Arial" w:hAnsi="Arial"/>
          <w:sz w:val="18"/>
          <w:szCs w:val="18"/>
          <w:color w:val="010000"/>
        </w:rPr>
      </w:pPr>
    </w:p>
    <w:p>
      <w:pPr>
        <w:jc w:val="both"/>
        <w:ind w:left="560" w:right="300" w:firstLine="268"/>
        <w:spacing w:after="0" w:line="259" w:lineRule="auto"/>
        <w:tabs>
          <w:tab w:leader="none" w:pos="1360" w:val="left"/>
        </w:tabs>
        <w:numPr>
          <w:ilvl w:val="1"/>
          <w:numId w:val="7"/>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Applicable Laws</w:t>
      </w:r>
      <w:r>
        <w:rPr>
          <w:rFonts w:ascii="Arial" w:cs="Arial" w:eastAsia="Arial" w:hAnsi="Arial"/>
          <w:sz w:val="18"/>
          <w:szCs w:val="18"/>
          <w:color w:val="auto"/>
        </w:rPr>
        <w:t>” means the requirements relating to the administration of equity-based awards, and the related Shares under U.S. state and Republic of Ireland corporate laws, U.S. federal and state and non-U.S. securities laws, the Code, the rules of any stock exchange or quotation system on which the Common Stock is listed or quoted and the applicable laws of any non-U.S. country or jurisdiction where Awards are, or will be, granted under the Plan.</w:t>
      </w:r>
    </w:p>
    <w:p>
      <w:pPr>
        <w:spacing w:after="0" w:line="186" w:lineRule="exact"/>
        <w:rPr>
          <w:rFonts w:ascii="Arial" w:cs="Arial" w:eastAsia="Arial" w:hAnsi="Arial"/>
          <w:sz w:val="18"/>
          <w:szCs w:val="18"/>
          <w:color w:val="010000"/>
        </w:rPr>
      </w:pPr>
    </w:p>
    <w:p>
      <w:pPr>
        <w:ind w:left="560" w:right="300" w:firstLine="268"/>
        <w:spacing w:after="0" w:line="277" w:lineRule="auto"/>
        <w:tabs>
          <w:tab w:leader="none" w:pos="1451" w:val="left"/>
        </w:tabs>
        <w:numPr>
          <w:ilvl w:val="1"/>
          <w:numId w:val="7"/>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Award</w:t>
      </w:r>
      <w:r>
        <w:rPr>
          <w:rFonts w:ascii="Arial" w:cs="Arial" w:eastAsia="Arial" w:hAnsi="Arial"/>
          <w:sz w:val="18"/>
          <w:szCs w:val="18"/>
          <w:color w:val="auto"/>
        </w:rPr>
        <w:t>” means, individually or collectively, any Incentive Stock Option, Nonqualified Stock Option, Stock Appreciation Right, Restricted Stock, Restricted Stock Unit, Dividend Equivalent Rights and Other Equity-Based Award granted under the Plan.</w:t>
      </w:r>
    </w:p>
    <w:p>
      <w:pPr>
        <w:spacing w:after="0" w:line="170" w:lineRule="exact"/>
        <w:rPr>
          <w:rFonts w:ascii="Arial" w:cs="Arial" w:eastAsia="Arial" w:hAnsi="Arial"/>
          <w:sz w:val="18"/>
          <w:szCs w:val="18"/>
          <w:color w:val="010000"/>
        </w:rPr>
      </w:pPr>
    </w:p>
    <w:p>
      <w:pPr>
        <w:ind w:left="1340" w:hanging="512"/>
        <w:spacing w:after="0"/>
        <w:tabs>
          <w:tab w:leader="none" w:pos="1340" w:val="left"/>
        </w:tabs>
        <w:numPr>
          <w:ilvl w:val="1"/>
          <w:numId w:val="7"/>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Award Agreement</w:t>
      </w:r>
      <w:r>
        <w:rPr>
          <w:rFonts w:ascii="Arial" w:cs="Arial" w:eastAsia="Arial" w:hAnsi="Arial"/>
          <w:sz w:val="18"/>
          <w:szCs w:val="18"/>
          <w:color w:val="auto"/>
        </w:rPr>
        <w:t>” means the document or documents by which each Award is evidenced, electronically or otherwise.</w:t>
      </w:r>
    </w:p>
    <w:p>
      <w:pPr>
        <w:spacing w:after="0" w:line="225" w:lineRule="exact"/>
        <w:rPr>
          <w:rFonts w:ascii="Arial" w:cs="Arial" w:eastAsia="Arial" w:hAnsi="Arial"/>
          <w:sz w:val="18"/>
          <w:szCs w:val="18"/>
          <w:color w:val="010000"/>
        </w:rPr>
      </w:pPr>
    </w:p>
    <w:p>
      <w:pPr>
        <w:ind w:left="1320" w:hanging="492"/>
        <w:spacing w:after="0"/>
        <w:tabs>
          <w:tab w:leader="none" w:pos="1320" w:val="left"/>
        </w:tabs>
        <w:numPr>
          <w:ilvl w:val="1"/>
          <w:numId w:val="7"/>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225" w:lineRule="exact"/>
        <w:rPr>
          <w:rFonts w:ascii="Arial" w:cs="Arial" w:eastAsia="Arial" w:hAnsi="Arial"/>
          <w:sz w:val="18"/>
          <w:szCs w:val="18"/>
          <w:color w:val="010000"/>
        </w:rPr>
      </w:pPr>
    </w:p>
    <w:p>
      <w:pPr>
        <w:jc w:val="both"/>
        <w:ind w:left="560" w:right="300" w:firstLine="268"/>
        <w:spacing w:after="0" w:line="287" w:lineRule="auto"/>
        <w:tabs>
          <w:tab w:leader="none" w:pos="1491" w:val="left"/>
        </w:tabs>
        <w:numPr>
          <w:ilvl w:val="1"/>
          <w:numId w:val="7"/>
        </w:numPr>
        <w:rPr>
          <w:rFonts w:ascii="Arial" w:cs="Arial" w:eastAsia="Arial" w:hAnsi="Arial"/>
          <w:sz w:val="16"/>
          <w:szCs w:val="16"/>
          <w:color w:val="010000"/>
        </w:rPr>
      </w:pPr>
      <w:r>
        <w:rPr>
          <w:rFonts w:ascii="Arial" w:cs="Arial" w:eastAsia="Arial" w:hAnsi="Arial"/>
          <w:sz w:val="16"/>
          <w:szCs w:val="16"/>
          <w:color w:val="auto"/>
        </w:rPr>
        <w:t>“</w:t>
      </w:r>
      <w:r>
        <w:rPr>
          <w:rFonts w:ascii="Arial" w:cs="Arial" w:eastAsia="Arial" w:hAnsi="Arial"/>
          <w:sz w:val="16"/>
          <w:szCs w:val="16"/>
          <w:u w:val="single" w:color="auto"/>
          <w:color w:val="auto"/>
        </w:rPr>
        <w:t>Cause</w:t>
      </w:r>
      <w:r>
        <w:rPr>
          <w:rFonts w:ascii="Arial" w:cs="Arial" w:eastAsia="Arial" w:hAnsi="Arial"/>
          <w:sz w:val="16"/>
          <w:szCs w:val="16"/>
          <w:color w:val="auto"/>
        </w:rPr>
        <w:t>” means, as to any Participant, unless the applicable Award Agreement states otherwise, (i) “Cause,” as defined in any employment or consulting agreement between the Participant and the Service Recipient in effect at the time of such Termination; or (ii) in the absence of any such employment or consulting agreement (or the absence of any definition of “Cause” contained therein), the Participant’s (A) willful neglect in the performance of the Participant’s duties for the Service Recipient or willful or repeated failure or refusal to perform such duties; (B) engagement in conduct in connection with the Participant’s employment or service with the Service Recipient, which results in, or could reasonably be expected to result in, material harm to the business or reputation of the Company or any other member of the Company Group; (C) conviction of, or plea of guilty or no contest to, (I) any felony; or (II) any other crime that results in, or could reasonably be expected to result in, material harm to the business or reputation of the Company or any other member of the Company Group; (D) material violation of the written policies of the Service Recipient, including, but not limited to, those relating to sexual harassment or the disclosure or misuse of confidential information, or those set forth in the manuals or statements of policy of the Service Recipient; (E) fraud or misappropriation, embezzlement or misuse of funds or property belonging to the Company or any other member of the Company Group; or (F) act of personal dishonesty that involves personal profit in connection with the Participant’s employment or service to the Service Recipient.</w:t>
      </w:r>
    </w:p>
    <w:p>
      <w:pPr>
        <w:spacing w:after="0" w:line="38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11" w:name="page12"/>
    <w:bookmarkEnd w:id="11"/>
    <w:p>
      <w:pPr>
        <w:ind w:left="740" w:hanging="460"/>
        <w:spacing w:after="0"/>
        <w:tabs>
          <w:tab w:leader="none" w:pos="740" w:val="left"/>
        </w:tabs>
        <w:numPr>
          <w:ilvl w:val="0"/>
          <w:numId w:val="8"/>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w:t>
      </w:r>
    </w:p>
    <w:p>
      <w:pPr>
        <w:spacing w:after="0" w:line="225" w:lineRule="exact"/>
        <w:rPr>
          <w:rFonts w:ascii="Arial" w:cs="Arial" w:eastAsia="Arial" w:hAnsi="Arial"/>
          <w:sz w:val="18"/>
          <w:szCs w:val="18"/>
          <w:color w:val="010000"/>
        </w:rPr>
      </w:pPr>
    </w:p>
    <w:p>
      <w:pPr>
        <w:jc w:val="both"/>
        <w:ind w:left="120" w:firstLine="642"/>
        <w:spacing w:after="0" w:line="289" w:lineRule="auto"/>
        <w:tabs>
          <w:tab w:leader="none" w:pos="1414" w:val="left"/>
        </w:tabs>
        <w:numPr>
          <w:ilvl w:val="1"/>
          <w:numId w:val="8"/>
        </w:numPr>
        <w:rPr>
          <w:rFonts w:ascii="Arial" w:cs="Arial" w:eastAsia="Arial" w:hAnsi="Arial"/>
          <w:sz w:val="16"/>
          <w:szCs w:val="16"/>
          <w:color w:val="010000"/>
        </w:rPr>
      </w:pPr>
      <w:r>
        <w:rPr>
          <w:rFonts w:ascii="Arial" w:cs="Arial" w:eastAsia="Arial" w:hAnsi="Arial"/>
          <w:sz w:val="16"/>
          <w:szCs w:val="16"/>
          <w:color w:val="auto"/>
        </w:rPr>
        <w:t xml:space="preserve">the acquisition (whether by purchase, merger, consolidation, combination or other similar transaction) by any Person of beneficial ownership (within the meaning of Rule 13d-3 promulgated under the Exchange Act) of more than 50% (on a fully diluted basis) of either (A) the then outstanding Shares, taking into account as outstanding for this purpose such Common Stock issuable upon the exercise of options or warrants, the conversion of convertible stock or debt, and the exercise of any similar right to acquire such Common Stock; or (B) the combined voting power of the then outstanding voting securities of the Company entitled to vote generally in the election of directors; </w:t>
      </w:r>
      <w:r>
        <w:rPr>
          <w:rFonts w:ascii="Arial" w:cs="Arial" w:eastAsia="Arial" w:hAnsi="Arial"/>
          <w:sz w:val="16"/>
          <w:szCs w:val="16"/>
          <w:i w:val="1"/>
          <w:iCs w:val="1"/>
          <w:color w:val="auto"/>
        </w:rPr>
        <w:t>provided, however</w:t>
      </w:r>
      <w:r>
        <w:rPr>
          <w:rFonts w:ascii="Arial" w:cs="Arial" w:eastAsia="Arial" w:hAnsi="Arial"/>
          <w:sz w:val="16"/>
          <w:szCs w:val="16"/>
          <w:color w:val="auto"/>
        </w:rPr>
        <w:t>, that for purposes of this Plan, the following acquisitions shall not constitute a Change in Control: (I) any acquisition by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or any Affiliate of the Company; (II) any acquisition by any employee benefit plan sponsored or maintained by the Company or any Affiliate of the Company; and (III) in respect of an Award held by a particular Participant, any acquisition by the Participant or any group of Persons including the Participant (or any entity controlled by the Participant or any group of Persons including the Participant);</w:t>
      </w:r>
    </w:p>
    <w:p>
      <w:pPr>
        <w:spacing w:after="0" w:line="166" w:lineRule="exact"/>
        <w:rPr>
          <w:rFonts w:ascii="Arial" w:cs="Arial" w:eastAsia="Arial" w:hAnsi="Arial"/>
          <w:sz w:val="16"/>
          <w:szCs w:val="16"/>
          <w:color w:val="010000"/>
        </w:rPr>
      </w:pPr>
    </w:p>
    <w:p>
      <w:pPr>
        <w:jc w:val="both"/>
        <w:ind w:left="120" w:firstLine="642"/>
        <w:spacing w:after="0" w:line="290" w:lineRule="auto"/>
        <w:tabs>
          <w:tab w:leader="none" w:pos="1505" w:val="left"/>
        </w:tabs>
        <w:numPr>
          <w:ilvl w:val="1"/>
          <w:numId w:val="8"/>
        </w:numPr>
        <w:rPr>
          <w:rFonts w:ascii="Arial" w:cs="Arial" w:eastAsia="Arial" w:hAnsi="Arial"/>
          <w:sz w:val="16"/>
          <w:szCs w:val="16"/>
          <w:color w:val="010000"/>
        </w:rPr>
      </w:pPr>
      <w:r>
        <w:rPr>
          <w:rFonts w:ascii="Arial" w:cs="Arial" w:eastAsia="Arial" w:hAnsi="Arial"/>
          <w:sz w:val="16"/>
          <w:szCs w:val="16"/>
          <w:color w:val="auto"/>
        </w:rPr>
        <w:t>during any period of twelve (12) months, individuals who, at the beginning of such period, constitute the Board (the “</w:t>
      </w:r>
      <w:r>
        <w:rPr>
          <w:rFonts w:ascii="Arial" w:cs="Arial" w:eastAsia="Arial" w:hAnsi="Arial"/>
          <w:sz w:val="16"/>
          <w:szCs w:val="16"/>
          <w:u w:val="single" w:color="auto"/>
          <w:color w:val="auto"/>
        </w:rPr>
        <w:t>Incumbent Directors</w:t>
      </w:r>
      <w:r>
        <w:rPr>
          <w:rFonts w:ascii="Arial" w:cs="Arial" w:eastAsia="Arial" w:hAnsi="Arial"/>
          <w:sz w:val="16"/>
          <w:szCs w:val="16"/>
          <w:color w:val="auto"/>
        </w:rPr>
        <w:t xml:space="preserve">”) cease for any reason to constitute at least a majority of the Board, provided that any person becoming a director subsequent to the Effective Date, whose election or nomination for election was approved by a vote of at least two-thirds of the Incumbent Directors then on the Board (either by a specific vote or by approval of the proxy statement of the Company in which such person is named as a nominee for director, without written objection to such nomination) shall be an Incumbent Director; </w:t>
      </w:r>
      <w:r>
        <w:rPr>
          <w:rFonts w:ascii="Arial" w:cs="Arial" w:eastAsia="Arial" w:hAnsi="Arial"/>
          <w:sz w:val="16"/>
          <w:szCs w:val="16"/>
          <w:i w:val="1"/>
          <w:iCs w:val="1"/>
          <w:color w:val="auto"/>
        </w:rPr>
        <w:t>provided, however</w:t>
      </w:r>
      <w:r>
        <w:rPr>
          <w:rFonts w:ascii="Arial" w:cs="Arial" w:eastAsia="Arial" w:hAnsi="Arial"/>
          <w:sz w:val="16"/>
          <w:szCs w:val="16"/>
          <w:color w:val="auto"/>
        </w:rPr>
        <w:t>, that no individual initially elected or nominated as a director of the Company as a result of an actual or threatened election contest, as such terms are used in Rule 14a-12 of Regulation 14A promulgated under the Exchange Act, with respect to directors or as a result of any other actual or threatened solicitation of proxies or consents by or on behalf of any person other than the Board shall be deemed to be an Incumbent Director; or</w:t>
      </w:r>
    </w:p>
    <w:p>
      <w:pPr>
        <w:spacing w:after="0" w:line="165" w:lineRule="exact"/>
        <w:rPr>
          <w:rFonts w:ascii="Arial" w:cs="Arial" w:eastAsia="Arial" w:hAnsi="Arial"/>
          <w:sz w:val="16"/>
          <w:szCs w:val="16"/>
          <w:color w:val="010000"/>
        </w:rPr>
      </w:pPr>
    </w:p>
    <w:p>
      <w:pPr>
        <w:ind w:left="120" w:right="40" w:firstLine="642"/>
        <w:spacing w:after="0" w:line="277" w:lineRule="auto"/>
        <w:tabs>
          <w:tab w:leader="none" w:pos="1366" w:val="left"/>
        </w:tabs>
        <w:numPr>
          <w:ilvl w:val="1"/>
          <w:numId w:val="8"/>
        </w:numPr>
        <w:rPr>
          <w:rFonts w:ascii="Arial" w:cs="Arial" w:eastAsia="Arial" w:hAnsi="Arial"/>
          <w:sz w:val="18"/>
          <w:szCs w:val="18"/>
          <w:color w:val="010000"/>
        </w:rPr>
      </w:pPr>
      <w:r>
        <w:rPr>
          <w:rFonts w:ascii="Arial" w:cs="Arial" w:eastAsia="Arial" w:hAnsi="Arial"/>
          <w:sz w:val="18"/>
          <w:szCs w:val="18"/>
          <w:color w:val="auto"/>
        </w:rPr>
        <w:t>the sale, transfer or other disposition of all or substantially all of the assets of the Company Group (taken as a whole) to any Person that is not an Affiliate of the Company.</w:t>
      </w:r>
    </w:p>
    <w:p>
      <w:pPr>
        <w:spacing w:after="0" w:line="170" w:lineRule="exact"/>
        <w:rPr>
          <w:sz w:val="20"/>
          <w:szCs w:val="20"/>
          <w:color w:val="auto"/>
        </w:rPr>
      </w:pPr>
    </w:p>
    <w:p>
      <w:pPr>
        <w:jc w:val="both"/>
        <w:ind w:left="100" w:right="40" w:firstLine="738"/>
        <w:spacing w:after="0" w:line="293" w:lineRule="auto"/>
        <w:rPr>
          <w:sz w:val="20"/>
          <w:szCs w:val="20"/>
          <w:color w:val="auto"/>
        </w:rPr>
      </w:pPr>
      <w:r>
        <w:rPr>
          <w:rFonts w:ascii="Arial" w:cs="Arial" w:eastAsia="Arial" w:hAnsi="Arial"/>
          <w:sz w:val="16"/>
          <w:szCs w:val="16"/>
          <w:color w:val="auto"/>
        </w:rPr>
        <w:t>Notwithstanding anything to the contrary in the foregoing, a transaction shall not constitute a Change in Control if it is effected for the purpose of changing the place of incorporation or form of organization of the ultimate parent entity (including where the Company is succeeded by an issuer incorporated under the laws of another state, country or foreign government for such purpose and whether or not the Company remains in existence following such transaction) where all or substantially all of the persons or group that beneficially own all or substantially all of the combined voting power of the Company’s voting securities immediately prior to the transaction beneficially own all or substantially all of the combined voting power of the Company in substantially the same proportions of their ownership after the transaction.</w:t>
      </w:r>
    </w:p>
    <w:p>
      <w:pPr>
        <w:spacing w:after="0" w:line="164" w:lineRule="exact"/>
        <w:rPr>
          <w:sz w:val="20"/>
          <w:szCs w:val="20"/>
          <w:color w:val="auto"/>
        </w:rPr>
      </w:pPr>
    </w:p>
    <w:p>
      <w:pPr>
        <w:ind w:left="760" w:hanging="492"/>
        <w:spacing w:after="0"/>
        <w:tabs>
          <w:tab w:leader="none" w:pos="760" w:val="left"/>
        </w:tabs>
        <w:numPr>
          <w:ilvl w:val="0"/>
          <w:numId w:val="9"/>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 Consideration</w:t>
      </w:r>
      <w:r>
        <w:rPr>
          <w:rFonts w:ascii="Arial" w:cs="Arial" w:eastAsia="Arial" w:hAnsi="Arial"/>
          <w:sz w:val="18"/>
          <w:szCs w:val="18"/>
          <w:color w:val="auto"/>
        </w:rPr>
        <w:t>” has the meaning given to such term in Section 12(b) of the Plan.</w:t>
      </w:r>
    </w:p>
    <w:p>
      <w:pPr>
        <w:spacing w:after="0" w:line="225" w:lineRule="exact"/>
        <w:rPr>
          <w:rFonts w:ascii="Arial" w:cs="Arial" w:eastAsia="Arial" w:hAnsi="Arial"/>
          <w:sz w:val="18"/>
          <w:szCs w:val="18"/>
          <w:color w:val="010000"/>
        </w:rPr>
      </w:pPr>
    </w:p>
    <w:p>
      <w:pPr>
        <w:jc w:val="both"/>
        <w:ind w:firstLine="268"/>
        <w:spacing w:after="0" w:line="263" w:lineRule="auto"/>
        <w:tabs>
          <w:tab w:leader="none" w:pos="770" w:val="left"/>
        </w:tabs>
        <w:numPr>
          <w:ilvl w:val="0"/>
          <w:numId w:val="9"/>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U.S. Internal Revenue Code of 1986, as amended, and any successor thereto. Reference in the Plan to any section of the Code shall be deemed to include any regulations or other interpretative guidance under such section, and any amendments or successor provisions to such section, regulations or guidance.</w:t>
      </w:r>
    </w:p>
    <w:p>
      <w:pPr>
        <w:spacing w:after="0" w:line="386"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48895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80"/>
          </w:cols>
          <w:pgMar w:left="880" w:top="341" w:right="639" w:bottom="1440" w:gutter="0" w:footer="0" w:header="0"/>
        </w:sectPr>
      </w:pPr>
    </w:p>
    <w:bookmarkStart w:id="12" w:name="page13"/>
    <w:bookmarkEnd w:id="12"/>
    <w:p>
      <w:pPr>
        <w:ind w:firstLine="268"/>
        <w:spacing w:after="0" w:line="277" w:lineRule="auto"/>
        <w:tabs>
          <w:tab w:leader="none" w:pos="796" w:val="left"/>
        </w:tabs>
        <w:numPr>
          <w:ilvl w:val="0"/>
          <w:numId w:val="10"/>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the Compensation Committee of the Board or any other committee comprised of members of the Board, or any properly delegated subcommittee thereof or, if no such committee or subcommittee thereof exists, the Board.</w:t>
      </w:r>
    </w:p>
    <w:p>
      <w:pPr>
        <w:spacing w:after="0" w:line="170" w:lineRule="exact"/>
        <w:rPr>
          <w:rFonts w:ascii="Arial" w:cs="Arial" w:eastAsia="Arial" w:hAnsi="Arial"/>
          <w:sz w:val="18"/>
          <w:szCs w:val="18"/>
          <w:color w:val="010000"/>
        </w:rPr>
      </w:pPr>
    </w:p>
    <w:p>
      <w:pPr>
        <w:ind w:firstLine="268"/>
        <w:spacing w:after="0" w:line="277" w:lineRule="auto"/>
        <w:tabs>
          <w:tab w:leader="none" w:pos="810" w:val="left"/>
        </w:tabs>
        <w:numPr>
          <w:ilvl w:val="0"/>
          <w:numId w:val="10"/>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“Share</w:t>
      </w:r>
      <w:r>
        <w:rPr>
          <w:rFonts w:ascii="Arial" w:cs="Arial" w:eastAsia="Arial" w:hAnsi="Arial"/>
          <w:sz w:val="18"/>
          <w:szCs w:val="18"/>
          <w:color w:val="auto"/>
        </w:rPr>
        <w:t>” means ordinary shares in the capital of the Company (or ordinary shares as represented by American Depository Shares and as evidenced by American Depository Receipts).</w:t>
      </w:r>
    </w:p>
    <w:p>
      <w:pPr>
        <w:spacing w:after="0" w:line="170" w:lineRule="exact"/>
        <w:rPr>
          <w:rFonts w:ascii="Arial" w:cs="Arial" w:eastAsia="Arial" w:hAnsi="Arial"/>
          <w:sz w:val="18"/>
          <w:szCs w:val="18"/>
          <w:color w:val="010000"/>
        </w:rPr>
      </w:pPr>
    </w:p>
    <w:p>
      <w:pPr>
        <w:ind w:left="840" w:hanging="572"/>
        <w:spacing w:after="0"/>
        <w:tabs>
          <w:tab w:leader="none" w:pos="840" w:val="left"/>
        </w:tabs>
        <w:numPr>
          <w:ilvl w:val="0"/>
          <w:numId w:val="10"/>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ICON plc, a public limited company incorporated in Ireland, and any successor thereto.</w:t>
      </w:r>
    </w:p>
    <w:p>
      <w:pPr>
        <w:spacing w:after="0" w:line="225" w:lineRule="exact"/>
        <w:rPr>
          <w:rFonts w:ascii="Arial" w:cs="Arial" w:eastAsia="Arial" w:hAnsi="Arial"/>
          <w:sz w:val="18"/>
          <w:szCs w:val="18"/>
          <w:color w:val="010000"/>
        </w:rPr>
      </w:pPr>
    </w:p>
    <w:p>
      <w:pPr>
        <w:ind w:firstLine="268"/>
        <w:spacing w:after="0" w:line="277" w:lineRule="auto"/>
        <w:tabs>
          <w:tab w:leader="none" w:pos="850" w:val="left"/>
        </w:tabs>
        <w:numPr>
          <w:ilvl w:val="0"/>
          <w:numId w:val="10"/>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Company Group</w:t>
      </w:r>
      <w:r>
        <w:rPr>
          <w:rFonts w:ascii="Arial" w:cs="Arial" w:eastAsia="Arial" w:hAnsi="Arial"/>
          <w:sz w:val="18"/>
          <w:szCs w:val="18"/>
          <w:color w:val="auto"/>
        </w:rPr>
        <w:t>” means, collectively, the Company and its Subsidiaries, and any other Affiliate of the Company designated as a member of the Company Group by the Committee.</w:t>
      </w:r>
    </w:p>
    <w:p>
      <w:pPr>
        <w:spacing w:after="0" w:line="170" w:lineRule="exact"/>
        <w:rPr>
          <w:rFonts w:ascii="Arial" w:cs="Arial" w:eastAsia="Arial" w:hAnsi="Arial"/>
          <w:sz w:val="18"/>
          <w:szCs w:val="18"/>
          <w:color w:val="010000"/>
        </w:rPr>
      </w:pPr>
    </w:p>
    <w:p>
      <w:pPr>
        <w:ind w:left="800" w:hanging="532"/>
        <w:spacing w:after="0"/>
        <w:tabs>
          <w:tab w:leader="none" w:pos="800" w:val="left"/>
        </w:tabs>
        <w:numPr>
          <w:ilvl w:val="0"/>
          <w:numId w:val="10"/>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Continuing Entity</w:t>
      </w:r>
      <w:r>
        <w:rPr>
          <w:rFonts w:ascii="Arial" w:cs="Arial" w:eastAsia="Arial" w:hAnsi="Arial"/>
          <w:sz w:val="18"/>
          <w:szCs w:val="18"/>
          <w:color w:val="auto"/>
        </w:rPr>
        <w:t>” has the meaning given to such term in Section 12(b) of the Plan.</w:t>
      </w:r>
    </w:p>
    <w:p>
      <w:pPr>
        <w:spacing w:after="0" w:line="225" w:lineRule="exact"/>
        <w:rPr>
          <w:rFonts w:ascii="Arial" w:cs="Arial" w:eastAsia="Arial" w:hAnsi="Arial"/>
          <w:sz w:val="18"/>
          <w:szCs w:val="18"/>
          <w:color w:val="010000"/>
        </w:rPr>
      </w:pPr>
    </w:p>
    <w:p>
      <w:pPr>
        <w:ind w:firstLine="268"/>
        <w:spacing w:after="0" w:line="277" w:lineRule="auto"/>
        <w:tabs>
          <w:tab w:leader="none" w:pos="877" w:val="left"/>
        </w:tabs>
        <w:numPr>
          <w:ilvl w:val="0"/>
          <w:numId w:val="10"/>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Date of Grant</w:t>
      </w:r>
      <w:r>
        <w:rPr>
          <w:rFonts w:ascii="Arial" w:cs="Arial" w:eastAsia="Arial" w:hAnsi="Arial"/>
          <w:sz w:val="18"/>
          <w:szCs w:val="18"/>
          <w:color w:val="auto"/>
        </w:rPr>
        <w:t>” means the date on which the granting of an Award is authorized, or such later date as may be specified in such authorization.</w:t>
      </w:r>
    </w:p>
    <w:p>
      <w:pPr>
        <w:spacing w:after="0" w:line="170" w:lineRule="exact"/>
        <w:rPr>
          <w:rFonts w:ascii="Arial" w:cs="Arial" w:eastAsia="Arial" w:hAnsi="Arial"/>
          <w:sz w:val="18"/>
          <w:szCs w:val="18"/>
          <w:color w:val="010000"/>
        </w:rPr>
      </w:pPr>
    </w:p>
    <w:p>
      <w:pPr>
        <w:ind w:firstLine="268"/>
        <w:spacing w:after="0" w:line="277" w:lineRule="auto"/>
        <w:tabs>
          <w:tab w:leader="none" w:pos="823" w:val="left"/>
        </w:tabs>
        <w:numPr>
          <w:ilvl w:val="0"/>
          <w:numId w:val="10"/>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Designated Foreign Subsidiaries</w:t>
      </w:r>
      <w:r>
        <w:rPr>
          <w:rFonts w:ascii="Arial" w:cs="Arial" w:eastAsia="Arial" w:hAnsi="Arial"/>
          <w:sz w:val="18"/>
          <w:szCs w:val="18"/>
          <w:color w:val="auto"/>
        </w:rPr>
        <w:t>” means all members of the Company Group that are organized under the laws of any jurisdiction other than the United States of America that may be designated by the Board or the Committee from time to time.</w:t>
      </w:r>
    </w:p>
    <w:p>
      <w:pPr>
        <w:spacing w:after="0" w:line="170" w:lineRule="exact"/>
        <w:rPr>
          <w:rFonts w:ascii="Arial" w:cs="Arial" w:eastAsia="Arial" w:hAnsi="Arial"/>
          <w:sz w:val="18"/>
          <w:szCs w:val="18"/>
          <w:color w:val="010000"/>
        </w:rPr>
      </w:pPr>
    </w:p>
    <w:p>
      <w:pPr>
        <w:jc w:val="both"/>
        <w:ind w:firstLine="268"/>
        <w:spacing w:after="0" w:line="259" w:lineRule="auto"/>
        <w:tabs>
          <w:tab w:leader="none" w:pos="780" w:val="left"/>
        </w:tabs>
        <w:numPr>
          <w:ilvl w:val="0"/>
          <w:numId w:val="10"/>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Detrimental Activity</w:t>
      </w:r>
      <w:r>
        <w:rPr>
          <w:rFonts w:ascii="Arial" w:cs="Arial" w:eastAsia="Arial" w:hAnsi="Arial"/>
          <w:sz w:val="18"/>
          <w:szCs w:val="18"/>
          <w:color w:val="auto"/>
        </w:rPr>
        <w:t>” means any of the following: (i) unauthorized disclosure of any confidential or proprietary information of any member of the Company Group; (ii) any activity that would be grounds to terminate the Participant’s employment or service with the Service Recipient for Cause; or (iii) a breach by the Participant of any noncompetition, nonsolicitation, or other agreement containing restrictive covenants with any member of the Company Group.</w:t>
      </w:r>
    </w:p>
    <w:p>
      <w:pPr>
        <w:spacing w:after="0" w:line="186" w:lineRule="exact"/>
        <w:rPr>
          <w:rFonts w:ascii="Arial" w:cs="Arial" w:eastAsia="Arial" w:hAnsi="Arial"/>
          <w:sz w:val="18"/>
          <w:szCs w:val="18"/>
          <w:color w:val="010000"/>
        </w:rPr>
      </w:pPr>
    </w:p>
    <w:p>
      <w:pPr>
        <w:ind w:left="780" w:hanging="512"/>
        <w:spacing w:after="0"/>
        <w:tabs>
          <w:tab w:leader="none" w:pos="780" w:val="left"/>
        </w:tabs>
        <w:numPr>
          <w:ilvl w:val="0"/>
          <w:numId w:val="10"/>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Director Award</w:t>
      </w:r>
      <w:r>
        <w:rPr>
          <w:rFonts w:ascii="Arial" w:cs="Arial" w:eastAsia="Arial" w:hAnsi="Arial"/>
          <w:sz w:val="18"/>
          <w:szCs w:val="18"/>
          <w:color w:val="auto"/>
        </w:rPr>
        <w:t>” has the meaning given to such term</w:t>
      </w:r>
    </w:p>
    <w:p>
      <w:pPr>
        <w:spacing w:after="0" w:line="225" w:lineRule="exact"/>
        <w:rPr>
          <w:rFonts w:ascii="Arial" w:cs="Arial" w:eastAsia="Arial" w:hAnsi="Arial"/>
          <w:sz w:val="18"/>
          <w:szCs w:val="18"/>
          <w:color w:val="010000"/>
        </w:rPr>
      </w:pPr>
    </w:p>
    <w:p>
      <w:pPr>
        <w:jc w:val="both"/>
        <w:ind w:firstLine="268"/>
        <w:spacing w:after="0" w:line="287" w:lineRule="auto"/>
        <w:tabs>
          <w:tab w:leader="none" w:pos="756" w:val="left"/>
        </w:tabs>
        <w:numPr>
          <w:ilvl w:val="0"/>
          <w:numId w:val="10"/>
        </w:numPr>
        <w:rPr>
          <w:rFonts w:ascii="Arial" w:cs="Arial" w:eastAsia="Arial" w:hAnsi="Arial"/>
          <w:sz w:val="16"/>
          <w:szCs w:val="16"/>
          <w:color w:val="010000"/>
        </w:rPr>
      </w:pPr>
      <w:r>
        <w:rPr>
          <w:rFonts w:ascii="Arial" w:cs="Arial" w:eastAsia="Arial" w:hAnsi="Arial"/>
          <w:sz w:val="16"/>
          <w:szCs w:val="16"/>
          <w:color w:val="auto"/>
        </w:rPr>
        <w:t>“</w:t>
      </w:r>
      <w:r>
        <w:rPr>
          <w:rFonts w:ascii="Arial" w:cs="Arial" w:eastAsia="Arial" w:hAnsi="Arial"/>
          <w:sz w:val="16"/>
          <w:szCs w:val="16"/>
          <w:u w:val="single" w:color="auto"/>
          <w:color w:val="auto"/>
        </w:rPr>
        <w:t>Disability</w:t>
      </w:r>
      <w:r>
        <w:rPr>
          <w:rFonts w:ascii="Arial" w:cs="Arial" w:eastAsia="Arial" w:hAnsi="Arial"/>
          <w:sz w:val="16"/>
          <w:szCs w:val="16"/>
          <w:color w:val="auto"/>
        </w:rPr>
        <w:t>” means, as to any Participant, unless the applicable Award Agreement states otherwise, (i) “Disability,” as defined in any employment or consulting agreement between the Participant and the Service Recipient in effect at the time of such Termination; or (ii) in the absence of any such employment or consulting agreement (or the absence of any definition of “Disability” contained therein), a condition entitling the Participant to receive benefits under a long-term disability plan of the Service Recipient or other member of the Company Group in which such Participant is eligible to participate, or, in the absence of such a plan, the complete and permanent inability of the Participant by reason of illness or accident to perform the duties of the occupation at which the Participant was employed or served when such disability commenced. Any determination of whether Disability exists in the absence of a long-term disability plan shall be made by the Company (or its designee) in its sole and absolute discretion. Notwithstanding the foregoing, (a) for purposes of Incentive Stock Options granted under the Plan, “Disability” means that the Participant is disabled within the meaning of Section 22(e)(3) of the Code, and (b) with respect to an Award that is subject to Section 409A of the Code where the payment or settlement of the Award will accelerate as a result of the Participant’s Disability, solely for purposes of determining the timing of payment, no such event will constitute a Disability for purposes of the Plan or any Award Agreement unless such event also constitutes a “disability” as defined under Section 409A of the Code.</w:t>
      </w:r>
    </w:p>
    <w:p>
      <w:pPr>
        <w:spacing w:after="0" w:line="167" w:lineRule="exact"/>
        <w:rPr>
          <w:rFonts w:ascii="Arial" w:cs="Arial" w:eastAsia="Arial" w:hAnsi="Arial"/>
          <w:sz w:val="16"/>
          <w:szCs w:val="16"/>
          <w:color w:val="010000"/>
        </w:rPr>
      </w:pPr>
    </w:p>
    <w:p>
      <w:pPr>
        <w:ind w:firstLine="268"/>
        <w:spacing w:after="0" w:line="308" w:lineRule="auto"/>
        <w:tabs>
          <w:tab w:leader="none" w:pos="850" w:val="left"/>
        </w:tabs>
        <w:numPr>
          <w:ilvl w:val="0"/>
          <w:numId w:val="10"/>
        </w:numPr>
        <w:rPr>
          <w:rFonts w:ascii="Arial" w:cs="Arial" w:eastAsia="Arial" w:hAnsi="Arial"/>
          <w:sz w:val="17"/>
          <w:szCs w:val="17"/>
          <w:color w:val="010000"/>
        </w:rPr>
      </w:pPr>
      <w:r>
        <w:rPr>
          <w:rFonts w:ascii="Arial" w:cs="Arial" w:eastAsia="Arial" w:hAnsi="Arial"/>
          <w:sz w:val="17"/>
          <w:szCs w:val="17"/>
          <w:color w:val="auto"/>
        </w:rPr>
        <w:t>“</w:t>
      </w:r>
      <w:r>
        <w:rPr>
          <w:rFonts w:ascii="Arial" w:cs="Arial" w:eastAsia="Arial" w:hAnsi="Arial"/>
          <w:sz w:val="17"/>
          <w:szCs w:val="17"/>
          <w:u w:val="single" w:color="auto"/>
          <w:color w:val="auto"/>
        </w:rPr>
        <w:t>Dividend Equivalent Right</w:t>
      </w:r>
      <w:r>
        <w:rPr>
          <w:rFonts w:ascii="Arial" w:cs="Arial" w:eastAsia="Arial" w:hAnsi="Arial"/>
          <w:sz w:val="17"/>
          <w:szCs w:val="17"/>
          <w:color w:val="auto"/>
        </w:rPr>
        <w:t>” means a right to receive the equivalent value of dividends paid on the Shares with respect to Shares underlying an Award that is a full-value award prior to settlement of the Award in accordance with the provision of Section 14(c).</w:t>
      </w:r>
    </w:p>
    <w:p>
      <w:pPr>
        <w:spacing w:after="0" w:line="146" w:lineRule="exact"/>
        <w:rPr>
          <w:rFonts w:ascii="Arial" w:cs="Arial" w:eastAsia="Arial" w:hAnsi="Arial"/>
          <w:sz w:val="17"/>
          <w:szCs w:val="17"/>
          <w:color w:val="010000"/>
        </w:rPr>
      </w:pPr>
    </w:p>
    <w:p>
      <w:pPr>
        <w:ind w:left="800" w:hanging="532"/>
        <w:spacing w:after="0"/>
        <w:tabs>
          <w:tab w:leader="none" w:pos="800" w:val="left"/>
        </w:tabs>
        <w:numPr>
          <w:ilvl w:val="0"/>
          <w:numId w:val="10"/>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means May 18, 2020.</w:t>
      </w:r>
    </w:p>
    <w:p>
      <w:pPr>
        <w:spacing w:after="0" w:line="200" w:lineRule="exact"/>
        <w:rPr>
          <w:sz w:val="20"/>
          <w:szCs w:val="20"/>
          <w:color w:val="auto"/>
        </w:rPr>
      </w:pPr>
    </w:p>
    <w:p>
      <w:pPr>
        <w:spacing w:after="0" w:line="228"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48895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80"/>
          </w:cols>
          <w:pgMar w:left="880" w:top="328" w:right="639" w:bottom="1440" w:gutter="0" w:footer="0" w:header="0"/>
        </w:sectPr>
      </w:pPr>
    </w:p>
    <w:bookmarkStart w:id="13" w:name="page14"/>
    <w:bookmarkEnd w:id="13"/>
    <w:p>
      <w:pPr>
        <w:jc w:val="both"/>
        <w:ind w:firstLine="268"/>
        <w:spacing w:after="0" w:line="293" w:lineRule="auto"/>
        <w:tabs>
          <w:tab w:leader="none" w:pos="899" w:val="left"/>
        </w:tabs>
        <w:numPr>
          <w:ilvl w:val="0"/>
          <w:numId w:val="11"/>
        </w:numPr>
        <w:rPr>
          <w:rFonts w:ascii="Arial" w:cs="Arial" w:eastAsia="Arial" w:hAnsi="Arial"/>
          <w:sz w:val="16"/>
          <w:szCs w:val="16"/>
          <w:color w:val="010000"/>
        </w:rPr>
      </w:pPr>
      <w:r>
        <w:rPr>
          <w:rFonts w:ascii="Arial" w:cs="Arial" w:eastAsia="Arial" w:hAnsi="Arial"/>
          <w:sz w:val="16"/>
          <w:szCs w:val="16"/>
          <w:color w:val="auto"/>
        </w:rPr>
        <w:t>“</w:t>
      </w:r>
      <w:r>
        <w:rPr>
          <w:rFonts w:ascii="Arial" w:cs="Arial" w:eastAsia="Arial" w:hAnsi="Arial"/>
          <w:sz w:val="16"/>
          <w:szCs w:val="16"/>
          <w:u w:val="single" w:color="auto"/>
          <w:color w:val="auto"/>
        </w:rPr>
        <w:t>Eligible Person</w:t>
      </w:r>
      <w:r>
        <w:rPr>
          <w:rFonts w:ascii="Arial" w:cs="Arial" w:eastAsia="Arial" w:hAnsi="Arial"/>
          <w:sz w:val="16"/>
          <w:szCs w:val="16"/>
          <w:color w:val="auto"/>
        </w:rPr>
        <w:t xml:space="preserve">” means any (i) individual employed by any member of the Company Group; </w:t>
      </w:r>
      <w:r>
        <w:rPr>
          <w:rFonts w:ascii="Arial" w:cs="Arial" w:eastAsia="Arial" w:hAnsi="Arial"/>
          <w:sz w:val="16"/>
          <w:szCs w:val="16"/>
          <w:i w:val="1"/>
          <w:iCs w:val="1"/>
          <w:color w:val="auto"/>
        </w:rPr>
        <w:t>provided, however</w:t>
      </w:r>
      <w:r>
        <w:rPr>
          <w:rFonts w:ascii="Arial" w:cs="Arial" w:eastAsia="Arial" w:hAnsi="Arial"/>
          <w:sz w:val="16"/>
          <w:szCs w:val="16"/>
          <w:color w:val="auto"/>
        </w:rPr>
        <w:t>, that no such employee covered by a collective bargaining agreement shall be an Eligible Person unless and to the extent that such eligibility is set forth in such collective bargaining agreement or in an agreement or instrument relating thereto; (ii) director or officer of any member of the Company Group; or (iii) consultant or advisor to any member of the Company Group who may be offered securities registrable pursuant to a registration statement on Form S-8 under the Securities Act, who, in the case of each of clauses (i) through (iii) above has entered into an Award Agreement or who has received written notification from the Committee or its designee that they have been selected to participate in the Plan.</w:t>
      </w:r>
    </w:p>
    <w:p>
      <w:pPr>
        <w:spacing w:after="0" w:line="164" w:lineRule="exact"/>
        <w:rPr>
          <w:rFonts w:ascii="Arial" w:cs="Arial" w:eastAsia="Arial" w:hAnsi="Arial"/>
          <w:sz w:val="16"/>
          <w:szCs w:val="16"/>
          <w:color w:val="010000"/>
        </w:rPr>
      </w:pPr>
    </w:p>
    <w:p>
      <w:pPr>
        <w:jc w:val="both"/>
        <w:ind w:firstLine="268"/>
        <w:spacing w:after="0" w:line="311" w:lineRule="auto"/>
        <w:tabs>
          <w:tab w:leader="none" w:pos="823" w:val="left"/>
        </w:tabs>
        <w:numPr>
          <w:ilvl w:val="0"/>
          <w:numId w:val="11"/>
        </w:numPr>
        <w:rPr>
          <w:rFonts w:ascii="Arial" w:cs="Arial" w:eastAsia="Arial" w:hAnsi="Arial"/>
          <w:sz w:val="16"/>
          <w:szCs w:val="16"/>
          <w:color w:val="010000"/>
        </w:rPr>
      </w:pPr>
      <w:r>
        <w:rPr>
          <w:rFonts w:ascii="Arial" w:cs="Arial" w:eastAsia="Arial" w:hAnsi="Arial"/>
          <w:sz w:val="16"/>
          <w:szCs w:val="16"/>
          <w:color w:val="auto"/>
        </w:rPr>
        <w:t>“</w:t>
      </w:r>
      <w:r>
        <w:rPr>
          <w:rFonts w:ascii="Arial" w:cs="Arial" w:eastAsia="Arial" w:hAnsi="Arial"/>
          <w:sz w:val="16"/>
          <w:szCs w:val="16"/>
          <w:u w:val="single" w:color="auto"/>
          <w:color w:val="auto"/>
        </w:rPr>
        <w:t>Exchange Act</w:t>
      </w:r>
      <w:r>
        <w:rPr>
          <w:rFonts w:ascii="Arial" w:cs="Arial" w:eastAsia="Arial" w:hAnsi="Arial"/>
          <w:sz w:val="16"/>
          <w:szCs w:val="16"/>
          <w:color w:val="auto"/>
        </w:rPr>
        <w:t>” means the U.S. Securities Exchange Act of 1934, as amended, and any successor thereto. Reference in the Plan to any section of (or rule promulgated under) the Exchange Act shall be deemed to include any rules, regulations or other interpretative guidance under such section or rule, and any amendments or successor provisions to such section, rules, regulations or guidance.</w:t>
      </w:r>
    </w:p>
    <w:p>
      <w:pPr>
        <w:spacing w:after="0" w:line="148" w:lineRule="exact"/>
        <w:rPr>
          <w:rFonts w:ascii="Arial" w:cs="Arial" w:eastAsia="Arial" w:hAnsi="Arial"/>
          <w:sz w:val="16"/>
          <w:szCs w:val="16"/>
          <w:color w:val="010000"/>
        </w:rPr>
      </w:pPr>
    </w:p>
    <w:p>
      <w:pPr>
        <w:ind w:left="800" w:hanging="532"/>
        <w:spacing w:after="0"/>
        <w:tabs>
          <w:tab w:leader="none" w:pos="800" w:val="left"/>
        </w:tabs>
        <w:numPr>
          <w:ilvl w:val="0"/>
          <w:numId w:val="11"/>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Exercise Price</w:t>
      </w:r>
      <w:r>
        <w:rPr>
          <w:rFonts w:ascii="Arial" w:cs="Arial" w:eastAsia="Arial" w:hAnsi="Arial"/>
          <w:sz w:val="18"/>
          <w:szCs w:val="18"/>
          <w:color w:val="auto"/>
        </w:rPr>
        <w:t>” has the meaning given to such term in Section 7(b) of the Plan.</w:t>
      </w:r>
    </w:p>
    <w:p>
      <w:pPr>
        <w:spacing w:after="0" w:line="225" w:lineRule="exact"/>
        <w:rPr>
          <w:rFonts w:ascii="Arial" w:cs="Arial" w:eastAsia="Arial" w:hAnsi="Arial"/>
          <w:sz w:val="18"/>
          <w:szCs w:val="18"/>
          <w:color w:val="010000"/>
        </w:rPr>
      </w:pPr>
    </w:p>
    <w:p>
      <w:pPr>
        <w:jc w:val="both"/>
        <w:ind w:firstLine="268"/>
        <w:spacing w:after="0" w:line="263" w:lineRule="auto"/>
        <w:tabs>
          <w:tab w:leader="none" w:pos="800" w:val="left"/>
        </w:tabs>
        <w:numPr>
          <w:ilvl w:val="0"/>
          <w:numId w:val="11"/>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means, as of any date, the fair market value of a Share, as reasonably determined by the Company, which may include, without limitation, the closing sales price on the trading day immediately prior to or on such date, or a trailing average of previous closing prices prior to such date.</w:t>
      </w:r>
    </w:p>
    <w:p>
      <w:pPr>
        <w:spacing w:after="0" w:line="184" w:lineRule="exact"/>
        <w:rPr>
          <w:sz w:val="20"/>
          <w:szCs w:val="20"/>
          <w:color w:val="auto"/>
        </w:rPr>
      </w:pPr>
    </w:p>
    <w:p>
      <w:pPr>
        <w:ind w:left="780" w:hanging="512"/>
        <w:spacing w:after="0"/>
        <w:tabs>
          <w:tab w:leader="none" w:pos="780" w:val="left"/>
        </w:tabs>
        <w:numPr>
          <w:ilvl w:val="0"/>
          <w:numId w:val="12"/>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has the meaning given to such term in Section 7(d) of the Plan.</w:t>
      </w:r>
    </w:p>
    <w:p>
      <w:pPr>
        <w:spacing w:after="0" w:line="225" w:lineRule="exact"/>
        <w:rPr>
          <w:rFonts w:ascii="Arial" w:cs="Arial" w:eastAsia="Arial" w:hAnsi="Arial"/>
          <w:sz w:val="18"/>
          <w:szCs w:val="18"/>
          <w:color w:val="010000"/>
        </w:rPr>
      </w:pPr>
    </w:p>
    <w:p>
      <w:pPr>
        <w:jc w:val="both"/>
        <w:ind w:firstLine="268"/>
        <w:spacing w:after="0" w:line="270" w:lineRule="auto"/>
        <w:tabs>
          <w:tab w:leader="none" w:pos="783" w:val="left"/>
        </w:tabs>
        <w:numPr>
          <w:ilvl w:val="0"/>
          <w:numId w:val="12"/>
        </w:numPr>
        <w:rPr>
          <w:rFonts w:ascii="Arial" w:cs="Arial" w:eastAsia="Arial" w:hAnsi="Arial"/>
          <w:sz w:val="17"/>
          <w:szCs w:val="17"/>
          <w:color w:val="010000"/>
        </w:rPr>
      </w:pPr>
      <w:r>
        <w:rPr>
          <w:rFonts w:ascii="Arial" w:cs="Arial" w:eastAsia="Arial" w:hAnsi="Arial"/>
          <w:sz w:val="17"/>
          <w:szCs w:val="17"/>
          <w:color w:val="auto"/>
        </w:rPr>
        <w:t>“</w:t>
      </w:r>
      <w:r>
        <w:rPr>
          <w:rFonts w:ascii="Arial" w:cs="Arial" w:eastAsia="Arial" w:hAnsi="Arial"/>
          <w:sz w:val="17"/>
          <w:szCs w:val="17"/>
          <w:u w:val="single" w:color="auto"/>
          <w:color w:val="auto"/>
        </w:rPr>
        <w:t>Grant Date Fair Market Value</w:t>
      </w:r>
      <w:r>
        <w:rPr>
          <w:rFonts w:ascii="Arial" w:cs="Arial" w:eastAsia="Arial" w:hAnsi="Arial"/>
          <w:sz w:val="17"/>
          <w:szCs w:val="17"/>
          <w:color w:val="auto"/>
        </w:rPr>
        <w:t>” means, as of a Date of Grant, (i) if the Common Stock is listed on a national securities exchange, the closing sales price of the Common Stock reported on the primary exchange on which the Common Stock is listed and traded on such date, or, if there are no such sales on that date, then on the last preceding date on which such sales were reported; (ii) if the Common Stock is not listed on any national securities exchange but is quoted in an inter-dealer quotation system on a last sale basis, the average between the closing bid price and ask price reported on such date, or, if there is no such sale on that date, then on the last preceding date on which a sale was reported; or (iii) if the Common Stock is not listed on a national securities exchange or quoted in an inter-dealer quotation system on a last sale basis, the amount determined by the Committee acting in good faith, under a reasonable methodology and reasonable application in compliance with Section 409A of the Code to the extent such determination is necessary for Awards under the Plan to comply with, or be exempt from, Section 409A of the Code.</w:t>
      </w:r>
    </w:p>
    <w:p>
      <w:pPr>
        <w:spacing w:after="0" w:line="180" w:lineRule="exact"/>
        <w:rPr>
          <w:rFonts w:ascii="Arial" w:cs="Arial" w:eastAsia="Arial" w:hAnsi="Arial"/>
          <w:sz w:val="17"/>
          <w:szCs w:val="17"/>
          <w:color w:val="010000"/>
        </w:rPr>
      </w:pPr>
    </w:p>
    <w:p>
      <w:pPr>
        <w:ind w:left="780" w:hanging="512"/>
        <w:spacing w:after="0"/>
        <w:tabs>
          <w:tab w:leader="none" w:pos="780" w:val="left"/>
        </w:tabs>
        <w:numPr>
          <w:ilvl w:val="0"/>
          <w:numId w:val="12"/>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Immediate Family Members</w:t>
      </w:r>
      <w:r>
        <w:rPr>
          <w:rFonts w:ascii="Arial" w:cs="Arial" w:eastAsia="Arial" w:hAnsi="Arial"/>
          <w:sz w:val="18"/>
          <w:szCs w:val="18"/>
          <w:color w:val="auto"/>
        </w:rPr>
        <w:t>” has the meaning given to such term in Section 14(b) of the Plan.</w:t>
      </w:r>
    </w:p>
    <w:p>
      <w:pPr>
        <w:spacing w:after="0" w:line="225" w:lineRule="exact"/>
        <w:rPr>
          <w:rFonts w:ascii="Arial" w:cs="Arial" w:eastAsia="Arial" w:hAnsi="Arial"/>
          <w:sz w:val="18"/>
          <w:szCs w:val="18"/>
          <w:color w:val="010000"/>
        </w:rPr>
      </w:pPr>
    </w:p>
    <w:p>
      <w:pPr>
        <w:ind w:firstLine="268"/>
        <w:spacing w:after="0" w:line="277" w:lineRule="auto"/>
        <w:tabs>
          <w:tab w:leader="none" w:pos="738" w:val="left"/>
        </w:tabs>
        <w:numPr>
          <w:ilvl w:val="0"/>
          <w:numId w:val="12"/>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Incentive Stock Option</w:t>
      </w:r>
      <w:r>
        <w:rPr>
          <w:rFonts w:ascii="Arial" w:cs="Arial" w:eastAsia="Arial" w:hAnsi="Arial"/>
          <w:sz w:val="18"/>
          <w:szCs w:val="18"/>
          <w:color w:val="auto"/>
        </w:rPr>
        <w:t>” means an Option which is designated by the Committee as an incentive stock option as described in Section 422 of the Code and otherwise meets the requirements set forth in the Plan.</w:t>
      </w:r>
    </w:p>
    <w:p>
      <w:pPr>
        <w:spacing w:after="0" w:line="170" w:lineRule="exact"/>
        <w:rPr>
          <w:rFonts w:ascii="Arial" w:cs="Arial" w:eastAsia="Arial" w:hAnsi="Arial"/>
          <w:sz w:val="18"/>
          <w:szCs w:val="18"/>
          <w:color w:val="010000"/>
        </w:rPr>
      </w:pPr>
    </w:p>
    <w:p>
      <w:pPr>
        <w:ind w:left="780" w:hanging="512"/>
        <w:spacing w:after="0"/>
        <w:tabs>
          <w:tab w:leader="none" w:pos="780" w:val="left"/>
        </w:tabs>
        <w:numPr>
          <w:ilvl w:val="0"/>
          <w:numId w:val="12"/>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Indemnifiable Person</w:t>
      </w:r>
      <w:r>
        <w:rPr>
          <w:rFonts w:ascii="Arial" w:cs="Arial" w:eastAsia="Arial" w:hAnsi="Arial"/>
          <w:sz w:val="18"/>
          <w:szCs w:val="18"/>
          <w:color w:val="auto"/>
        </w:rPr>
        <w:t>” has the meaning given to such term in Section 4(e) of the Plan.</w:t>
      </w:r>
    </w:p>
    <w:p>
      <w:pPr>
        <w:spacing w:after="0" w:line="225" w:lineRule="exact"/>
        <w:rPr>
          <w:rFonts w:ascii="Arial" w:cs="Arial" w:eastAsia="Arial" w:hAnsi="Arial"/>
          <w:sz w:val="18"/>
          <w:szCs w:val="18"/>
          <w:color w:val="010000"/>
        </w:rPr>
      </w:pPr>
    </w:p>
    <w:p>
      <w:pPr>
        <w:jc w:val="both"/>
        <w:ind w:firstLine="268"/>
        <w:spacing w:after="0" w:line="293" w:lineRule="auto"/>
        <w:tabs>
          <w:tab w:leader="none" w:pos="778" w:val="left"/>
        </w:tabs>
        <w:numPr>
          <w:ilvl w:val="0"/>
          <w:numId w:val="12"/>
        </w:numPr>
        <w:rPr>
          <w:rFonts w:ascii="Arial" w:cs="Arial" w:eastAsia="Arial" w:hAnsi="Arial"/>
          <w:sz w:val="16"/>
          <w:szCs w:val="16"/>
          <w:color w:val="010000"/>
        </w:rPr>
      </w:pPr>
      <w:r>
        <w:rPr>
          <w:rFonts w:ascii="Arial" w:cs="Arial" w:eastAsia="Arial" w:hAnsi="Arial"/>
          <w:sz w:val="16"/>
          <w:szCs w:val="16"/>
          <w:color w:val="auto"/>
        </w:rPr>
        <w:t>“</w:t>
      </w:r>
      <w:r>
        <w:rPr>
          <w:rFonts w:ascii="Arial" w:cs="Arial" w:eastAsia="Arial" w:hAnsi="Arial"/>
          <w:sz w:val="16"/>
          <w:szCs w:val="16"/>
          <w:u w:val="single" w:color="auto"/>
          <w:color w:val="auto"/>
        </w:rPr>
        <w:t>Minimum Vesting Condition</w:t>
      </w:r>
      <w:r>
        <w:rPr>
          <w:rFonts w:ascii="Arial" w:cs="Arial" w:eastAsia="Arial" w:hAnsi="Arial"/>
          <w:sz w:val="16"/>
          <w:szCs w:val="16"/>
          <w:color w:val="auto"/>
        </w:rPr>
        <w:t>” means, with respect to any Award, that vesting of (or lapsing of restrictions on) such Award does not occur prior to the first anniversary of the Date of Grant (or the date of commencement of employment or service, in the case of a grant made in connection with a Participant’s commencement of employment or service), other than (i) in connection with a Change in Control, as provided in Section 12(b) hereof, or (ii) as a result of a Participant’s death or Disability; provided, however, that an Award need not be subject to such condition so long as the number of Shares underlying such Award, together with the number of Shares underlying any other Award granted without being subject to such condition does not exceed 5% of the Plan Share Reserve (the “</w:t>
      </w:r>
      <w:r>
        <w:rPr>
          <w:rFonts w:ascii="Arial" w:cs="Arial" w:eastAsia="Arial" w:hAnsi="Arial"/>
          <w:sz w:val="16"/>
          <w:szCs w:val="16"/>
          <w:u w:val="single" w:color="auto"/>
          <w:color w:val="auto"/>
        </w:rPr>
        <w:t>Minimum Vesting Condition Carve Out Amount</w:t>
      </w:r>
      <w:r>
        <w:rPr>
          <w:rFonts w:ascii="Arial" w:cs="Arial" w:eastAsia="Arial" w:hAnsi="Arial"/>
          <w:sz w:val="16"/>
          <w:szCs w:val="16"/>
          <w:color w:val="auto"/>
        </w:rPr>
        <w:t>”).</w:t>
      </w:r>
    </w:p>
    <w:p>
      <w:pPr>
        <w:spacing w:after="0" w:line="367"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48895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80"/>
          </w:cols>
          <w:pgMar w:left="880" w:top="341" w:right="639" w:bottom="1440" w:gutter="0" w:footer="0" w:header="0"/>
        </w:sectPr>
      </w:pPr>
    </w:p>
    <w:bookmarkStart w:id="14" w:name="page15"/>
    <w:bookmarkEnd w:id="14"/>
    <w:p>
      <w:pPr>
        <w:ind w:left="740" w:hanging="472"/>
        <w:spacing w:after="0"/>
        <w:tabs>
          <w:tab w:leader="none" w:pos="740" w:val="left"/>
        </w:tabs>
        <w:numPr>
          <w:ilvl w:val="1"/>
          <w:numId w:val="13"/>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Minimum Vesting Condition Carve Out Amount</w:t>
      </w:r>
      <w:r>
        <w:rPr>
          <w:rFonts w:ascii="Arial" w:cs="Arial" w:eastAsia="Arial" w:hAnsi="Arial"/>
          <w:sz w:val="18"/>
          <w:szCs w:val="18"/>
          <w:color w:val="auto"/>
        </w:rPr>
        <w:t>” has the meaning given to such term in Section 2(ff) of the Plan.</w:t>
      </w:r>
    </w:p>
    <w:p>
      <w:pPr>
        <w:spacing w:after="0" w:line="225" w:lineRule="exact"/>
        <w:rPr>
          <w:rFonts w:ascii="Arial" w:cs="Arial" w:eastAsia="Arial" w:hAnsi="Arial"/>
          <w:sz w:val="18"/>
          <w:szCs w:val="18"/>
          <w:color w:val="010000"/>
        </w:rPr>
      </w:pPr>
    </w:p>
    <w:p>
      <w:pPr>
        <w:ind w:left="740" w:hanging="472"/>
        <w:spacing w:after="0"/>
        <w:tabs>
          <w:tab w:leader="none" w:pos="740" w:val="left"/>
        </w:tabs>
        <w:numPr>
          <w:ilvl w:val="1"/>
          <w:numId w:val="13"/>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Non-Employee Director</w:t>
      </w:r>
      <w:r>
        <w:rPr>
          <w:rFonts w:ascii="Arial" w:cs="Arial" w:eastAsia="Arial" w:hAnsi="Arial"/>
          <w:sz w:val="18"/>
          <w:szCs w:val="18"/>
          <w:color w:val="auto"/>
        </w:rPr>
        <w:t>” means a member of the Board who is not an employee of any member of the Company Group.</w:t>
      </w:r>
    </w:p>
    <w:p>
      <w:pPr>
        <w:spacing w:after="0" w:line="225" w:lineRule="exact"/>
        <w:rPr>
          <w:rFonts w:ascii="Arial" w:cs="Arial" w:eastAsia="Arial" w:hAnsi="Arial"/>
          <w:sz w:val="18"/>
          <w:szCs w:val="18"/>
          <w:color w:val="010000"/>
        </w:rPr>
      </w:pPr>
    </w:p>
    <w:p>
      <w:pPr>
        <w:ind w:firstLine="268"/>
        <w:spacing w:after="0" w:line="277" w:lineRule="auto"/>
        <w:tabs>
          <w:tab w:leader="none" w:pos="955" w:val="left"/>
        </w:tabs>
        <w:numPr>
          <w:ilvl w:val="1"/>
          <w:numId w:val="13"/>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Nonqualified Stock Option</w:t>
      </w:r>
      <w:r>
        <w:rPr>
          <w:rFonts w:ascii="Arial" w:cs="Arial" w:eastAsia="Arial" w:hAnsi="Arial"/>
          <w:sz w:val="18"/>
          <w:szCs w:val="18"/>
          <w:color w:val="auto"/>
        </w:rPr>
        <w:t>” means an Option which is not designated by the Committee, or otherwise fails to qualify, as an Incentive Stock Option.</w:t>
      </w:r>
    </w:p>
    <w:p>
      <w:pPr>
        <w:spacing w:after="0" w:line="170" w:lineRule="exact"/>
        <w:rPr>
          <w:rFonts w:ascii="Arial" w:cs="Arial" w:eastAsia="Arial" w:hAnsi="Arial"/>
          <w:sz w:val="18"/>
          <w:szCs w:val="18"/>
          <w:color w:val="010000"/>
        </w:rPr>
      </w:pPr>
    </w:p>
    <w:p>
      <w:pPr>
        <w:ind w:left="800" w:hanging="532"/>
        <w:spacing w:after="0"/>
        <w:tabs>
          <w:tab w:leader="none" w:pos="800" w:val="left"/>
        </w:tabs>
        <w:numPr>
          <w:ilvl w:val="1"/>
          <w:numId w:val="13"/>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Option</w:t>
      </w:r>
      <w:r>
        <w:rPr>
          <w:rFonts w:ascii="Arial" w:cs="Arial" w:eastAsia="Arial" w:hAnsi="Arial"/>
          <w:sz w:val="18"/>
          <w:szCs w:val="18"/>
          <w:color w:val="auto"/>
        </w:rPr>
        <w:t>” means an Award granted under Section 7 of the Plan.</w:t>
      </w:r>
    </w:p>
    <w:p>
      <w:pPr>
        <w:spacing w:after="0" w:line="225" w:lineRule="exact"/>
        <w:rPr>
          <w:rFonts w:ascii="Arial" w:cs="Arial" w:eastAsia="Arial" w:hAnsi="Arial"/>
          <w:sz w:val="18"/>
          <w:szCs w:val="18"/>
          <w:color w:val="010000"/>
        </w:rPr>
      </w:pPr>
    </w:p>
    <w:p>
      <w:pPr>
        <w:ind w:left="800" w:hanging="532"/>
        <w:spacing w:after="0"/>
        <w:tabs>
          <w:tab w:leader="none" w:pos="800" w:val="left"/>
        </w:tabs>
        <w:numPr>
          <w:ilvl w:val="1"/>
          <w:numId w:val="13"/>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Option Period</w:t>
      </w:r>
      <w:r>
        <w:rPr>
          <w:rFonts w:ascii="Arial" w:cs="Arial" w:eastAsia="Arial" w:hAnsi="Arial"/>
          <w:sz w:val="18"/>
          <w:szCs w:val="18"/>
          <w:color w:val="auto"/>
        </w:rPr>
        <w:t>” has the meaning given to such term in Section 7(c) of the Plan.</w:t>
      </w:r>
    </w:p>
    <w:p>
      <w:pPr>
        <w:spacing w:after="0" w:line="225" w:lineRule="exact"/>
        <w:rPr>
          <w:rFonts w:ascii="Arial" w:cs="Arial" w:eastAsia="Arial" w:hAnsi="Arial"/>
          <w:sz w:val="18"/>
          <w:szCs w:val="18"/>
          <w:color w:val="010000"/>
        </w:rPr>
      </w:pPr>
    </w:p>
    <w:p>
      <w:pPr>
        <w:ind w:firstLine="268"/>
        <w:spacing w:after="0" w:line="342" w:lineRule="auto"/>
        <w:tabs>
          <w:tab w:leader="none" w:pos="806" w:val="left"/>
        </w:tabs>
        <w:numPr>
          <w:ilvl w:val="1"/>
          <w:numId w:val="13"/>
        </w:numPr>
        <w:rPr>
          <w:rFonts w:ascii="Arial" w:cs="Arial" w:eastAsia="Arial" w:hAnsi="Arial"/>
          <w:sz w:val="16"/>
          <w:szCs w:val="16"/>
          <w:color w:val="010000"/>
        </w:rPr>
      </w:pPr>
      <w:r>
        <w:rPr>
          <w:rFonts w:ascii="Arial" w:cs="Arial" w:eastAsia="Arial" w:hAnsi="Arial"/>
          <w:sz w:val="16"/>
          <w:szCs w:val="16"/>
          <w:color w:val="auto"/>
        </w:rPr>
        <w:t>“</w:t>
      </w:r>
      <w:r>
        <w:rPr>
          <w:rFonts w:ascii="Arial" w:cs="Arial" w:eastAsia="Arial" w:hAnsi="Arial"/>
          <w:sz w:val="16"/>
          <w:szCs w:val="16"/>
          <w:u w:val="single" w:color="auto"/>
          <w:color w:val="auto"/>
        </w:rPr>
        <w:t>Other Equity-Based Award</w:t>
      </w:r>
      <w:r>
        <w:rPr>
          <w:rFonts w:ascii="Arial" w:cs="Arial" w:eastAsia="Arial" w:hAnsi="Arial"/>
          <w:sz w:val="16"/>
          <w:szCs w:val="16"/>
          <w:color w:val="auto"/>
        </w:rPr>
        <w:t>” means an Award that is not an Option, Restricted Stock or Restricted Stock Unit, that is granted under Section 10 of the Plan and is (i) payable by delivery of Common Stock, and/or (ii) measured by reference to the value of Common Stock.</w:t>
      </w:r>
    </w:p>
    <w:p>
      <w:pPr>
        <w:spacing w:after="0" w:line="123" w:lineRule="exact"/>
        <w:rPr>
          <w:rFonts w:ascii="Arial" w:cs="Arial" w:eastAsia="Arial" w:hAnsi="Arial"/>
          <w:sz w:val="16"/>
          <w:szCs w:val="16"/>
          <w:color w:val="010000"/>
        </w:rPr>
      </w:pPr>
    </w:p>
    <w:p>
      <w:pPr>
        <w:ind w:firstLine="268"/>
        <w:spacing w:after="0" w:line="277" w:lineRule="auto"/>
        <w:tabs>
          <w:tab w:leader="none" w:pos="806" w:val="left"/>
        </w:tabs>
        <w:numPr>
          <w:ilvl w:val="1"/>
          <w:numId w:val="13"/>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means an Eligible Person who has been selected by the Committee to participate in the Plan and has been granted an Award pursuant to the Plan.</w:t>
      </w:r>
    </w:p>
    <w:p>
      <w:pPr>
        <w:spacing w:after="0" w:line="170" w:lineRule="exact"/>
        <w:rPr>
          <w:rFonts w:ascii="Arial" w:cs="Arial" w:eastAsia="Arial" w:hAnsi="Arial"/>
          <w:sz w:val="18"/>
          <w:szCs w:val="18"/>
          <w:color w:val="010000"/>
        </w:rPr>
      </w:pPr>
    </w:p>
    <w:p>
      <w:pPr>
        <w:ind w:left="740" w:hanging="472"/>
        <w:spacing w:after="0"/>
        <w:tabs>
          <w:tab w:leader="none" w:pos="740" w:val="left"/>
        </w:tabs>
        <w:numPr>
          <w:ilvl w:val="1"/>
          <w:numId w:val="13"/>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Performance-Based Award</w:t>
      </w:r>
      <w:r>
        <w:rPr>
          <w:rFonts w:ascii="Arial" w:cs="Arial" w:eastAsia="Arial" w:hAnsi="Arial"/>
          <w:sz w:val="18"/>
          <w:szCs w:val="18"/>
          <w:color w:val="auto"/>
        </w:rPr>
        <w:t>” has the meaning given to such term in Section 12(b) of the Plan.</w:t>
      </w:r>
    </w:p>
    <w:p>
      <w:pPr>
        <w:spacing w:after="0" w:line="225" w:lineRule="exact"/>
        <w:rPr>
          <w:rFonts w:ascii="Arial" w:cs="Arial" w:eastAsia="Arial" w:hAnsi="Arial"/>
          <w:sz w:val="18"/>
          <w:szCs w:val="18"/>
          <w:color w:val="010000"/>
        </w:rPr>
      </w:pPr>
    </w:p>
    <w:p>
      <w:pPr>
        <w:ind w:left="740" w:hanging="472"/>
        <w:spacing w:after="0"/>
        <w:tabs>
          <w:tab w:leader="none" w:pos="740" w:val="left"/>
        </w:tabs>
        <w:numPr>
          <w:ilvl w:val="1"/>
          <w:numId w:val="13"/>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Permitted Transferee</w:t>
      </w:r>
      <w:r>
        <w:rPr>
          <w:rFonts w:ascii="Arial" w:cs="Arial" w:eastAsia="Arial" w:hAnsi="Arial"/>
          <w:sz w:val="18"/>
          <w:szCs w:val="18"/>
          <w:color w:val="auto"/>
        </w:rPr>
        <w:t>” has the meaning given to such term in Section 14(b) of the Plan.</w:t>
      </w:r>
    </w:p>
    <w:p>
      <w:pPr>
        <w:spacing w:after="0" w:line="225" w:lineRule="exact"/>
        <w:rPr>
          <w:rFonts w:ascii="Arial" w:cs="Arial" w:eastAsia="Arial" w:hAnsi="Arial"/>
          <w:sz w:val="18"/>
          <w:szCs w:val="18"/>
          <w:color w:val="010000"/>
        </w:rPr>
      </w:pPr>
    </w:p>
    <w:p>
      <w:pPr>
        <w:ind w:left="740" w:hanging="472"/>
        <w:spacing w:after="0"/>
        <w:tabs>
          <w:tab w:leader="none" w:pos="740" w:val="left"/>
        </w:tabs>
        <w:numPr>
          <w:ilvl w:val="1"/>
          <w:numId w:val="13"/>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entity or group (within the meaning of Section 13(d)(3) or 14(d)(2) of the Exchange Act).</w:t>
      </w:r>
    </w:p>
    <w:p>
      <w:pPr>
        <w:spacing w:after="0" w:line="225" w:lineRule="exact"/>
        <w:rPr>
          <w:rFonts w:ascii="Arial" w:cs="Arial" w:eastAsia="Arial" w:hAnsi="Arial"/>
          <w:sz w:val="18"/>
          <w:szCs w:val="18"/>
          <w:color w:val="010000"/>
        </w:rPr>
      </w:pPr>
    </w:p>
    <w:p>
      <w:pPr>
        <w:ind w:left="740" w:hanging="472"/>
        <w:spacing w:after="0"/>
        <w:tabs>
          <w:tab w:leader="none" w:pos="740" w:val="left"/>
        </w:tabs>
        <w:numPr>
          <w:ilvl w:val="1"/>
          <w:numId w:val="13"/>
        </w:numPr>
        <w:rPr>
          <w:rFonts w:ascii="Arial" w:cs="Arial" w:eastAsia="Arial" w:hAnsi="Arial"/>
          <w:sz w:val="16"/>
          <w:szCs w:val="16"/>
          <w:color w:val="010000"/>
        </w:rPr>
      </w:pPr>
      <w:r>
        <w:rPr>
          <w:rFonts w:ascii="Arial" w:cs="Arial" w:eastAsia="Arial" w:hAnsi="Arial"/>
          <w:sz w:val="16"/>
          <w:szCs w:val="16"/>
          <w:color w:val="auto"/>
        </w:rPr>
        <w:t>“</w:t>
      </w:r>
      <w:r>
        <w:rPr>
          <w:rFonts w:ascii="Arial" w:cs="Arial" w:eastAsia="Arial" w:hAnsi="Arial"/>
          <w:sz w:val="16"/>
          <w:szCs w:val="16"/>
          <w:u w:val="single" w:color="auto"/>
          <w:color w:val="auto"/>
        </w:rPr>
        <w:t>Plan</w:t>
      </w:r>
      <w:r>
        <w:rPr>
          <w:rFonts w:ascii="Arial" w:cs="Arial" w:eastAsia="Arial" w:hAnsi="Arial"/>
          <w:sz w:val="16"/>
          <w:szCs w:val="16"/>
          <w:color w:val="auto"/>
        </w:rPr>
        <w:t>” means this PRA Health Sciences, Inc. 2020 Stock Incentive Plan, as it may be amended and/or restated from time to time.</w:t>
      </w:r>
    </w:p>
    <w:p>
      <w:pPr>
        <w:spacing w:after="0" w:line="248" w:lineRule="exact"/>
        <w:rPr>
          <w:rFonts w:ascii="Arial" w:cs="Arial" w:eastAsia="Arial" w:hAnsi="Arial"/>
          <w:sz w:val="16"/>
          <w:szCs w:val="16"/>
          <w:color w:val="010000"/>
        </w:rPr>
      </w:pPr>
    </w:p>
    <w:p>
      <w:pPr>
        <w:ind w:left="780" w:hanging="512"/>
        <w:spacing w:after="0"/>
        <w:tabs>
          <w:tab w:leader="none" w:pos="780" w:val="left"/>
        </w:tabs>
        <w:numPr>
          <w:ilvl w:val="1"/>
          <w:numId w:val="13"/>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Plan Share Reserve</w:t>
      </w:r>
      <w:r>
        <w:rPr>
          <w:rFonts w:ascii="Arial" w:cs="Arial" w:eastAsia="Arial" w:hAnsi="Arial"/>
          <w:sz w:val="18"/>
          <w:szCs w:val="18"/>
          <w:color w:val="auto"/>
        </w:rPr>
        <w:t>” has the meaning given to such term in Section 5(b) of the Plan.</w:t>
      </w:r>
    </w:p>
    <w:p>
      <w:pPr>
        <w:spacing w:after="0" w:line="225" w:lineRule="exact"/>
        <w:rPr>
          <w:rFonts w:ascii="Arial" w:cs="Arial" w:eastAsia="Arial" w:hAnsi="Arial"/>
          <w:sz w:val="18"/>
          <w:szCs w:val="18"/>
          <w:color w:val="010000"/>
        </w:rPr>
      </w:pPr>
    </w:p>
    <w:p>
      <w:pPr>
        <w:ind w:left="760" w:hanging="492"/>
        <w:spacing w:after="0"/>
        <w:tabs>
          <w:tab w:leader="none" w:pos="760" w:val="left"/>
        </w:tabs>
        <w:numPr>
          <w:ilvl w:val="1"/>
          <w:numId w:val="13"/>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Prior Plans</w:t>
      </w:r>
      <w:r>
        <w:rPr>
          <w:rFonts w:ascii="Arial" w:cs="Arial" w:eastAsia="Arial" w:hAnsi="Arial"/>
          <w:sz w:val="18"/>
          <w:szCs w:val="18"/>
          <w:color w:val="auto"/>
        </w:rPr>
        <w:t>” means the 2018 PRA Health Sciences Inc. Stock Incentive Plan.</w:t>
      </w:r>
    </w:p>
    <w:p>
      <w:pPr>
        <w:spacing w:after="0" w:line="225" w:lineRule="exact"/>
        <w:rPr>
          <w:rFonts w:ascii="Arial" w:cs="Arial" w:eastAsia="Arial" w:hAnsi="Arial"/>
          <w:sz w:val="18"/>
          <w:szCs w:val="18"/>
          <w:color w:val="010000"/>
        </w:rPr>
      </w:pPr>
    </w:p>
    <w:p>
      <w:pPr>
        <w:jc w:val="both"/>
        <w:ind w:firstLine="268"/>
        <w:spacing w:after="0" w:line="263" w:lineRule="auto"/>
        <w:tabs>
          <w:tab w:leader="none" w:pos="856" w:val="left"/>
        </w:tabs>
        <w:numPr>
          <w:ilvl w:val="1"/>
          <w:numId w:val="13"/>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Qualifying Director</w:t>
      </w:r>
      <w:r>
        <w:rPr>
          <w:rFonts w:ascii="Arial" w:cs="Arial" w:eastAsia="Arial" w:hAnsi="Arial"/>
          <w:sz w:val="18"/>
          <w:szCs w:val="18"/>
          <w:color w:val="auto"/>
        </w:rPr>
        <w:t>” means a person who is with respect to actions intended to obtain an exemption from Section 16(b) of the Exchange Act pursuant to Rule 16b-3 under the Exchange Act, a “non-employee director” within the meaning of Rule 16b-3 under the Exchange Act.</w:t>
      </w:r>
    </w:p>
    <w:p>
      <w:pPr>
        <w:spacing w:after="0" w:line="183" w:lineRule="exact"/>
        <w:rPr>
          <w:rFonts w:ascii="Arial" w:cs="Arial" w:eastAsia="Arial" w:hAnsi="Arial"/>
          <w:sz w:val="18"/>
          <w:szCs w:val="18"/>
          <w:color w:val="010000"/>
        </w:rPr>
      </w:pPr>
    </w:p>
    <w:p>
      <w:pPr>
        <w:ind w:left="760" w:hanging="492"/>
        <w:spacing w:after="0"/>
        <w:tabs>
          <w:tab w:leader="none" w:pos="760" w:val="left"/>
        </w:tabs>
        <w:numPr>
          <w:ilvl w:val="1"/>
          <w:numId w:val="13"/>
        </w:numPr>
        <w:rPr>
          <w:rFonts w:ascii="Arial" w:cs="Arial" w:eastAsia="Arial" w:hAnsi="Arial"/>
          <w:sz w:val="16"/>
          <w:szCs w:val="16"/>
          <w:color w:val="010000"/>
        </w:rPr>
      </w:pPr>
      <w:r>
        <w:rPr>
          <w:rFonts w:ascii="Arial" w:cs="Arial" w:eastAsia="Arial" w:hAnsi="Arial"/>
          <w:sz w:val="16"/>
          <w:szCs w:val="16"/>
          <w:color w:val="auto"/>
        </w:rPr>
        <w:t>“</w:t>
      </w:r>
      <w:r>
        <w:rPr>
          <w:rFonts w:ascii="Arial" w:cs="Arial" w:eastAsia="Arial" w:hAnsi="Arial"/>
          <w:sz w:val="16"/>
          <w:szCs w:val="16"/>
          <w:u w:val="single" w:color="auto"/>
          <w:color w:val="auto"/>
        </w:rPr>
        <w:t>Qualifying Termination</w:t>
      </w:r>
      <w:r>
        <w:rPr>
          <w:rFonts w:ascii="Arial" w:cs="Arial" w:eastAsia="Arial" w:hAnsi="Arial"/>
          <w:sz w:val="16"/>
          <w:szCs w:val="16"/>
          <w:color w:val="auto"/>
        </w:rPr>
        <w:t>” means a Termination (i) by the Service Recipient other than for Cause, (ii) by the Participant as a result of</w:t>
      </w:r>
    </w:p>
    <w:p>
      <w:pPr>
        <w:spacing w:after="0" w:line="46" w:lineRule="exact"/>
        <w:rPr>
          <w:rFonts w:ascii="Arial" w:cs="Arial" w:eastAsia="Arial" w:hAnsi="Arial"/>
          <w:sz w:val="16"/>
          <w:szCs w:val="16"/>
          <w:color w:val="010000"/>
        </w:rPr>
      </w:pPr>
    </w:p>
    <w:p>
      <w:pPr>
        <w:jc w:val="both"/>
        <w:ind w:firstLine="10"/>
        <w:spacing w:after="0" w:line="253" w:lineRule="auto"/>
        <w:tabs>
          <w:tab w:leader="none" w:pos="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material diminution in compensation, (B)a material reduction in duties or responsibilities, or (C) a relocation by the Service Recipient of the Participant’s principal place of employment or providing services by more than fifty (50) miles from the then-current location, or (iii) by reason of such Participant’s death or Disability, in each case on or within a twelve (12) months following a Change in Control, or such other period as specified by the Committee.</w:t>
      </w:r>
    </w:p>
    <w:p>
      <w:pPr>
        <w:spacing w:after="0" w:line="192" w:lineRule="exact"/>
        <w:rPr>
          <w:rFonts w:ascii="Arial" w:cs="Arial" w:eastAsia="Arial" w:hAnsi="Arial"/>
          <w:sz w:val="18"/>
          <w:szCs w:val="18"/>
          <w:color w:val="auto"/>
        </w:rPr>
      </w:pPr>
    </w:p>
    <w:p>
      <w:pPr>
        <w:ind w:firstLine="268"/>
        <w:spacing w:after="0" w:line="277" w:lineRule="auto"/>
        <w:tabs>
          <w:tab w:leader="none" w:pos="859" w:val="left"/>
        </w:tabs>
        <w:numPr>
          <w:ilvl w:val="1"/>
          <w:numId w:val="14"/>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Restricted Period</w:t>
      </w:r>
      <w:r>
        <w:rPr>
          <w:rFonts w:ascii="Arial" w:cs="Arial" w:eastAsia="Arial" w:hAnsi="Arial"/>
          <w:sz w:val="18"/>
          <w:szCs w:val="18"/>
          <w:color w:val="auto"/>
        </w:rPr>
        <w:t>” means the period of time determined by the Committee during which an Award is subject to restrictions, including vesting conditions.</w:t>
      </w:r>
    </w:p>
    <w:p>
      <w:pPr>
        <w:spacing w:after="0" w:line="170" w:lineRule="exact"/>
        <w:rPr>
          <w:rFonts w:ascii="Arial" w:cs="Arial" w:eastAsia="Arial" w:hAnsi="Arial"/>
          <w:sz w:val="18"/>
          <w:szCs w:val="18"/>
          <w:color w:val="010000"/>
        </w:rPr>
      </w:pPr>
    </w:p>
    <w:p>
      <w:pPr>
        <w:jc w:val="both"/>
        <w:ind w:firstLine="268"/>
        <w:spacing w:after="0" w:line="263" w:lineRule="auto"/>
        <w:tabs>
          <w:tab w:leader="none" w:pos="881" w:val="left"/>
        </w:tabs>
        <w:numPr>
          <w:ilvl w:val="1"/>
          <w:numId w:val="14"/>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w:t>
      </w:r>
      <w:r>
        <w:rPr>
          <w:rFonts w:ascii="Arial" w:cs="Arial" w:eastAsia="Arial" w:hAnsi="Arial"/>
          <w:sz w:val="18"/>
          <w:szCs w:val="18"/>
          <w:color w:val="auto"/>
        </w:rPr>
        <w:t>” means Common Stock, subject to certain specified restrictions (which may include, without limitation, a requirement that the Participant remain continuously employed or provide continuous services for a specified period of time), granted under Section 8 of the Plan.</w:t>
      </w:r>
    </w:p>
    <w:p>
      <w:pPr>
        <w:spacing w:after="0" w:line="183" w:lineRule="exact"/>
        <w:rPr>
          <w:rFonts w:ascii="Arial" w:cs="Arial" w:eastAsia="Arial" w:hAnsi="Arial"/>
          <w:sz w:val="18"/>
          <w:szCs w:val="18"/>
          <w:color w:val="010000"/>
        </w:rPr>
      </w:pPr>
    </w:p>
    <w:p>
      <w:pPr>
        <w:jc w:val="both"/>
        <w:ind w:firstLine="268"/>
        <w:spacing w:after="0" w:line="263" w:lineRule="auto"/>
        <w:tabs>
          <w:tab w:leader="none" w:pos="963" w:val="left"/>
        </w:tabs>
        <w:numPr>
          <w:ilvl w:val="1"/>
          <w:numId w:val="14"/>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 Unit</w:t>
      </w:r>
      <w:r>
        <w:rPr>
          <w:rFonts w:ascii="Arial" w:cs="Arial" w:eastAsia="Arial" w:hAnsi="Arial"/>
          <w:sz w:val="18"/>
          <w:szCs w:val="18"/>
          <w:color w:val="auto"/>
        </w:rPr>
        <w:t>” means an unfunded and unsecured promise to deliver Shares, cash, other securities or other property, subject to certain restrictions (which may include, without limitation, a requirement that the Participant remain continuously employed or provide continuous services for a specified period of time), granted under Section 8 of the Plan.</w:t>
      </w:r>
    </w:p>
    <w:p>
      <w:pPr>
        <w:spacing w:after="0" w:line="386"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48895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80"/>
          </w:cols>
          <w:pgMar w:left="880" w:top="341" w:right="639" w:bottom="1440" w:gutter="0" w:footer="0" w:header="0"/>
        </w:sectPr>
      </w:pPr>
    </w:p>
    <w:bookmarkStart w:id="15" w:name="page16"/>
    <w:bookmarkEnd w:id="15"/>
    <w:p>
      <w:pPr>
        <w:ind w:firstLine="268"/>
        <w:spacing w:after="0" w:line="277" w:lineRule="auto"/>
        <w:tabs>
          <w:tab w:leader="none" w:pos="846" w:val="left"/>
        </w:tabs>
        <w:numPr>
          <w:ilvl w:val="0"/>
          <w:numId w:val="15"/>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SAR Base Price</w:t>
      </w:r>
      <w:r>
        <w:rPr>
          <w:rFonts w:ascii="Arial" w:cs="Arial" w:eastAsia="Arial" w:hAnsi="Arial"/>
          <w:sz w:val="18"/>
          <w:szCs w:val="18"/>
          <w:color w:val="auto"/>
        </w:rPr>
        <w:t>” means, as to any Stock Appreciation Right, the price per Share designated as the base value above which appreciation in value is measured.</w:t>
      </w:r>
    </w:p>
    <w:p>
      <w:pPr>
        <w:spacing w:after="0" w:line="170" w:lineRule="exact"/>
        <w:rPr>
          <w:rFonts w:ascii="Arial" w:cs="Arial" w:eastAsia="Arial" w:hAnsi="Arial"/>
          <w:sz w:val="18"/>
          <w:szCs w:val="18"/>
          <w:color w:val="010000"/>
        </w:rPr>
      </w:pPr>
    </w:p>
    <w:p>
      <w:pPr>
        <w:ind w:left="820" w:hanging="552"/>
        <w:spacing w:after="0"/>
        <w:tabs>
          <w:tab w:leader="none" w:pos="820" w:val="left"/>
        </w:tabs>
        <w:numPr>
          <w:ilvl w:val="0"/>
          <w:numId w:val="15"/>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U.S. Securities and Exchange Commission.</w:t>
      </w:r>
    </w:p>
    <w:p>
      <w:pPr>
        <w:spacing w:after="0" w:line="225" w:lineRule="exact"/>
        <w:rPr>
          <w:sz w:val="20"/>
          <w:szCs w:val="20"/>
          <w:color w:val="auto"/>
        </w:rPr>
      </w:pPr>
    </w:p>
    <w:p>
      <w:pPr>
        <w:jc w:val="both"/>
        <w:ind w:firstLine="268"/>
        <w:spacing w:after="0" w:line="263" w:lineRule="auto"/>
        <w:tabs>
          <w:tab w:leader="none" w:pos="766" w:val="left"/>
        </w:tabs>
        <w:numPr>
          <w:ilvl w:val="0"/>
          <w:numId w:val="16"/>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U.S. Securities Act of 1933, as amended, and any successor thereto. Reference in the Plan to any section of (or rule promulgated under) the Securities Act shall be deemed to include any rules, regulations or other interpretative guidance under such section or rule, and any amendments or</w:t>
      </w:r>
    </w:p>
    <w:p>
      <w:pPr>
        <w:spacing w:after="0" w:line="183" w:lineRule="exact"/>
        <w:rPr>
          <w:rFonts w:ascii="Arial" w:cs="Arial" w:eastAsia="Arial" w:hAnsi="Arial"/>
          <w:sz w:val="18"/>
          <w:szCs w:val="18"/>
          <w:color w:val="010000"/>
        </w:rPr>
      </w:pPr>
    </w:p>
    <w:p>
      <w:pPr>
        <w:jc w:val="both"/>
        <w:ind w:firstLine="268"/>
        <w:spacing w:after="0" w:line="263" w:lineRule="auto"/>
        <w:tabs>
          <w:tab w:leader="none" w:pos="751" w:val="left"/>
        </w:tabs>
        <w:numPr>
          <w:ilvl w:val="0"/>
          <w:numId w:val="16"/>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Service Recipient</w:t>
      </w:r>
      <w:r>
        <w:rPr>
          <w:rFonts w:ascii="Arial" w:cs="Arial" w:eastAsia="Arial" w:hAnsi="Arial"/>
          <w:sz w:val="18"/>
          <w:szCs w:val="18"/>
          <w:color w:val="auto"/>
        </w:rPr>
        <w:t>” means, with respect to an individual holding a given Award, the member of the Company Group by which the original recipient of such Award is, or following a Termination was most recently, principally employed or to which such original recipient provides, or following a Termination was most recently providing, services, as applicable.</w:t>
      </w:r>
    </w:p>
    <w:p>
      <w:pPr>
        <w:spacing w:after="0" w:line="184" w:lineRule="exact"/>
        <w:rPr>
          <w:sz w:val="20"/>
          <w:szCs w:val="20"/>
          <w:color w:val="auto"/>
        </w:rPr>
      </w:pPr>
    </w:p>
    <w:p>
      <w:pPr>
        <w:ind w:firstLine="268"/>
        <w:spacing w:after="0" w:line="277" w:lineRule="auto"/>
        <w:tabs>
          <w:tab w:leader="none" w:pos="738" w:val="left"/>
        </w:tabs>
        <w:numPr>
          <w:ilvl w:val="0"/>
          <w:numId w:val="17"/>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Stock Appreciation Right</w:t>
      </w:r>
      <w:r>
        <w:rPr>
          <w:rFonts w:ascii="Arial" w:cs="Arial" w:eastAsia="Arial" w:hAnsi="Arial"/>
          <w:sz w:val="18"/>
          <w:szCs w:val="18"/>
          <w:color w:val="auto"/>
        </w:rPr>
        <w:t>” or ”</w:t>
      </w:r>
      <w:r>
        <w:rPr>
          <w:rFonts w:ascii="Arial" w:cs="Arial" w:eastAsia="Arial" w:hAnsi="Arial"/>
          <w:sz w:val="18"/>
          <w:szCs w:val="18"/>
          <w:u w:val="single" w:color="auto"/>
          <w:color w:val="auto"/>
        </w:rPr>
        <w:t>SAR</w:t>
      </w:r>
      <w:r>
        <w:rPr>
          <w:rFonts w:ascii="Arial" w:cs="Arial" w:eastAsia="Arial" w:hAnsi="Arial"/>
          <w:sz w:val="18"/>
          <w:szCs w:val="18"/>
          <w:color w:val="auto"/>
        </w:rPr>
        <w:t>” means an Other-Equity Based Award designated in an applicable Award Agreement as a stock appreciation right, granted under Section 9 of the Plan.</w:t>
      </w:r>
    </w:p>
    <w:p>
      <w:pPr>
        <w:spacing w:after="0" w:line="170" w:lineRule="exact"/>
        <w:rPr>
          <w:rFonts w:ascii="Arial" w:cs="Arial" w:eastAsia="Arial" w:hAnsi="Arial"/>
          <w:sz w:val="18"/>
          <w:szCs w:val="18"/>
          <w:color w:val="010000"/>
        </w:rPr>
      </w:pPr>
    </w:p>
    <w:p>
      <w:pPr>
        <w:ind w:left="760" w:hanging="492"/>
        <w:spacing w:after="0"/>
        <w:tabs>
          <w:tab w:leader="none" w:pos="760" w:val="left"/>
        </w:tabs>
        <w:numPr>
          <w:ilvl w:val="0"/>
          <w:numId w:val="17"/>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with respect to any specified Person:</w:t>
      </w:r>
    </w:p>
    <w:p>
      <w:pPr>
        <w:spacing w:after="0" w:line="225" w:lineRule="exact"/>
        <w:rPr>
          <w:rFonts w:ascii="Arial" w:cs="Arial" w:eastAsia="Arial" w:hAnsi="Arial"/>
          <w:sz w:val="18"/>
          <w:szCs w:val="18"/>
          <w:color w:val="010000"/>
        </w:rPr>
      </w:pPr>
    </w:p>
    <w:p>
      <w:pPr>
        <w:jc w:val="both"/>
        <w:ind w:left="120" w:right="100" w:firstLine="642"/>
        <w:spacing w:after="0" w:line="259" w:lineRule="auto"/>
        <w:tabs>
          <w:tab w:leader="none" w:pos="1347" w:val="left"/>
        </w:tabs>
        <w:numPr>
          <w:ilvl w:val="1"/>
          <w:numId w:val="17"/>
        </w:numPr>
        <w:rPr>
          <w:rFonts w:ascii="Arial" w:cs="Arial" w:eastAsia="Arial" w:hAnsi="Arial"/>
          <w:sz w:val="18"/>
          <w:szCs w:val="18"/>
          <w:color w:val="010000"/>
        </w:rPr>
      </w:pPr>
      <w:r>
        <w:rPr>
          <w:rFonts w:ascii="Arial" w:cs="Arial" w:eastAsia="Arial" w:hAnsi="Arial"/>
          <w:sz w:val="18"/>
          <w:szCs w:val="18"/>
          <w:color w:val="auto"/>
        </w:rPr>
        <w:t>any corporation, association or other business entity of which more than 50% of the total voting power of shares of such entity’s voting securities (without regard to the occurrence of any contingency and after giving effect to any voting agreement or stockholders’ agreement that effectively transfers voting power) is at the time owned or controlled, directly or indirectly, by that Person or one or more of the other Subsidiaries of that Person (or a combination thereof);</w:t>
      </w:r>
    </w:p>
    <w:p>
      <w:pPr>
        <w:spacing w:after="0" w:line="186" w:lineRule="exact"/>
        <w:rPr>
          <w:rFonts w:ascii="Arial" w:cs="Arial" w:eastAsia="Arial" w:hAnsi="Arial"/>
          <w:sz w:val="18"/>
          <w:szCs w:val="18"/>
          <w:color w:val="010000"/>
        </w:rPr>
      </w:pPr>
    </w:p>
    <w:p>
      <w:pPr>
        <w:jc w:val="both"/>
        <w:ind w:left="120" w:right="180" w:firstLine="642"/>
        <w:spacing w:after="0" w:line="286" w:lineRule="auto"/>
        <w:tabs>
          <w:tab w:leader="none" w:pos="1397" w:val="left"/>
        </w:tabs>
        <w:numPr>
          <w:ilvl w:val="1"/>
          <w:numId w:val="17"/>
        </w:numPr>
        <w:rPr>
          <w:rFonts w:ascii="Arial" w:cs="Arial" w:eastAsia="Arial" w:hAnsi="Arial"/>
          <w:sz w:val="17"/>
          <w:szCs w:val="17"/>
          <w:color w:val="010000"/>
        </w:rPr>
      </w:pPr>
      <w:r>
        <w:rPr>
          <w:rFonts w:ascii="Arial" w:cs="Arial" w:eastAsia="Arial" w:hAnsi="Arial"/>
          <w:sz w:val="17"/>
          <w:szCs w:val="17"/>
          <w:color w:val="auto"/>
        </w:rPr>
        <w:t>any partnership (or any comparable foreign entity) (A) the sole general partner (or functional equivalent thereof) or the managing general partner of which is such Person or Subsidiary of such Person or (B) the only general partners (or functional equivalents thereof) of which are that Person or one or more Subsidiaries of that Person (or any combination thereof); and</w:t>
      </w:r>
    </w:p>
    <w:p>
      <w:pPr>
        <w:spacing w:after="0" w:line="165" w:lineRule="exact"/>
        <w:rPr>
          <w:rFonts w:ascii="Arial" w:cs="Arial" w:eastAsia="Arial" w:hAnsi="Arial"/>
          <w:sz w:val="17"/>
          <w:szCs w:val="17"/>
          <w:color w:val="010000"/>
        </w:rPr>
      </w:pPr>
    </w:p>
    <w:p>
      <w:pPr>
        <w:ind w:left="120" w:right="200" w:firstLine="642"/>
        <w:spacing w:after="0" w:line="277" w:lineRule="auto"/>
        <w:tabs>
          <w:tab w:leader="none" w:pos="1420" w:val="left"/>
        </w:tabs>
        <w:numPr>
          <w:ilvl w:val="1"/>
          <w:numId w:val="17"/>
        </w:numPr>
        <w:rPr>
          <w:rFonts w:ascii="Arial" w:cs="Arial" w:eastAsia="Arial" w:hAnsi="Arial"/>
          <w:sz w:val="18"/>
          <w:szCs w:val="18"/>
          <w:color w:val="010000"/>
        </w:rPr>
      </w:pPr>
      <w:r>
        <w:rPr>
          <w:rFonts w:ascii="Arial" w:cs="Arial" w:eastAsia="Arial" w:hAnsi="Arial"/>
          <w:sz w:val="18"/>
          <w:szCs w:val="18"/>
          <w:color w:val="auto"/>
        </w:rPr>
        <w:t>for purposes of granting Incentive Stock Options, any Person or other entity that qualifies as a “subsidiary corporation” under Section 424(f) of the Code.</w:t>
      </w:r>
    </w:p>
    <w:p>
      <w:pPr>
        <w:spacing w:after="0" w:line="170" w:lineRule="exact"/>
        <w:rPr>
          <w:rFonts w:ascii="Arial" w:cs="Arial" w:eastAsia="Arial" w:hAnsi="Arial"/>
          <w:sz w:val="18"/>
          <w:szCs w:val="18"/>
          <w:color w:val="010000"/>
        </w:rPr>
      </w:pPr>
    </w:p>
    <w:p>
      <w:pPr>
        <w:ind w:left="780" w:hanging="512"/>
        <w:spacing w:after="0"/>
        <w:tabs>
          <w:tab w:leader="none" w:pos="780" w:val="left"/>
        </w:tabs>
        <w:numPr>
          <w:ilvl w:val="0"/>
          <w:numId w:val="17"/>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Substitute Award</w:t>
      </w:r>
      <w:r>
        <w:rPr>
          <w:rFonts w:ascii="Arial" w:cs="Arial" w:eastAsia="Arial" w:hAnsi="Arial"/>
          <w:sz w:val="18"/>
          <w:szCs w:val="18"/>
          <w:color w:val="auto"/>
        </w:rPr>
        <w:t>” has the meaning given to such term in Section 5(f) of the Plan.</w:t>
      </w:r>
    </w:p>
    <w:p>
      <w:pPr>
        <w:spacing w:after="0" w:line="225" w:lineRule="exact"/>
        <w:rPr>
          <w:rFonts w:ascii="Arial" w:cs="Arial" w:eastAsia="Arial" w:hAnsi="Arial"/>
          <w:sz w:val="18"/>
          <w:szCs w:val="18"/>
          <w:color w:val="010000"/>
        </w:rPr>
      </w:pPr>
    </w:p>
    <w:p>
      <w:pPr>
        <w:jc w:val="both"/>
        <w:ind w:firstLine="268"/>
        <w:spacing w:after="0" w:line="291" w:lineRule="auto"/>
        <w:tabs>
          <w:tab w:leader="none" w:pos="751" w:val="left"/>
        </w:tabs>
        <w:numPr>
          <w:ilvl w:val="0"/>
          <w:numId w:val="17"/>
        </w:numPr>
        <w:rPr>
          <w:rFonts w:ascii="Arial" w:cs="Arial" w:eastAsia="Arial" w:hAnsi="Arial"/>
          <w:sz w:val="16"/>
          <w:szCs w:val="16"/>
          <w:color w:val="010000"/>
        </w:rPr>
      </w:pPr>
      <w:r>
        <w:rPr>
          <w:rFonts w:ascii="Arial" w:cs="Arial" w:eastAsia="Arial" w:hAnsi="Arial"/>
          <w:sz w:val="16"/>
          <w:szCs w:val="16"/>
          <w:color w:val="auto"/>
        </w:rPr>
        <w:t>“</w:t>
      </w:r>
      <w:r>
        <w:rPr>
          <w:rFonts w:ascii="Arial" w:cs="Arial" w:eastAsia="Arial" w:hAnsi="Arial"/>
          <w:sz w:val="16"/>
          <w:szCs w:val="16"/>
          <w:u w:val="single" w:color="auto"/>
          <w:color w:val="auto"/>
        </w:rPr>
        <w:t>Sub-Plans</w:t>
      </w:r>
      <w:r>
        <w:rPr>
          <w:rFonts w:ascii="Arial" w:cs="Arial" w:eastAsia="Arial" w:hAnsi="Arial"/>
          <w:sz w:val="16"/>
          <w:szCs w:val="16"/>
          <w:color w:val="auto"/>
        </w:rPr>
        <w:t>” means any sub-plan to the Plan that has been adopted by the Board or the Committee for the purpose of (i) permitting the offering of Awards to employees of certain Designated Foreign Subsidiaries or otherwise outside the United States of America, (ii) to facilitate the administration of the Plan or (iii) to obtain favorable tax treatment. Each Sub-Plan shall be designed to comply with Applicable Laws to offerings in foreign jurisdictions. Although any Sub-Plan may be designated a separate and independent plan from the Plan in order to comply with Applicable Laws, the Plan Share Reserve and the other limits specified in Section 5 shall apply in the aggregate to the Plan and any Sub-Plan adopted hereunder, and the Minimum Vesting Condition shall apply to any Awards granted under any such Sub-Plan, unless prevented by Applicable Laws, in which case, they will be granted pursuant to the Minimum Vesting Condition Carve Out Amount.</w:t>
      </w:r>
    </w:p>
    <w:p>
      <w:pPr>
        <w:spacing w:after="0" w:line="166" w:lineRule="exact"/>
        <w:rPr>
          <w:rFonts w:ascii="Arial" w:cs="Arial" w:eastAsia="Arial" w:hAnsi="Arial"/>
          <w:sz w:val="16"/>
          <w:szCs w:val="16"/>
          <w:color w:val="010000"/>
        </w:rPr>
      </w:pPr>
    </w:p>
    <w:p>
      <w:pPr>
        <w:jc w:val="both"/>
        <w:ind w:firstLine="268"/>
        <w:spacing w:after="0" w:line="279" w:lineRule="auto"/>
        <w:tabs>
          <w:tab w:leader="none" w:pos="792" w:val="left"/>
        </w:tabs>
        <w:numPr>
          <w:ilvl w:val="0"/>
          <w:numId w:val="17"/>
        </w:numPr>
        <w:rPr>
          <w:rFonts w:ascii="Arial" w:cs="Arial" w:eastAsia="Arial" w:hAnsi="Arial"/>
          <w:sz w:val="17"/>
          <w:szCs w:val="17"/>
          <w:color w:val="010000"/>
        </w:rPr>
      </w:pPr>
      <w:r>
        <w:rPr>
          <w:rFonts w:ascii="Arial" w:cs="Arial" w:eastAsia="Arial" w:hAnsi="Arial"/>
          <w:sz w:val="17"/>
          <w:szCs w:val="17"/>
          <w:color w:val="auto"/>
        </w:rPr>
        <w:t>“</w:t>
      </w:r>
      <w:r>
        <w:rPr>
          <w:rFonts w:ascii="Arial" w:cs="Arial" w:eastAsia="Arial" w:hAnsi="Arial"/>
          <w:sz w:val="17"/>
          <w:szCs w:val="17"/>
          <w:u w:val="single" w:color="auto"/>
          <w:color w:val="auto"/>
        </w:rPr>
        <w:t>Tax-Related Items</w:t>
      </w:r>
      <w:r>
        <w:rPr>
          <w:rFonts w:ascii="Arial" w:cs="Arial" w:eastAsia="Arial" w:hAnsi="Arial"/>
          <w:sz w:val="17"/>
          <w:szCs w:val="17"/>
          <w:color w:val="auto"/>
        </w:rPr>
        <w:t>” means any U.S. federal, state, and/or local taxes and/or any non-U.S. taxes (including, without limitation, income tax, social insurance contributions (or similar contributions), payroll tax, fringe benefits tax, payment on account, employment tax, stamp tax and any other tax or tax-related item related to participation in the Plan and legally applicable to a Participant, including any employer liability for which the Participant is liable pursuant to Applicable Laws or the applicable Award Agreement.</w:t>
      </w:r>
    </w:p>
    <w:p>
      <w:pPr>
        <w:spacing w:after="0" w:line="171" w:lineRule="exact"/>
        <w:rPr>
          <w:rFonts w:ascii="Arial" w:cs="Arial" w:eastAsia="Arial" w:hAnsi="Arial"/>
          <w:sz w:val="17"/>
          <w:szCs w:val="17"/>
          <w:color w:val="010000"/>
        </w:rPr>
      </w:pPr>
    </w:p>
    <w:p>
      <w:pPr>
        <w:ind w:firstLine="268"/>
        <w:spacing w:after="0" w:line="277" w:lineRule="auto"/>
        <w:tabs>
          <w:tab w:leader="none" w:pos="879" w:val="left"/>
        </w:tabs>
        <w:numPr>
          <w:ilvl w:val="0"/>
          <w:numId w:val="17"/>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Termination</w:t>
      </w:r>
      <w:r>
        <w:rPr>
          <w:rFonts w:ascii="Arial" w:cs="Arial" w:eastAsia="Arial" w:hAnsi="Arial"/>
          <w:sz w:val="18"/>
          <w:szCs w:val="18"/>
          <w:color w:val="auto"/>
        </w:rPr>
        <w:t>” means the termination of a Participant’s employment or service, as applicable, with the Service Recipient for any reason (including death).</w:t>
      </w:r>
    </w:p>
    <w:p>
      <w:pPr>
        <w:spacing w:after="0" w:line="373"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48895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80"/>
          </w:cols>
          <w:pgMar w:left="880" w:top="341" w:right="639" w:bottom="1440" w:gutter="0" w:footer="0" w:header="0"/>
        </w:sectPr>
      </w:pPr>
    </w:p>
    <w:bookmarkStart w:id="16" w:name="page17"/>
    <w:bookmarkEnd w:id="16"/>
    <w:p>
      <w:pPr>
        <w:ind w:left="1360" w:hanging="532"/>
        <w:spacing w:after="0"/>
        <w:tabs>
          <w:tab w:leader="none" w:pos="1360" w:val="left"/>
        </w:tabs>
        <w:numPr>
          <w:ilvl w:val="0"/>
          <w:numId w:val="18"/>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U.S.</w:t>
      </w:r>
      <w:r>
        <w:rPr>
          <w:rFonts w:ascii="Arial" w:cs="Arial" w:eastAsia="Arial" w:hAnsi="Arial"/>
          <w:sz w:val="18"/>
          <w:szCs w:val="18"/>
          <w:color w:val="auto"/>
        </w:rPr>
        <w:t>” means the United States of America.</w:t>
      </w:r>
    </w:p>
    <w:p>
      <w:pPr>
        <w:spacing w:after="0" w:line="221" w:lineRule="exact"/>
        <w:rPr>
          <w:sz w:val="20"/>
          <w:szCs w:val="20"/>
          <w:color w:val="auto"/>
        </w:rPr>
      </w:pPr>
    </w:p>
    <w:p>
      <w:pPr>
        <w:jc w:val="both"/>
        <w:ind w:left="560" w:hanging="552"/>
        <w:spacing w:after="0" w:line="258" w:lineRule="auto"/>
        <w:tabs>
          <w:tab w:leader="none" w:pos="56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Effective Date; Duration</w:t>
      </w:r>
      <w:r>
        <w:rPr>
          <w:rFonts w:ascii="Arial" w:cs="Arial" w:eastAsia="Arial" w:hAnsi="Arial"/>
          <w:sz w:val="18"/>
          <w:szCs w:val="18"/>
          <w:color w:val="auto"/>
        </w:rPr>
        <w:t>. The Plan became effective as of the Effective Date. The expiration date of the Plan shall be the tenth (10th) anniversary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of the earlier of the date the Board adopts the Plan and the date the Company’s shareholders approve the Plan, subject to earlier termination by the Committee pursuant to Section 13(a); </w:t>
      </w:r>
      <w:r>
        <w:rPr>
          <w:rFonts w:ascii="Arial" w:cs="Arial" w:eastAsia="Arial" w:hAnsi="Arial"/>
          <w:sz w:val="18"/>
          <w:szCs w:val="18"/>
          <w:i w:val="1"/>
          <w:iCs w:val="1"/>
          <w:color w:val="auto"/>
        </w:rPr>
        <w:t>provided, however</w:t>
      </w:r>
      <w:r>
        <w:rPr>
          <w:rFonts w:ascii="Arial" w:cs="Arial" w:eastAsia="Arial" w:hAnsi="Arial"/>
          <w:sz w:val="18"/>
          <w:szCs w:val="18"/>
          <w:color w:val="auto"/>
        </w:rPr>
        <w:t>, that such expiration shall not affect Awards then outstanding, and the terms and conditions of the Plan shall continue to apply to such Awards, and provided further that on and after the Assumption Date no new Awards have been or shall be granted hereunder.</w:t>
      </w:r>
    </w:p>
    <w:p>
      <w:pPr>
        <w:spacing w:after="0" w:line="183" w:lineRule="exact"/>
        <w:rPr>
          <w:sz w:val="20"/>
          <w:szCs w:val="20"/>
          <w:color w:val="auto"/>
        </w:rPr>
      </w:pPr>
    </w:p>
    <w:p>
      <w:pPr>
        <w:ind w:left="560" w:hanging="552"/>
        <w:spacing w:after="0"/>
        <w:tabs>
          <w:tab w:leader="none" w:pos="56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Administration</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left="560" w:right="300" w:firstLine="268"/>
        <w:spacing w:after="0" w:line="296" w:lineRule="auto"/>
        <w:tabs>
          <w:tab w:leader="none" w:pos="1360" w:val="left"/>
        </w:tabs>
        <w:numPr>
          <w:ilvl w:val="2"/>
          <w:numId w:val="20"/>
        </w:numPr>
        <w:rPr>
          <w:rFonts w:ascii="Arial" w:cs="Arial" w:eastAsia="Arial" w:hAnsi="Arial"/>
          <w:sz w:val="16"/>
          <w:szCs w:val="16"/>
          <w:color w:val="010000"/>
        </w:rPr>
      </w:pPr>
      <w:r>
        <w:rPr>
          <w:rFonts w:ascii="Arial" w:cs="Arial" w:eastAsia="Arial" w:hAnsi="Arial"/>
          <w:sz w:val="16"/>
          <w:szCs w:val="16"/>
          <w:u w:val="single" w:color="auto"/>
          <w:color w:val="auto"/>
        </w:rPr>
        <w:t>General</w:t>
      </w:r>
      <w:r>
        <w:rPr>
          <w:rFonts w:ascii="Arial" w:cs="Arial" w:eastAsia="Arial" w:hAnsi="Arial"/>
          <w:sz w:val="16"/>
          <w:szCs w:val="16"/>
          <w:color w:val="auto"/>
        </w:rPr>
        <w:t>. The Committee shall administer the Plan. To the extent required to comply with the provisions of Rule 16b-3 promulgated under the Exchange Act (if the Board is not acting as the Committee under the Plan) it is intended that each member of the Committee shall, at the time such member takes any action with respect to an Award under the Plan that is intended to qualify for the exemptions provided by Rule 16b-3 promulgated under the Exchange Act be a Qualifying Director. However, the fact that a Committee member shall fail to qualify as a Qualifying Director shall not invalidate any Award granted by the Committee that is otherwise validly granted under the Plan.</w:t>
      </w:r>
    </w:p>
    <w:p>
      <w:pPr>
        <w:spacing w:after="0" w:line="161" w:lineRule="exact"/>
        <w:rPr>
          <w:rFonts w:ascii="Arial" w:cs="Arial" w:eastAsia="Arial" w:hAnsi="Arial"/>
          <w:sz w:val="16"/>
          <w:szCs w:val="16"/>
          <w:color w:val="010000"/>
        </w:rPr>
      </w:pPr>
    </w:p>
    <w:p>
      <w:pPr>
        <w:jc w:val="both"/>
        <w:ind w:left="560" w:right="300" w:firstLine="268"/>
        <w:spacing w:after="0" w:line="286" w:lineRule="auto"/>
        <w:tabs>
          <w:tab w:leader="none" w:pos="1437" w:val="left"/>
        </w:tabs>
        <w:numPr>
          <w:ilvl w:val="2"/>
          <w:numId w:val="20"/>
        </w:numPr>
        <w:rPr>
          <w:rFonts w:ascii="Arial" w:cs="Arial" w:eastAsia="Arial" w:hAnsi="Arial"/>
          <w:sz w:val="16"/>
          <w:szCs w:val="16"/>
          <w:color w:val="010000"/>
        </w:rPr>
      </w:pPr>
      <w:r>
        <w:rPr>
          <w:rFonts w:ascii="Arial" w:cs="Arial" w:eastAsia="Arial" w:hAnsi="Arial"/>
          <w:sz w:val="16"/>
          <w:szCs w:val="16"/>
          <w:u w:val="single" w:color="auto"/>
          <w:color w:val="auto"/>
        </w:rPr>
        <w:t>Committee Authority</w:t>
      </w:r>
      <w:r>
        <w:rPr>
          <w:rFonts w:ascii="Arial" w:cs="Arial" w:eastAsia="Arial" w:hAnsi="Arial"/>
          <w:sz w:val="16"/>
          <w:szCs w:val="16"/>
          <w:color w:val="auto"/>
        </w:rPr>
        <w:t>. Subject to the provisions of the Plan and Applicable Laws, the Committee shall have the sole and plenary authority, in addition to other express powers and authorizations conferred on the Committee by the Plan, to (i) designate Participants; (ii) determine the type or types of Awards to be granted to a Participant; (iii) determine the number of Shares to be covered by, or with respect to which payments, rights, or other matters are to be calculated in connection with, Awards; (iv) determine the terms and conditions of any Award;</w:t>
      </w:r>
    </w:p>
    <w:p>
      <w:pPr>
        <w:spacing w:after="0" w:line="1" w:lineRule="exact"/>
        <w:rPr>
          <w:rFonts w:ascii="Arial" w:cs="Arial" w:eastAsia="Arial" w:hAnsi="Arial"/>
          <w:sz w:val="16"/>
          <w:szCs w:val="16"/>
          <w:color w:val="010000"/>
        </w:rPr>
      </w:pPr>
    </w:p>
    <w:p>
      <w:pPr>
        <w:jc w:val="both"/>
        <w:ind w:left="560" w:right="300" w:firstLine="10"/>
        <w:spacing w:after="0" w:line="286" w:lineRule="auto"/>
        <w:tabs>
          <w:tab w:leader="none" w:pos="834" w:val="left"/>
        </w:tabs>
        <w:numPr>
          <w:ilvl w:val="1"/>
          <w:numId w:val="21"/>
        </w:numPr>
        <w:rPr>
          <w:rFonts w:ascii="Arial" w:cs="Arial" w:eastAsia="Arial" w:hAnsi="Arial"/>
          <w:sz w:val="16"/>
          <w:szCs w:val="16"/>
          <w:color w:val="auto"/>
        </w:rPr>
      </w:pPr>
      <w:r>
        <w:rPr>
          <w:rFonts w:ascii="Arial" w:cs="Arial" w:eastAsia="Arial" w:hAnsi="Arial"/>
          <w:sz w:val="16"/>
          <w:szCs w:val="16"/>
          <w:color w:val="auto"/>
        </w:rPr>
        <w:t>determine whether any Award subject to vesting may receive accelerated vesting treatment; (vi) determine whether, to what extent, and under what circumstances Awards may be settled in, or exercised for, cash, Shares, other securities, other Awards or other property, or canceled, forfeited, or suspended and the method or methods by which Awards may be settled, exercised, canceled, forfeited, or suspended; (vii) determine whether, to what extent, and under what circumstances the delivery of cash, Shares, other securities, other Awards, or other property and other amounts payable with respect to an Award shall be deferred either automatically or at the election of the Participant or of the Committee; (viii) interpret, administer, reconcile any inconsistency in, correct any defect in and/or supply any omission in the Plan and any instrument or agreement relating to, or Award granted under, the Plan; (ix) establish, amend, suspend, or waive any rules and regulations and appoint such agents as the Committee shall deem appropriate for the proper administration of the Plan; (x) adopt Sub- Plans; and (xi) make any other determination and take any other action that the Committee deems necessary or desirable for the administration of the Plan, including to accommodate any specific requirements of local laws, regulations, and procedures for jurisdictions outside of the U.S.</w:t>
      </w:r>
    </w:p>
    <w:p>
      <w:pPr>
        <w:spacing w:after="0" w:line="169" w:lineRule="exact"/>
        <w:rPr>
          <w:rFonts w:ascii="Arial" w:cs="Arial" w:eastAsia="Arial" w:hAnsi="Arial"/>
          <w:sz w:val="16"/>
          <w:szCs w:val="16"/>
          <w:color w:val="auto"/>
        </w:rPr>
      </w:pPr>
    </w:p>
    <w:p>
      <w:pPr>
        <w:jc w:val="both"/>
        <w:ind w:left="560" w:right="300" w:firstLine="268"/>
        <w:spacing w:after="0" w:line="272" w:lineRule="auto"/>
        <w:tabs>
          <w:tab w:leader="none" w:pos="1346" w:val="left"/>
        </w:tabs>
        <w:numPr>
          <w:ilvl w:val="2"/>
          <w:numId w:val="21"/>
        </w:numPr>
        <w:rPr>
          <w:rFonts w:ascii="Arial" w:cs="Arial" w:eastAsia="Arial" w:hAnsi="Arial"/>
          <w:sz w:val="17"/>
          <w:szCs w:val="17"/>
          <w:color w:val="010000"/>
        </w:rPr>
      </w:pPr>
      <w:r>
        <w:rPr>
          <w:rFonts w:ascii="Arial" w:cs="Arial" w:eastAsia="Arial" w:hAnsi="Arial"/>
          <w:sz w:val="17"/>
          <w:szCs w:val="17"/>
          <w:u w:val="single" w:color="auto"/>
          <w:color w:val="auto"/>
        </w:rPr>
        <w:t>Delegation</w:t>
      </w:r>
      <w:r>
        <w:rPr>
          <w:rFonts w:ascii="Arial" w:cs="Arial" w:eastAsia="Arial" w:hAnsi="Arial"/>
          <w:sz w:val="17"/>
          <w:szCs w:val="17"/>
          <w:color w:val="auto"/>
        </w:rPr>
        <w:t>. Except to the extent prohibited by Applicable Laws, the Committee may allocate all or any portion of its responsibilities and powers to any one or more of its members and may delegate all or any part of its responsibilities and powers to any person or persons selected by it. Any such allocation or delegation may be revoked by the Committee at any time. Without limiting the generality of the foregoing, the Committee may delegate to one or more officers of any member of the Company Group, the authority to act on behalf of the Committee with respect to any matter, right, obligation, or election which is the responsibility of, or which is allocated to, the Committee herein, and which may be so delegated as a matter of law, except with respect to grants of Awards to persons (i) who are Non-Employee Directors, or (ii) who are subject to Section 16 of the Exchange Act.</w:t>
      </w:r>
    </w:p>
    <w:p>
      <w:pPr>
        <w:spacing w:after="0" w:line="177" w:lineRule="exact"/>
        <w:rPr>
          <w:rFonts w:ascii="Arial" w:cs="Arial" w:eastAsia="Arial" w:hAnsi="Arial"/>
          <w:sz w:val="17"/>
          <w:szCs w:val="17"/>
          <w:color w:val="010000"/>
        </w:rPr>
      </w:pPr>
    </w:p>
    <w:p>
      <w:pPr>
        <w:jc w:val="both"/>
        <w:ind w:left="560" w:right="300" w:firstLine="268"/>
        <w:spacing w:after="0" w:line="259" w:lineRule="auto"/>
        <w:tabs>
          <w:tab w:leader="none" w:pos="1424" w:val="left"/>
        </w:tabs>
        <w:numPr>
          <w:ilvl w:val="2"/>
          <w:numId w:val="21"/>
        </w:numPr>
        <w:rPr>
          <w:rFonts w:ascii="Arial" w:cs="Arial" w:eastAsia="Arial" w:hAnsi="Arial"/>
          <w:sz w:val="18"/>
          <w:szCs w:val="18"/>
          <w:color w:val="010000"/>
        </w:rPr>
      </w:pPr>
      <w:r>
        <w:rPr>
          <w:rFonts w:ascii="Arial" w:cs="Arial" w:eastAsia="Arial" w:hAnsi="Arial"/>
          <w:sz w:val="18"/>
          <w:szCs w:val="18"/>
          <w:u w:val="single" w:color="auto"/>
          <w:color w:val="auto"/>
        </w:rPr>
        <w:t>Finality of Decisions</w:t>
      </w:r>
      <w:r>
        <w:rPr>
          <w:rFonts w:ascii="Arial" w:cs="Arial" w:eastAsia="Arial" w:hAnsi="Arial"/>
          <w:sz w:val="18"/>
          <w:szCs w:val="18"/>
          <w:color w:val="auto"/>
        </w:rPr>
        <w:t>. Unless otherwise expressly provided in the Plan, all designations, determinations, interpretations, and other decisions under or with respect to the Plan, any Award or any Award Agreement shall be within the sole discretion of the Committee, may be made at any time and shall be final, conclusive and binding upon all Persons, including, without limitation, any member of the Company Group, any Participant, any holder or beneficiary of any Award, and any stockholder of the Company.</w:t>
      </w:r>
    </w:p>
    <w:p>
      <w:pPr>
        <w:spacing w:after="0" w:line="38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7" w:name="page18"/>
    <w:bookmarkEnd w:id="17"/>
    <w:p>
      <w:pPr>
        <w:jc w:val="both"/>
        <w:ind w:left="552" w:firstLine="268"/>
        <w:spacing w:after="0" w:line="284" w:lineRule="auto"/>
        <w:tabs>
          <w:tab w:leader="none" w:pos="1379" w:val="left"/>
        </w:tabs>
        <w:numPr>
          <w:ilvl w:val="0"/>
          <w:numId w:val="22"/>
        </w:numPr>
        <w:rPr>
          <w:rFonts w:ascii="Arial" w:cs="Arial" w:eastAsia="Arial" w:hAnsi="Arial"/>
          <w:sz w:val="16"/>
          <w:szCs w:val="16"/>
          <w:color w:val="010000"/>
        </w:rPr>
      </w:pPr>
      <w:r>
        <w:rPr>
          <w:rFonts w:ascii="Arial" w:cs="Arial" w:eastAsia="Arial" w:hAnsi="Arial"/>
          <w:sz w:val="16"/>
          <w:szCs w:val="16"/>
          <w:u w:val="single" w:color="auto"/>
          <w:color w:val="auto"/>
        </w:rPr>
        <w:t>Indemnification</w:t>
      </w:r>
      <w:r>
        <w:rPr>
          <w:rFonts w:ascii="Arial" w:cs="Arial" w:eastAsia="Arial" w:hAnsi="Arial"/>
          <w:sz w:val="16"/>
          <w:szCs w:val="16"/>
          <w:color w:val="auto"/>
        </w:rPr>
        <w:t>. No member of the Board, the Committee or any employee or agent of any member of the Company Group (each such Person, an “</w:t>
      </w:r>
      <w:r>
        <w:rPr>
          <w:rFonts w:ascii="Arial" w:cs="Arial" w:eastAsia="Arial" w:hAnsi="Arial"/>
          <w:sz w:val="16"/>
          <w:szCs w:val="16"/>
          <w:u w:val="single" w:color="auto"/>
          <w:color w:val="auto"/>
        </w:rPr>
        <w:t>Indemnifiable Person</w:t>
      </w:r>
      <w:r>
        <w:rPr>
          <w:rFonts w:ascii="Arial" w:cs="Arial" w:eastAsia="Arial" w:hAnsi="Arial"/>
          <w:sz w:val="16"/>
          <w:szCs w:val="16"/>
          <w:color w:val="auto"/>
        </w:rPr>
        <w:t xml:space="preserve">”) shall be liable for any action taken or omitted to be taken or any determination made with respect to the Plan or any Award hereunder (unless constituting fraud or a willful criminal act or omission). Each Indemnifiable Person shall be indemnified and held harmless by the Company against and from any loss, cost, liability, or expense (including attorneys’ fees) that may be imposed upon or incurred by such Indemnifiable Person in connection with or resulting from any action, suit or proceeding to which such Indemnifiable Person may be a party or in which such Indemnifiable Person may be involved by reason of any action taken or omitted to be taken or determination made with respect to the Plan or any Award hereunder and against and from any and all amounts paid by such Indemnifiable Person with the Company’s approval, in settlement thereof, or paid by such Indemnifiable Person in satisfaction of any judgment in any such action, suit or proceeding against such Indemnifiable Person, and the Company shall advance to such Indemnifiable Person any such expenses promptly upon written request (which request shall include an undertaking by the Indemnifiable Person to repay the amount of such advance if it shall ultimately be determined, as provided below, that the Indemnifiable Person is not entitled to be indemnified); </w:t>
      </w:r>
      <w:r>
        <w:rPr>
          <w:rFonts w:ascii="Arial" w:cs="Arial" w:eastAsia="Arial" w:hAnsi="Arial"/>
          <w:sz w:val="16"/>
          <w:szCs w:val="16"/>
          <w:i w:val="1"/>
          <w:iCs w:val="1"/>
          <w:color w:val="auto"/>
        </w:rPr>
        <w:t>provided</w:t>
      </w:r>
      <w:r>
        <w:rPr>
          <w:rFonts w:ascii="Arial" w:cs="Arial" w:eastAsia="Arial" w:hAnsi="Arial"/>
          <w:sz w:val="16"/>
          <w:szCs w:val="16"/>
          <w:color w:val="auto"/>
        </w:rPr>
        <w:t>, that the Company shall have the right, at its own expense, to assume and defend any such action, suit or proceeding and once the Company gives notice of its intent to assume the defense, the Company shall have sole control over such defense with counsel of the Company’s choice. The foregoing right of indemnification shall not be available to an Indemnifiable Person to the extent that a final judgment or other final adjudication (in either case not subject to further appeal) binding upon such Indemnifiable Person determines that the acts, omissions or determinations of such Indemnifiable Person giving rise to the indemnification claim resulted from such Indemnifiable Person’s fraud or willful criminal act or omission or that such right of indemnification is otherwise prohibited by law or by the organizational documents of any member of the Company Group. The foregoing right of indemnification shall not be exclusive of or otherwise supersede any other rights of indemnification to which such Indemnifiable Persons may be entitled under the organizational documents of any member of the Company Group, as a matter of law, under an individual indemnification agreement or contract or otherwise, or any other power that the Company may have to indemnify such Indemnifiable Persons or hold such Indemnifiable Persons harmless.</w:t>
      </w:r>
    </w:p>
    <w:p>
      <w:pPr>
        <w:spacing w:after="0" w:line="397" w:lineRule="exact"/>
        <w:rPr>
          <w:rFonts w:ascii="Arial" w:cs="Arial" w:eastAsia="Arial" w:hAnsi="Arial"/>
          <w:sz w:val="16"/>
          <w:szCs w:val="16"/>
          <w:color w:val="010000"/>
        </w:rPr>
      </w:pPr>
    </w:p>
    <w:p>
      <w:pPr>
        <w:jc w:val="both"/>
        <w:ind w:left="552" w:firstLine="268"/>
        <w:spacing w:after="0" w:line="286" w:lineRule="auto"/>
        <w:tabs>
          <w:tab w:leader="none" w:pos="1359" w:val="left"/>
        </w:tabs>
        <w:numPr>
          <w:ilvl w:val="0"/>
          <w:numId w:val="22"/>
        </w:numPr>
        <w:rPr>
          <w:rFonts w:ascii="Arial" w:cs="Arial" w:eastAsia="Arial" w:hAnsi="Arial"/>
          <w:sz w:val="17"/>
          <w:szCs w:val="17"/>
          <w:color w:val="010000"/>
        </w:rPr>
      </w:pPr>
      <w:r>
        <w:rPr>
          <w:rFonts w:ascii="Arial" w:cs="Arial" w:eastAsia="Arial" w:hAnsi="Arial"/>
          <w:sz w:val="17"/>
          <w:szCs w:val="17"/>
          <w:u w:val="single" w:color="auto"/>
          <w:color w:val="auto"/>
        </w:rPr>
        <w:t>Board Authority</w:t>
      </w:r>
      <w:r>
        <w:rPr>
          <w:rFonts w:ascii="Arial" w:cs="Arial" w:eastAsia="Arial" w:hAnsi="Arial"/>
          <w:sz w:val="17"/>
          <w:szCs w:val="17"/>
          <w:color w:val="auto"/>
        </w:rPr>
        <w:t>. Notwithstanding anything to the contrary contained in the Plan, the Board may, in its sole discretion, at any time and from time to time, grant Awards and administer the Plan with respect to such Awards. Any such actions by the Board shall be subject to Applicable Laws. In any such case, the Board shall have all the authority granted to the Committee under the Plan.</w:t>
      </w:r>
    </w:p>
    <w:p>
      <w:pPr>
        <w:spacing w:after="0" w:line="161" w:lineRule="exact"/>
        <w:rPr>
          <w:sz w:val="20"/>
          <w:szCs w:val="20"/>
          <w:color w:val="auto"/>
        </w:rPr>
      </w:pPr>
    </w:p>
    <w:p>
      <w:pPr>
        <w:ind w:left="552" w:hanging="552"/>
        <w:spacing w:after="0"/>
        <w:tabs>
          <w:tab w:leader="none" w:pos="552"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Grant of Awards; Shares Subject to the Plan; Limitations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1332" w:hanging="516"/>
        <w:spacing w:after="0"/>
        <w:tabs>
          <w:tab w:leader="none" w:pos="1332" w:val="left"/>
        </w:tabs>
        <w:numPr>
          <w:ilvl w:val="1"/>
          <w:numId w:val="23"/>
        </w:numPr>
        <w:rPr>
          <w:rFonts w:ascii="Arial" w:cs="Arial" w:eastAsia="Arial" w:hAnsi="Arial"/>
          <w:sz w:val="18"/>
          <w:szCs w:val="18"/>
          <w:color w:val="010000"/>
        </w:rPr>
      </w:pPr>
      <w:r>
        <w:rPr>
          <w:rFonts w:ascii="Arial" w:cs="Arial" w:eastAsia="Arial" w:hAnsi="Arial"/>
          <w:sz w:val="18"/>
          <w:szCs w:val="18"/>
          <w:u w:val="single" w:color="auto"/>
          <w:color w:val="auto"/>
        </w:rPr>
        <w:t>Grants</w:t>
      </w:r>
      <w:r>
        <w:rPr>
          <w:rFonts w:ascii="Arial" w:cs="Arial" w:eastAsia="Arial" w:hAnsi="Arial"/>
          <w:sz w:val="18"/>
          <w:szCs w:val="18"/>
          <w:color w:val="auto"/>
        </w:rPr>
        <w:t>. The Committee may, from time to time, grant Awards to one or more Eligible Persons.</w:t>
      </w:r>
    </w:p>
    <w:p>
      <w:pPr>
        <w:spacing w:after="0" w:line="225" w:lineRule="exact"/>
        <w:rPr>
          <w:rFonts w:ascii="Arial" w:cs="Arial" w:eastAsia="Arial" w:hAnsi="Arial"/>
          <w:sz w:val="18"/>
          <w:szCs w:val="18"/>
          <w:color w:val="010000"/>
        </w:rPr>
      </w:pPr>
    </w:p>
    <w:p>
      <w:pPr>
        <w:jc w:val="both"/>
        <w:ind w:left="552" w:firstLine="268"/>
        <w:spacing w:after="0" w:line="254" w:lineRule="auto"/>
        <w:tabs>
          <w:tab w:leader="none" w:pos="1402" w:val="left"/>
        </w:tabs>
        <w:numPr>
          <w:ilvl w:val="1"/>
          <w:numId w:val="23"/>
        </w:numPr>
        <w:rPr>
          <w:rFonts w:ascii="Arial" w:cs="Arial" w:eastAsia="Arial" w:hAnsi="Arial"/>
          <w:sz w:val="18"/>
          <w:szCs w:val="18"/>
          <w:color w:val="010000"/>
        </w:rPr>
      </w:pPr>
      <w:r>
        <w:rPr>
          <w:rFonts w:ascii="Arial" w:cs="Arial" w:eastAsia="Arial" w:hAnsi="Arial"/>
          <w:sz w:val="18"/>
          <w:szCs w:val="18"/>
          <w:u w:val="single" w:color="auto"/>
          <w:color w:val="auto"/>
        </w:rPr>
        <w:t>Share Reserve</w:t>
      </w:r>
      <w:r>
        <w:rPr>
          <w:rFonts w:ascii="Arial" w:cs="Arial" w:eastAsia="Arial" w:hAnsi="Arial"/>
          <w:sz w:val="18"/>
          <w:szCs w:val="18"/>
          <w:color w:val="auto"/>
        </w:rPr>
        <w:t>. Subject to Section 12 of the Plan and Section 5(g) below, the aggregate number of Shares which may be issued or transferred pursuant to Awards under the Plan shall be equal to the sum of (i) 2,500,000, plus (ii) any of the Shares which as of the Effective Date are available for issuance under the Prior Plans, plus (iii) any Shares which are subject to awards under the Prior Plans that, on or after the Effective Date, terminate, expire or lapse for any reason without the delivery of Shares to the Participant thereof (the “</w:t>
      </w:r>
      <w:r>
        <w:rPr>
          <w:rFonts w:ascii="Arial" w:cs="Arial" w:eastAsia="Arial" w:hAnsi="Arial"/>
          <w:sz w:val="18"/>
          <w:szCs w:val="18"/>
          <w:u w:val="single" w:color="auto"/>
          <w:color w:val="auto"/>
        </w:rPr>
        <w:t>Plan Share Reserve</w:t>
      </w:r>
      <w:r>
        <w:rPr>
          <w:rFonts w:ascii="Arial" w:cs="Arial" w:eastAsia="Arial" w:hAnsi="Arial"/>
          <w:sz w:val="18"/>
          <w:szCs w:val="18"/>
          <w:color w:val="auto"/>
        </w:rPr>
        <w:t>”), and from and after the Effective Date, no further grants shall be made under the Prior Plans. Further, the number of Shares underlying any award granted under the Prior Plans that expires, terminates or is canceled or forfeited for any reason whatsoever under the terms of the Prior Plans, shall increase the Plan Share Reserve. Each Award granted under the Plan will reduce the Plan Share Reserve by the number of Shares underlying the Award.</w:t>
      </w:r>
    </w:p>
    <w:p>
      <w:pPr>
        <w:spacing w:after="0" w:line="191" w:lineRule="exact"/>
        <w:rPr>
          <w:rFonts w:ascii="Arial" w:cs="Arial" w:eastAsia="Arial" w:hAnsi="Arial"/>
          <w:sz w:val="18"/>
          <w:szCs w:val="18"/>
          <w:color w:val="010000"/>
        </w:rPr>
      </w:pPr>
    </w:p>
    <w:p>
      <w:pPr>
        <w:jc w:val="both"/>
        <w:ind w:left="552" w:firstLine="264"/>
        <w:spacing w:after="0" w:line="257" w:lineRule="auto"/>
        <w:tabs>
          <w:tab w:leader="none" w:pos="1393" w:val="left"/>
        </w:tabs>
        <w:numPr>
          <w:ilvl w:val="1"/>
          <w:numId w:val="23"/>
        </w:numPr>
        <w:rPr>
          <w:rFonts w:ascii="Arial" w:cs="Arial" w:eastAsia="Arial" w:hAnsi="Arial"/>
          <w:sz w:val="18"/>
          <w:szCs w:val="18"/>
          <w:color w:val="010000"/>
        </w:rPr>
      </w:pPr>
      <w:r>
        <w:rPr>
          <w:rFonts w:ascii="Arial" w:cs="Arial" w:eastAsia="Arial" w:hAnsi="Arial"/>
          <w:sz w:val="18"/>
          <w:szCs w:val="18"/>
          <w:u w:val="single" w:color="auto"/>
          <w:color w:val="auto"/>
        </w:rPr>
        <w:t>Additional Limits</w:t>
      </w:r>
      <w:r>
        <w:rPr>
          <w:rFonts w:ascii="Arial" w:cs="Arial" w:eastAsia="Arial" w:hAnsi="Arial"/>
          <w:sz w:val="18"/>
          <w:szCs w:val="18"/>
          <w:color w:val="auto"/>
        </w:rPr>
        <w:t>. Subject to Section 12 of the Plan and Section 5(g) below, no more than 2,500,000 Shares may be issued in the aggregate pursuant to the exercise of Incentive Stock Options granted under the Plan. The maximum number of Shares subject to Awards granted during a single fiscal year to any Non-Employee Director, taken together with any cash fees paid to such Non-Employee Director during the fiscal year, shall not exceed USD 500,000 in total value (calculating the value of any such Awards based on the grant date fair value of such Awards for financial reporting purposes).</w:t>
      </w:r>
    </w:p>
    <w:p>
      <w:pPr>
        <w:spacing w:after="0" w:line="390" w:lineRule="exact"/>
        <w:rPr>
          <w:sz w:val="20"/>
          <w:szCs w:val="20"/>
          <w:color w:val="auto"/>
        </w:rPr>
      </w:pPr>
    </w:p>
    <w:p>
      <w:pPr>
        <w:jc w:val="center"/>
        <w:ind w:right="-251"/>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48895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32"/>
          </w:cols>
          <w:pgMar w:left="328" w:top="341" w:right="639" w:bottom="1440" w:gutter="0" w:footer="0" w:header="0"/>
        </w:sectPr>
      </w:pPr>
    </w:p>
    <w:bookmarkStart w:id="18" w:name="page19"/>
    <w:bookmarkEnd w:id="18"/>
    <w:p>
      <w:pPr>
        <w:jc w:val="both"/>
        <w:ind w:left="560" w:firstLine="264"/>
        <w:spacing w:after="0" w:line="289" w:lineRule="auto"/>
        <w:tabs>
          <w:tab w:leader="none" w:pos="1479" w:val="left"/>
        </w:tabs>
        <w:numPr>
          <w:ilvl w:val="0"/>
          <w:numId w:val="24"/>
        </w:numPr>
        <w:rPr>
          <w:rFonts w:ascii="Arial" w:cs="Arial" w:eastAsia="Arial" w:hAnsi="Arial"/>
          <w:sz w:val="16"/>
          <w:szCs w:val="16"/>
          <w:color w:val="010000"/>
        </w:rPr>
      </w:pPr>
      <w:r>
        <w:rPr>
          <w:rFonts w:ascii="Arial" w:cs="Arial" w:eastAsia="Arial" w:hAnsi="Arial"/>
          <w:sz w:val="16"/>
          <w:szCs w:val="16"/>
          <w:u w:val="single" w:color="auto"/>
          <w:color w:val="auto"/>
        </w:rPr>
        <w:t>Share Counting</w:t>
      </w:r>
      <w:r>
        <w:rPr>
          <w:rFonts w:ascii="Arial" w:cs="Arial" w:eastAsia="Arial" w:hAnsi="Arial"/>
          <w:sz w:val="16"/>
          <w:szCs w:val="16"/>
          <w:color w:val="auto"/>
        </w:rPr>
        <w:t xml:space="preserve">. Other than with respect to Substitute Awards, to the extent that an Award expires or is cancelled, forfeited, or terminated without issuance to the Participant of the full number of Shares to which the Award related, the unissued shares will be returned for future grant under the Plan. Shares shall be deemed to have been issued in settlement of Awards if the Fair Market Value equivalent of such Shares is paid in cash;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shares shall be deemed to have been issued in settlement of a SAR, Other Equity-Based Award or Restricted Stock Unit that only provides for settlement in cash and settles only in cash. Shares withheld in payment of the Exercise Price or Tax-Related Items with respect to Options, SARs or Other Equity-Based Awards based on the appreciation of Shares equal to the number of Shares surrendered in payment of any Exercise Price or Tax-Related Items shall constitute Shares issued to the Participant and shall reduce the Plan Share Reserve. For the avoidance of doubt, Shares withheld to satisfy Tax-Related Items with respect to Restricted Stock Units, Restricted Stock or Other Equity-Based Awards that constitute full-value Awards shall not reduce the Plan Share Reserve.</w:t>
      </w:r>
    </w:p>
    <w:p>
      <w:pPr>
        <w:spacing w:after="0" w:line="166" w:lineRule="exact"/>
        <w:rPr>
          <w:rFonts w:ascii="Arial" w:cs="Arial" w:eastAsia="Arial" w:hAnsi="Arial"/>
          <w:sz w:val="16"/>
          <w:szCs w:val="16"/>
          <w:color w:val="010000"/>
        </w:rPr>
      </w:pPr>
    </w:p>
    <w:p>
      <w:pPr>
        <w:ind w:left="560" w:firstLine="264"/>
        <w:spacing w:after="0" w:line="308" w:lineRule="auto"/>
        <w:tabs>
          <w:tab w:leader="none" w:pos="1361" w:val="left"/>
        </w:tabs>
        <w:numPr>
          <w:ilvl w:val="0"/>
          <w:numId w:val="24"/>
        </w:numPr>
        <w:rPr>
          <w:rFonts w:ascii="Arial" w:cs="Arial" w:eastAsia="Arial" w:hAnsi="Arial"/>
          <w:sz w:val="17"/>
          <w:szCs w:val="17"/>
          <w:color w:val="010000"/>
        </w:rPr>
      </w:pPr>
      <w:r>
        <w:rPr>
          <w:rFonts w:ascii="Arial" w:cs="Arial" w:eastAsia="Arial" w:hAnsi="Arial"/>
          <w:sz w:val="17"/>
          <w:szCs w:val="17"/>
          <w:u w:val="single" w:color="auto"/>
          <w:color w:val="auto"/>
        </w:rPr>
        <w:t>Source of Shares</w:t>
      </w:r>
      <w:r>
        <w:rPr>
          <w:rFonts w:ascii="Arial" w:cs="Arial" w:eastAsia="Arial" w:hAnsi="Arial"/>
          <w:sz w:val="17"/>
          <w:szCs w:val="17"/>
          <w:color w:val="auto"/>
        </w:rPr>
        <w:t>. Shares issued by the Company in settlement of Awards may be authorized and unissued shares, shares held in the treasury of the Company, shares purchased on the open market or by private purchase or a combination of the foregoing.</w:t>
      </w:r>
    </w:p>
    <w:p>
      <w:pPr>
        <w:spacing w:after="0" w:line="146" w:lineRule="exact"/>
        <w:rPr>
          <w:rFonts w:ascii="Arial" w:cs="Arial" w:eastAsia="Arial" w:hAnsi="Arial"/>
          <w:sz w:val="17"/>
          <w:szCs w:val="17"/>
          <w:color w:val="010000"/>
        </w:rPr>
      </w:pPr>
    </w:p>
    <w:p>
      <w:pPr>
        <w:jc w:val="both"/>
        <w:ind w:left="560" w:firstLine="264"/>
        <w:spacing w:after="0" w:line="253" w:lineRule="auto"/>
        <w:tabs>
          <w:tab w:leader="none" w:pos="1530" w:val="left"/>
        </w:tabs>
        <w:numPr>
          <w:ilvl w:val="0"/>
          <w:numId w:val="24"/>
        </w:numPr>
        <w:rPr>
          <w:rFonts w:ascii="Arial" w:cs="Arial" w:eastAsia="Arial" w:hAnsi="Arial"/>
          <w:sz w:val="18"/>
          <w:szCs w:val="18"/>
          <w:color w:val="010000"/>
        </w:rPr>
      </w:pPr>
      <w:r>
        <w:rPr>
          <w:rFonts w:ascii="Arial" w:cs="Arial" w:eastAsia="Arial" w:hAnsi="Arial"/>
          <w:sz w:val="18"/>
          <w:szCs w:val="18"/>
          <w:u w:val="single" w:color="auto"/>
          <w:color w:val="auto"/>
        </w:rPr>
        <w:t>Substitute Awards</w:t>
      </w:r>
      <w:r>
        <w:rPr>
          <w:rFonts w:ascii="Arial" w:cs="Arial" w:eastAsia="Arial" w:hAnsi="Arial"/>
          <w:sz w:val="18"/>
          <w:szCs w:val="18"/>
          <w:color w:val="auto"/>
        </w:rPr>
        <w:t>. Awards may, in the sole discretion of the Committee, be granted under the Plan in assumption of, or in substitution for, outstanding awards previously granted by an entity directly or indirectly acquired by the Company or with which the Company combines (“</w:t>
      </w:r>
      <w:r>
        <w:rPr>
          <w:rFonts w:ascii="Arial" w:cs="Arial" w:eastAsia="Arial" w:hAnsi="Arial"/>
          <w:sz w:val="18"/>
          <w:szCs w:val="18"/>
          <w:u w:val="single" w:color="auto"/>
          <w:color w:val="auto"/>
        </w:rPr>
        <w:t>Substitute Awards</w:t>
      </w:r>
      <w:r>
        <w:rPr>
          <w:rFonts w:ascii="Arial" w:cs="Arial" w:eastAsia="Arial" w:hAnsi="Arial"/>
          <w:sz w:val="18"/>
          <w:szCs w:val="18"/>
          <w:color w:val="auto"/>
        </w:rPr>
        <w:t xml:space="preserve">”). Substitute Awards shall not be counted against the Plan Share Reserve; </w:t>
      </w:r>
      <w:r>
        <w:rPr>
          <w:rFonts w:ascii="Arial" w:cs="Arial" w:eastAsia="Arial" w:hAnsi="Arial"/>
          <w:sz w:val="18"/>
          <w:szCs w:val="18"/>
          <w:i w:val="1"/>
          <w:iCs w:val="1"/>
          <w:color w:val="auto"/>
        </w:rPr>
        <w:t>provided</w:t>
      </w:r>
      <w:r>
        <w:rPr>
          <w:rFonts w:ascii="Arial" w:cs="Arial" w:eastAsia="Arial" w:hAnsi="Arial"/>
          <w:sz w:val="18"/>
          <w:szCs w:val="18"/>
          <w:color w:val="auto"/>
        </w:rPr>
        <w:t>, that Substitute Awards issued in connection with the assumption of, or in substitution for, outstanding options intended to qualify as “incentive stock options” within the meaning of Section 422 of the Code shall be counted against the aggregate number of Shares available for Awards of Incentive Stock Options under the Plan. Subject to applicable stock exchange requirements, available shares under a stockholder-approved plan of an entity directly or indirectly acquired by the Company or with which the Company combines (as appropriately adjusted to reflect the acquisition or combination transaction) may be used for Awards under the Plan and shall not reduce the number of Shares available for issuance under the Plan.</w:t>
      </w:r>
    </w:p>
    <w:p>
      <w:pPr>
        <w:spacing w:after="0" w:line="196" w:lineRule="exact"/>
        <w:rPr>
          <w:rFonts w:ascii="Arial" w:cs="Arial" w:eastAsia="Arial" w:hAnsi="Arial"/>
          <w:sz w:val="18"/>
          <w:szCs w:val="18"/>
          <w:color w:val="010000"/>
        </w:rPr>
      </w:pPr>
    </w:p>
    <w:p>
      <w:pPr>
        <w:jc w:val="both"/>
        <w:ind w:left="560" w:firstLine="264"/>
        <w:spacing w:after="0" w:line="263" w:lineRule="auto"/>
        <w:tabs>
          <w:tab w:leader="none" w:pos="1398"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Limits and Assumption Date</w:t>
      </w:r>
      <w:r>
        <w:rPr>
          <w:rFonts w:ascii="Arial" w:cs="Arial" w:eastAsia="Arial" w:hAnsi="Arial"/>
          <w:sz w:val="18"/>
          <w:szCs w:val="18"/>
          <w:color w:val="auto"/>
        </w:rPr>
        <w:t>. In all cases with respect to each of the foregoing limits in Sections 5(b) and 5(c) above the specified limits or values will be reduced by the amount of any PRA Health Sciences Inc. common stock that was issued in settlement of the respective outstanding awards under the Plan prior to the Assumption Date.</w:t>
      </w:r>
    </w:p>
    <w:p>
      <w:pPr>
        <w:spacing w:after="0" w:line="180" w:lineRule="exact"/>
        <w:rPr>
          <w:sz w:val="20"/>
          <w:szCs w:val="20"/>
          <w:color w:val="auto"/>
        </w:rPr>
      </w:pPr>
    </w:p>
    <w:p>
      <w:pPr>
        <w:ind w:left="560" w:hanging="552"/>
        <w:spacing w:after="0"/>
        <w:tabs>
          <w:tab w:leader="none" w:pos="560"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Eligibility</w:t>
      </w:r>
      <w:r>
        <w:rPr>
          <w:rFonts w:ascii="Arial" w:cs="Arial" w:eastAsia="Arial" w:hAnsi="Arial"/>
          <w:sz w:val="18"/>
          <w:szCs w:val="18"/>
          <w:color w:val="auto"/>
        </w:rPr>
        <w:t>. Participation in the Plan shall be limited to Eligible Persons.</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7</w:t>
      </w:r>
      <w:r>
        <w:rPr>
          <w:rFonts w:ascii="Arial" w:cs="Arial" w:eastAsia="Arial" w:hAnsi="Arial"/>
          <w:sz w:val="16"/>
          <w:szCs w:val="16"/>
          <w:b w:val="1"/>
          <w:bCs w:val="1"/>
          <w:color w:val="auto"/>
        </w:rPr>
        <w:t>Options</w:t>
      </w:r>
      <w:r>
        <w:rPr>
          <w:rFonts w:ascii="Arial" w:cs="Arial" w:eastAsia="Arial" w:hAnsi="Arial"/>
          <w:sz w:val="16"/>
          <w:szCs w:val="16"/>
          <w:color w:val="auto"/>
        </w:rPr>
        <w:t>.</w:t>
      </w:r>
    </w:p>
    <w:p>
      <w:pPr>
        <w:spacing w:after="0" w:line="229" w:lineRule="exact"/>
        <w:rPr>
          <w:rFonts w:ascii="Arial" w:cs="Arial" w:eastAsia="Arial" w:hAnsi="Arial"/>
          <w:sz w:val="18"/>
          <w:szCs w:val="18"/>
          <w:color w:val="auto"/>
        </w:rPr>
      </w:pPr>
    </w:p>
    <w:p>
      <w:pPr>
        <w:jc w:val="both"/>
        <w:ind w:left="560" w:firstLine="264"/>
        <w:spacing w:after="0" w:line="286" w:lineRule="auto"/>
        <w:tabs>
          <w:tab w:leader="none" w:pos="1347" w:val="left"/>
        </w:tabs>
        <w:numPr>
          <w:ilvl w:val="1"/>
          <w:numId w:val="25"/>
        </w:numPr>
        <w:rPr>
          <w:rFonts w:ascii="Arial" w:cs="Arial" w:eastAsia="Arial" w:hAnsi="Arial"/>
          <w:sz w:val="16"/>
          <w:szCs w:val="16"/>
          <w:color w:val="010000"/>
        </w:rPr>
      </w:pPr>
      <w:r>
        <w:rPr>
          <w:rFonts w:ascii="Arial" w:cs="Arial" w:eastAsia="Arial" w:hAnsi="Arial"/>
          <w:sz w:val="16"/>
          <w:szCs w:val="16"/>
          <w:u w:val="single" w:color="auto"/>
          <w:color w:val="auto"/>
        </w:rPr>
        <w:t>General</w:t>
      </w:r>
      <w:r>
        <w:rPr>
          <w:rFonts w:ascii="Arial" w:cs="Arial" w:eastAsia="Arial" w:hAnsi="Arial"/>
          <w:sz w:val="16"/>
          <w:szCs w:val="16"/>
          <w:color w:val="auto"/>
        </w:rPr>
        <w:t xml:space="preserve">. Each Option granted under the Plan shall be evidenced by an Award Agreement, which agreement need not be the same for each Participant. Each Option so granted shall be subject to the conditions set forth in this Section 7, and to such other conditions not inconsistent with the Plan as may be reflected in the applicable Award Agreement. All Options granted under the Plan shall be Nonqualified Stock Options unless the applicable Award Agreement expressly states that the Option is intended to be an Incentive Stock Option. Incentive Stock Options shall be granted only to Eligible Persons who are employees of a member of the Company Group, and no Incentive Stock Option shall be granted to any Eligible Person who is ineligible to receive an Incentive Stock Option under the Code. No Option shall be treated as an Incentive Stock Option unless the Plan has been approved by the stockholders of the Company in a manner intended to comply with the stockholder approval requirements of Section 422(b)(1) of the Code,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Option intended to be an Incentive Stock Option shall not fail to be effective solely on account of a failure to obtain such approval, but rather such Option shall be treated as a Nonqualified Stock Option unless and until such approval is obtained. In the case of an Incentive Stock Option, the terms and conditions of such grant shall be subject to, and comply with, such rules as may be prescribed by Section 422 of the Code. If for any reason an Option intended to be an Incentive Stock Option (or any portion thereof) shall not qualify as an Incentive Stock Option, then, to the extent of such nonqualification, such Option or portion thereof shall be regarded as a Nonqualified Stock Option appropriately granted under the Plan.</w:t>
      </w:r>
    </w:p>
    <w:p>
      <w:pPr>
        <w:spacing w:after="0" w:line="37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40"/>
          </w:cols>
          <w:pgMar w:left="320" w:top="341" w:right="639" w:bottom="1440" w:gutter="0" w:footer="0" w:header="0"/>
        </w:sectPr>
      </w:pPr>
    </w:p>
    <w:bookmarkStart w:id="19" w:name="page20"/>
    <w:bookmarkEnd w:id="19"/>
    <w:p>
      <w:pPr>
        <w:jc w:val="both"/>
        <w:ind w:firstLine="264"/>
        <w:spacing w:after="0" w:line="296" w:lineRule="auto"/>
        <w:tabs>
          <w:tab w:leader="none" w:pos="919" w:val="left"/>
        </w:tabs>
        <w:numPr>
          <w:ilvl w:val="0"/>
          <w:numId w:val="26"/>
        </w:numPr>
        <w:rPr>
          <w:rFonts w:ascii="Arial" w:cs="Arial" w:eastAsia="Arial" w:hAnsi="Arial"/>
          <w:sz w:val="16"/>
          <w:szCs w:val="16"/>
          <w:color w:val="010000"/>
        </w:rPr>
      </w:pPr>
      <w:r>
        <w:rPr>
          <w:rFonts w:ascii="Arial" w:cs="Arial" w:eastAsia="Arial" w:hAnsi="Arial"/>
          <w:sz w:val="16"/>
          <w:szCs w:val="16"/>
          <w:u w:val="single" w:color="auto"/>
          <w:color w:val="auto"/>
        </w:rPr>
        <w:t>Exercise Price</w:t>
      </w:r>
      <w:r>
        <w:rPr>
          <w:rFonts w:ascii="Arial" w:cs="Arial" w:eastAsia="Arial" w:hAnsi="Arial"/>
          <w:sz w:val="16"/>
          <w:szCs w:val="16"/>
          <w:color w:val="auto"/>
        </w:rPr>
        <w:t>. Except as otherwise provided by the Committee in the case of Substitute Awards, the exercise price (“</w:t>
      </w:r>
      <w:r>
        <w:rPr>
          <w:rFonts w:ascii="Arial" w:cs="Arial" w:eastAsia="Arial" w:hAnsi="Arial"/>
          <w:sz w:val="16"/>
          <w:szCs w:val="16"/>
          <w:u w:val="single" w:color="auto"/>
          <w:color w:val="auto"/>
        </w:rPr>
        <w:t>Exercise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Price</w:t>
      </w:r>
      <w:r>
        <w:rPr>
          <w:rFonts w:ascii="Arial" w:cs="Arial" w:eastAsia="Arial" w:hAnsi="Arial"/>
          <w:sz w:val="16"/>
          <w:szCs w:val="16"/>
          <w:color w:val="auto"/>
        </w:rPr>
        <w:t xml:space="preserve">”) per Share for each Option shall not be less than 100% of the Grant Date Fair Market Value of such Share; </w:t>
      </w:r>
      <w:r>
        <w:rPr>
          <w:rFonts w:ascii="Arial" w:cs="Arial" w:eastAsia="Arial" w:hAnsi="Arial"/>
          <w:sz w:val="16"/>
          <w:szCs w:val="16"/>
          <w:i w:val="1"/>
          <w:iCs w:val="1"/>
          <w:color w:val="auto"/>
        </w:rPr>
        <w:t>provided, however</w:t>
      </w:r>
      <w:r>
        <w:rPr>
          <w:rFonts w:ascii="Arial" w:cs="Arial" w:eastAsia="Arial" w:hAnsi="Arial"/>
          <w:sz w:val="16"/>
          <w:szCs w:val="16"/>
          <w:color w:val="auto"/>
        </w:rPr>
        <w:t>, that in the case of an Incentive Stock Option granted to an employee who, at the time of the grant of such Option, owns stock representing more than 10% of the voting power of all classes of stock of any member of the Company Group that also qualifies as a “subsidiary corporation” under Section 424(f) of the Code, the Exercise Price per Share shall not be less than 110% of the Grant Date Fair Market Value per Share.</w:t>
      </w:r>
    </w:p>
    <w:p>
      <w:pPr>
        <w:spacing w:after="0" w:line="161" w:lineRule="exact"/>
        <w:rPr>
          <w:rFonts w:ascii="Arial" w:cs="Arial" w:eastAsia="Arial" w:hAnsi="Arial"/>
          <w:sz w:val="16"/>
          <w:szCs w:val="16"/>
          <w:color w:val="010000"/>
        </w:rPr>
      </w:pPr>
    </w:p>
    <w:p>
      <w:pPr>
        <w:ind w:left="780" w:hanging="516"/>
        <w:spacing w:after="0"/>
        <w:tabs>
          <w:tab w:leader="none" w:pos="780" w:val="left"/>
        </w:tabs>
        <w:numPr>
          <w:ilvl w:val="0"/>
          <w:numId w:val="26"/>
        </w:numPr>
        <w:rPr>
          <w:rFonts w:ascii="Arial" w:cs="Arial" w:eastAsia="Arial" w:hAnsi="Arial"/>
          <w:sz w:val="18"/>
          <w:szCs w:val="18"/>
          <w:color w:val="010000"/>
        </w:rPr>
      </w:pPr>
      <w:r>
        <w:rPr>
          <w:rFonts w:ascii="Arial" w:cs="Arial" w:eastAsia="Arial" w:hAnsi="Arial"/>
          <w:sz w:val="18"/>
          <w:szCs w:val="18"/>
          <w:u w:val="single" w:color="auto"/>
          <w:color w:val="auto"/>
        </w:rPr>
        <w:t>Vesting and Expiration</w:t>
      </w:r>
      <w:r>
        <w:rPr>
          <w:rFonts w:ascii="Arial" w:cs="Arial" w:eastAsia="Arial" w:hAnsi="Arial"/>
          <w:sz w:val="18"/>
          <w:szCs w:val="18"/>
          <w:color w:val="auto"/>
        </w:rPr>
        <w:t>.</w:t>
      </w:r>
    </w:p>
    <w:p>
      <w:pPr>
        <w:spacing w:after="0" w:line="225" w:lineRule="exact"/>
        <w:rPr>
          <w:rFonts w:ascii="Arial" w:cs="Arial" w:eastAsia="Arial" w:hAnsi="Arial"/>
          <w:sz w:val="18"/>
          <w:szCs w:val="18"/>
          <w:color w:val="010000"/>
        </w:rPr>
      </w:pPr>
    </w:p>
    <w:p>
      <w:pPr>
        <w:ind w:left="100" w:firstLine="656"/>
        <w:spacing w:after="0" w:line="277" w:lineRule="auto"/>
        <w:tabs>
          <w:tab w:leader="none" w:pos="1314" w:val="left"/>
        </w:tabs>
        <w:numPr>
          <w:ilvl w:val="1"/>
          <w:numId w:val="26"/>
        </w:numPr>
        <w:rPr>
          <w:rFonts w:ascii="Arial" w:cs="Arial" w:eastAsia="Arial" w:hAnsi="Arial"/>
          <w:sz w:val="18"/>
          <w:szCs w:val="18"/>
          <w:color w:val="010000"/>
        </w:rPr>
      </w:pPr>
      <w:r>
        <w:rPr>
          <w:rFonts w:ascii="Arial" w:cs="Arial" w:eastAsia="Arial" w:hAnsi="Arial"/>
          <w:sz w:val="18"/>
          <w:szCs w:val="18"/>
          <w:color w:val="auto"/>
        </w:rPr>
        <w:t>Subject to the Minimum Vesting Condition, Options shall vest and become exercisable in such manner and on such date or dates or upon such event or events as determined by the Committee.</w:t>
      </w:r>
    </w:p>
    <w:p>
      <w:pPr>
        <w:spacing w:after="0" w:line="170" w:lineRule="exact"/>
        <w:rPr>
          <w:rFonts w:ascii="Arial" w:cs="Arial" w:eastAsia="Arial" w:hAnsi="Arial"/>
          <w:sz w:val="18"/>
          <w:szCs w:val="18"/>
          <w:color w:val="010000"/>
        </w:rPr>
      </w:pPr>
    </w:p>
    <w:p>
      <w:pPr>
        <w:jc w:val="both"/>
        <w:ind w:left="100" w:right="20" w:firstLine="656"/>
        <w:spacing w:after="0" w:line="254" w:lineRule="auto"/>
        <w:tabs>
          <w:tab w:leader="none" w:pos="1391" w:val="left"/>
        </w:tabs>
        <w:numPr>
          <w:ilvl w:val="1"/>
          <w:numId w:val="26"/>
        </w:numPr>
        <w:rPr>
          <w:rFonts w:ascii="Arial" w:cs="Arial" w:eastAsia="Arial" w:hAnsi="Arial"/>
          <w:sz w:val="18"/>
          <w:szCs w:val="18"/>
          <w:color w:val="010000"/>
        </w:rPr>
      </w:pPr>
      <w:r>
        <w:rPr>
          <w:rFonts w:ascii="Arial" w:cs="Arial" w:eastAsia="Arial" w:hAnsi="Arial"/>
          <w:sz w:val="18"/>
          <w:szCs w:val="18"/>
          <w:color w:val="auto"/>
        </w:rPr>
        <w:t>Options shall expire upon a date determined by the Committee, not to exceed ten (10) years from the Date of Grant (the “</w:t>
      </w:r>
      <w:r>
        <w:rPr>
          <w:rFonts w:ascii="Arial" w:cs="Arial" w:eastAsia="Arial" w:hAnsi="Arial"/>
          <w:sz w:val="18"/>
          <w:szCs w:val="18"/>
          <w:u w:val="single" w:color="auto"/>
          <w:color w:val="auto"/>
        </w:rPr>
        <w:t>Option Period</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that if the Option Period (other than in the case of an Incentive Stock Option) would expire at a time when trading in the Shares is prohibited by Applicable Laws, then the Option Period shall be automatically extended until the thirtieth (30th) day following the expiration of such prohibition. Notwithstanding the foregoing, in no event shall the Option Period exceed five (5) years from the Date of Grant in the case of an Incentive Stock Option granted to a Participant who on the Date of Grant owns stock representing more than 10% of the voting power of all classes of stock of the Company or any member of the Company Group that qualifies as a “subsidiary corporation” under Section 424(f) of the Code.</w:t>
      </w:r>
    </w:p>
    <w:p>
      <w:pPr>
        <w:spacing w:after="0" w:line="194" w:lineRule="exact"/>
        <w:rPr>
          <w:rFonts w:ascii="Arial" w:cs="Arial" w:eastAsia="Arial" w:hAnsi="Arial"/>
          <w:sz w:val="18"/>
          <w:szCs w:val="18"/>
          <w:color w:val="010000"/>
        </w:rPr>
      </w:pPr>
    </w:p>
    <w:p>
      <w:pPr>
        <w:jc w:val="both"/>
        <w:ind w:left="120" w:firstLine="642"/>
        <w:spacing w:after="0" w:line="272" w:lineRule="auto"/>
        <w:tabs>
          <w:tab w:leader="none" w:pos="1582" w:val="left"/>
        </w:tabs>
        <w:numPr>
          <w:ilvl w:val="1"/>
          <w:numId w:val="26"/>
        </w:numPr>
        <w:rPr>
          <w:rFonts w:ascii="Arial" w:cs="Arial" w:eastAsia="Arial" w:hAnsi="Arial"/>
          <w:sz w:val="17"/>
          <w:szCs w:val="17"/>
          <w:color w:val="010000"/>
        </w:rPr>
      </w:pPr>
      <w:r>
        <w:rPr>
          <w:rFonts w:ascii="Arial" w:cs="Arial" w:eastAsia="Arial" w:hAnsi="Arial"/>
          <w:sz w:val="17"/>
          <w:szCs w:val="17"/>
          <w:color w:val="auto"/>
        </w:rPr>
        <w:t>Unless otherwise provided by the Committee, whether in an Award Agreement or otherwise, in the event of: (A) a Participant’s Termination by the Service Recipient for Cause, all vested and unvested outstanding Options granted to such Participant shall immediately terminate and expire; (B) a Participant’s Termination due to death or Disability, each outstanding unvested Option granted to such Participant shall immediately terminate and expire, and each outstanding vested Option shall remain exercisable for one (1) year thereafter (but in no event beyond the expiration of the Option Period); and (C) a Participant’s Termination for any other reason, each outstanding unvested Option granted to such Participant shall immediately terminate and expire, and each outstanding vested Option shall remain exercisable for three (3) months thereafter (but in no event beyond the expiration of the Option Period).</w:t>
      </w:r>
    </w:p>
    <w:p>
      <w:pPr>
        <w:spacing w:after="0" w:line="177" w:lineRule="exact"/>
        <w:rPr>
          <w:rFonts w:ascii="Arial" w:cs="Arial" w:eastAsia="Arial" w:hAnsi="Arial"/>
          <w:sz w:val="17"/>
          <w:szCs w:val="17"/>
          <w:color w:val="010000"/>
        </w:rPr>
      </w:pPr>
    </w:p>
    <w:p>
      <w:pPr>
        <w:jc w:val="both"/>
        <w:ind w:firstLine="264"/>
        <w:spacing w:after="0" w:line="285" w:lineRule="auto"/>
        <w:tabs>
          <w:tab w:leader="none" w:pos="824" w:val="left"/>
        </w:tabs>
        <w:numPr>
          <w:ilvl w:val="0"/>
          <w:numId w:val="26"/>
        </w:numPr>
        <w:rPr>
          <w:rFonts w:ascii="Arial" w:cs="Arial" w:eastAsia="Arial" w:hAnsi="Arial"/>
          <w:sz w:val="16"/>
          <w:szCs w:val="16"/>
          <w:color w:val="010000"/>
        </w:rPr>
      </w:pPr>
      <w:r>
        <w:rPr>
          <w:rFonts w:ascii="Arial" w:cs="Arial" w:eastAsia="Arial" w:hAnsi="Arial"/>
          <w:sz w:val="16"/>
          <w:szCs w:val="16"/>
          <w:u w:val="single" w:color="auto"/>
          <w:color w:val="auto"/>
        </w:rPr>
        <w:t>Method of Exercise and Form of Payment</w:t>
      </w:r>
      <w:r>
        <w:rPr>
          <w:rFonts w:ascii="Arial" w:cs="Arial" w:eastAsia="Arial" w:hAnsi="Arial"/>
          <w:sz w:val="16"/>
          <w:szCs w:val="16"/>
          <w:color w:val="auto"/>
        </w:rPr>
        <w:t xml:space="preserve">. No Shares shall be issued pursuant to any exercise of an Option until payment in full of the Exercise Price therefore is received by the Company and the Participant has paid to the Company (or one or more of its Subsidiaries or Affiliates, as applicable) an amount equal to any Tax-Related Items. Options that have become exercisable may be exercised by delivery of a notice of exercise in such form and accordance with such procedures as the Committee may specify from time to time accompanied by payment of the Exercise Price. Subject to Applicable Law the Exercise Price shall be payable: (i) in cash, check, cash equivalent and/or Shares valued at the Fair Market Value at the time the Option is exercised (including, pursuant to procedures approved by the Committee, by means of attestation of ownership of a sufficient number of Shares in lieu of actual issuance of such shares to the Company); </w:t>
      </w:r>
      <w:r>
        <w:rPr>
          <w:rFonts w:ascii="Arial" w:cs="Arial" w:eastAsia="Arial" w:hAnsi="Arial"/>
          <w:sz w:val="16"/>
          <w:szCs w:val="16"/>
          <w:i w:val="1"/>
          <w:iCs w:val="1"/>
          <w:color w:val="auto"/>
        </w:rPr>
        <w:t>provided</w:t>
      </w:r>
      <w:r>
        <w:rPr>
          <w:rFonts w:ascii="Arial" w:cs="Arial" w:eastAsia="Arial" w:hAnsi="Arial"/>
          <w:sz w:val="16"/>
          <w:szCs w:val="16"/>
          <w:color w:val="auto"/>
        </w:rPr>
        <w:t>, that such Shares are not subject to any pledge or other security interest and have been held by the Participant for at least six (6) months (or such other period as established from time to time by the Committee in order to avoid adverse accounting treatment applying generally accepted accounting principles (“</w:t>
      </w:r>
      <w:r>
        <w:rPr>
          <w:rFonts w:ascii="Arial" w:cs="Arial" w:eastAsia="Arial" w:hAnsi="Arial"/>
          <w:sz w:val="16"/>
          <w:szCs w:val="16"/>
          <w:u w:val="single" w:color="auto"/>
          <w:color w:val="auto"/>
        </w:rPr>
        <w:t>GAAP</w:t>
      </w:r>
      <w:r>
        <w:rPr>
          <w:rFonts w:ascii="Arial" w:cs="Arial" w:eastAsia="Arial" w:hAnsi="Arial"/>
          <w:sz w:val="16"/>
          <w:szCs w:val="16"/>
          <w:color w:val="auto"/>
        </w:rPr>
        <w:t>”)); or (ii) by such other method as the Committee may permit, in its sole discretion, including, without limitation (A) in other property having a fair market value on the date of exercise equal to the Exercise Price; (B) by means of a broker-assisted “cashless exercise” pursuant to which the Company is delivered (including telephonically to the extent permitted by the Committee) a copy of irrevocable instructions to a stockbroker to sell the Shares otherwise issuable upon the exercise of the Option and to deliver promptly to the Company an amount equal to the Exercise Price; or (C) a “net exercise” procedure effected by withholding the minimum number of Shares otherwise issuable in respect of an Option that are needed to pay the Exercise Price. The permissible methods of payment of the Exercise Price with respect to a particular Option grant may be specified in the applicable Award Agreement. Any fractional Shares shall be settled in cash.</w:t>
      </w:r>
    </w:p>
    <w:p>
      <w:pPr>
        <w:spacing w:after="0" w:line="379"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48895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80"/>
          </w:cols>
          <w:pgMar w:left="880" w:top="341" w:right="639" w:bottom="1440" w:gutter="0" w:footer="0" w:header="0"/>
        </w:sectPr>
      </w:pPr>
    </w:p>
    <w:bookmarkStart w:id="20" w:name="page21"/>
    <w:bookmarkEnd w:id="20"/>
    <w:p>
      <w:pPr>
        <w:jc w:val="both"/>
        <w:ind w:left="552" w:firstLine="264"/>
        <w:spacing w:after="0" w:line="271" w:lineRule="auto"/>
        <w:tabs>
          <w:tab w:leader="none" w:pos="1461" w:val="left"/>
        </w:tabs>
        <w:numPr>
          <w:ilvl w:val="0"/>
          <w:numId w:val="27"/>
        </w:numPr>
        <w:rPr>
          <w:rFonts w:ascii="Arial" w:cs="Arial" w:eastAsia="Arial" w:hAnsi="Arial"/>
          <w:sz w:val="17"/>
          <w:szCs w:val="17"/>
          <w:color w:val="010000"/>
        </w:rPr>
      </w:pPr>
      <w:r>
        <w:rPr>
          <w:rFonts w:ascii="Arial" w:cs="Arial" w:eastAsia="Arial" w:hAnsi="Arial"/>
          <w:sz w:val="17"/>
          <w:szCs w:val="17"/>
          <w:u w:val="single" w:color="auto"/>
          <w:color w:val="auto"/>
        </w:rPr>
        <w:t>Notification upon Disqualifying Disposition of an Incentive Stock Option</w:t>
      </w:r>
      <w:r>
        <w:rPr>
          <w:rFonts w:ascii="Arial" w:cs="Arial" w:eastAsia="Arial" w:hAnsi="Arial"/>
          <w:sz w:val="17"/>
          <w:szCs w:val="17"/>
          <w:color w:val="auto"/>
        </w:rPr>
        <w:t>. Each Participant awarded an Incentive Stock Option under the Plan shall notify the Company in writing immediately after the date the Participant makes a disqualifying disposition of any Shares acquired pursuant to the exercise of such Incentive Stock Option. A disqualifying disposition is any disposition (including, without limitation, any sale) of such Shares before the later of (i) the date that is two (2) years after the Date of Grant of the Incentive Stock Option, or (ii) the date that is one (1) year after the date of exercise of the Incentive Stock Option. The Company may, if determined by the Committee and in accordance with procedures established by the Committee, retain possession, as agent for the applicable Participant, of any Shares acquired pursuant to the exercise of an Incentive Stock Option until the end of the period described in the preceding sentence, subject to complying with any instructions from such Participant as to the sale of such Shares.</w:t>
      </w:r>
    </w:p>
    <w:p>
      <w:pPr>
        <w:spacing w:after="0" w:line="174" w:lineRule="exact"/>
        <w:rPr>
          <w:sz w:val="20"/>
          <w:szCs w:val="20"/>
          <w:color w:val="auto"/>
        </w:rPr>
      </w:pPr>
    </w:p>
    <w:p>
      <w:pPr>
        <w:ind w:left="552" w:hanging="552"/>
        <w:spacing w:after="0"/>
        <w:tabs>
          <w:tab w:leader="none" w:pos="552"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Restricted Stock and Restricted Stock Units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left="552" w:firstLine="264"/>
        <w:spacing w:after="0" w:line="263" w:lineRule="auto"/>
        <w:tabs>
          <w:tab w:leader="none" w:pos="1420" w:val="left"/>
        </w:tabs>
        <w:numPr>
          <w:ilvl w:val="1"/>
          <w:numId w:val="28"/>
        </w:numPr>
        <w:rPr>
          <w:rFonts w:ascii="Arial" w:cs="Arial" w:eastAsia="Arial" w:hAnsi="Arial"/>
          <w:sz w:val="18"/>
          <w:szCs w:val="18"/>
          <w:color w:val="010000"/>
        </w:rPr>
      </w:pPr>
      <w:r>
        <w:rPr>
          <w:rFonts w:ascii="Arial" w:cs="Arial" w:eastAsia="Arial" w:hAnsi="Arial"/>
          <w:sz w:val="18"/>
          <w:szCs w:val="18"/>
          <w:u w:val="single" w:color="auto"/>
          <w:color w:val="auto"/>
        </w:rPr>
        <w:t>General</w:t>
      </w:r>
      <w:r>
        <w:rPr>
          <w:rFonts w:ascii="Arial" w:cs="Arial" w:eastAsia="Arial" w:hAnsi="Arial"/>
          <w:sz w:val="18"/>
          <w:szCs w:val="18"/>
          <w:color w:val="auto"/>
        </w:rPr>
        <w:t>. Each grant of Restricted Stock and Restricted Stock Units shall be evidenced by an Award Agreement. Each Restricted Stock and Restricted Stock Unit so granted shall be subject to the conditions set forth in this Section 8, and to such other conditions not inconsistent with the Plan as may be reflected in the applicable Award Agreement.</w:t>
      </w:r>
    </w:p>
    <w:p>
      <w:pPr>
        <w:spacing w:after="0" w:line="183" w:lineRule="exact"/>
        <w:rPr>
          <w:rFonts w:ascii="Arial" w:cs="Arial" w:eastAsia="Arial" w:hAnsi="Arial"/>
          <w:sz w:val="18"/>
          <w:szCs w:val="18"/>
          <w:color w:val="010000"/>
        </w:rPr>
      </w:pPr>
    </w:p>
    <w:p>
      <w:pPr>
        <w:jc w:val="both"/>
        <w:ind w:left="552" w:firstLine="264"/>
        <w:spacing w:after="0" w:line="289" w:lineRule="auto"/>
        <w:tabs>
          <w:tab w:leader="none" w:pos="1376" w:val="left"/>
        </w:tabs>
        <w:numPr>
          <w:ilvl w:val="1"/>
          <w:numId w:val="28"/>
        </w:numPr>
        <w:rPr>
          <w:rFonts w:ascii="Arial" w:cs="Arial" w:eastAsia="Arial" w:hAnsi="Arial"/>
          <w:sz w:val="16"/>
          <w:szCs w:val="16"/>
          <w:color w:val="010000"/>
        </w:rPr>
      </w:pPr>
      <w:r>
        <w:rPr>
          <w:rFonts w:ascii="Arial" w:cs="Arial" w:eastAsia="Arial" w:hAnsi="Arial"/>
          <w:sz w:val="16"/>
          <w:szCs w:val="16"/>
          <w:u w:val="single" w:color="auto"/>
          <w:color w:val="auto"/>
        </w:rPr>
        <w:t>Book-Entry; Escrow or Similar Arrangement</w:t>
      </w:r>
      <w:r>
        <w:rPr>
          <w:rFonts w:ascii="Arial" w:cs="Arial" w:eastAsia="Arial" w:hAnsi="Arial"/>
          <w:sz w:val="16"/>
          <w:szCs w:val="16"/>
          <w:color w:val="auto"/>
        </w:rPr>
        <w:t>. Upon the grant of Restricted Stock, the Committee shall cause Share(s) to be held in book-entry form subject to the Company’s directions and, if the Committee determines that the Restricted Stock shall be held by the Company or in escrow rather than issued to the Participant pending the release of the applicable restrictions, the Committee may require the Participant to additionally execute and deliver to the Company (i) an escrow agreement satisfactory to the Committee, if applicable; and (ii) the appropriate stock power (endorsed in blank) with respect to the Restricted Stock covered by such agreement. Subject to the restrictions set forth in this Section 8, Section 14(c) of the Plan and the applicable Award Agreement, a Participant generally shall have the rights and privileges of a stockholder as to shares of Restricted Stock, including, without limitation, the right to vote such Restricted Stock. To the extent shares of Restricted Stock are forfeited, all rights of the Participant to such shares and as a stockholder with respect thereto shall terminate without further obligation on the part of the Company. A Participant shall have no rights or privileges as a stockholder as to Restricted Stock Units.</w:t>
      </w:r>
    </w:p>
    <w:p>
      <w:pPr>
        <w:spacing w:after="0" w:line="166" w:lineRule="exact"/>
        <w:rPr>
          <w:rFonts w:ascii="Arial" w:cs="Arial" w:eastAsia="Arial" w:hAnsi="Arial"/>
          <w:sz w:val="16"/>
          <w:szCs w:val="16"/>
          <w:color w:val="010000"/>
        </w:rPr>
      </w:pPr>
    </w:p>
    <w:p>
      <w:pPr>
        <w:ind w:left="552" w:firstLine="264"/>
        <w:spacing w:after="0" w:line="308" w:lineRule="auto"/>
        <w:tabs>
          <w:tab w:leader="none" w:pos="1461" w:val="left"/>
        </w:tabs>
        <w:numPr>
          <w:ilvl w:val="1"/>
          <w:numId w:val="28"/>
        </w:numPr>
        <w:rPr>
          <w:rFonts w:ascii="Arial" w:cs="Arial" w:eastAsia="Arial" w:hAnsi="Arial"/>
          <w:sz w:val="17"/>
          <w:szCs w:val="17"/>
          <w:color w:val="010000"/>
        </w:rPr>
      </w:pPr>
      <w:r>
        <w:rPr>
          <w:rFonts w:ascii="Arial" w:cs="Arial" w:eastAsia="Arial" w:hAnsi="Arial"/>
          <w:sz w:val="17"/>
          <w:szCs w:val="17"/>
          <w:u w:val="single" w:color="auto"/>
          <w:color w:val="auto"/>
        </w:rPr>
        <w:t>Vesting</w:t>
      </w:r>
      <w:r>
        <w:rPr>
          <w:rFonts w:ascii="Arial" w:cs="Arial" w:eastAsia="Arial" w:hAnsi="Arial"/>
          <w:sz w:val="17"/>
          <w:szCs w:val="17"/>
          <w:color w:val="auto"/>
        </w:rPr>
        <w:t>. Subject to the Minimum Vesting Condition, Restricted Stock and Restricted Stock Units shall vest, and any applicable Restricted Period shall lapse, in such manner and on such date or dates or upon such event or events as determined by the Committee.</w:t>
      </w:r>
    </w:p>
    <w:p>
      <w:pPr>
        <w:spacing w:after="0" w:line="146" w:lineRule="exact"/>
        <w:rPr>
          <w:rFonts w:ascii="Arial" w:cs="Arial" w:eastAsia="Arial" w:hAnsi="Arial"/>
          <w:sz w:val="17"/>
          <w:szCs w:val="17"/>
          <w:color w:val="010000"/>
        </w:rPr>
      </w:pPr>
    </w:p>
    <w:p>
      <w:pPr>
        <w:ind w:left="1332" w:hanging="516"/>
        <w:spacing w:after="0"/>
        <w:tabs>
          <w:tab w:leader="none" w:pos="1332" w:val="left"/>
        </w:tabs>
        <w:numPr>
          <w:ilvl w:val="1"/>
          <w:numId w:val="28"/>
        </w:numPr>
        <w:rPr>
          <w:rFonts w:ascii="Arial" w:cs="Arial" w:eastAsia="Arial" w:hAnsi="Arial"/>
          <w:sz w:val="18"/>
          <w:szCs w:val="18"/>
          <w:color w:val="010000"/>
        </w:rPr>
      </w:pPr>
      <w:r>
        <w:rPr>
          <w:rFonts w:ascii="Arial" w:cs="Arial" w:eastAsia="Arial" w:hAnsi="Arial"/>
          <w:sz w:val="18"/>
          <w:szCs w:val="18"/>
          <w:u w:val="single" w:color="auto"/>
          <w:color w:val="auto"/>
        </w:rPr>
        <w:t>Issuance of Restricted Stock and Settlement of Restricted Stock Units</w:t>
      </w:r>
      <w:r>
        <w:rPr>
          <w:rFonts w:ascii="Arial" w:cs="Arial" w:eastAsia="Arial" w:hAnsi="Arial"/>
          <w:sz w:val="18"/>
          <w:szCs w:val="18"/>
          <w:color w:val="auto"/>
        </w:rPr>
        <w:t>.</w:t>
      </w:r>
    </w:p>
    <w:p>
      <w:pPr>
        <w:spacing w:after="0" w:line="225" w:lineRule="exact"/>
        <w:rPr>
          <w:rFonts w:ascii="Arial" w:cs="Arial" w:eastAsia="Arial" w:hAnsi="Arial"/>
          <w:sz w:val="18"/>
          <w:szCs w:val="18"/>
          <w:color w:val="010000"/>
        </w:rPr>
      </w:pPr>
    </w:p>
    <w:p>
      <w:pPr>
        <w:jc w:val="both"/>
        <w:ind w:left="672" w:right="100" w:firstLine="642"/>
        <w:spacing w:after="0" w:line="257" w:lineRule="auto"/>
        <w:tabs>
          <w:tab w:leader="none" w:pos="1872" w:val="left"/>
        </w:tabs>
        <w:numPr>
          <w:ilvl w:val="2"/>
          <w:numId w:val="28"/>
        </w:numPr>
        <w:rPr>
          <w:rFonts w:ascii="Arial" w:cs="Arial" w:eastAsia="Arial" w:hAnsi="Arial"/>
          <w:sz w:val="18"/>
          <w:szCs w:val="18"/>
          <w:color w:val="010000"/>
        </w:rPr>
      </w:pPr>
      <w:r>
        <w:rPr>
          <w:rFonts w:ascii="Arial" w:cs="Arial" w:eastAsia="Arial" w:hAnsi="Arial"/>
          <w:sz w:val="18"/>
          <w:szCs w:val="18"/>
          <w:color w:val="auto"/>
        </w:rPr>
        <w:t>Upon the expiration of the Restricted Period with respect to any shares of Restricted Stock, the restrictions set forth in the applicable Award Agreement shall be of no further force or effect with respect to such shares, except as set forth in the applicable Award Agreement. If an escrow arrangement is used, upon such expiration, the Company shall issue to the Participant, or the Participant’s beneficiary, without charge, the shares of Restricted Stock which have not then been forfeited and with respect to which the Restricted Period has expired (rounded down to the nearest full share).</w:t>
      </w:r>
    </w:p>
    <w:p>
      <w:pPr>
        <w:spacing w:after="0" w:line="390" w:lineRule="exact"/>
        <w:rPr>
          <w:sz w:val="20"/>
          <w:szCs w:val="20"/>
          <w:color w:val="auto"/>
        </w:rPr>
      </w:pPr>
    </w:p>
    <w:p>
      <w:pPr>
        <w:jc w:val="center"/>
        <w:ind w:right="-251"/>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48895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32"/>
          </w:cols>
          <w:pgMar w:left="328" w:top="341" w:right="639" w:bottom="1440" w:gutter="0" w:footer="0" w:header="0"/>
        </w:sectPr>
      </w:pPr>
    </w:p>
    <w:bookmarkStart w:id="21" w:name="page22"/>
    <w:bookmarkEnd w:id="21"/>
    <w:p>
      <w:pPr>
        <w:jc w:val="both"/>
        <w:ind w:left="672" w:right="160" w:firstLine="642"/>
        <w:spacing w:after="0" w:line="289" w:lineRule="auto"/>
        <w:tabs>
          <w:tab w:leader="none" w:pos="1922" w:val="left"/>
        </w:tabs>
        <w:numPr>
          <w:ilvl w:val="0"/>
          <w:numId w:val="29"/>
        </w:numPr>
        <w:rPr>
          <w:rFonts w:ascii="Arial" w:cs="Arial" w:eastAsia="Arial" w:hAnsi="Arial"/>
          <w:sz w:val="16"/>
          <w:szCs w:val="16"/>
          <w:color w:val="010000"/>
        </w:rPr>
      </w:pPr>
      <w:r>
        <w:rPr>
          <w:rFonts w:ascii="Arial" w:cs="Arial" w:eastAsia="Arial" w:hAnsi="Arial"/>
          <w:sz w:val="16"/>
          <w:szCs w:val="16"/>
          <w:color w:val="auto"/>
        </w:rPr>
        <w:t xml:space="preserve">Unless otherwise provided by the Committee in an Award Agreement or otherwise, upon the expiration of the Restricted Period with respect to any outstanding Restricted Stock Units, the Company shall issue to the Participant or the Participant’s beneficiary, without charge, one (1) Share (or other securities or other property, as applicable) for each such outstanding Restricted Stock Unit;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Committee may, in its sole discretion, elect to (A) pay cash or part cash and part Shares in lieu of issuing only</w:t>
      </w:r>
      <w:r>
        <w:rPr>
          <w:rFonts w:ascii="Arial" w:cs="Arial" w:eastAsia="Arial" w:hAnsi="Arial"/>
          <w:sz w:val="16"/>
          <w:szCs w:val="16"/>
          <w:i w:val="1"/>
          <w:iCs w:val="1"/>
          <w:color w:val="auto"/>
        </w:rPr>
        <w:t xml:space="preserve"> </w:t>
      </w:r>
      <w:r>
        <w:rPr>
          <w:rFonts w:ascii="Arial" w:cs="Arial" w:eastAsia="Arial" w:hAnsi="Arial"/>
          <w:sz w:val="16"/>
          <w:szCs w:val="16"/>
          <w:color w:val="auto"/>
        </w:rPr>
        <w:t>Shares in respect of such Restricted Stock Units; or (B) defer the issuance of Shares (or cash or part cash and part Shares, as the case may be) beyond the expiration of the Restricted Period if such extension would not cause adverse tax consequences under Section 409A of the Code. If a cash payment is made in lieu of issuing Shares in respect of such Restricted Stock Units, the amount of such payment shall be equal to the Fair Market Value per Share as of the date upon which the Restricted Stock Units are settled. Any fractional Shares may be settled in cash or rounded to the next whole number of Shares, in the sole discretion of the Company.</w:t>
      </w:r>
    </w:p>
    <w:p>
      <w:pPr>
        <w:spacing w:after="0" w:line="162" w:lineRule="exact"/>
        <w:rPr>
          <w:sz w:val="20"/>
          <w:szCs w:val="20"/>
          <w:color w:val="auto"/>
        </w:rPr>
      </w:pPr>
    </w:p>
    <w:p>
      <w:pPr>
        <w:ind w:left="552" w:hanging="552"/>
        <w:spacing w:after="0"/>
        <w:tabs>
          <w:tab w:leader="none" w:pos="552"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Stock Appreciation Rights</w:t>
      </w:r>
    </w:p>
    <w:p>
      <w:pPr>
        <w:spacing w:after="0" w:line="229" w:lineRule="exact"/>
        <w:rPr>
          <w:rFonts w:ascii="Arial" w:cs="Arial" w:eastAsia="Arial" w:hAnsi="Arial"/>
          <w:sz w:val="18"/>
          <w:szCs w:val="18"/>
          <w:color w:val="auto"/>
        </w:rPr>
      </w:pPr>
    </w:p>
    <w:p>
      <w:pPr>
        <w:jc w:val="both"/>
        <w:ind w:left="552" w:firstLine="264"/>
        <w:spacing w:after="0" w:line="263" w:lineRule="auto"/>
        <w:tabs>
          <w:tab w:leader="none" w:pos="1366" w:val="left"/>
        </w:tabs>
        <w:numPr>
          <w:ilvl w:val="2"/>
          <w:numId w:val="30"/>
        </w:numPr>
        <w:rPr>
          <w:rFonts w:ascii="Arial" w:cs="Arial" w:eastAsia="Arial" w:hAnsi="Arial"/>
          <w:sz w:val="18"/>
          <w:szCs w:val="18"/>
          <w:color w:val="010000"/>
        </w:rPr>
      </w:pPr>
      <w:r>
        <w:rPr>
          <w:rFonts w:ascii="Arial" w:cs="Arial" w:eastAsia="Arial" w:hAnsi="Arial"/>
          <w:sz w:val="18"/>
          <w:szCs w:val="18"/>
          <w:u w:val="single" w:color="auto"/>
          <w:color w:val="auto"/>
        </w:rPr>
        <w:t>General</w:t>
      </w:r>
      <w:r>
        <w:rPr>
          <w:rFonts w:ascii="Arial" w:cs="Arial" w:eastAsia="Arial" w:hAnsi="Arial"/>
          <w:sz w:val="18"/>
          <w:szCs w:val="18"/>
          <w:color w:val="auto"/>
        </w:rPr>
        <w:t>. Each SAR granted under the Plan shall be evidenced by an Award Agreement, which agreement need not be the same for each Participant. Each SAR so granted shall be subject to the conditions set forth in this Section 9, and to such other conditions not inconsistent with the Plan as may be reflected in the applicable Award Agreement.</w:t>
      </w:r>
    </w:p>
    <w:p>
      <w:pPr>
        <w:spacing w:after="0" w:line="183" w:lineRule="exact"/>
        <w:rPr>
          <w:rFonts w:ascii="Arial" w:cs="Arial" w:eastAsia="Arial" w:hAnsi="Arial"/>
          <w:sz w:val="18"/>
          <w:szCs w:val="18"/>
          <w:color w:val="010000"/>
        </w:rPr>
      </w:pPr>
    </w:p>
    <w:p>
      <w:pPr>
        <w:ind w:left="552" w:right="20" w:firstLine="264"/>
        <w:spacing w:after="0" w:line="277" w:lineRule="auto"/>
        <w:tabs>
          <w:tab w:leader="none" w:pos="1430" w:val="left"/>
        </w:tabs>
        <w:numPr>
          <w:ilvl w:val="2"/>
          <w:numId w:val="30"/>
        </w:numPr>
        <w:rPr>
          <w:rFonts w:ascii="Arial" w:cs="Arial" w:eastAsia="Arial" w:hAnsi="Arial"/>
          <w:sz w:val="18"/>
          <w:szCs w:val="18"/>
          <w:color w:val="010000"/>
        </w:rPr>
      </w:pPr>
      <w:r>
        <w:rPr>
          <w:rFonts w:ascii="Arial" w:cs="Arial" w:eastAsia="Arial" w:hAnsi="Arial"/>
          <w:sz w:val="18"/>
          <w:szCs w:val="18"/>
          <w:u w:val="single" w:color="auto"/>
          <w:color w:val="auto"/>
        </w:rPr>
        <w:t>SAR Base Price</w:t>
      </w:r>
      <w:r>
        <w:rPr>
          <w:rFonts w:ascii="Arial" w:cs="Arial" w:eastAsia="Arial" w:hAnsi="Arial"/>
          <w:sz w:val="18"/>
          <w:szCs w:val="18"/>
          <w:color w:val="auto"/>
        </w:rPr>
        <w:t>. Except as otherwise provided by the Committee in the case of Substitute Awards, the SAR Base Price for each SAR shall not be less than 100% of the Grant Date Fair Market Value of such Share.</w:t>
      </w:r>
    </w:p>
    <w:p>
      <w:pPr>
        <w:spacing w:after="0" w:line="170" w:lineRule="exact"/>
        <w:rPr>
          <w:rFonts w:ascii="Arial" w:cs="Arial" w:eastAsia="Arial" w:hAnsi="Arial"/>
          <w:sz w:val="18"/>
          <w:szCs w:val="18"/>
          <w:color w:val="010000"/>
        </w:rPr>
      </w:pPr>
    </w:p>
    <w:p>
      <w:pPr>
        <w:ind w:left="1332" w:hanging="516"/>
        <w:spacing w:after="0"/>
        <w:tabs>
          <w:tab w:leader="none" w:pos="1332" w:val="left"/>
        </w:tabs>
        <w:numPr>
          <w:ilvl w:val="2"/>
          <w:numId w:val="30"/>
        </w:numPr>
        <w:rPr>
          <w:rFonts w:ascii="Arial" w:cs="Arial" w:eastAsia="Arial" w:hAnsi="Arial"/>
          <w:sz w:val="18"/>
          <w:szCs w:val="18"/>
          <w:color w:val="010000"/>
        </w:rPr>
      </w:pPr>
      <w:r>
        <w:rPr>
          <w:rFonts w:ascii="Arial" w:cs="Arial" w:eastAsia="Arial" w:hAnsi="Arial"/>
          <w:sz w:val="18"/>
          <w:szCs w:val="18"/>
          <w:u w:val="single" w:color="auto"/>
          <w:color w:val="auto"/>
        </w:rPr>
        <w:t>Vesting and Expiration</w:t>
      </w:r>
      <w:r>
        <w:rPr>
          <w:rFonts w:ascii="Arial" w:cs="Arial" w:eastAsia="Arial" w:hAnsi="Arial"/>
          <w:sz w:val="18"/>
          <w:szCs w:val="18"/>
          <w:color w:val="auto"/>
        </w:rPr>
        <w:t>.</w:t>
      </w:r>
    </w:p>
    <w:p>
      <w:pPr>
        <w:spacing w:after="0" w:line="225" w:lineRule="exact"/>
        <w:rPr>
          <w:rFonts w:ascii="Arial" w:cs="Arial" w:eastAsia="Arial" w:hAnsi="Arial"/>
          <w:sz w:val="18"/>
          <w:szCs w:val="18"/>
          <w:color w:val="010000"/>
        </w:rPr>
      </w:pPr>
    </w:p>
    <w:p>
      <w:pPr>
        <w:ind w:left="672" w:firstLine="642"/>
        <w:spacing w:after="0" w:line="277" w:lineRule="auto"/>
        <w:tabs>
          <w:tab w:leader="none" w:pos="1804" w:val="left"/>
        </w:tabs>
        <w:numPr>
          <w:ilvl w:val="3"/>
          <w:numId w:val="30"/>
        </w:numPr>
        <w:rPr>
          <w:rFonts w:ascii="Arial" w:cs="Arial" w:eastAsia="Arial" w:hAnsi="Arial"/>
          <w:sz w:val="18"/>
          <w:szCs w:val="18"/>
          <w:color w:val="010000"/>
        </w:rPr>
      </w:pPr>
      <w:r>
        <w:rPr>
          <w:rFonts w:ascii="Arial" w:cs="Arial" w:eastAsia="Arial" w:hAnsi="Arial"/>
          <w:sz w:val="18"/>
          <w:szCs w:val="18"/>
          <w:color w:val="auto"/>
        </w:rPr>
        <w:t>Subject to the Minimum Vesting Condition, SARs shall vest and become exercisable in such manner and on such date or dates or upon such event or events as determined by the Committee.</w:t>
      </w:r>
    </w:p>
    <w:p>
      <w:pPr>
        <w:spacing w:after="0" w:line="170" w:lineRule="exact"/>
        <w:rPr>
          <w:rFonts w:ascii="Arial" w:cs="Arial" w:eastAsia="Arial" w:hAnsi="Arial"/>
          <w:sz w:val="18"/>
          <w:szCs w:val="18"/>
          <w:color w:val="010000"/>
        </w:rPr>
      </w:pPr>
    </w:p>
    <w:p>
      <w:pPr>
        <w:ind w:left="1852" w:hanging="538"/>
        <w:spacing w:after="0"/>
        <w:tabs>
          <w:tab w:leader="none" w:pos="1852" w:val="left"/>
        </w:tabs>
        <w:numPr>
          <w:ilvl w:val="3"/>
          <w:numId w:val="30"/>
        </w:numPr>
        <w:rPr>
          <w:rFonts w:ascii="Arial" w:cs="Arial" w:eastAsia="Arial" w:hAnsi="Arial"/>
          <w:sz w:val="18"/>
          <w:szCs w:val="18"/>
          <w:color w:val="010000"/>
        </w:rPr>
      </w:pPr>
      <w:r>
        <w:rPr>
          <w:rFonts w:ascii="Arial" w:cs="Arial" w:eastAsia="Arial" w:hAnsi="Arial"/>
          <w:sz w:val="18"/>
          <w:szCs w:val="18"/>
          <w:color w:val="auto"/>
        </w:rPr>
        <w:t>SARs shall expire upon a date determined by the Committee, not to exceed ten (10) years from the Date of Grant.</w:t>
      </w:r>
    </w:p>
    <w:p>
      <w:pPr>
        <w:spacing w:after="0" w:line="225" w:lineRule="exact"/>
        <w:rPr>
          <w:rFonts w:ascii="Arial" w:cs="Arial" w:eastAsia="Arial" w:hAnsi="Arial"/>
          <w:sz w:val="18"/>
          <w:szCs w:val="18"/>
          <w:color w:val="010000"/>
        </w:rPr>
      </w:pPr>
    </w:p>
    <w:p>
      <w:pPr>
        <w:jc w:val="both"/>
        <w:ind w:left="672" w:firstLine="642"/>
        <w:spacing w:after="0" w:line="284" w:lineRule="auto"/>
        <w:tabs>
          <w:tab w:leader="none" w:pos="2134" w:val="left"/>
        </w:tabs>
        <w:numPr>
          <w:ilvl w:val="3"/>
          <w:numId w:val="30"/>
        </w:numPr>
        <w:rPr>
          <w:rFonts w:ascii="Arial" w:cs="Arial" w:eastAsia="Arial" w:hAnsi="Arial"/>
          <w:sz w:val="16"/>
          <w:szCs w:val="16"/>
          <w:color w:val="010000"/>
        </w:rPr>
      </w:pPr>
      <w:r>
        <w:rPr>
          <w:rFonts w:ascii="Arial" w:cs="Arial" w:eastAsia="Arial" w:hAnsi="Arial"/>
          <w:sz w:val="16"/>
          <w:szCs w:val="16"/>
          <w:color w:val="auto"/>
        </w:rPr>
        <w:t>Unless otherwise provided by the Committee, whether in an Award Agreement or otherwise, in the event of: (A) a Participant’s Termination by the Service Recipient for Cause, all outstanding vested and unvested SARs granted to such Participant shall immediately terminate and expire; (B) a Participant’s Termination due to death or Disability, each outstanding unvested SAR granted to such Participant shall immediately terminate and expire, and each outstanding vested SAR shall remain exercisable for one year thereafter (but in no event beyond ten (10) years from the Date of Grant); and (C) a Participant’s Termination for any other reason, each outstanding unvested SAR granted to such Participant shall immediately terminate and expire, and each outstanding vested SAR shall remain exercisable for three</w:t>
      </w:r>
    </w:p>
    <w:p>
      <w:pPr>
        <w:spacing w:after="0" w:line="4" w:lineRule="exact"/>
        <w:rPr>
          <w:rFonts w:ascii="Arial" w:cs="Arial" w:eastAsia="Arial" w:hAnsi="Arial"/>
          <w:sz w:val="16"/>
          <w:szCs w:val="16"/>
          <w:color w:val="010000"/>
        </w:rPr>
      </w:pPr>
    </w:p>
    <w:p>
      <w:pPr>
        <w:ind w:left="912" w:hanging="246"/>
        <w:spacing w:after="0"/>
        <w:tabs>
          <w:tab w:leader="none" w:pos="912" w:val="left"/>
        </w:tabs>
        <w:numPr>
          <w:ilvl w:val="1"/>
          <w:numId w:val="31"/>
        </w:numPr>
        <w:rPr>
          <w:rFonts w:ascii="Arial" w:cs="Arial" w:eastAsia="Arial" w:hAnsi="Arial"/>
          <w:sz w:val="18"/>
          <w:szCs w:val="18"/>
          <w:color w:val="auto"/>
        </w:rPr>
      </w:pPr>
      <w:r>
        <w:rPr>
          <w:rFonts w:ascii="Arial" w:cs="Arial" w:eastAsia="Arial" w:hAnsi="Arial"/>
          <w:sz w:val="18"/>
          <w:szCs w:val="18"/>
          <w:color w:val="auto"/>
        </w:rPr>
        <w:t>months thereafter (but in no event beyond ten (10) years from the Date of Grant).</w:t>
      </w:r>
    </w:p>
    <w:p>
      <w:pPr>
        <w:spacing w:after="0" w:line="210" w:lineRule="exact"/>
        <w:rPr>
          <w:rFonts w:ascii="Arial" w:cs="Arial" w:eastAsia="Arial" w:hAnsi="Arial"/>
          <w:sz w:val="18"/>
          <w:szCs w:val="18"/>
          <w:color w:val="auto"/>
        </w:rPr>
      </w:pPr>
    </w:p>
    <w:p>
      <w:pPr>
        <w:jc w:val="both"/>
        <w:ind w:left="552" w:firstLine="264"/>
        <w:spacing w:after="0" w:line="288" w:lineRule="auto"/>
        <w:tabs>
          <w:tab w:leader="none" w:pos="1390" w:val="left"/>
        </w:tabs>
        <w:numPr>
          <w:ilvl w:val="2"/>
          <w:numId w:val="31"/>
        </w:numPr>
        <w:rPr>
          <w:rFonts w:ascii="Arial" w:cs="Arial" w:eastAsia="Arial" w:hAnsi="Arial"/>
          <w:sz w:val="16"/>
          <w:szCs w:val="16"/>
          <w:color w:val="010000"/>
        </w:rPr>
      </w:pPr>
      <w:r>
        <w:rPr>
          <w:rFonts w:ascii="Arial" w:cs="Arial" w:eastAsia="Arial" w:hAnsi="Arial"/>
          <w:sz w:val="16"/>
          <w:szCs w:val="16"/>
          <w:u w:val="single" w:color="auto"/>
          <w:color w:val="auto"/>
        </w:rPr>
        <w:t>Time and Conditions of Exercise</w:t>
      </w:r>
      <w:r>
        <w:rPr>
          <w:rFonts w:ascii="Arial" w:cs="Arial" w:eastAsia="Arial" w:hAnsi="Arial"/>
          <w:sz w:val="16"/>
          <w:szCs w:val="16"/>
          <w:color w:val="auto"/>
        </w:rPr>
        <w:t>. A SAR shall entitle the Participant (or other person entitled to exercise the SAR pursuant to the Plan) to exercise all or a specified portion of the SAR (to the extent then exercisable pursuant to its terms) and to receive from the Company an amount equal to the excess of the aggregate Fair Market Value of the Shares on the date the SAR is exercised over the SAR Base Price, less applicable Tax-Related Items, subject to any limitations the Committee may impose. Payment of the amounts determined under this Section 9(d) shall be in cash, in Shares (based on the Fair Market Value of the Shares as of the date the SAR is exercised) or a combination of both, as determined by the Committee in the Award Agreement. Any fractional Shares shall be settled in cash. SARs that have become exercisable may be exercised by delivery of a notice of exercise to the Company (in such form as the Committee may specify from time to time). Until the Shares are issued (as evidenced by the appropriate entry on the books of the Company or of a duly authorized transfer agent of the Company), no dividends or Dividend Equivalent Right shall be paid, and no right to vote or receive dividends or Dividend Equivalent Rights or any other rights as a shareholder shall exist with respect to the Shares subject to a SAR, notwithstanding the exercise of the SAR.</w:t>
      </w:r>
    </w:p>
    <w:p>
      <w:pPr>
        <w:spacing w:after="0" w:line="371" w:lineRule="exact"/>
        <w:rPr>
          <w:sz w:val="20"/>
          <w:szCs w:val="20"/>
          <w:color w:val="auto"/>
        </w:rPr>
      </w:pPr>
    </w:p>
    <w:p>
      <w:pPr>
        <w:jc w:val="center"/>
        <w:ind w:right="-231"/>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48895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32"/>
          </w:cols>
          <w:pgMar w:left="328" w:top="341" w:right="639" w:bottom="1440" w:gutter="0" w:footer="0" w:header="0"/>
        </w:sectPr>
      </w:pPr>
    </w:p>
    <w:bookmarkStart w:id="22" w:name="page23"/>
    <w:bookmarkEnd w:id="22"/>
    <w:p>
      <w:pPr>
        <w:jc w:val="both"/>
        <w:ind w:left="560" w:firstLine="264"/>
        <w:spacing w:after="0" w:line="272" w:lineRule="auto"/>
        <w:tabs>
          <w:tab w:leader="none" w:pos="1347" w:val="left"/>
        </w:tabs>
        <w:numPr>
          <w:ilvl w:val="0"/>
          <w:numId w:val="32"/>
        </w:numPr>
        <w:rPr>
          <w:rFonts w:ascii="Arial" w:cs="Arial" w:eastAsia="Arial" w:hAnsi="Arial"/>
          <w:sz w:val="17"/>
          <w:szCs w:val="17"/>
          <w:color w:val="010000"/>
        </w:rPr>
      </w:pPr>
      <w:r>
        <w:rPr>
          <w:rFonts w:ascii="Arial" w:cs="Arial" w:eastAsia="Arial" w:hAnsi="Arial"/>
          <w:sz w:val="17"/>
          <w:szCs w:val="17"/>
          <w:u w:val="single" w:color="auto"/>
          <w:color w:val="auto"/>
        </w:rPr>
        <w:t>Tandem SARs</w:t>
      </w:r>
      <w:r>
        <w:rPr>
          <w:rFonts w:ascii="Arial" w:cs="Arial" w:eastAsia="Arial" w:hAnsi="Arial"/>
          <w:sz w:val="17"/>
          <w:szCs w:val="17"/>
          <w:color w:val="auto"/>
        </w:rPr>
        <w:t>. A SAR may be granted in connection with an Option, either at the time of grant or at any time thereafter during the term of the Option. A SAR granted in connection with an Option will entitle the holder, upon exercise, to surrender the Option or any portion thereof to the extent unexercised, with respect to the number of Shares as to which such SAR is exercised, and to receive payment of an amount computed as described in Section 9(d). The Option shall, to the extent and when surrendered, cease to be exercisable. A SAR granted in connection with an Option hereunder will have a SAR Base Price equal to the Exercise Price of the Option, will be exercisable at such time or times, and only to the extent, that the related Option is exercisable, and will expire no later than the related Option expires. If a related Option is exercised in whole or in part, then the SAR related to the Shares purchased terminates as of the date of such exercise.</w:t>
      </w:r>
    </w:p>
    <w:p>
      <w:pPr>
        <w:spacing w:after="0" w:line="173" w:lineRule="exact"/>
        <w:rPr>
          <w:sz w:val="20"/>
          <w:szCs w:val="20"/>
          <w:color w:val="auto"/>
        </w:rPr>
      </w:pPr>
    </w:p>
    <w:p>
      <w:pPr>
        <w:jc w:val="both"/>
        <w:ind w:left="560" w:hanging="552"/>
        <w:spacing w:after="0" w:line="258" w:lineRule="auto"/>
        <w:tabs>
          <w:tab w:leader="none" w:pos="560"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Other Equity-Based Awards</w:t>
      </w:r>
      <w:r>
        <w:rPr>
          <w:rFonts w:ascii="Arial" w:cs="Arial" w:eastAsia="Arial" w:hAnsi="Arial"/>
          <w:sz w:val="18"/>
          <w:szCs w:val="18"/>
          <w:color w:val="auto"/>
        </w:rPr>
        <w:t>. The Committee may grant Other Equity-Based Awards under the Plan, denominated in Shares or based upon the</w:t>
      </w:r>
      <w:r>
        <w:rPr>
          <w:rFonts w:ascii="Arial" w:cs="Arial" w:eastAsia="Arial" w:hAnsi="Arial"/>
          <w:sz w:val="18"/>
          <w:szCs w:val="18"/>
          <w:b w:val="1"/>
          <w:bCs w:val="1"/>
          <w:color w:val="auto"/>
        </w:rPr>
        <w:t xml:space="preserve"> </w:t>
      </w:r>
      <w:r>
        <w:rPr>
          <w:rFonts w:ascii="Arial" w:cs="Arial" w:eastAsia="Arial" w:hAnsi="Arial"/>
          <w:sz w:val="18"/>
          <w:szCs w:val="18"/>
          <w:color w:val="auto"/>
        </w:rPr>
        <w:t>value or otherwise related to the Shares, to Eligible Persons, alone or in tandem with other Awards, in such amounts and, subject to the Minimum Vesting Condition, dependent on such other conditions as the Committee shall from time to time in its sole discretion determine. Each Other Equity-Based Award granted under the Plan shall be evidenced by an Award Agreement and shall be subject to such conditions not inconsistent with the Plan as may be reflected in the applicable Award Agreement.</w:t>
      </w:r>
    </w:p>
    <w:p>
      <w:pPr>
        <w:spacing w:after="0" w:line="183" w:lineRule="exact"/>
        <w:rPr>
          <w:rFonts w:ascii="Arial" w:cs="Arial" w:eastAsia="Arial" w:hAnsi="Arial"/>
          <w:sz w:val="18"/>
          <w:szCs w:val="18"/>
          <w:color w:val="auto"/>
        </w:rPr>
      </w:pPr>
    </w:p>
    <w:p>
      <w:pPr>
        <w:ind w:left="560" w:hanging="552"/>
        <w:spacing w:after="0"/>
        <w:tabs>
          <w:tab w:leader="none" w:pos="560"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Non-Employee Director Grants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560" w:right="300" w:firstLine="264"/>
        <w:spacing w:after="0" w:line="277" w:lineRule="auto"/>
        <w:tabs>
          <w:tab w:leader="none" w:pos="1374" w:val="left"/>
        </w:tabs>
        <w:numPr>
          <w:ilvl w:val="1"/>
          <w:numId w:val="33"/>
        </w:numPr>
        <w:rPr>
          <w:rFonts w:ascii="Arial" w:cs="Arial" w:eastAsia="Arial" w:hAnsi="Arial"/>
          <w:sz w:val="18"/>
          <w:szCs w:val="18"/>
          <w:color w:val="010000"/>
        </w:rPr>
      </w:pPr>
      <w:r>
        <w:rPr>
          <w:rFonts w:ascii="Arial" w:cs="Arial" w:eastAsia="Arial" w:hAnsi="Arial"/>
          <w:sz w:val="18"/>
          <w:szCs w:val="18"/>
          <w:color w:val="auto"/>
        </w:rPr>
        <w:t>The Committee may, subject to Section 5(c) hereof, grant Awards to Non- Employee Directors (a “</w:t>
      </w:r>
      <w:r>
        <w:rPr>
          <w:rFonts w:ascii="Arial" w:cs="Arial" w:eastAsia="Arial" w:hAnsi="Arial"/>
          <w:sz w:val="18"/>
          <w:szCs w:val="18"/>
          <w:u w:val="single" w:color="auto"/>
          <w:color w:val="auto"/>
        </w:rPr>
        <w:t>Director Award</w:t>
      </w:r>
      <w:r>
        <w:rPr>
          <w:rFonts w:ascii="Arial" w:cs="Arial" w:eastAsia="Arial" w:hAnsi="Arial"/>
          <w:sz w:val="18"/>
          <w:szCs w:val="18"/>
          <w:color w:val="auto"/>
        </w:rPr>
        <w:t>”), subject to the terms of this Section 11.</w:t>
      </w:r>
    </w:p>
    <w:p>
      <w:pPr>
        <w:spacing w:after="0" w:line="170" w:lineRule="exact"/>
        <w:rPr>
          <w:rFonts w:ascii="Arial" w:cs="Arial" w:eastAsia="Arial" w:hAnsi="Arial"/>
          <w:sz w:val="18"/>
          <w:szCs w:val="18"/>
          <w:color w:val="010000"/>
        </w:rPr>
      </w:pPr>
    </w:p>
    <w:p>
      <w:pPr>
        <w:ind w:left="1380" w:hanging="556"/>
        <w:spacing w:after="0"/>
        <w:tabs>
          <w:tab w:leader="none" w:pos="1380" w:val="left"/>
        </w:tabs>
        <w:numPr>
          <w:ilvl w:val="1"/>
          <w:numId w:val="33"/>
        </w:numPr>
        <w:rPr>
          <w:rFonts w:ascii="Arial" w:cs="Arial" w:eastAsia="Arial" w:hAnsi="Arial"/>
          <w:sz w:val="17"/>
          <w:szCs w:val="17"/>
          <w:color w:val="010000"/>
        </w:rPr>
      </w:pPr>
      <w:r>
        <w:rPr>
          <w:rFonts w:ascii="Arial" w:cs="Arial" w:eastAsia="Arial" w:hAnsi="Arial"/>
          <w:sz w:val="17"/>
          <w:szCs w:val="17"/>
          <w:color w:val="auto"/>
        </w:rPr>
        <w:t>The form of any Director Award, as well as the vesting and other applicable conditions of a Director Award, shall be determined by</w:t>
      </w:r>
    </w:p>
    <w:p>
      <w:pPr>
        <w:spacing w:after="0" w:line="3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Board prior to the applicable Date of Grant.</w:t>
      </w:r>
    </w:p>
    <w:p>
      <w:pPr>
        <w:spacing w:after="0" w:line="207" w:lineRule="exact"/>
        <w:rPr>
          <w:sz w:val="20"/>
          <w:szCs w:val="20"/>
          <w:color w:val="auto"/>
        </w:rPr>
      </w:pPr>
    </w:p>
    <w:p>
      <w:pPr>
        <w:ind w:left="560" w:hanging="552"/>
        <w:spacing w:after="0" w:line="282" w:lineRule="auto"/>
        <w:tabs>
          <w:tab w:leader="none" w:pos="560"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Changes in Capital Structure and Similar Events</w:t>
      </w:r>
      <w:r>
        <w:rPr>
          <w:rFonts w:ascii="Arial" w:cs="Arial" w:eastAsia="Arial" w:hAnsi="Arial"/>
          <w:sz w:val="18"/>
          <w:szCs w:val="18"/>
          <w:color w:val="auto"/>
        </w:rPr>
        <w:t>. Notwithstanding any other provision in this Plan to the contrary, the following provisions shall</w:t>
      </w:r>
      <w:r>
        <w:rPr>
          <w:rFonts w:ascii="Arial" w:cs="Arial" w:eastAsia="Arial" w:hAnsi="Arial"/>
          <w:sz w:val="18"/>
          <w:szCs w:val="18"/>
          <w:b w:val="1"/>
          <w:bCs w:val="1"/>
          <w:color w:val="auto"/>
        </w:rPr>
        <w:t xml:space="preserve"> </w:t>
      </w:r>
      <w:r>
        <w:rPr>
          <w:rFonts w:ascii="Arial" w:cs="Arial" w:eastAsia="Arial" w:hAnsi="Arial"/>
          <w:sz w:val="18"/>
          <w:szCs w:val="18"/>
          <w:color w:val="auto"/>
        </w:rPr>
        <w:t>apply to all Awards granted hereunder</w:t>
      </w:r>
    </w:p>
    <w:p>
      <w:pPr>
        <w:spacing w:after="0" w:line="165" w:lineRule="exact"/>
        <w:rPr>
          <w:rFonts w:ascii="Arial" w:cs="Arial" w:eastAsia="Arial" w:hAnsi="Arial"/>
          <w:sz w:val="18"/>
          <w:szCs w:val="18"/>
          <w:color w:val="auto"/>
        </w:rPr>
      </w:pPr>
    </w:p>
    <w:p>
      <w:pPr>
        <w:jc w:val="both"/>
        <w:ind w:left="560" w:right="300" w:firstLine="264"/>
        <w:spacing w:after="0" w:line="267" w:lineRule="auto"/>
        <w:tabs>
          <w:tab w:leader="none" w:pos="1455" w:val="left"/>
        </w:tabs>
        <w:numPr>
          <w:ilvl w:val="1"/>
          <w:numId w:val="34"/>
        </w:numPr>
        <w:rPr>
          <w:rFonts w:ascii="Arial" w:cs="Arial" w:eastAsia="Arial" w:hAnsi="Arial"/>
          <w:sz w:val="17"/>
          <w:szCs w:val="17"/>
          <w:color w:val="010000"/>
        </w:rPr>
      </w:pPr>
      <w:r>
        <w:rPr>
          <w:rFonts w:ascii="Arial" w:cs="Arial" w:eastAsia="Arial" w:hAnsi="Arial"/>
          <w:sz w:val="17"/>
          <w:szCs w:val="17"/>
          <w:u w:val="single" w:color="auto"/>
          <w:color w:val="auto"/>
        </w:rPr>
        <w:t>General</w:t>
      </w:r>
      <w:r>
        <w:rPr>
          <w:rFonts w:ascii="Arial" w:cs="Arial" w:eastAsia="Arial" w:hAnsi="Arial"/>
          <w:sz w:val="17"/>
          <w:szCs w:val="17"/>
          <w:color w:val="auto"/>
        </w:rPr>
        <w:t>. In the event of (i) any dividend (other than regular cash dividends) or other distribution (whether in the form of cash, Shares, other securities or other property), recapitalization, stock split, reverse stock split, reorganization, merger, consolidation, split-up, split-off, spin-off, combination, repurchase or exchange of Shares or other securities of the Company, issuance of warrants or other rights to acquire Shares or other securities of the Company, or other similar corporate transaction or event that affects the Shares (including a Change in Control); or (ii) unusual or nonrecurring events affecting the Company, including changes in Applicable Laws, that the Committee determines, in its sole discretion, could result in substantial dilution or enlargement of the rights intended to be granted to, or available for, Participants (any event in (i) or (ii), an “</w:t>
      </w:r>
      <w:r>
        <w:rPr>
          <w:rFonts w:ascii="Arial" w:cs="Arial" w:eastAsia="Arial" w:hAnsi="Arial"/>
          <w:sz w:val="17"/>
          <w:szCs w:val="17"/>
          <w:u w:val="single" w:color="auto"/>
          <w:color w:val="auto"/>
        </w:rPr>
        <w:t>Adjustment Event</w:t>
      </w:r>
      <w:r>
        <w:rPr>
          <w:rFonts w:ascii="Arial" w:cs="Arial" w:eastAsia="Arial" w:hAnsi="Arial"/>
          <w:sz w:val="17"/>
          <w:szCs w:val="17"/>
          <w:color w:val="auto"/>
        </w:rPr>
        <w:t xml:space="preserve">”), the Committee shall, in respect of any such Adjustment Event, make such proportionate substitution or adjustment, if any, as it deems equitable, to any or all of (A) the Plan Share Reserve, or any other limit applicable under the Plan with respect to the number of Awards which may be granted hereunder; (B) the number of Shares or other securities of the Company (or number and kind of other securities or other property) which may be issued in respect of Awards or with respect to which Awards may be granted under the Plan or any Sub-Plan; and (C) the terms of any outstanding Award, including, without limitation, (I) the number of Shares or other securities of the Company (or number and kind of other securities or other property) subject to outstanding Awards or to which outstanding Awards relate; (II) the Exercise Price or SAR Base Price with respect to any Option or SAR, as applicable or any amount payable as a condition of issuance of Shares (in the case of any other Award) (provided that in no event shall the per share price of an Award be reduced to an amount that is lower than the nominal value of a Share); or (III) any applicable performance measures; </w:t>
      </w:r>
      <w:r>
        <w:rPr>
          <w:rFonts w:ascii="Arial" w:cs="Arial" w:eastAsia="Arial" w:hAnsi="Arial"/>
          <w:sz w:val="17"/>
          <w:szCs w:val="17"/>
          <w:i w:val="1"/>
          <w:iCs w:val="1"/>
          <w:color w:val="auto"/>
        </w:rPr>
        <w:t>provided</w:t>
      </w:r>
      <w:r>
        <w:rPr>
          <w:rFonts w:ascii="Arial" w:cs="Arial" w:eastAsia="Arial" w:hAnsi="Arial"/>
          <w:sz w:val="17"/>
          <w:szCs w:val="17"/>
          <w:color w:val="auto"/>
        </w:rPr>
        <w:t>, that in the case of any “equity restructuring” (within the meaning of the Financial Accounting Standards Board Accounting Standards Codification Topic 718 (or any successor pronouncement thereto)), the Committee shall make an equitable or proportionate adjustment to outstanding Awards to reflect such equity restructuring.</w:t>
      </w:r>
    </w:p>
    <w:p>
      <w:pPr>
        <w:spacing w:after="0" w:line="392"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3" w:name="page24"/>
    <w:bookmarkEnd w:id="23"/>
    <w:p>
      <w:pPr>
        <w:jc w:val="both"/>
        <w:ind w:firstLine="264"/>
        <w:spacing w:after="0" w:line="263" w:lineRule="auto"/>
        <w:tabs>
          <w:tab w:leader="none" w:pos="905" w:val="left"/>
        </w:tabs>
        <w:numPr>
          <w:ilvl w:val="0"/>
          <w:numId w:val="35"/>
        </w:numPr>
        <w:rPr>
          <w:rFonts w:ascii="Arial" w:cs="Arial" w:eastAsia="Arial" w:hAnsi="Arial"/>
          <w:sz w:val="18"/>
          <w:szCs w:val="18"/>
          <w:color w:val="010000"/>
        </w:rPr>
      </w:pPr>
      <w:r>
        <w:rPr>
          <w:rFonts w:ascii="Arial" w:cs="Arial" w:eastAsia="Arial" w:hAnsi="Arial"/>
          <w:sz w:val="18"/>
          <w:szCs w:val="18"/>
          <w:u w:val="single" w:color="auto"/>
          <w:color w:val="auto"/>
        </w:rPr>
        <w:t>Change in Control</w:t>
      </w:r>
      <w:r>
        <w:rPr>
          <w:rFonts w:ascii="Arial" w:cs="Arial" w:eastAsia="Arial" w:hAnsi="Arial"/>
          <w:sz w:val="18"/>
          <w:szCs w:val="18"/>
          <w:color w:val="auto"/>
        </w:rPr>
        <w:t>. In the event of a Change in Control, without limiting the foregoing and unless otherwise determined by the Committee (which determination may not include any accelerated vesting, except as provided in this Section 12(b)), in its sole discretion, the following provisions shall apply.</w:t>
      </w:r>
    </w:p>
    <w:p>
      <w:pPr>
        <w:spacing w:after="0" w:line="183" w:lineRule="exact"/>
        <w:rPr>
          <w:rFonts w:ascii="Arial" w:cs="Arial" w:eastAsia="Arial" w:hAnsi="Arial"/>
          <w:sz w:val="18"/>
          <w:szCs w:val="18"/>
          <w:color w:val="010000"/>
        </w:rPr>
      </w:pPr>
    </w:p>
    <w:p>
      <w:pPr>
        <w:jc w:val="both"/>
        <w:ind w:left="120" w:firstLine="642"/>
        <w:spacing w:after="0" w:line="272" w:lineRule="auto"/>
        <w:tabs>
          <w:tab w:leader="none" w:pos="1266" w:val="left"/>
        </w:tabs>
        <w:numPr>
          <w:ilvl w:val="1"/>
          <w:numId w:val="35"/>
        </w:numPr>
        <w:rPr>
          <w:rFonts w:ascii="Arial" w:cs="Arial" w:eastAsia="Arial" w:hAnsi="Arial"/>
          <w:sz w:val="17"/>
          <w:szCs w:val="17"/>
          <w:color w:val="010000"/>
        </w:rPr>
      </w:pPr>
      <w:r>
        <w:rPr>
          <w:rFonts w:ascii="Arial" w:cs="Arial" w:eastAsia="Arial" w:hAnsi="Arial"/>
          <w:sz w:val="17"/>
          <w:szCs w:val="17"/>
          <w:u w:val="single" w:color="auto"/>
          <w:color w:val="auto"/>
        </w:rPr>
        <w:t>Outstanding Awards with Time-Based Vesting</w:t>
      </w:r>
      <w:r>
        <w:rPr>
          <w:rFonts w:ascii="Arial" w:cs="Arial" w:eastAsia="Arial" w:hAnsi="Arial"/>
          <w:sz w:val="17"/>
          <w:szCs w:val="17"/>
          <w:color w:val="auto"/>
        </w:rPr>
        <w:t>. All outstanding Awards subject to vesting based on the Participant’s continued service over a period of time (“</w:t>
      </w:r>
      <w:r>
        <w:rPr>
          <w:rFonts w:ascii="Arial" w:cs="Arial" w:eastAsia="Arial" w:hAnsi="Arial"/>
          <w:sz w:val="17"/>
          <w:szCs w:val="17"/>
          <w:u w:val="single" w:color="auto"/>
          <w:color w:val="auto"/>
        </w:rPr>
        <w:t>Time-Based Awards</w:t>
      </w:r>
      <w:r>
        <w:rPr>
          <w:rFonts w:ascii="Arial" w:cs="Arial" w:eastAsia="Arial" w:hAnsi="Arial"/>
          <w:sz w:val="17"/>
          <w:szCs w:val="17"/>
          <w:color w:val="auto"/>
        </w:rPr>
        <w:t>”) shall be assumed by the surviving or acquiring entity, or its Affiliates (the “</w:t>
      </w:r>
      <w:r>
        <w:rPr>
          <w:rFonts w:ascii="Arial" w:cs="Arial" w:eastAsia="Arial" w:hAnsi="Arial"/>
          <w:sz w:val="17"/>
          <w:szCs w:val="17"/>
          <w:u w:val="single" w:color="auto"/>
          <w:color w:val="auto"/>
        </w:rPr>
        <w:t>Continuing</w:t>
      </w:r>
      <w:r>
        <w:rPr>
          <w:rFonts w:ascii="Arial" w:cs="Arial" w:eastAsia="Arial" w:hAnsi="Arial"/>
          <w:sz w:val="17"/>
          <w:szCs w:val="17"/>
          <w:color w:val="auto"/>
        </w:rPr>
        <w:t xml:space="preserve"> </w:t>
      </w:r>
      <w:r>
        <w:rPr>
          <w:rFonts w:ascii="Arial" w:cs="Arial" w:eastAsia="Arial" w:hAnsi="Arial"/>
          <w:sz w:val="17"/>
          <w:szCs w:val="17"/>
          <w:u w:val="single" w:color="auto"/>
          <w:color w:val="auto"/>
        </w:rPr>
        <w:t>Entity</w:t>
      </w:r>
      <w:r>
        <w:rPr>
          <w:rFonts w:ascii="Arial" w:cs="Arial" w:eastAsia="Arial" w:hAnsi="Arial"/>
          <w:sz w:val="17"/>
          <w:szCs w:val="17"/>
          <w:color w:val="auto"/>
        </w:rPr>
        <w:t>”), or substituted for new cash or equity-based awards of such Continuing Entity, as provided in the merger or acquisition agreement, or if no such assumption or substitution is provided for, all outstanding Time-Based Awards shall become fully vested and, to the extent applicable, exercisable and all forfeiture restrictions on such Awards shall lapse. To the extent that any Time-Based Awards are to be assumed or substituted, the Committee may provide that the vesting of any unvested portion of any one or more of such Awards will automatically accelerate upon a Participant’s Qualifying Termination.</w:t>
      </w:r>
    </w:p>
    <w:p>
      <w:pPr>
        <w:spacing w:after="0" w:line="177" w:lineRule="exact"/>
        <w:rPr>
          <w:rFonts w:ascii="Arial" w:cs="Arial" w:eastAsia="Arial" w:hAnsi="Arial"/>
          <w:sz w:val="17"/>
          <w:szCs w:val="17"/>
          <w:color w:val="010000"/>
        </w:rPr>
      </w:pPr>
    </w:p>
    <w:p>
      <w:pPr>
        <w:jc w:val="both"/>
        <w:ind w:left="120" w:firstLine="642"/>
        <w:spacing w:after="0" w:line="269" w:lineRule="auto"/>
        <w:tabs>
          <w:tab w:leader="none" w:pos="1451" w:val="left"/>
        </w:tabs>
        <w:numPr>
          <w:ilvl w:val="1"/>
          <w:numId w:val="35"/>
        </w:numPr>
        <w:rPr>
          <w:rFonts w:ascii="Arial" w:cs="Arial" w:eastAsia="Arial" w:hAnsi="Arial"/>
          <w:sz w:val="17"/>
          <w:szCs w:val="17"/>
          <w:color w:val="010000"/>
        </w:rPr>
      </w:pPr>
      <w:r>
        <w:rPr>
          <w:rFonts w:ascii="Arial" w:cs="Arial" w:eastAsia="Arial" w:hAnsi="Arial"/>
          <w:sz w:val="17"/>
          <w:szCs w:val="17"/>
          <w:u w:val="single" w:color="auto"/>
          <w:color w:val="auto"/>
        </w:rPr>
        <w:t>Outstanding Awards with Performance-Based Vesting</w:t>
      </w:r>
      <w:r>
        <w:rPr>
          <w:rFonts w:ascii="Arial" w:cs="Arial" w:eastAsia="Arial" w:hAnsi="Arial"/>
          <w:sz w:val="17"/>
          <w:szCs w:val="17"/>
          <w:color w:val="auto"/>
        </w:rPr>
        <w:t>. All outstanding unvested Awards subject to vesting based on the achievement of performance criteria (“</w:t>
      </w:r>
      <w:r>
        <w:rPr>
          <w:rFonts w:ascii="Arial" w:cs="Arial" w:eastAsia="Arial" w:hAnsi="Arial"/>
          <w:sz w:val="17"/>
          <w:szCs w:val="17"/>
          <w:u w:val="single" w:color="auto"/>
          <w:color w:val="auto"/>
        </w:rPr>
        <w:t>Performance-Based Awards</w:t>
      </w:r>
      <w:r>
        <w:rPr>
          <w:rFonts w:ascii="Arial" w:cs="Arial" w:eastAsia="Arial" w:hAnsi="Arial"/>
          <w:sz w:val="17"/>
          <w:szCs w:val="17"/>
          <w:color w:val="auto"/>
        </w:rPr>
        <w:t>”) shall vest as of the effective date of the Change in Control (A) at the target level, pro-rated to reflect the portion of the performance period that has elapsed as of the effective date of the Change in Control or (B) at the actual achievement level, based on the actual achievement of such performance criteria, as of the effective date of the Change in Control or the most recent practicable date immediately prior to the effective date of the Change in Control on which the performance criteria may be measured prior to such effective date, as reasonably determined by the Committee in good faith, including any reasonable assumptions, adjustments or projections related to such performance criteria. The level of vesting for each outstanding Performance-Based Award on a Change in Control as between clause (A) or (B) above shall be the level that provides the greatest value under each Performance-Based Award, which may be different with respect to each outstanding Performance-Based Award. Any unvested portion of any outstanding Performance- Based Award that does not become vested in connection with a Change in Control in accordance with this Section 12(b)(ii) shall terminate and cease to be outstanding as of the effective date of the Change in Control, without payment of any consideration to the Participant.</w:t>
      </w:r>
    </w:p>
    <w:p>
      <w:pPr>
        <w:spacing w:after="0" w:line="178" w:lineRule="exact"/>
        <w:rPr>
          <w:rFonts w:ascii="Arial" w:cs="Arial" w:eastAsia="Arial" w:hAnsi="Arial"/>
          <w:sz w:val="17"/>
          <w:szCs w:val="17"/>
          <w:color w:val="010000"/>
        </w:rPr>
      </w:pPr>
    </w:p>
    <w:p>
      <w:pPr>
        <w:jc w:val="both"/>
        <w:ind w:left="120" w:firstLine="642"/>
        <w:spacing w:after="0" w:line="268" w:lineRule="auto"/>
        <w:tabs>
          <w:tab w:leader="none" w:pos="1393" w:val="left"/>
        </w:tabs>
        <w:numPr>
          <w:ilvl w:val="1"/>
          <w:numId w:val="35"/>
        </w:numPr>
        <w:rPr>
          <w:rFonts w:ascii="Arial" w:cs="Arial" w:eastAsia="Arial" w:hAnsi="Arial"/>
          <w:sz w:val="17"/>
          <w:szCs w:val="17"/>
          <w:color w:val="010000"/>
        </w:rPr>
      </w:pPr>
      <w:r>
        <w:rPr>
          <w:rFonts w:ascii="Arial" w:cs="Arial" w:eastAsia="Arial" w:hAnsi="Arial"/>
          <w:sz w:val="17"/>
          <w:szCs w:val="17"/>
          <w:u w:val="single" w:color="auto"/>
          <w:color w:val="auto"/>
        </w:rPr>
        <w:t>Cancellation of Awards</w:t>
      </w:r>
      <w:r>
        <w:rPr>
          <w:rFonts w:ascii="Arial" w:cs="Arial" w:eastAsia="Arial" w:hAnsi="Arial"/>
          <w:sz w:val="17"/>
          <w:szCs w:val="17"/>
          <w:color w:val="auto"/>
        </w:rPr>
        <w:t>. In connection with a Change in Control, the Committee may, in its sole discretion, but shall not be obligated to, provide for cancellation of all or any portion of any one or more outstanding Awards and payment to the holders of such Awards, with respect to the portion of such Awards that are vested as of such cancellation (including, without limitation, any Awards that would vest in accordance with the terms of such Award or in accordance with this Section 12(b)(i) or (ii) hereof, as applicable), the value of the vested portion of such Awards, if any, as determined by the Committee (which value, if applicable, may be based upon the per- share consideration received or to be received by the holders of the Shares upon the occurrence of the Change in Control (the “</w:t>
      </w:r>
      <w:r>
        <w:rPr>
          <w:rFonts w:ascii="Arial" w:cs="Arial" w:eastAsia="Arial" w:hAnsi="Arial"/>
          <w:sz w:val="17"/>
          <w:szCs w:val="17"/>
          <w:u w:val="single" w:color="auto"/>
          <w:color w:val="auto"/>
        </w:rPr>
        <w:t>Change in Control Consideration</w:t>
      </w:r>
      <w:r>
        <w:rPr>
          <w:rFonts w:ascii="Arial" w:cs="Arial" w:eastAsia="Arial" w:hAnsi="Arial"/>
          <w:sz w:val="17"/>
          <w:szCs w:val="17"/>
          <w:color w:val="auto"/>
        </w:rPr>
        <w:t>”), including, without limitation, in the case of an outstanding Option or SAR, a cash payment in an amount equal to the excess, if any, of the Change in Control Consideration over the per- share Exercise Price or SAR Base Price, as applicable, of such Option or SAR, multiplied by the number of Shares underlying the vested portion of each such Option or SAR. Payments to holders with respect to the vested portion of such cancelled Awards pursuant to this Section 12(b)(iii) shall be made in cash or, in the sole discretion of the Committee, in such other form of consideration necessary for such holders to receive the property, cash, securities, and/or other consideration (or any combination thereof) as such holders would have been entitled to receive upon the occurrence of the Change in Control as if such holders had been, immediately prior to such Change in Control, the holder of the number of Shares covered by the vested portion of such cancelled Awards (less any applicable Exercise or SAR Base Price). The unvested portion of any outstanding Award, and the vested portion of any Option or SAR having an Exercise or Strike Price equal to, or in excess of, the Change in Control Consideration, may be canceled and terminated without any payment or consideration therefor.</w:t>
      </w:r>
    </w:p>
    <w:p>
      <w:pPr>
        <w:spacing w:after="0" w:line="382"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48895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80"/>
          </w:cols>
          <w:pgMar w:left="880" w:top="341" w:right="639" w:bottom="1440" w:gutter="0" w:footer="0" w:header="0"/>
        </w:sectPr>
      </w:pPr>
    </w:p>
    <w:bookmarkStart w:id="24" w:name="page25"/>
    <w:bookmarkEnd w:id="24"/>
    <w:p>
      <w:pPr>
        <w:jc w:val="both"/>
        <w:ind w:left="652"/>
        <w:spacing w:after="0" w:line="293" w:lineRule="auto"/>
        <w:rPr>
          <w:sz w:val="20"/>
          <w:szCs w:val="20"/>
          <w:color w:val="auto"/>
        </w:rPr>
      </w:pPr>
      <w:r>
        <w:rPr>
          <w:rFonts w:ascii="Arial" w:cs="Arial" w:eastAsia="Arial" w:hAnsi="Arial"/>
          <w:sz w:val="16"/>
          <w:szCs w:val="16"/>
          <w:color w:val="auto"/>
        </w:rPr>
        <w:t>For purposes of Section 12(b)(i) above, the assumption or substitution of an Award may include conversion of the Shares underlying such Award into shares of the Continuing Entity, or, subject to any limitations or reductions as may be necessary to comply with Section 409A of the Code, into cash, property or other securities having an equivalent value as the Award, which conversion shall not affect any continued vesting requirements of the Award (other than as provided in clause (i) above upon a Participant’s Qualifying Termination). For the avoidance of doubt, any such substitution of an Award shall not provide for the acceleration of any vesting requirements of the Award (other than as provided in clause (i) above upon a Participant’s Termination) and no Awards shall vest solely as a result of such assumption or substitution.</w:t>
      </w:r>
    </w:p>
    <w:p>
      <w:pPr>
        <w:spacing w:after="0" w:line="164" w:lineRule="exact"/>
        <w:rPr>
          <w:sz w:val="20"/>
          <w:szCs w:val="20"/>
          <w:color w:val="auto"/>
        </w:rPr>
      </w:pPr>
    </w:p>
    <w:p>
      <w:pPr>
        <w:jc w:val="both"/>
        <w:ind w:left="652" w:right="40" w:firstLine="168"/>
        <w:spacing w:after="0" w:line="296" w:lineRule="auto"/>
        <w:tabs>
          <w:tab w:leader="none" w:pos="1541" w:val="left"/>
        </w:tabs>
        <w:numPr>
          <w:ilvl w:val="0"/>
          <w:numId w:val="36"/>
        </w:numPr>
        <w:rPr>
          <w:rFonts w:ascii="Arial" w:cs="Arial" w:eastAsia="Arial" w:hAnsi="Arial"/>
          <w:sz w:val="16"/>
          <w:szCs w:val="16"/>
          <w:color w:val="010000"/>
        </w:rPr>
      </w:pPr>
      <w:r>
        <w:rPr>
          <w:rFonts w:ascii="Arial" w:cs="Arial" w:eastAsia="Arial" w:hAnsi="Arial"/>
          <w:sz w:val="16"/>
          <w:szCs w:val="16"/>
          <w:u w:val="single" w:color="auto"/>
          <w:color w:val="auto"/>
        </w:rPr>
        <w:t>Other Requirements</w:t>
      </w:r>
      <w:r>
        <w:rPr>
          <w:rFonts w:ascii="Arial" w:cs="Arial" w:eastAsia="Arial" w:hAnsi="Arial"/>
          <w:sz w:val="16"/>
          <w:szCs w:val="16"/>
          <w:color w:val="auto"/>
        </w:rPr>
        <w:t>. Prior to any payment or adjustment contemplated under this Section 12, the Committee may require a Participant to (i) represent and warrant as to the unencumbered title to the Participant’s Awards; (ii) bear such Participant’s pro rata share of any post-closing indemnity obligations, and be subject to the same post-closing purchase price adjustments, escrow terms, offset rights, holdback terms, and similar conditions as the other holders of Common Stock, subject to any limitations or reductions as may be necessary to comply with Section 409A of the Code; and (iii) deliver customary transfer documentation as reasonably determined by the Committee.</w:t>
      </w:r>
    </w:p>
    <w:p>
      <w:pPr>
        <w:spacing w:after="0" w:line="161" w:lineRule="exact"/>
        <w:rPr>
          <w:rFonts w:ascii="Arial" w:cs="Arial" w:eastAsia="Arial" w:hAnsi="Arial"/>
          <w:sz w:val="16"/>
          <w:szCs w:val="16"/>
          <w:color w:val="010000"/>
        </w:rPr>
      </w:pPr>
    </w:p>
    <w:p>
      <w:pPr>
        <w:ind w:left="652" w:right="260" w:firstLine="168"/>
        <w:spacing w:after="0" w:line="277" w:lineRule="auto"/>
        <w:tabs>
          <w:tab w:leader="none" w:pos="1474" w:val="left"/>
        </w:tabs>
        <w:numPr>
          <w:ilvl w:val="0"/>
          <w:numId w:val="36"/>
        </w:numPr>
        <w:rPr>
          <w:rFonts w:ascii="Arial" w:cs="Arial" w:eastAsia="Arial" w:hAnsi="Arial"/>
          <w:sz w:val="18"/>
          <w:szCs w:val="18"/>
          <w:color w:val="010000"/>
        </w:rPr>
      </w:pPr>
      <w:r>
        <w:rPr>
          <w:rFonts w:ascii="Arial" w:cs="Arial" w:eastAsia="Arial" w:hAnsi="Arial"/>
          <w:sz w:val="18"/>
          <w:szCs w:val="18"/>
          <w:u w:val="single" w:color="auto"/>
          <w:color w:val="auto"/>
        </w:rPr>
        <w:t>Fractional Shares</w:t>
      </w:r>
      <w:r>
        <w:rPr>
          <w:rFonts w:ascii="Arial" w:cs="Arial" w:eastAsia="Arial" w:hAnsi="Arial"/>
          <w:sz w:val="18"/>
          <w:szCs w:val="18"/>
          <w:color w:val="auto"/>
        </w:rPr>
        <w:t>. Any adjustment provided under this Section 12 may provide for the elimination of any fractional share that might otherwise become subject to an Award.</w:t>
      </w:r>
    </w:p>
    <w:p>
      <w:pPr>
        <w:spacing w:after="0" w:line="170" w:lineRule="exact"/>
        <w:rPr>
          <w:rFonts w:ascii="Arial" w:cs="Arial" w:eastAsia="Arial" w:hAnsi="Arial"/>
          <w:sz w:val="18"/>
          <w:szCs w:val="18"/>
          <w:color w:val="010000"/>
        </w:rPr>
      </w:pPr>
    </w:p>
    <w:p>
      <w:pPr>
        <w:ind w:left="1372" w:hanging="552"/>
        <w:spacing w:after="0"/>
        <w:tabs>
          <w:tab w:leader="none" w:pos="1372" w:val="left"/>
        </w:tabs>
        <w:numPr>
          <w:ilvl w:val="0"/>
          <w:numId w:val="36"/>
        </w:numPr>
        <w:rPr>
          <w:rFonts w:ascii="Arial" w:cs="Arial" w:eastAsia="Arial" w:hAnsi="Arial"/>
          <w:sz w:val="17"/>
          <w:szCs w:val="17"/>
          <w:color w:val="010000"/>
        </w:rPr>
      </w:pPr>
      <w:r>
        <w:rPr>
          <w:rFonts w:ascii="Arial" w:cs="Arial" w:eastAsia="Arial" w:hAnsi="Arial"/>
          <w:sz w:val="17"/>
          <w:szCs w:val="17"/>
          <w:u w:val="single" w:color="auto"/>
          <w:color w:val="auto"/>
        </w:rPr>
        <w:t>Binding Effect</w:t>
      </w:r>
      <w:r>
        <w:rPr>
          <w:rFonts w:ascii="Arial" w:cs="Arial" w:eastAsia="Arial" w:hAnsi="Arial"/>
          <w:sz w:val="17"/>
          <w:szCs w:val="17"/>
          <w:color w:val="auto"/>
        </w:rPr>
        <w:t>. Any adjustment, substitution, determination of value or other action taken by the Committee under this Section</w:t>
      </w:r>
    </w:p>
    <w:p>
      <w:pPr>
        <w:spacing w:after="0" w:line="35" w:lineRule="exact"/>
        <w:rPr>
          <w:sz w:val="20"/>
          <w:szCs w:val="20"/>
          <w:color w:val="auto"/>
        </w:rPr>
      </w:pPr>
    </w:p>
    <w:p>
      <w:pPr>
        <w:ind w:left="552"/>
        <w:spacing w:after="0"/>
        <w:rPr>
          <w:sz w:val="20"/>
          <w:szCs w:val="20"/>
          <w:color w:val="auto"/>
        </w:rPr>
      </w:pPr>
      <w:r>
        <w:rPr>
          <w:rFonts w:ascii="Arial" w:cs="Arial" w:eastAsia="Arial" w:hAnsi="Arial"/>
          <w:sz w:val="18"/>
          <w:szCs w:val="18"/>
          <w:color w:val="auto"/>
        </w:rPr>
        <w:t>12 shall be conclusive and binding for all purposes.</w:t>
      </w:r>
    </w:p>
    <w:p>
      <w:pPr>
        <w:spacing w:after="0" w:line="207" w:lineRule="exact"/>
        <w:rPr>
          <w:sz w:val="20"/>
          <w:szCs w:val="20"/>
          <w:color w:val="auto"/>
        </w:rPr>
      </w:pPr>
    </w:p>
    <w:p>
      <w:pPr>
        <w:ind w:left="552" w:hanging="552"/>
        <w:spacing w:after="0"/>
        <w:tabs>
          <w:tab w:leader="none" w:pos="552"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Amendments and Termination</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left="552" w:right="20" w:firstLine="264"/>
        <w:spacing w:after="0" w:line="289" w:lineRule="auto"/>
        <w:tabs>
          <w:tab w:leader="none" w:pos="1326" w:val="left"/>
        </w:tabs>
        <w:numPr>
          <w:ilvl w:val="1"/>
          <w:numId w:val="37"/>
        </w:numPr>
        <w:rPr>
          <w:rFonts w:ascii="Arial" w:cs="Arial" w:eastAsia="Arial" w:hAnsi="Arial"/>
          <w:sz w:val="16"/>
          <w:szCs w:val="16"/>
          <w:color w:val="010000"/>
        </w:rPr>
      </w:pPr>
      <w:r>
        <w:rPr>
          <w:rFonts w:ascii="Arial" w:cs="Arial" w:eastAsia="Arial" w:hAnsi="Arial"/>
          <w:sz w:val="16"/>
          <w:szCs w:val="16"/>
          <w:u w:val="single" w:color="auto"/>
          <w:color w:val="auto"/>
        </w:rPr>
        <w:t>Amendment and Termination of the Plan</w:t>
      </w:r>
      <w:r>
        <w:rPr>
          <w:rFonts w:ascii="Arial" w:cs="Arial" w:eastAsia="Arial" w:hAnsi="Arial"/>
          <w:sz w:val="16"/>
          <w:szCs w:val="16"/>
          <w:color w:val="auto"/>
        </w:rPr>
        <w:t xml:space="preserve">. The Board or the Committee may amend, alter, suspend, discontinue, or terminate the Plan or any portion thereof at any time;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such amendment, alteration, suspension, discontinuance or termination shall be made without stockholder approval if (i) such approval is necessary to comply with Applicable Laws; (ii) it would materially increase the number of securities which may be issued under the Plan (except for increases pursuant to Section 5 or 12 of the Plan); or (iii) it would materially modify the requirements for participation in the Plan; </w:t>
      </w:r>
      <w:r>
        <w:rPr>
          <w:rFonts w:ascii="Arial" w:cs="Arial" w:eastAsia="Arial" w:hAnsi="Arial"/>
          <w:sz w:val="16"/>
          <w:szCs w:val="16"/>
          <w:i w:val="1"/>
          <w:iCs w:val="1"/>
          <w:color w:val="auto"/>
        </w:rPr>
        <w:t>provided, further</w:t>
      </w:r>
      <w:r>
        <w:rPr>
          <w:rFonts w:ascii="Arial" w:cs="Arial" w:eastAsia="Arial" w:hAnsi="Arial"/>
          <w:sz w:val="16"/>
          <w:szCs w:val="16"/>
          <w:color w:val="auto"/>
        </w:rPr>
        <w:t>, that any such amendment, alteration, suspension, discontinuance or termination that would materially and adversely affect the rights of any Participant or any holder or beneficiary of any Award theretofore granted shall not to that extent be effective without the consent of the affected Participant, holder or beneficiary, except that no such consent shall be required to the extent that the Committee determines, in its sole discretion, that any such action is necessary or desirable to facilitate compliance with Applicable Laws. Notwithstanding the foregoing, no amendment shall be made to Section 13(c) of the Plan without stockholder approval.</w:t>
      </w:r>
    </w:p>
    <w:p>
      <w:pPr>
        <w:spacing w:after="0" w:line="166" w:lineRule="exact"/>
        <w:rPr>
          <w:rFonts w:ascii="Arial" w:cs="Arial" w:eastAsia="Arial" w:hAnsi="Arial"/>
          <w:sz w:val="16"/>
          <w:szCs w:val="16"/>
          <w:color w:val="010000"/>
        </w:rPr>
      </w:pPr>
    </w:p>
    <w:p>
      <w:pPr>
        <w:jc w:val="both"/>
        <w:ind w:left="552" w:right="20" w:firstLine="264"/>
        <w:spacing w:after="0" w:line="291" w:lineRule="auto"/>
        <w:tabs>
          <w:tab w:leader="none" w:pos="1457" w:val="left"/>
        </w:tabs>
        <w:numPr>
          <w:ilvl w:val="1"/>
          <w:numId w:val="37"/>
        </w:numPr>
        <w:rPr>
          <w:rFonts w:ascii="Arial" w:cs="Arial" w:eastAsia="Arial" w:hAnsi="Arial"/>
          <w:sz w:val="16"/>
          <w:szCs w:val="16"/>
          <w:color w:val="010000"/>
        </w:rPr>
      </w:pPr>
      <w:r>
        <w:rPr>
          <w:rFonts w:ascii="Arial" w:cs="Arial" w:eastAsia="Arial" w:hAnsi="Arial"/>
          <w:sz w:val="16"/>
          <w:szCs w:val="16"/>
          <w:u w:val="single" w:color="auto"/>
          <w:color w:val="auto"/>
        </w:rPr>
        <w:t>Amendment of Award Agreements</w:t>
      </w:r>
      <w:r>
        <w:rPr>
          <w:rFonts w:ascii="Arial" w:cs="Arial" w:eastAsia="Arial" w:hAnsi="Arial"/>
          <w:sz w:val="16"/>
          <w:szCs w:val="16"/>
          <w:color w:val="auto"/>
        </w:rPr>
        <w:t xml:space="preserve">. The Committee may, to the extent consistent with the terms of the Plan and any applicable Award Agreement, waive any conditions or rights under, amend any terms of, or alter, suspend, discontinue, cancel or terminate, any Award theretofore granted or the associated Award Agreement, prospectively or retroactively (including after a Participant’s Termination); </w:t>
      </w:r>
      <w:r>
        <w:rPr>
          <w:rFonts w:ascii="Arial" w:cs="Arial" w:eastAsia="Arial" w:hAnsi="Arial"/>
          <w:sz w:val="16"/>
          <w:szCs w:val="16"/>
          <w:i w:val="1"/>
          <w:iCs w:val="1"/>
          <w:color w:val="auto"/>
        </w:rPr>
        <w:t>provided</w:t>
      </w:r>
      <w:r>
        <w:rPr>
          <w:rFonts w:ascii="Arial" w:cs="Arial" w:eastAsia="Arial" w:hAnsi="Arial"/>
          <w:sz w:val="16"/>
          <w:szCs w:val="16"/>
          <w:color w:val="auto"/>
        </w:rPr>
        <w:t>, that, other than pursuant to Section 12, any such waiver, amendment, alteration, suspension, discontinuance, cancellation or termination that would materially and adversely affect the rights of any Participant with respect to any Award theretofore granted shall not to that extent be effective without the consent of the affected Participant, except that no such consent shall be required to the extent that the Committee determines, in its sole discretion, that any such action is necessary or desirable to facilitate compliance with Applicable Laws.</w:t>
      </w:r>
    </w:p>
    <w:p>
      <w:pPr>
        <w:spacing w:after="0" w:line="166" w:lineRule="exact"/>
        <w:rPr>
          <w:rFonts w:ascii="Arial" w:cs="Arial" w:eastAsia="Arial" w:hAnsi="Arial"/>
          <w:sz w:val="16"/>
          <w:szCs w:val="16"/>
          <w:color w:val="010000"/>
        </w:rPr>
      </w:pPr>
    </w:p>
    <w:p>
      <w:pPr>
        <w:jc w:val="both"/>
        <w:ind w:left="552" w:right="20" w:firstLine="264"/>
        <w:spacing w:after="0" w:line="293" w:lineRule="auto"/>
        <w:tabs>
          <w:tab w:leader="none" w:pos="1420" w:val="left"/>
        </w:tabs>
        <w:numPr>
          <w:ilvl w:val="1"/>
          <w:numId w:val="37"/>
        </w:numPr>
        <w:rPr>
          <w:rFonts w:ascii="Arial" w:cs="Arial" w:eastAsia="Arial" w:hAnsi="Arial"/>
          <w:sz w:val="16"/>
          <w:szCs w:val="16"/>
          <w:color w:val="010000"/>
        </w:rPr>
      </w:pPr>
      <w:r>
        <w:rPr>
          <w:rFonts w:ascii="Arial" w:cs="Arial" w:eastAsia="Arial" w:hAnsi="Arial"/>
          <w:sz w:val="16"/>
          <w:szCs w:val="16"/>
          <w:u w:val="single" w:color="auto"/>
          <w:color w:val="auto"/>
        </w:rPr>
        <w:t>No Repricing</w:t>
      </w:r>
      <w:r>
        <w:rPr>
          <w:rFonts w:ascii="Arial" w:cs="Arial" w:eastAsia="Arial" w:hAnsi="Arial"/>
          <w:sz w:val="16"/>
          <w:szCs w:val="16"/>
          <w:color w:val="auto"/>
        </w:rPr>
        <w:t>. Notwithstanding anything in the Plan to the contrary, without stockholder approval, except as otherwise permitted under Section 12 of the Plan, (i) no amendment or modification may reduce the Exercise Price of any Option or the SAR Base Price of any SAR; (ii) the Committee may not cancel any outstanding Option or SAR and replace it with a new Option or SAR (with a lower Exercise Price or SAR Base Price, as the case may be) or other Award or cash payment that is greater than the intrinsic value (if any) of the cancelled Option or SAR; and (iii) the Committee may not take any other action which is considered a “repricing” for purposes of the stockholder approval rules of any securities exchange or inter- dealer quotation system on which the securities of the Company are listed or quoted.</w:t>
      </w:r>
    </w:p>
    <w:p>
      <w:pPr>
        <w:spacing w:after="0" w:line="367" w:lineRule="exact"/>
        <w:rPr>
          <w:sz w:val="20"/>
          <w:szCs w:val="20"/>
          <w:color w:val="auto"/>
        </w:rPr>
      </w:pPr>
    </w:p>
    <w:p>
      <w:pPr>
        <w:jc w:val="center"/>
        <w:ind w:right="-231"/>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48895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52"/>
          </w:cols>
          <w:pgMar w:left="328" w:top="341" w:right="619" w:bottom="1440" w:gutter="0" w:footer="0" w:header="0"/>
        </w:sectPr>
      </w:pPr>
    </w:p>
    <w:bookmarkStart w:id="25" w:name="page26"/>
    <w:bookmarkEnd w:id="25"/>
    <w:p>
      <w:pPr>
        <w:ind w:left="552" w:hanging="552"/>
        <w:spacing w:after="0"/>
        <w:tabs>
          <w:tab w:leader="none" w:pos="552"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General</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left="552" w:firstLine="264"/>
        <w:spacing w:after="0" w:line="254" w:lineRule="auto"/>
        <w:tabs>
          <w:tab w:leader="none" w:pos="1501" w:val="left"/>
        </w:tabs>
        <w:numPr>
          <w:ilvl w:val="2"/>
          <w:numId w:val="38"/>
        </w:numPr>
        <w:rPr>
          <w:rFonts w:ascii="Arial" w:cs="Arial" w:eastAsia="Arial" w:hAnsi="Arial"/>
          <w:sz w:val="18"/>
          <w:szCs w:val="18"/>
          <w:color w:val="010000"/>
        </w:rPr>
      </w:pPr>
      <w:r>
        <w:rPr>
          <w:rFonts w:ascii="Arial" w:cs="Arial" w:eastAsia="Arial" w:hAnsi="Arial"/>
          <w:sz w:val="18"/>
          <w:szCs w:val="18"/>
          <w:u w:val="single" w:color="auto"/>
          <w:color w:val="auto"/>
        </w:rPr>
        <w:t>Award Agreements</w:t>
      </w:r>
      <w:r>
        <w:rPr>
          <w:rFonts w:ascii="Arial" w:cs="Arial" w:eastAsia="Arial" w:hAnsi="Arial"/>
          <w:sz w:val="18"/>
          <w:szCs w:val="18"/>
          <w:color w:val="auto"/>
        </w:rPr>
        <w:t>. Each Award under the Plan shall be evidenced by an Award Agreement, which shall be delivered to the Participant to whom such Award was granted and shall specify the terms and conditions of the Award and any rules applicable thereto, including, without limitation, the effect on such Award of the death, Disability or Termination of a Participant, or of such other events as may be determined by the Committee. For purposes of the Plan, an Award Agreement may be in any such form (written or electronic) as determined by the Committee (including, without limitation, a Board or Committee resolution, an employment agreement, a notice, a certificate or a letter) evidencing the Award. The Committee need not require an Award Agreement to be signed by the Participant or a duly authorized representative of the Company.</w:t>
      </w:r>
    </w:p>
    <w:p>
      <w:pPr>
        <w:spacing w:after="0" w:line="194" w:lineRule="exact"/>
        <w:rPr>
          <w:rFonts w:ascii="Arial" w:cs="Arial" w:eastAsia="Arial" w:hAnsi="Arial"/>
          <w:sz w:val="18"/>
          <w:szCs w:val="18"/>
          <w:color w:val="010000"/>
        </w:rPr>
      </w:pPr>
    </w:p>
    <w:p>
      <w:pPr>
        <w:ind w:left="1332" w:hanging="516"/>
        <w:spacing w:after="0"/>
        <w:tabs>
          <w:tab w:leader="none" w:pos="1332" w:val="left"/>
        </w:tabs>
        <w:numPr>
          <w:ilvl w:val="2"/>
          <w:numId w:val="38"/>
        </w:numPr>
        <w:rPr>
          <w:rFonts w:ascii="Arial" w:cs="Arial" w:eastAsia="Arial" w:hAnsi="Arial"/>
          <w:sz w:val="18"/>
          <w:szCs w:val="18"/>
          <w:color w:val="010000"/>
        </w:rPr>
      </w:pPr>
      <w:r>
        <w:rPr>
          <w:rFonts w:ascii="Arial" w:cs="Arial" w:eastAsia="Arial" w:hAnsi="Arial"/>
          <w:sz w:val="18"/>
          <w:szCs w:val="18"/>
          <w:u w:val="single" w:color="auto"/>
          <w:color w:val="auto"/>
        </w:rPr>
        <w:t>Nontransferability</w:t>
      </w:r>
      <w:r>
        <w:rPr>
          <w:rFonts w:ascii="Arial" w:cs="Arial" w:eastAsia="Arial" w:hAnsi="Arial"/>
          <w:sz w:val="18"/>
          <w:szCs w:val="18"/>
          <w:color w:val="auto"/>
        </w:rPr>
        <w:t>.</w:t>
      </w:r>
    </w:p>
    <w:p>
      <w:pPr>
        <w:spacing w:after="0" w:line="225" w:lineRule="exact"/>
        <w:rPr>
          <w:rFonts w:ascii="Arial" w:cs="Arial" w:eastAsia="Arial" w:hAnsi="Arial"/>
          <w:sz w:val="18"/>
          <w:szCs w:val="18"/>
          <w:color w:val="010000"/>
        </w:rPr>
      </w:pPr>
    </w:p>
    <w:p>
      <w:pPr>
        <w:jc w:val="both"/>
        <w:ind w:left="672" w:firstLine="642"/>
        <w:spacing w:after="0" w:line="254" w:lineRule="auto"/>
        <w:tabs>
          <w:tab w:leader="none" w:pos="1845" w:val="left"/>
        </w:tabs>
        <w:numPr>
          <w:ilvl w:val="3"/>
          <w:numId w:val="38"/>
        </w:numPr>
        <w:rPr>
          <w:rFonts w:ascii="Arial" w:cs="Arial" w:eastAsia="Arial" w:hAnsi="Arial"/>
          <w:sz w:val="18"/>
          <w:szCs w:val="18"/>
          <w:color w:val="010000"/>
        </w:rPr>
      </w:pPr>
      <w:r>
        <w:rPr>
          <w:rFonts w:ascii="Arial" w:cs="Arial" w:eastAsia="Arial" w:hAnsi="Arial"/>
          <w:sz w:val="18"/>
          <w:szCs w:val="18"/>
          <w:color w:val="auto"/>
        </w:rPr>
        <w:t xml:space="preserve">Each Award shall be exercisable only by such Participant to whom such Award was granted during the Participant’s lifetime, or, if permissible under Applicable Laws, by the Participant’s legal guardian or representative. No Award may be assigned, alienated, pledged, attached, sold or otherwise transferred or encumbered by a Participant (unless such transfer is specifically required pursuant to a domestic relations order or by Applicable Laws) other than by will or by the laws of descent and distribution and any such purported assignment, alienation, pledge, attachment, sale, transfer or encumbrance shall be void and unenforceable against any member of the Company Group; </w:t>
      </w:r>
      <w:r>
        <w:rPr>
          <w:rFonts w:ascii="Arial" w:cs="Arial" w:eastAsia="Arial" w:hAnsi="Arial"/>
          <w:sz w:val="18"/>
          <w:szCs w:val="18"/>
          <w:i w:val="1"/>
          <w:iCs w:val="1"/>
          <w:color w:val="auto"/>
        </w:rPr>
        <w:t>provided</w:t>
      </w:r>
      <w:r>
        <w:rPr>
          <w:rFonts w:ascii="Arial" w:cs="Arial" w:eastAsia="Arial" w:hAnsi="Arial"/>
          <w:sz w:val="18"/>
          <w:szCs w:val="18"/>
          <w:color w:val="auto"/>
        </w:rPr>
        <w:t>, that the designation of a beneficiary shall not constitute an assignment, alienation, pledge, attachment, sale, transfer or</w:t>
      </w:r>
      <w:r>
        <w:rPr>
          <w:rFonts w:ascii="Arial" w:cs="Arial" w:eastAsia="Arial" w:hAnsi="Arial"/>
          <w:sz w:val="18"/>
          <w:szCs w:val="18"/>
          <w:i w:val="1"/>
          <w:iCs w:val="1"/>
          <w:color w:val="auto"/>
        </w:rPr>
        <w:t xml:space="preserve"> </w:t>
      </w:r>
      <w:r>
        <w:rPr>
          <w:rFonts w:ascii="Arial" w:cs="Arial" w:eastAsia="Arial" w:hAnsi="Arial"/>
          <w:sz w:val="18"/>
          <w:szCs w:val="18"/>
          <w:color w:val="auto"/>
        </w:rPr>
        <w:t>encumbrance.</w:t>
      </w:r>
    </w:p>
    <w:p>
      <w:pPr>
        <w:spacing w:after="0" w:line="194" w:lineRule="exact"/>
        <w:rPr>
          <w:rFonts w:ascii="Arial" w:cs="Arial" w:eastAsia="Arial" w:hAnsi="Arial"/>
          <w:sz w:val="18"/>
          <w:szCs w:val="18"/>
          <w:color w:val="010000"/>
        </w:rPr>
      </w:pPr>
    </w:p>
    <w:p>
      <w:pPr>
        <w:jc w:val="both"/>
        <w:ind w:left="672" w:firstLine="642"/>
        <w:spacing w:after="0" w:line="269" w:lineRule="auto"/>
        <w:tabs>
          <w:tab w:leader="none" w:pos="1962" w:val="left"/>
        </w:tabs>
        <w:numPr>
          <w:ilvl w:val="3"/>
          <w:numId w:val="38"/>
        </w:numPr>
        <w:rPr>
          <w:rFonts w:ascii="Arial" w:cs="Arial" w:eastAsia="Arial" w:hAnsi="Arial"/>
          <w:sz w:val="17"/>
          <w:szCs w:val="17"/>
          <w:color w:val="010000"/>
        </w:rPr>
      </w:pPr>
      <w:r>
        <w:rPr>
          <w:rFonts w:ascii="Arial" w:cs="Arial" w:eastAsia="Arial" w:hAnsi="Arial"/>
          <w:sz w:val="17"/>
          <w:szCs w:val="17"/>
          <w:color w:val="auto"/>
        </w:rPr>
        <w:t>Notwithstanding the foregoing and subject to Applicable Laws, the Committee may, in its sole discretion, permit Awards (other than Incentive Stock Options) to be transferred by a Participant residing in the U.S., without consideration, subject to such rules as the Committee may adopt consistent with any applicable Award Agreement to preserve the purposes of the Plan, to (A) any person who is a “family member” of the Participant, as such term is used in the instructions to Form S-8 under the Securities Act or any successor form of registration statement promulgated by the SEC (collectively, the “</w:t>
      </w:r>
      <w:r>
        <w:rPr>
          <w:rFonts w:ascii="Arial" w:cs="Arial" w:eastAsia="Arial" w:hAnsi="Arial"/>
          <w:sz w:val="17"/>
          <w:szCs w:val="17"/>
          <w:u w:val="single" w:color="auto"/>
          <w:color w:val="auto"/>
        </w:rPr>
        <w:t>Immediate Family Members</w:t>
      </w:r>
      <w:r>
        <w:rPr>
          <w:rFonts w:ascii="Arial" w:cs="Arial" w:eastAsia="Arial" w:hAnsi="Arial"/>
          <w:sz w:val="17"/>
          <w:szCs w:val="17"/>
          <w:color w:val="auto"/>
        </w:rPr>
        <w:t>”); (B) a trust solely for the benefit of the Participant and the Participant’s Immediate Family Members; (C) a partnership or limited liability company whose only partners or stockholders are the Participant and the Participant’s Immediate Family Members; or (D) a beneficiary to whom donations are eligible to be treated as “charitable contributions” for federal income tax purposes (each transferee described in clauses (A), (B), (C) and (D) above is hereinafter referred to as a “</w:t>
      </w:r>
      <w:r>
        <w:rPr>
          <w:rFonts w:ascii="Arial" w:cs="Arial" w:eastAsia="Arial" w:hAnsi="Arial"/>
          <w:sz w:val="17"/>
          <w:szCs w:val="17"/>
          <w:u w:val="single" w:color="auto"/>
          <w:color w:val="auto"/>
        </w:rPr>
        <w:t>Permitted Transferee</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that the Participant gives the Committee advance written notice describing the terms and conditions of the proposed transfer and the Committee notifies the Participant in writing that such a transfer would comply with the requirements of the Plan. For the avoidance of doubt, Awards granted to Participants residing outside the U.S. are not transferable to Permitted Transferees.</w:t>
      </w:r>
    </w:p>
    <w:p>
      <w:pPr>
        <w:spacing w:after="0" w:line="178" w:lineRule="exact"/>
        <w:rPr>
          <w:rFonts w:ascii="Arial" w:cs="Arial" w:eastAsia="Arial" w:hAnsi="Arial"/>
          <w:sz w:val="17"/>
          <w:szCs w:val="17"/>
          <w:color w:val="010000"/>
        </w:rPr>
      </w:pPr>
    </w:p>
    <w:p>
      <w:pPr>
        <w:jc w:val="both"/>
        <w:ind w:left="672" w:right="40" w:firstLine="642"/>
        <w:spacing w:after="0" w:line="291" w:lineRule="auto"/>
        <w:tabs>
          <w:tab w:leader="none" w:pos="1999" w:val="left"/>
        </w:tabs>
        <w:numPr>
          <w:ilvl w:val="3"/>
          <w:numId w:val="38"/>
        </w:numPr>
        <w:rPr>
          <w:rFonts w:ascii="Arial" w:cs="Arial" w:eastAsia="Arial" w:hAnsi="Arial"/>
          <w:sz w:val="16"/>
          <w:szCs w:val="16"/>
          <w:color w:val="010000"/>
        </w:rPr>
      </w:pPr>
      <w:r>
        <w:rPr>
          <w:rFonts w:ascii="Arial" w:cs="Arial" w:eastAsia="Arial" w:hAnsi="Arial"/>
          <w:sz w:val="16"/>
          <w:szCs w:val="16"/>
          <w:color w:val="auto"/>
        </w:rPr>
        <w:t>The terms of any Award transferred in accordance with clause (ii) above shall apply to the Permitted Transferee and any reference in the Plan, or in any applicable Award Agreement, to a Participant shall be deemed to refer to the Permitted Transferee, except that</w:t>
      </w:r>
    </w:p>
    <w:p>
      <w:pPr>
        <w:jc w:val="both"/>
        <w:ind w:left="672" w:right="20" w:hanging="6"/>
        <w:spacing w:after="0" w:line="287" w:lineRule="auto"/>
        <w:tabs>
          <w:tab w:leader="none" w:pos="969" w:val="left"/>
        </w:tabs>
        <w:numPr>
          <w:ilvl w:val="1"/>
          <w:numId w:val="38"/>
        </w:numPr>
        <w:rPr>
          <w:rFonts w:ascii="Arial" w:cs="Arial" w:eastAsia="Arial" w:hAnsi="Arial"/>
          <w:sz w:val="16"/>
          <w:szCs w:val="16"/>
          <w:color w:val="auto"/>
        </w:rPr>
      </w:pPr>
      <w:r>
        <w:rPr>
          <w:rFonts w:ascii="Arial" w:cs="Arial" w:eastAsia="Arial" w:hAnsi="Arial"/>
          <w:sz w:val="16"/>
          <w:szCs w:val="16"/>
          <w:color w:val="auto"/>
        </w:rPr>
        <w:t>Permitted Transferees shall not be entitled to transfer any Award, other than by will or the laws of descent and distribution; (B) Permitted Transferees shall not be entitled to exercise any transferred Option unless there shall be in effect a registration statement on an appropriate form covering the Shares to be acquired pursuant to the exercise of such Option if the Committee determines, consistent with any applicable Award Agreement, that such a registration statement is necessary or appropriate; (C) neither the Committee nor the Company shall be required to provide any notice to a Permitted Transferee, whether or not such notice is or would otherwise have been required to be given to the Participant under the Plan or otherwise; and (D) the consequences of a Participant’s Termination under the terms of the Plan and the applicable Award Agreement shall continue to be applied with respect to the Participant, including, without limitation, that an Option shall be exercisable by the Permitted Transferee only to the extent, and for the periods, specified in the Plan and the applicable Award Agreement.</w:t>
      </w:r>
    </w:p>
    <w:p>
      <w:pPr>
        <w:spacing w:after="0" w:line="372" w:lineRule="exact"/>
        <w:rPr>
          <w:sz w:val="20"/>
          <w:szCs w:val="20"/>
          <w:color w:val="auto"/>
        </w:rPr>
      </w:pPr>
    </w:p>
    <w:p>
      <w:pPr>
        <w:jc w:val="center"/>
        <w:ind w:right="-231"/>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48895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32"/>
          </w:cols>
          <w:pgMar w:left="328" w:top="337" w:right="639" w:bottom="1440" w:gutter="0" w:footer="0" w:header="0"/>
        </w:sectPr>
      </w:pPr>
    </w:p>
    <w:bookmarkStart w:id="26" w:name="page27"/>
    <w:bookmarkEnd w:id="26"/>
    <w:p>
      <w:pPr>
        <w:ind w:left="780" w:hanging="516"/>
        <w:spacing w:after="0"/>
        <w:tabs>
          <w:tab w:leader="none" w:pos="780" w:val="left"/>
        </w:tabs>
        <w:numPr>
          <w:ilvl w:val="0"/>
          <w:numId w:val="39"/>
        </w:numPr>
        <w:rPr>
          <w:rFonts w:ascii="Arial" w:cs="Arial" w:eastAsia="Arial" w:hAnsi="Arial"/>
          <w:sz w:val="18"/>
          <w:szCs w:val="18"/>
          <w:color w:val="010000"/>
        </w:rPr>
      </w:pPr>
      <w:r>
        <w:rPr>
          <w:rFonts w:ascii="Arial" w:cs="Arial" w:eastAsia="Arial" w:hAnsi="Arial"/>
          <w:sz w:val="18"/>
          <w:szCs w:val="18"/>
          <w:u w:val="single" w:color="auto"/>
          <w:color w:val="auto"/>
        </w:rPr>
        <w:t>Dividends and Dividend Equivalent Rights</w:t>
      </w:r>
      <w:r>
        <w:rPr>
          <w:rFonts w:ascii="Arial" w:cs="Arial" w:eastAsia="Arial" w:hAnsi="Arial"/>
          <w:sz w:val="18"/>
          <w:szCs w:val="18"/>
          <w:color w:val="auto"/>
        </w:rPr>
        <w:t>.</w:t>
      </w:r>
    </w:p>
    <w:p>
      <w:pPr>
        <w:spacing w:after="0" w:line="225" w:lineRule="exact"/>
        <w:rPr>
          <w:rFonts w:ascii="Arial" w:cs="Arial" w:eastAsia="Arial" w:hAnsi="Arial"/>
          <w:sz w:val="18"/>
          <w:szCs w:val="18"/>
          <w:color w:val="010000"/>
        </w:rPr>
      </w:pPr>
    </w:p>
    <w:p>
      <w:pPr>
        <w:jc w:val="both"/>
        <w:ind w:left="120" w:right="20" w:firstLine="642"/>
        <w:spacing w:after="0" w:line="259" w:lineRule="auto"/>
        <w:tabs>
          <w:tab w:leader="none" w:pos="1306" w:val="left"/>
        </w:tabs>
        <w:numPr>
          <w:ilvl w:val="1"/>
          <w:numId w:val="39"/>
        </w:numPr>
        <w:rPr>
          <w:rFonts w:ascii="Arial" w:cs="Arial" w:eastAsia="Arial" w:hAnsi="Arial"/>
          <w:sz w:val="18"/>
          <w:szCs w:val="18"/>
          <w:color w:val="010000"/>
        </w:rPr>
      </w:pPr>
      <w:r>
        <w:rPr>
          <w:rFonts w:ascii="Arial" w:cs="Arial" w:eastAsia="Arial" w:hAnsi="Arial"/>
          <w:sz w:val="18"/>
          <w:szCs w:val="18"/>
          <w:color w:val="auto"/>
        </w:rPr>
        <w:t>The Committee may, in its sole discretion, grant Dividend Equivalent Rights, payable in cash, Shares, other securities, other Awards or other property, on a current or deferred basis, on such terms and conditions as may be determined by the Committee in its sole discretion, including, without limitation, payment directly to the Participant, withholding of such amounts by the Company subject to vesting of the Award or reinvestment in additional Shares.</w:t>
      </w:r>
    </w:p>
    <w:p>
      <w:pPr>
        <w:spacing w:after="0" w:line="186" w:lineRule="exact"/>
        <w:rPr>
          <w:rFonts w:ascii="Arial" w:cs="Arial" w:eastAsia="Arial" w:hAnsi="Arial"/>
          <w:sz w:val="18"/>
          <w:szCs w:val="18"/>
          <w:color w:val="010000"/>
        </w:rPr>
      </w:pPr>
    </w:p>
    <w:p>
      <w:pPr>
        <w:jc w:val="both"/>
        <w:ind w:left="120" w:right="20" w:firstLine="642"/>
        <w:spacing w:after="0" w:line="263" w:lineRule="auto"/>
        <w:tabs>
          <w:tab w:leader="none" w:pos="1302" w:val="left"/>
        </w:tabs>
        <w:numPr>
          <w:ilvl w:val="1"/>
          <w:numId w:val="39"/>
        </w:numPr>
        <w:rPr>
          <w:rFonts w:ascii="Arial" w:cs="Arial" w:eastAsia="Arial" w:hAnsi="Arial"/>
          <w:sz w:val="18"/>
          <w:szCs w:val="18"/>
          <w:color w:val="010000"/>
        </w:rPr>
      </w:pPr>
      <w:r>
        <w:rPr>
          <w:rFonts w:ascii="Arial" w:cs="Arial" w:eastAsia="Arial" w:hAnsi="Arial"/>
          <w:sz w:val="18"/>
          <w:szCs w:val="18"/>
          <w:color w:val="auto"/>
        </w:rPr>
        <w:t>Any dividend or Dividend Equivalent Right otherwise payable in respect of any Share of Restricted Stock or Restricted Stock Unit (or other full-value Award) that remains subject to vesting conditions at the time of payment of such dividend shall not be paid to the Participant to the extent the underlying Award does not vest.</w:t>
      </w:r>
    </w:p>
    <w:p>
      <w:pPr>
        <w:spacing w:after="0" w:line="183" w:lineRule="exact"/>
        <w:rPr>
          <w:rFonts w:ascii="Arial" w:cs="Arial" w:eastAsia="Arial" w:hAnsi="Arial"/>
          <w:sz w:val="18"/>
          <w:szCs w:val="18"/>
          <w:color w:val="010000"/>
        </w:rPr>
      </w:pPr>
    </w:p>
    <w:p>
      <w:pPr>
        <w:jc w:val="both"/>
        <w:ind w:firstLine="264"/>
        <w:spacing w:after="0" w:line="286" w:lineRule="auto"/>
        <w:tabs>
          <w:tab w:leader="none" w:pos="824" w:val="left"/>
        </w:tabs>
        <w:numPr>
          <w:ilvl w:val="0"/>
          <w:numId w:val="39"/>
        </w:numPr>
        <w:rPr>
          <w:rFonts w:ascii="Arial" w:cs="Arial" w:eastAsia="Arial" w:hAnsi="Arial"/>
          <w:sz w:val="16"/>
          <w:szCs w:val="16"/>
          <w:color w:val="010000"/>
        </w:rPr>
      </w:pPr>
      <w:r>
        <w:rPr>
          <w:rFonts w:ascii="Arial" w:cs="Arial" w:eastAsia="Arial" w:hAnsi="Arial"/>
          <w:sz w:val="16"/>
          <w:szCs w:val="16"/>
          <w:u w:val="single" w:color="auto"/>
          <w:color w:val="auto"/>
        </w:rPr>
        <w:t>Tax Withholding</w:t>
      </w:r>
      <w:r>
        <w:rPr>
          <w:rFonts w:ascii="Arial" w:cs="Arial" w:eastAsia="Arial" w:hAnsi="Arial"/>
          <w:sz w:val="16"/>
          <w:szCs w:val="16"/>
          <w:color w:val="auto"/>
        </w:rPr>
        <w:t>. The Company and its Subsidiaries and Affiliates shall be entitled to withhold, or require a Participant to remit to the Company or one or more of its Subsidiaries or Affiliates, as applicable, the amount of any Tax-Related Items attributable to any Awards. The Company may defer making payment or delivery if any such Tax-Related Items may be pending unless and until indemnified to its satisfaction, and the Company shall have no liability to any Participant for exercising the foregoing right. The Committee may, in its sole discretion and subject to such rules as it may adopt, permit or require a Participant to pay all or a portion of the Tax-Related Items arising in connection with an Award by, without limitation: (i) having the Participant pay an amount in cash (by check or wire transfer), (ii) having the Company withhold Shares otherwise issuable pursuant to the Award that have an aggregate Fair Market Value approximately equal to the amount to be withheld, (iii) the delivery of Shares (which are not subject to any pledge or other security interest) that have been both held by the Participant and vested for at least six (6) months (or such other period as established from time to time by the Committee to avoid adverse accounting treatment under applicable accounting standards) having an aggregate Fair Market Value approximately equal to the amount to be withheld, (iii) selling Shares issued pursuant to such Award and having the Company withhold from the proceeds of the sale of such Shares, (v) having the Company or a Subsidiary or Affiliate, as applicable, withhold from any cash compensation payable to the Participant, (vi) requiring the Participant to repay the Company or Subsidiary or Affiliate, as applicable, in cash or in Shares, for Tax-Related Items paid on the Participant’s behalf, or (vii) any other method of withholding determined by the Committee that is permissible under Applicable Laws.</w:t>
      </w:r>
    </w:p>
    <w:p>
      <w:pPr>
        <w:spacing w:after="0" w:line="170" w:lineRule="exact"/>
        <w:rPr>
          <w:rFonts w:ascii="Arial" w:cs="Arial" w:eastAsia="Arial" w:hAnsi="Arial"/>
          <w:sz w:val="16"/>
          <w:szCs w:val="16"/>
          <w:color w:val="010000"/>
        </w:rPr>
      </w:pPr>
    </w:p>
    <w:p>
      <w:pPr>
        <w:jc w:val="both"/>
        <w:ind w:firstLine="264"/>
        <w:spacing w:after="0" w:line="268" w:lineRule="auto"/>
        <w:tabs>
          <w:tab w:leader="none" w:pos="814" w:val="left"/>
        </w:tabs>
        <w:numPr>
          <w:ilvl w:val="0"/>
          <w:numId w:val="39"/>
        </w:numPr>
        <w:rPr>
          <w:rFonts w:ascii="Arial" w:cs="Arial" w:eastAsia="Arial" w:hAnsi="Arial"/>
          <w:sz w:val="17"/>
          <w:szCs w:val="17"/>
          <w:color w:val="010000"/>
        </w:rPr>
      </w:pPr>
      <w:r>
        <w:rPr>
          <w:rFonts w:ascii="Arial" w:cs="Arial" w:eastAsia="Arial" w:hAnsi="Arial"/>
          <w:sz w:val="17"/>
          <w:szCs w:val="17"/>
          <w:u w:val="single" w:color="auto"/>
          <w:color w:val="auto"/>
        </w:rPr>
        <w:t>No Claim to Awards; No Rights to Continued Employment; Waiver</w:t>
      </w:r>
      <w:r>
        <w:rPr>
          <w:rFonts w:ascii="Arial" w:cs="Arial" w:eastAsia="Arial" w:hAnsi="Arial"/>
          <w:sz w:val="17"/>
          <w:szCs w:val="17"/>
          <w:color w:val="auto"/>
        </w:rPr>
        <w:t>. No employee of any member of the Company Group, or other Person, shall have any claim or right to be granted an Award under the Plan or, having been selected for the grant of an Award, to be selected for a grant of any other Award. There is no obligation for uniformity of treatment of Participants or holders or beneficiaries of Awards. The terms and conditions of Awards and the Committee’s determinations and interpretations with respect thereto need not be the same with respect to each Participant and may be made selectively among Participants, whether or not such Participants are similarly situated. Neither the Plan nor any action taken hereunder shall be construed as giving any Participant any right to be retained in the employ or service of the Service Recipient or any other member of the Company Group, nor shall it be construed as giving any Participant any rights to continued service on the Board. The Service Recipient or any other member of the Company Group may at any time dismiss a Participant from employment or discontinue any consulting relationship, free from any liability or any claim under the Plan, unless otherwise expressly provided in the Plan or any Award Agreement. By accepting an Award under the Plan, a Participant shall thereby be deemed to have waived any claim to continued exercise or vesting of an Award or to damages or severance entitlement related to non-continuation of the Award beyond the period provided under the Plan or any Award Agreement, except to the extent of any provision to the contrary in any written employment contract or other agreement between the Service Recipient and/or any member of the Company Group and the Participant, whether any such agreement is executed before, on or after the Date of Grant.</w:t>
      </w:r>
    </w:p>
    <w:p>
      <w:pPr>
        <w:spacing w:after="0" w:line="387"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48895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80"/>
          </w:cols>
          <w:pgMar w:left="880" w:top="341" w:right="639" w:bottom="1440" w:gutter="0" w:footer="0" w:header="0"/>
        </w:sectPr>
      </w:pPr>
    </w:p>
    <w:bookmarkStart w:id="27" w:name="page28"/>
    <w:bookmarkEnd w:id="27"/>
    <w:p>
      <w:pPr>
        <w:jc w:val="both"/>
        <w:ind w:firstLine="264"/>
        <w:spacing w:after="0" w:line="259" w:lineRule="auto"/>
        <w:tabs>
          <w:tab w:leader="none" w:pos="961" w:val="left"/>
        </w:tabs>
        <w:numPr>
          <w:ilvl w:val="0"/>
          <w:numId w:val="40"/>
        </w:numPr>
        <w:rPr>
          <w:rFonts w:ascii="Arial" w:cs="Arial" w:eastAsia="Arial" w:hAnsi="Arial"/>
          <w:sz w:val="18"/>
          <w:szCs w:val="18"/>
          <w:color w:val="010000"/>
        </w:rPr>
      </w:pPr>
      <w:r>
        <w:rPr>
          <w:rFonts w:ascii="Arial" w:cs="Arial" w:eastAsia="Arial" w:hAnsi="Arial"/>
          <w:sz w:val="18"/>
          <w:szCs w:val="18"/>
          <w:u w:val="single" w:color="auto"/>
          <w:color w:val="auto"/>
        </w:rPr>
        <w:t>International Participants</w:t>
      </w:r>
      <w:r>
        <w:rPr>
          <w:rFonts w:ascii="Arial" w:cs="Arial" w:eastAsia="Arial" w:hAnsi="Arial"/>
          <w:sz w:val="18"/>
          <w:szCs w:val="18"/>
          <w:color w:val="auto"/>
        </w:rPr>
        <w:t>. With respect to Participants who reside or work outside of the U.S., the Committee may, in its sole discretion, amend the terms of the Plan and create or amend Sub-Plans or amend outstanding Awards with respect to such Participants in order to conform such terms with the requirements of local law, to obtain more favorable tax or other treatment for a Participant or any member of the Company Group, or to facilitate administration of the Plan.</w:t>
      </w:r>
    </w:p>
    <w:p>
      <w:pPr>
        <w:spacing w:after="0" w:line="186" w:lineRule="exact"/>
        <w:rPr>
          <w:rFonts w:ascii="Arial" w:cs="Arial" w:eastAsia="Arial" w:hAnsi="Arial"/>
          <w:sz w:val="18"/>
          <w:szCs w:val="18"/>
          <w:color w:val="010000"/>
        </w:rPr>
      </w:pPr>
    </w:p>
    <w:p>
      <w:pPr>
        <w:jc w:val="both"/>
        <w:ind w:firstLine="264"/>
        <w:spacing w:after="0" w:line="269" w:lineRule="auto"/>
        <w:tabs>
          <w:tab w:leader="none" w:pos="838" w:val="left"/>
        </w:tabs>
        <w:numPr>
          <w:ilvl w:val="0"/>
          <w:numId w:val="40"/>
        </w:numPr>
        <w:rPr>
          <w:rFonts w:ascii="Arial" w:cs="Arial" w:eastAsia="Arial" w:hAnsi="Arial"/>
          <w:sz w:val="17"/>
          <w:szCs w:val="17"/>
          <w:color w:val="010000"/>
        </w:rPr>
      </w:pPr>
      <w:r>
        <w:rPr>
          <w:rFonts w:ascii="Arial" w:cs="Arial" w:eastAsia="Arial" w:hAnsi="Arial"/>
          <w:sz w:val="17"/>
          <w:szCs w:val="17"/>
          <w:u w:val="single" w:color="auto"/>
          <w:color w:val="auto"/>
        </w:rPr>
        <w:t>Designation and Change of Beneficiary</w:t>
      </w:r>
      <w:r>
        <w:rPr>
          <w:rFonts w:ascii="Arial" w:cs="Arial" w:eastAsia="Arial" w:hAnsi="Arial"/>
          <w:sz w:val="17"/>
          <w:szCs w:val="17"/>
          <w:color w:val="auto"/>
        </w:rPr>
        <w:t xml:space="preserve">. If valid under Applicable Laws and permitted by the Committee, a Participant residing in the U.S. may file with the Committee a written designation of one or more Persons as the beneficiary(ies) who shall be entitled to receive the amounts payable with respect to an Award, if any, due under the Plan upon the Participant’s death. For the avoidance of doubt, a Participant residing outside of the U.S. may not designate beneficiaries with respect to Awards granted to the Participant under the Plan. A Participant may, from time to time, revoke or change the Participant’s beneficiary designation without the consent of any prior beneficiary by filing a new designation with the Committee. The last such designation received by the Committee shall be controlling; </w:t>
      </w:r>
      <w:r>
        <w:rPr>
          <w:rFonts w:ascii="Arial" w:cs="Arial" w:eastAsia="Arial" w:hAnsi="Arial"/>
          <w:sz w:val="17"/>
          <w:szCs w:val="17"/>
          <w:i w:val="1"/>
          <w:iCs w:val="1"/>
          <w:color w:val="auto"/>
        </w:rPr>
        <w:t>provided, however</w:t>
      </w:r>
      <w:r>
        <w:rPr>
          <w:rFonts w:ascii="Arial" w:cs="Arial" w:eastAsia="Arial" w:hAnsi="Arial"/>
          <w:sz w:val="17"/>
          <w:szCs w:val="17"/>
          <w:color w:val="auto"/>
        </w:rPr>
        <w:t>, that no designation, or change or revocation thereof, shall be effective unless received by the Committee prior to the Participant’s death, and in no event shall it be effective as of a date prior to such receipt. If no beneficiary designation is filed by a Participant residing in the U.S. or if a beneficiary designation is not valid under Applicable Laws, subject to Applicable Laws, the beneficiary shall be deemed to be the Participant’s spouse or, if the Participant is unmarried at the time of death, the Participant’s estate.</w:t>
      </w:r>
    </w:p>
    <w:p>
      <w:pPr>
        <w:spacing w:after="0" w:line="185" w:lineRule="exact"/>
        <w:rPr>
          <w:rFonts w:ascii="Arial" w:cs="Arial" w:eastAsia="Arial" w:hAnsi="Arial"/>
          <w:sz w:val="17"/>
          <w:szCs w:val="17"/>
          <w:color w:val="010000"/>
        </w:rPr>
      </w:pPr>
    </w:p>
    <w:p>
      <w:pPr>
        <w:jc w:val="both"/>
        <w:ind w:firstLine="264"/>
        <w:spacing w:after="0" w:line="288" w:lineRule="auto"/>
        <w:tabs>
          <w:tab w:leader="none" w:pos="892" w:val="left"/>
        </w:tabs>
        <w:numPr>
          <w:ilvl w:val="0"/>
          <w:numId w:val="40"/>
        </w:numPr>
        <w:rPr>
          <w:rFonts w:ascii="Arial" w:cs="Arial" w:eastAsia="Arial" w:hAnsi="Arial"/>
          <w:sz w:val="16"/>
          <w:szCs w:val="16"/>
          <w:color w:val="010000"/>
        </w:rPr>
      </w:pPr>
      <w:r>
        <w:rPr>
          <w:rFonts w:ascii="Arial" w:cs="Arial" w:eastAsia="Arial" w:hAnsi="Arial"/>
          <w:sz w:val="16"/>
          <w:szCs w:val="16"/>
          <w:u w:val="single" w:color="auto"/>
          <w:color w:val="auto"/>
        </w:rPr>
        <w:t>Termination</w:t>
      </w:r>
      <w:r>
        <w:rPr>
          <w:rFonts w:ascii="Arial" w:cs="Arial" w:eastAsia="Arial" w:hAnsi="Arial"/>
          <w:sz w:val="16"/>
          <w:szCs w:val="16"/>
          <w:color w:val="auto"/>
        </w:rPr>
        <w:t>. Except as otherwise provided in an Award Agreement, unless determined otherwise by the Committee at any point following such event: (i) neither a temporary absence from employment or service due to illness, vacation or leave of absence (including, without limitation, a call to active duty for military service through a Reserve or National Guard unit) nor a transfer from employment or service with one member of the Company Group to employment or service with another member of the Company Group (or vice-versa) shall be considered a Termination; and (ii) if a Participant undergoes a Termination of employment, but such Participant continues to provide services to the Company Group in a non-employee capacity, such change in status shall not be considered a Termination for purposes of the Plan. Further, unless otherwise determined by the Committee, in the event that any Service Recipient ceases to be a member of the Company Group (by reason of sale, divestiture, spin-off or other similar transaction), unless a Participant’s employment or service is transferred to another entity that would constitute a member of the Company Group immediately following such transaction, such Participant shall be deemed to have suffered a Termination hereunder as of the date of the consummation of such transaction.</w:t>
      </w:r>
    </w:p>
    <w:p>
      <w:pPr>
        <w:spacing w:after="0" w:line="168" w:lineRule="exact"/>
        <w:rPr>
          <w:rFonts w:ascii="Arial" w:cs="Arial" w:eastAsia="Arial" w:hAnsi="Arial"/>
          <w:sz w:val="16"/>
          <w:szCs w:val="16"/>
          <w:color w:val="010000"/>
        </w:rPr>
      </w:pPr>
    </w:p>
    <w:p>
      <w:pPr>
        <w:jc w:val="both"/>
        <w:ind w:firstLine="264"/>
        <w:spacing w:after="0" w:line="263" w:lineRule="auto"/>
        <w:tabs>
          <w:tab w:leader="none" w:pos="865" w:val="left"/>
        </w:tabs>
        <w:numPr>
          <w:ilvl w:val="0"/>
          <w:numId w:val="40"/>
        </w:numPr>
        <w:rPr>
          <w:rFonts w:ascii="Arial" w:cs="Arial" w:eastAsia="Arial" w:hAnsi="Arial"/>
          <w:sz w:val="18"/>
          <w:szCs w:val="18"/>
          <w:color w:val="010000"/>
        </w:rPr>
      </w:pPr>
      <w:r>
        <w:rPr>
          <w:rFonts w:ascii="Arial" w:cs="Arial" w:eastAsia="Arial" w:hAnsi="Arial"/>
          <w:sz w:val="18"/>
          <w:szCs w:val="18"/>
          <w:u w:val="single" w:color="auto"/>
          <w:color w:val="auto"/>
        </w:rPr>
        <w:t>No Rights as a Stockholder</w:t>
      </w:r>
      <w:r>
        <w:rPr>
          <w:rFonts w:ascii="Arial" w:cs="Arial" w:eastAsia="Arial" w:hAnsi="Arial"/>
          <w:sz w:val="18"/>
          <w:szCs w:val="18"/>
          <w:color w:val="auto"/>
        </w:rPr>
        <w:t>. Except as otherwise specifically provided in the Plan or any Award Agreement, no Person shall be entitled to the privileges of ownership in respect of Shares which are subject to Awards hereunder until such shares have been issued or delivered to such Person.</w:t>
      </w:r>
    </w:p>
    <w:p>
      <w:pPr>
        <w:spacing w:after="0" w:line="183" w:lineRule="exact"/>
        <w:rPr>
          <w:rFonts w:ascii="Arial" w:cs="Arial" w:eastAsia="Arial" w:hAnsi="Arial"/>
          <w:sz w:val="18"/>
          <w:szCs w:val="18"/>
          <w:color w:val="010000"/>
        </w:rPr>
      </w:pPr>
    </w:p>
    <w:p>
      <w:pPr>
        <w:ind w:left="740" w:hanging="476"/>
        <w:spacing w:after="0"/>
        <w:tabs>
          <w:tab w:leader="none" w:pos="740" w:val="left"/>
        </w:tabs>
        <w:numPr>
          <w:ilvl w:val="0"/>
          <w:numId w:val="40"/>
        </w:numPr>
        <w:rPr>
          <w:rFonts w:ascii="Arial" w:cs="Arial" w:eastAsia="Arial" w:hAnsi="Arial"/>
          <w:sz w:val="18"/>
          <w:szCs w:val="18"/>
          <w:color w:val="010000"/>
        </w:rPr>
      </w:pPr>
      <w:r>
        <w:rPr>
          <w:rFonts w:ascii="Arial" w:cs="Arial" w:eastAsia="Arial" w:hAnsi="Arial"/>
          <w:sz w:val="18"/>
          <w:szCs w:val="18"/>
          <w:u w:val="single" w:color="auto"/>
          <w:color w:val="auto"/>
        </w:rPr>
        <w:t>Government and Other Regulations</w:t>
      </w:r>
      <w:r>
        <w:rPr>
          <w:rFonts w:ascii="Arial" w:cs="Arial" w:eastAsia="Arial" w:hAnsi="Arial"/>
          <w:sz w:val="18"/>
          <w:szCs w:val="18"/>
          <w:color w:val="auto"/>
        </w:rPr>
        <w:t>.</w:t>
      </w:r>
    </w:p>
    <w:p>
      <w:pPr>
        <w:spacing w:after="0" w:line="225" w:lineRule="exact"/>
        <w:rPr>
          <w:rFonts w:ascii="Arial" w:cs="Arial" w:eastAsia="Arial" w:hAnsi="Arial"/>
          <w:sz w:val="18"/>
          <w:szCs w:val="18"/>
          <w:color w:val="010000"/>
        </w:rPr>
      </w:pPr>
    </w:p>
    <w:p>
      <w:pPr>
        <w:jc w:val="both"/>
        <w:ind w:left="120" w:firstLine="642"/>
        <w:spacing w:after="0" w:line="268" w:lineRule="auto"/>
        <w:tabs>
          <w:tab w:leader="none" w:pos="1252" w:val="left"/>
        </w:tabs>
        <w:numPr>
          <w:ilvl w:val="1"/>
          <w:numId w:val="40"/>
        </w:numPr>
        <w:rPr>
          <w:rFonts w:ascii="Arial" w:cs="Arial" w:eastAsia="Arial" w:hAnsi="Arial"/>
          <w:sz w:val="17"/>
          <w:szCs w:val="17"/>
          <w:color w:val="010000"/>
        </w:rPr>
      </w:pPr>
      <w:r>
        <w:rPr>
          <w:rFonts w:ascii="Arial" w:cs="Arial" w:eastAsia="Arial" w:hAnsi="Arial"/>
          <w:sz w:val="17"/>
          <w:szCs w:val="17"/>
          <w:color w:val="auto"/>
        </w:rPr>
        <w:t>The obligation of the Company to settle Awards in Shares or other consideration shall be subject to all Applicable Laws and to such approvals by governmental agencies as may be required. Notwithstanding any terms or conditions of any Award to the contrary, the Company shall be under no obligation to offer to sell or to sell, and shall be prohibited from offering to sell or selling, any Shares pursuant to an Award unless such Shares have been properly registered for sale pursuant to the Securities Act with the SEC or unless the Company has received an opinion of counsel (if the Company has requested such an opinion), satisfactory to the Company, that such Shares may be offered or sold without such registration pursuant to an available exemption therefrom and the terms and conditions of such exemption have been fully complied with. The Company shall be under no obligation to register for sale under the Securities Act any of the Shares to be offered or sold under the Plan. The Committee shall have the authority to provide that all Shares issued under the Plan shall be subject to such stop-transfer orders and other restrictions as the Committee may deem advisable under the Plan, the applicable Award Agreement, the Federal securities laws, or the rules, regulations and other requirements of the SEC, any securities exchange or inter-dealer quotation system on which the securities of the Company are listed or quoted and any other Applicable Laws and other requirements, and, without limiting the generality of Section 8 of the Plan, the Committee may cause such Shares issued under the Plan in book-entry form to be held subject to the Company’s instructions or subject to appropriate stop-transfer orders. Notwithstanding any provision in the Plan to the contrary, the Committee reserves the right to add any additional terms or provisions to any Award granted under the Plan that the Committee, in its sole discretion, deems necessary or advisable in order that such Award complies with the legal requirements of any governmental entity to whose jurisdiction the Award is subject.</w:t>
      </w:r>
    </w:p>
    <w:p>
      <w:pPr>
        <w:spacing w:after="0" w:line="382"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48895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80"/>
          </w:cols>
          <w:pgMar w:left="880" w:top="341" w:right="639" w:bottom="1440" w:gutter="0" w:footer="0" w:header="0"/>
        </w:sectPr>
      </w:pPr>
    </w:p>
    <w:bookmarkStart w:id="28" w:name="page29"/>
    <w:bookmarkEnd w:id="28"/>
    <w:p>
      <w:pPr>
        <w:jc w:val="both"/>
        <w:ind w:left="120" w:right="20" w:firstLine="642"/>
        <w:spacing w:after="0" w:line="286" w:lineRule="auto"/>
        <w:tabs>
          <w:tab w:leader="none" w:pos="1370" w:val="left"/>
        </w:tabs>
        <w:numPr>
          <w:ilvl w:val="1"/>
          <w:numId w:val="41"/>
        </w:numPr>
        <w:rPr>
          <w:rFonts w:ascii="Arial" w:cs="Arial" w:eastAsia="Arial" w:hAnsi="Arial"/>
          <w:sz w:val="16"/>
          <w:szCs w:val="16"/>
          <w:color w:val="010000"/>
        </w:rPr>
      </w:pPr>
      <w:r>
        <w:rPr>
          <w:rFonts w:ascii="Arial" w:cs="Arial" w:eastAsia="Arial" w:hAnsi="Arial"/>
          <w:sz w:val="16"/>
          <w:szCs w:val="16"/>
          <w:color w:val="auto"/>
        </w:rPr>
        <w:t>The Committee may cancel an Award or any portion thereof if it determines, in its sole discretion, that legal or contractual restrictions and/or blockage and/or other market considerations would make the Company’s acquisition of Shares from the public markets, the Company’s issuance of Common Stock to the Participant, the Participant’s acquisition of Common Stock from the Company and/or the Participant’s sale of Common Stock to the public markets, illegal, impracticable or inadvisable. If the Committee determines to cancel all or any portion of an Award in accordance with the foregoing, the Company shall, subject to any limitations or reductions as may be necessary to comply with Section 409A of the Code, (A) in the case of Options or SARs, provide the Participant with a cash payment or grant of Shares, subject to deferred vesting and delivery consistent with the vesting restrictions applicable to such Award, equal to the excess of (I) the aggregate Fair Market Value of the Shares subject to such Award or portion thereof canceled (determined as of the applicable exercise date, or the date that the Shares would have been vested or issued, as applicable); over (II) the aggregate Exercise Price or SAR Base Price (in the case of an Option or SAR, respectively) or any amount payable to the Company as a condition of issuance of Shares (in the case of any other Award), or (B) in the case of Restricted Stock, Restricted Stock Units or Other Equity-Based Awards, provide the Participant with a cash payment or grant of Shares, subject to deferred vesting and delivery consistent with the vesting restrictions applicable to such Award, equal to the value of such Award or the underlying shares in respect thereof.</w:t>
      </w:r>
    </w:p>
    <w:p>
      <w:pPr>
        <w:spacing w:after="0" w:line="173" w:lineRule="exact"/>
        <w:rPr>
          <w:rFonts w:ascii="Arial" w:cs="Arial" w:eastAsia="Arial" w:hAnsi="Arial"/>
          <w:sz w:val="16"/>
          <w:szCs w:val="16"/>
          <w:color w:val="010000"/>
        </w:rPr>
      </w:pPr>
    </w:p>
    <w:p>
      <w:pPr>
        <w:jc w:val="both"/>
        <w:ind w:firstLine="264"/>
        <w:spacing w:after="0" w:line="273" w:lineRule="auto"/>
        <w:tabs>
          <w:tab w:leader="none" w:pos="811" w:val="left"/>
        </w:tabs>
        <w:numPr>
          <w:ilvl w:val="0"/>
          <w:numId w:val="42"/>
        </w:numPr>
        <w:rPr>
          <w:rFonts w:ascii="Arial" w:cs="Arial" w:eastAsia="Arial" w:hAnsi="Arial"/>
          <w:sz w:val="17"/>
          <w:szCs w:val="17"/>
          <w:color w:val="010000"/>
        </w:rPr>
      </w:pPr>
      <w:r>
        <w:rPr>
          <w:rFonts w:ascii="Arial" w:cs="Arial" w:eastAsia="Arial" w:hAnsi="Arial"/>
          <w:sz w:val="17"/>
          <w:szCs w:val="17"/>
          <w:u w:val="single" w:color="auto"/>
          <w:color w:val="auto"/>
        </w:rPr>
        <w:t>No Section 83(b) Elections Without Consent of Company</w:t>
      </w:r>
      <w:r>
        <w:rPr>
          <w:rFonts w:ascii="Arial" w:cs="Arial" w:eastAsia="Arial" w:hAnsi="Arial"/>
          <w:sz w:val="17"/>
          <w:szCs w:val="17"/>
          <w:color w:val="auto"/>
        </w:rPr>
        <w:t>. No election under Section 83(b) of the Code or under a similar provision of law may be made unless expressly permitted by the terms of the applicable Award Agreement or by action of the Committee in writing prior to the making of such election. If a Participant, in connection with the acquisition of Shares under the Plan or otherwise, is expressly permitted to make such election and the Participant makes the election, the Participant shall notify the Company of such election within ten (10) days after filing notice of the election with the Internal Revenue Service or other governmental authority, in addition to any filing and notification required pursuant to Section 83(b) of the Code or other applicable provision.</w:t>
      </w:r>
    </w:p>
    <w:p>
      <w:pPr>
        <w:spacing w:after="0" w:line="177" w:lineRule="exact"/>
        <w:rPr>
          <w:rFonts w:ascii="Arial" w:cs="Arial" w:eastAsia="Arial" w:hAnsi="Arial"/>
          <w:sz w:val="17"/>
          <w:szCs w:val="17"/>
          <w:color w:val="010000"/>
        </w:rPr>
      </w:pPr>
    </w:p>
    <w:p>
      <w:pPr>
        <w:jc w:val="both"/>
        <w:ind w:firstLine="264"/>
        <w:spacing w:after="0" w:line="273" w:lineRule="auto"/>
        <w:tabs>
          <w:tab w:leader="none" w:pos="802" w:val="left"/>
        </w:tabs>
        <w:numPr>
          <w:ilvl w:val="0"/>
          <w:numId w:val="42"/>
        </w:numPr>
        <w:rPr>
          <w:rFonts w:ascii="Arial" w:cs="Arial" w:eastAsia="Arial" w:hAnsi="Arial"/>
          <w:sz w:val="17"/>
          <w:szCs w:val="17"/>
          <w:color w:val="010000"/>
        </w:rPr>
      </w:pPr>
      <w:r>
        <w:rPr>
          <w:rFonts w:ascii="Arial" w:cs="Arial" w:eastAsia="Arial" w:hAnsi="Arial"/>
          <w:sz w:val="17"/>
          <w:szCs w:val="17"/>
          <w:u w:val="single" w:color="auto"/>
          <w:color w:val="auto"/>
        </w:rPr>
        <w:t>Payments to Persons Other Than Participants</w:t>
      </w:r>
      <w:r>
        <w:rPr>
          <w:rFonts w:ascii="Arial" w:cs="Arial" w:eastAsia="Arial" w:hAnsi="Arial"/>
          <w:sz w:val="17"/>
          <w:szCs w:val="17"/>
          <w:color w:val="auto"/>
        </w:rPr>
        <w:t>. If the Committee shall find that any Person to whom any amount is payable under the Plan is unable to care for the Participant’s affairs because of illness or accident, or is a minor, or has died, then any payment due to such Person or the Participant’s estate (unless a prior claim therefor has been made by a duly appointed legal representative) may, if the Committee so directs the Company, be paid to the Participant’s spouse, child, relative, an institution maintaining or having custody of such Person, or any other Person deemed by the Committee to be a proper recipient on behalf of such Person otherwise entitled to payment. Any such payment shall be a complete discharge of the liability of the Committee and the Company therefor.</w:t>
      </w:r>
    </w:p>
    <w:p>
      <w:pPr>
        <w:spacing w:after="0" w:line="177" w:lineRule="exact"/>
        <w:rPr>
          <w:rFonts w:ascii="Arial" w:cs="Arial" w:eastAsia="Arial" w:hAnsi="Arial"/>
          <w:sz w:val="17"/>
          <w:szCs w:val="17"/>
          <w:color w:val="010000"/>
        </w:rPr>
      </w:pPr>
    </w:p>
    <w:p>
      <w:pPr>
        <w:jc w:val="both"/>
        <w:ind w:firstLine="264"/>
        <w:spacing w:after="0" w:line="259" w:lineRule="auto"/>
        <w:tabs>
          <w:tab w:leader="none" w:pos="861" w:val="left"/>
        </w:tabs>
        <w:numPr>
          <w:ilvl w:val="0"/>
          <w:numId w:val="42"/>
        </w:numPr>
        <w:rPr>
          <w:rFonts w:ascii="Arial" w:cs="Arial" w:eastAsia="Arial" w:hAnsi="Arial"/>
          <w:sz w:val="18"/>
          <w:szCs w:val="18"/>
          <w:color w:val="010000"/>
        </w:rPr>
      </w:pPr>
      <w:r>
        <w:rPr>
          <w:rFonts w:ascii="Arial" w:cs="Arial" w:eastAsia="Arial" w:hAnsi="Arial"/>
          <w:sz w:val="18"/>
          <w:szCs w:val="18"/>
          <w:u w:val="single" w:color="auto"/>
          <w:color w:val="auto"/>
        </w:rPr>
        <w:t>Nonexclusivity of the Plan</w:t>
      </w:r>
      <w:r>
        <w:rPr>
          <w:rFonts w:ascii="Arial" w:cs="Arial" w:eastAsia="Arial" w:hAnsi="Arial"/>
          <w:sz w:val="18"/>
          <w:szCs w:val="18"/>
          <w:color w:val="auto"/>
        </w:rPr>
        <w:t>. Neither the adoption of the Plan by the Board nor the submission of the Plan to the stockholders of the Company for approval shall be construed as creating any limitations on the power of the Board to adopt such other incentive arrangements as it may deem desirable, including, without limitation, the granting of equity-based awards otherwise than under the Plan, and such arrangements may be either applicable generally or only in specific cases.</w:t>
      </w:r>
    </w:p>
    <w:p>
      <w:pPr>
        <w:spacing w:after="0" w:line="186" w:lineRule="exact"/>
        <w:rPr>
          <w:rFonts w:ascii="Arial" w:cs="Arial" w:eastAsia="Arial" w:hAnsi="Arial"/>
          <w:sz w:val="18"/>
          <w:szCs w:val="18"/>
          <w:color w:val="010000"/>
        </w:rPr>
      </w:pPr>
    </w:p>
    <w:p>
      <w:pPr>
        <w:jc w:val="both"/>
        <w:ind w:firstLine="264"/>
        <w:spacing w:after="0" w:line="271" w:lineRule="auto"/>
        <w:tabs>
          <w:tab w:leader="none" w:pos="842" w:val="left"/>
        </w:tabs>
        <w:numPr>
          <w:ilvl w:val="0"/>
          <w:numId w:val="42"/>
        </w:numPr>
        <w:rPr>
          <w:rFonts w:ascii="Arial" w:cs="Arial" w:eastAsia="Arial" w:hAnsi="Arial"/>
          <w:sz w:val="17"/>
          <w:szCs w:val="17"/>
          <w:color w:val="010000"/>
        </w:rPr>
      </w:pPr>
      <w:r>
        <w:rPr>
          <w:rFonts w:ascii="Arial" w:cs="Arial" w:eastAsia="Arial" w:hAnsi="Arial"/>
          <w:sz w:val="17"/>
          <w:szCs w:val="17"/>
          <w:u w:val="single" w:color="auto"/>
          <w:color w:val="auto"/>
        </w:rPr>
        <w:t>No Trust or Fund Created</w:t>
      </w:r>
      <w:r>
        <w:rPr>
          <w:rFonts w:ascii="Arial" w:cs="Arial" w:eastAsia="Arial" w:hAnsi="Arial"/>
          <w:sz w:val="17"/>
          <w:szCs w:val="17"/>
          <w:color w:val="auto"/>
        </w:rPr>
        <w:t>. Neither the Plan nor any Award shall create or be construed to create a trust or separate fund of any kind or a fiduciary relationship between any member of the Company Group, on the one hand, and a Participant or other Person, on the other hand. No provision of the Plan or any Award shall require the Company, for the purpose of satisfying any obligations under the Plan, to purchase assets or place any assets in a trust or other entity to which contributions are made or otherwise to segregate any assets, nor shall the Company be obligated to maintain separate bank accounts, books, records or other evidence of the existence of a segregated or separately maintained or administered fund for such purposes. Participants shall have no rights under the Plan other than as unsecured general creditors of the Company, except that insofar as they may have become entitled to payment of additional compensation by performance of services, they shall have the same rights as other service providers under general law.</w:t>
      </w:r>
    </w:p>
    <w:p>
      <w:pPr>
        <w:spacing w:after="0" w:line="381"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48895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80"/>
          </w:cols>
          <w:pgMar w:left="880" w:top="341" w:right="639" w:bottom="1440" w:gutter="0" w:footer="0" w:header="0"/>
        </w:sectPr>
      </w:pPr>
    </w:p>
    <w:bookmarkStart w:id="29" w:name="page30"/>
    <w:bookmarkEnd w:id="29"/>
    <w:p>
      <w:pPr>
        <w:jc w:val="both"/>
        <w:ind w:firstLine="264"/>
        <w:spacing w:after="0" w:line="259" w:lineRule="auto"/>
        <w:tabs>
          <w:tab w:leader="none" w:pos="784" w:val="left"/>
        </w:tabs>
        <w:numPr>
          <w:ilvl w:val="0"/>
          <w:numId w:val="43"/>
        </w:numPr>
        <w:rPr>
          <w:rFonts w:ascii="Arial" w:cs="Arial" w:eastAsia="Arial" w:hAnsi="Arial"/>
          <w:sz w:val="18"/>
          <w:szCs w:val="18"/>
          <w:color w:val="010000"/>
        </w:rPr>
      </w:pPr>
      <w:r>
        <w:rPr>
          <w:rFonts w:ascii="Arial" w:cs="Arial" w:eastAsia="Arial" w:hAnsi="Arial"/>
          <w:sz w:val="18"/>
          <w:szCs w:val="18"/>
          <w:u w:val="single" w:color="auto"/>
          <w:color w:val="auto"/>
        </w:rPr>
        <w:t>Reliance on Reports</w:t>
      </w:r>
      <w:r>
        <w:rPr>
          <w:rFonts w:ascii="Arial" w:cs="Arial" w:eastAsia="Arial" w:hAnsi="Arial"/>
          <w:sz w:val="18"/>
          <w:szCs w:val="18"/>
          <w:color w:val="auto"/>
        </w:rPr>
        <w:t>. Each member of the Committee and each member of the Board shall be fully justified in acting or failing to act, as the case may be, and shall not be liable for having so acted or failed to act in good faith, in reliance upon any report made by the independent public accountant of any member of the Company Group and/or any other information furnished in connection with the Plan by any agent of the Company or the Committee or the Board, other than himself or herself.</w:t>
      </w:r>
    </w:p>
    <w:p>
      <w:pPr>
        <w:spacing w:after="0" w:line="186" w:lineRule="exact"/>
        <w:rPr>
          <w:rFonts w:ascii="Arial" w:cs="Arial" w:eastAsia="Arial" w:hAnsi="Arial"/>
          <w:sz w:val="18"/>
          <w:szCs w:val="18"/>
          <w:color w:val="010000"/>
        </w:rPr>
      </w:pPr>
    </w:p>
    <w:p>
      <w:pPr>
        <w:jc w:val="both"/>
        <w:ind w:firstLine="264"/>
        <w:spacing w:after="0" w:line="263" w:lineRule="auto"/>
        <w:tabs>
          <w:tab w:leader="none" w:pos="932" w:val="left"/>
        </w:tabs>
        <w:numPr>
          <w:ilvl w:val="0"/>
          <w:numId w:val="43"/>
        </w:numPr>
        <w:rPr>
          <w:rFonts w:ascii="Arial" w:cs="Arial" w:eastAsia="Arial" w:hAnsi="Arial"/>
          <w:sz w:val="18"/>
          <w:szCs w:val="18"/>
          <w:color w:val="010000"/>
        </w:rPr>
      </w:pPr>
      <w:r>
        <w:rPr>
          <w:rFonts w:ascii="Arial" w:cs="Arial" w:eastAsia="Arial" w:hAnsi="Arial"/>
          <w:sz w:val="18"/>
          <w:szCs w:val="18"/>
          <w:u w:val="single" w:color="auto"/>
          <w:color w:val="auto"/>
        </w:rPr>
        <w:t>Relationship to Other Benefits</w:t>
      </w:r>
      <w:r>
        <w:rPr>
          <w:rFonts w:ascii="Arial" w:cs="Arial" w:eastAsia="Arial" w:hAnsi="Arial"/>
          <w:sz w:val="18"/>
          <w:szCs w:val="18"/>
          <w:color w:val="auto"/>
        </w:rPr>
        <w:t>. No payment under the Plan shall be taken into account in determining any benefits under any pension, retirement, profit sharing, group insurance or other benefit plan of the Company except as otherwise specifically provided in such other plan or as required by Applicable Laws.</w:t>
      </w:r>
    </w:p>
    <w:p>
      <w:pPr>
        <w:spacing w:after="0" w:line="183" w:lineRule="exact"/>
        <w:rPr>
          <w:rFonts w:ascii="Arial" w:cs="Arial" w:eastAsia="Arial" w:hAnsi="Arial"/>
          <w:sz w:val="18"/>
          <w:szCs w:val="18"/>
          <w:color w:val="010000"/>
        </w:rPr>
      </w:pPr>
    </w:p>
    <w:p>
      <w:pPr>
        <w:jc w:val="both"/>
        <w:ind w:firstLine="264"/>
        <w:spacing w:after="0" w:line="257" w:lineRule="auto"/>
        <w:tabs>
          <w:tab w:leader="none" w:pos="959" w:val="left"/>
        </w:tabs>
        <w:numPr>
          <w:ilvl w:val="0"/>
          <w:numId w:val="43"/>
        </w:numPr>
        <w:rPr>
          <w:rFonts w:ascii="Arial" w:cs="Arial" w:eastAsia="Arial" w:hAnsi="Arial"/>
          <w:sz w:val="18"/>
          <w:szCs w:val="18"/>
          <w:color w:val="010000"/>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Plan shall be governed by and construed in accordance with the internal laws of the State of Delaware applicable to contracts made and performed wholly within the State of Delaware, without giving effect to the conflict of laws provisions thereof. EACH PARTICIPANT WHO ACCEPTS AN AWARD IRREVOCABLY WAIVES ALL RIGHT TO A TRIAL BY JURY IN ANY SUIT, ACTION, OR OTHER PROCEEDING INSTITUTED BY OR AGAINST SUCH PARTICIPANT IN RESPECT OF THE PARTICIPANT’S RIGHTS OR OBLIGATIONS HEREUNDER.</w:t>
      </w:r>
    </w:p>
    <w:p>
      <w:pPr>
        <w:spacing w:after="0" w:line="187" w:lineRule="exact"/>
        <w:rPr>
          <w:rFonts w:ascii="Arial" w:cs="Arial" w:eastAsia="Arial" w:hAnsi="Arial"/>
          <w:sz w:val="18"/>
          <w:szCs w:val="18"/>
          <w:color w:val="010000"/>
        </w:rPr>
      </w:pPr>
    </w:p>
    <w:p>
      <w:pPr>
        <w:jc w:val="both"/>
        <w:ind w:firstLine="264"/>
        <w:spacing w:after="0" w:line="255" w:lineRule="auto"/>
        <w:tabs>
          <w:tab w:leader="none" w:pos="835" w:val="left"/>
        </w:tabs>
        <w:numPr>
          <w:ilvl w:val="0"/>
          <w:numId w:val="43"/>
        </w:numPr>
        <w:rPr>
          <w:rFonts w:ascii="Arial" w:cs="Arial" w:eastAsia="Arial" w:hAnsi="Arial"/>
          <w:sz w:val="18"/>
          <w:szCs w:val="18"/>
          <w:color w:val="010000"/>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the Plan or any Award or Award Agreement is or becomes or is deemed to be invalid, illegal, or unenforceable in any jurisdiction or as to any Person or Award, or would disqualify the Plan or any Award under any law deemed applicable by the Committee, such provision shall be construed or deemed amended to conform to the Applicable Laws, or if it cannot be construed or deemed amended without, in the determination of the Committee, materially altering the intent of the Plan or the Award, such provision shall be construed or deemed stricken as to such jurisdiction, Person or Award and the remainder of the Plan and any such Award shall remain in full force and effect.</w:t>
      </w:r>
    </w:p>
    <w:p>
      <w:pPr>
        <w:spacing w:after="0" w:line="192" w:lineRule="exact"/>
        <w:rPr>
          <w:rFonts w:ascii="Arial" w:cs="Arial" w:eastAsia="Arial" w:hAnsi="Arial"/>
          <w:sz w:val="18"/>
          <w:szCs w:val="18"/>
          <w:color w:val="010000"/>
        </w:rPr>
      </w:pPr>
    </w:p>
    <w:p>
      <w:pPr>
        <w:jc w:val="both"/>
        <w:ind w:firstLine="264"/>
        <w:spacing w:after="0" w:line="263" w:lineRule="auto"/>
        <w:tabs>
          <w:tab w:leader="none" w:pos="777" w:val="left"/>
        </w:tabs>
        <w:numPr>
          <w:ilvl w:val="0"/>
          <w:numId w:val="43"/>
        </w:numPr>
        <w:rPr>
          <w:rFonts w:ascii="Arial" w:cs="Arial" w:eastAsia="Arial" w:hAnsi="Arial"/>
          <w:sz w:val="18"/>
          <w:szCs w:val="18"/>
          <w:color w:val="010000"/>
        </w:rPr>
      </w:pPr>
      <w:r>
        <w:rPr>
          <w:rFonts w:ascii="Arial" w:cs="Arial" w:eastAsia="Arial" w:hAnsi="Arial"/>
          <w:sz w:val="18"/>
          <w:szCs w:val="18"/>
          <w:u w:val="single" w:color="auto"/>
          <w:color w:val="auto"/>
        </w:rPr>
        <w:t>Obligations Binding on Successors</w:t>
      </w:r>
      <w:r>
        <w:rPr>
          <w:rFonts w:ascii="Arial" w:cs="Arial" w:eastAsia="Arial" w:hAnsi="Arial"/>
          <w:sz w:val="18"/>
          <w:szCs w:val="18"/>
          <w:color w:val="auto"/>
        </w:rPr>
        <w:t>. The obligations of the Company under the Plan shall be binding upon any successor corporation or organization resulting from the merger, consolidation or other reorganization of the Company, or upon any successor corporation or organization succeeding to substantially all of the assets and business of the Company.</w:t>
      </w:r>
    </w:p>
    <w:p>
      <w:pPr>
        <w:spacing w:after="0" w:line="183" w:lineRule="exact"/>
        <w:rPr>
          <w:rFonts w:ascii="Arial" w:cs="Arial" w:eastAsia="Arial" w:hAnsi="Arial"/>
          <w:sz w:val="18"/>
          <w:szCs w:val="18"/>
          <w:color w:val="010000"/>
        </w:rPr>
      </w:pPr>
    </w:p>
    <w:p>
      <w:pPr>
        <w:ind w:left="740" w:hanging="476"/>
        <w:spacing w:after="0"/>
        <w:tabs>
          <w:tab w:leader="none" w:pos="740" w:val="left"/>
        </w:tabs>
        <w:numPr>
          <w:ilvl w:val="0"/>
          <w:numId w:val="43"/>
        </w:numPr>
        <w:rPr>
          <w:rFonts w:ascii="Arial" w:cs="Arial" w:eastAsia="Arial" w:hAnsi="Arial"/>
          <w:sz w:val="18"/>
          <w:szCs w:val="18"/>
          <w:color w:val="010000"/>
        </w:rPr>
      </w:pPr>
      <w:r>
        <w:rPr>
          <w:rFonts w:ascii="Arial" w:cs="Arial" w:eastAsia="Arial" w:hAnsi="Arial"/>
          <w:sz w:val="18"/>
          <w:szCs w:val="18"/>
          <w:u w:val="single" w:color="auto"/>
          <w:color w:val="auto"/>
        </w:rPr>
        <w:t>Section 409A of the Code</w:t>
      </w:r>
      <w:r>
        <w:rPr>
          <w:rFonts w:ascii="Arial" w:cs="Arial" w:eastAsia="Arial" w:hAnsi="Arial"/>
          <w:sz w:val="18"/>
          <w:szCs w:val="18"/>
          <w:color w:val="auto"/>
        </w:rPr>
        <w:t>.</w:t>
      </w:r>
    </w:p>
    <w:p>
      <w:pPr>
        <w:spacing w:after="0" w:line="225" w:lineRule="exact"/>
        <w:rPr>
          <w:rFonts w:ascii="Arial" w:cs="Arial" w:eastAsia="Arial" w:hAnsi="Arial"/>
          <w:sz w:val="18"/>
          <w:szCs w:val="18"/>
          <w:color w:val="010000"/>
        </w:rPr>
      </w:pPr>
    </w:p>
    <w:p>
      <w:pPr>
        <w:jc w:val="both"/>
        <w:ind w:left="120" w:firstLine="642"/>
        <w:spacing w:after="0" w:line="253" w:lineRule="auto"/>
        <w:tabs>
          <w:tab w:leader="none" w:pos="1306" w:val="left"/>
        </w:tabs>
        <w:numPr>
          <w:ilvl w:val="1"/>
          <w:numId w:val="43"/>
        </w:numPr>
        <w:rPr>
          <w:rFonts w:ascii="Arial" w:cs="Arial" w:eastAsia="Arial" w:hAnsi="Arial"/>
          <w:sz w:val="18"/>
          <w:szCs w:val="18"/>
          <w:color w:val="010000"/>
        </w:rPr>
      </w:pPr>
      <w:r>
        <w:rPr>
          <w:rFonts w:ascii="Arial" w:cs="Arial" w:eastAsia="Arial" w:hAnsi="Arial"/>
          <w:sz w:val="18"/>
          <w:szCs w:val="18"/>
          <w:color w:val="auto"/>
        </w:rPr>
        <w:t>Notwithstanding any provision of the Plan to the contrary, it is intended that the provisions of the Plan comply with Section 409A of the Code, and all provisions of the Plan shall be construed and interpreted in a manner consistent with the requirements for avoiding taxes or penalties under Section 409A of the Code. Each Participant is solely responsible and liable for the satisfaction of all taxes and penalties that may be imposed on or in respect of such Participant in connection with the Plan (including any taxes and penalties under Section 409A of the Code), and neither the Service Recipient nor any other member of the Company Group shall have any obligation to indemnify or otherwise hold such Participant (or any beneficiary) harmless from any or all of such taxes or penalties. With respect to any Award that is considered “deferred compensation” subject to Section 409A of the Code, references in the Plan to “termination of employment” (and substantially similar phrases) shall mean “separation from service” within the meaning of Section 409A of the Code. For purposes of Section 409A of the Code, each of the payments that may be made in respect of any Award granted under the Plan is designated as separate a payment.</w:t>
      </w:r>
    </w:p>
    <w:p>
      <w:pPr>
        <w:spacing w:after="0" w:line="397"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48895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80"/>
          </w:cols>
          <w:pgMar w:left="880" w:top="341" w:right="639" w:bottom="1440" w:gutter="0" w:footer="0" w:header="0"/>
        </w:sectPr>
      </w:pPr>
    </w:p>
    <w:bookmarkStart w:id="30" w:name="page31"/>
    <w:bookmarkEnd w:id="30"/>
    <w:p>
      <w:pPr>
        <w:jc w:val="both"/>
        <w:ind w:left="120" w:firstLine="642"/>
        <w:spacing w:after="0" w:line="273" w:lineRule="auto"/>
        <w:tabs>
          <w:tab w:leader="none" w:pos="1316" w:val="left"/>
        </w:tabs>
        <w:numPr>
          <w:ilvl w:val="1"/>
          <w:numId w:val="44"/>
        </w:numPr>
        <w:rPr>
          <w:rFonts w:ascii="Arial" w:cs="Arial" w:eastAsia="Arial" w:hAnsi="Arial"/>
          <w:sz w:val="17"/>
          <w:szCs w:val="17"/>
          <w:color w:val="010000"/>
        </w:rPr>
      </w:pPr>
      <w:r>
        <w:rPr>
          <w:rFonts w:ascii="Arial" w:cs="Arial" w:eastAsia="Arial" w:hAnsi="Arial"/>
          <w:sz w:val="17"/>
          <w:szCs w:val="17"/>
          <w:color w:val="auto"/>
        </w:rPr>
        <w:t>Notwithstanding anything in the Plan to the contrary, if a Participant is a “specified employee” within the meaning of Section 409A(a)(2)(B)(i) of the Code, no payments in respect of any Awards that are “deferred compensation” subject to Section 409A of the Code and which would otherwise be payable upon the Participant’s “separation from service” (as defined in Section 409A of the Code) shall be made to such Participant prior to the date that is six (6) months after the date of such Participant’s “separation from service” or, if earlier, the date of the Participant’s death. Following any applicable six (6) month delay, all such delayed payments will be paid in a single lump sum on the earliest date permitted under Section 409A of the Code that is also a business day.</w:t>
      </w:r>
    </w:p>
    <w:p>
      <w:pPr>
        <w:spacing w:after="0" w:line="177" w:lineRule="exact"/>
        <w:rPr>
          <w:rFonts w:ascii="Arial" w:cs="Arial" w:eastAsia="Arial" w:hAnsi="Arial"/>
          <w:sz w:val="17"/>
          <w:szCs w:val="17"/>
          <w:color w:val="010000"/>
        </w:rPr>
      </w:pPr>
    </w:p>
    <w:p>
      <w:pPr>
        <w:jc w:val="both"/>
        <w:ind w:left="120" w:firstLine="642"/>
        <w:spacing w:after="0" w:line="273" w:lineRule="auto"/>
        <w:tabs>
          <w:tab w:leader="none" w:pos="1379" w:val="left"/>
        </w:tabs>
        <w:numPr>
          <w:ilvl w:val="1"/>
          <w:numId w:val="44"/>
        </w:numPr>
        <w:rPr>
          <w:rFonts w:ascii="Arial" w:cs="Arial" w:eastAsia="Arial" w:hAnsi="Arial"/>
          <w:sz w:val="17"/>
          <w:szCs w:val="17"/>
          <w:color w:val="010000"/>
        </w:rPr>
      </w:pPr>
      <w:r>
        <w:rPr>
          <w:rFonts w:ascii="Arial" w:cs="Arial" w:eastAsia="Arial" w:hAnsi="Arial"/>
          <w:sz w:val="17"/>
          <w:szCs w:val="17"/>
          <w:color w:val="auto"/>
        </w:rPr>
        <w:t>Unless otherwise provided by the Committee in an Award Agreement or otherwise, in the event that the timing of payments in respect of any Award (that would otherwise be considered “deferred compensation” subject to Section 409A of the Code) would be accelerated upon the occurrence of (A) a Change in Control, no such acceleration shall be permitted unless the event giving rise to the Change in Control satisfies the definition of a change in the ownership or effective control of a corporation, or a change in the ownership of a substantial portion of the assets of a corporation pursuant to Section 409A of the Code; or (B) a Disability, no such acceleration shall be permitted unless the Disability also satisfies the definition of “Disability” pursuant to Section 409A of the Code.</w:t>
      </w:r>
    </w:p>
    <w:p>
      <w:pPr>
        <w:spacing w:after="0" w:line="177" w:lineRule="exact"/>
        <w:rPr>
          <w:rFonts w:ascii="Arial" w:cs="Arial" w:eastAsia="Arial" w:hAnsi="Arial"/>
          <w:sz w:val="17"/>
          <w:szCs w:val="17"/>
          <w:color w:val="010000"/>
        </w:rPr>
      </w:pPr>
    </w:p>
    <w:p>
      <w:pPr>
        <w:jc w:val="both"/>
        <w:ind w:firstLine="264"/>
        <w:spacing w:after="0" w:line="255" w:lineRule="auto"/>
        <w:tabs>
          <w:tab w:leader="none" w:pos="878" w:val="left"/>
        </w:tabs>
        <w:numPr>
          <w:ilvl w:val="0"/>
          <w:numId w:val="45"/>
        </w:numPr>
        <w:rPr>
          <w:rFonts w:ascii="Arial" w:cs="Arial" w:eastAsia="Arial" w:hAnsi="Arial"/>
          <w:sz w:val="18"/>
          <w:szCs w:val="18"/>
          <w:color w:val="010000"/>
        </w:rPr>
      </w:pPr>
      <w:r>
        <w:rPr>
          <w:rFonts w:ascii="Arial" w:cs="Arial" w:eastAsia="Arial" w:hAnsi="Arial"/>
          <w:sz w:val="18"/>
          <w:szCs w:val="18"/>
          <w:u w:val="single" w:color="auto"/>
          <w:color w:val="auto"/>
        </w:rPr>
        <w:t>Clawback/Repayment</w:t>
      </w:r>
      <w:r>
        <w:rPr>
          <w:rFonts w:ascii="Arial" w:cs="Arial" w:eastAsia="Arial" w:hAnsi="Arial"/>
          <w:sz w:val="18"/>
          <w:szCs w:val="18"/>
          <w:color w:val="auto"/>
        </w:rPr>
        <w:t>. All Awards shall be subject to reduction, cancellation, forfeiture or recoupment to the extent necessary to comply with (i) any clawback, forfeiture or other similar policy adopted by the Board or the Committee as in effect at the time of the applicable Award grant; and (ii) Applicable Laws. Further, to the extent that the Participant receives any amount in excess of the amount that the Participant should otherwise have received under the terms of the Award for any reason (including, without limitation, by reason of a financial restatement, mistake in calculations or other administrative error), the Participant shall be required to repay any such excess amount to the Company.</w:t>
      </w:r>
    </w:p>
    <w:p>
      <w:pPr>
        <w:spacing w:after="0" w:line="192" w:lineRule="exact"/>
        <w:rPr>
          <w:rFonts w:ascii="Arial" w:cs="Arial" w:eastAsia="Arial" w:hAnsi="Arial"/>
          <w:sz w:val="18"/>
          <w:szCs w:val="18"/>
          <w:color w:val="010000"/>
        </w:rPr>
      </w:pPr>
    </w:p>
    <w:p>
      <w:pPr>
        <w:ind w:firstLine="264"/>
        <w:spacing w:after="0" w:line="308" w:lineRule="auto"/>
        <w:tabs>
          <w:tab w:leader="none" w:pos="878" w:val="left"/>
        </w:tabs>
        <w:numPr>
          <w:ilvl w:val="0"/>
          <w:numId w:val="45"/>
        </w:numPr>
        <w:rPr>
          <w:rFonts w:ascii="Arial" w:cs="Arial" w:eastAsia="Arial" w:hAnsi="Arial"/>
          <w:sz w:val="17"/>
          <w:szCs w:val="17"/>
          <w:color w:val="010000"/>
        </w:rPr>
      </w:pPr>
      <w:r>
        <w:rPr>
          <w:rFonts w:ascii="Arial" w:cs="Arial" w:eastAsia="Arial" w:hAnsi="Arial"/>
          <w:sz w:val="17"/>
          <w:szCs w:val="17"/>
          <w:u w:val="single" w:color="auto"/>
          <w:color w:val="auto"/>
        </w:rPr>
        <w:t>Detrimental Activity</w:t>
      </w:r>
      <w:r>
        <w:rPr>
          <w:rFonts w:ascii="Arial" w:cs="Arial" w:eastAsia="Arial" w:hAnsi="Arial"/>
          <w:sz w:val="17"/>
          <w:szCs w:val="17"/>
          <w:color w:val="auto"/>
        </w:rPr>
        <w:t>. Notwithstanding anything to the contrary contained herein, if a Participant has engaged in any Detrimental Activity, as determined by the Committee, the Committee may, in its sole discretion, provide for one or more of the following:</w:t>
      </w:r>
    </w:p>
    <w:p>
      <w:pPr>
        <w:spacing w:after="0" w:line="146" w:lineRule="exact"/>
        <w:rPr>
          <w:rFonts w:ascii="Arial" w:cs="Arial" w:eastAsia="Arial" w:hAnsi="Arial"/>
          <w:sz w:val="17"/>
          <w:szCs w:val="17"/>
          <w:color w:val="010000"/>
        </w:rPr>
      </w:pPr>
    </w:p>
    <w:p>
      <w:pPr>
        <w:ind w:left="1340" w:hanging="578"/>
        <w:spacing w:after="0"/>
        <w:tabs>
          <w:tab w:leader="none" w:pos="1340" w:val="left"/>
        </w:tabs>
        <w:numPr>
          <w:ilvl w:val="1"/>
          <w:numId w:val="45"/>
        </w:numPr>
        <w:rPr>
          <w:rFonts w:ascii="Arial" w:cs="Arial" w:eastAsia="Arial" w:hAnsi="Arial"/>
          <w:sz w:val="18"/>
          <w:szCs w:val="18"/>
          <w:color w:val="010000"/>
        </w:rPr>
      </w:pPr>
      <w:r>
        <w:rPr>
          <w:rFonts w:ascii="Arial" w:cs="Arial" w:eastAsia="Arial" w:hAnsi="Arial"/>
          <w:sz w:val="18"/>
          <w:szCs w:val="18"/>
          <w:color w:val="auto"/>
        </w:rPr>
        <w:t>cancellation of any or all of such Participant’s outstanding Awards; and</w:t>
      </w:r>
    </w:p>
    <w:p>
      <w:pPr>
        <w:spacing w:after="0" w:line="225" w:lineRule="exact"/>
        <w:rPr>
          <w:rFonts w:ascii="Arial" w:cs="Arial" w:eastAsia="Arial" w:hAnsi="Arial"/>
          <w:sz w:val="18"/>
          <w:szCs w:val="18"/>
          <w:color w:val="010000"/>
        </w:rPr>
      </w:pPr>
    </w:p>
    <w:p>
      <w:pPr>
        <w:ind w:left="120" w:firstLine="642"/>
        <w:spacing w:after="0" w:line="277" w:lineRule="auto"/>
        <w:tabs>
          <w:tab w:leader="none" w:pos="1302" w:val="left"/>
        </w:tabs>
        <w:numPr>
          <w:ilvl w:val="1"/>
          <w:numId w:val="45"/>
        </w:numPr>
        <w:rPr>
          <w:rFonts w:ascii="Arial" w:cs="Arial" w:eastAsia="Arial" w:hAnsi="Arial"/>
          <w:sz w:val="18"/>
          <w:szCs w:val="18"/>
          <w:color w:val="010000"/>
        </w:rPr>
      </w:pPr>
      <w:r>
        <w:rPr>
          <w:rFonts w:ascii="Arial" w:cs="Arial" w:eastAsia="Arial" w:hAnsi="Arial"/>
          <w:sz w:val="18"/>
          <w:szCs w:val="18"/>
          <w:color w:val="auto"/>
        </w:rPr>
        <w:t>forfeiture and prompt repayment to the Company by the Participant, of any gain realized on the vesting, exercise or settlement of any Awards previously granted to such Participant.</w:t>
      </w:r>
    </w:p>
    <w:p>
      <w:pPr>
        <w:spacing w:after="0" w:line="170" w:lineRule="exact"/>
        <w:rPr>
          <w:rFonts w:ascii="Arial" w:cs="Arial" w:eastAsia="Arial" w:hAnsi="Arial"/>
          <w:sz w:val="18"/>
          <w:szCs w:val="18"/>
          <w:color w:val="010000"/>
        </w:rPr>
      </w:pPr>
    </w:p>
    <w:p>
      <w:pPr>
        <w:jc w:val="both"/>
        <w:ind w:firstLine="264"/>
        <w:spacing w:after="0" w:line="271" w:lineRule="auto"/>
        <w:tabs>
          <w:tab w:leader="none" w:pos="851" w:val="left"/>
        </w:tabs>
        <w:numPr>
          <w:ilvl w:val="0"/>
          <w:numId w:val="45"/>
        </w:numPr>
        <w:rPr>
          <w:rFonts w:ascii="Arial" w:cs="Arial" w:eastAsia="Arial" w:hAnsi="Arial"/>
          <w:sz w:val="17"/>
          <w:szCs w:val="17"/>
          <w:color w:val="010000"/>
        </w:rPr>
      </w:pPr>
      <w:r>
        <w:rPr>
          <w:rFonts w:ascii="Arial" w:cs="Arial" w:eastAsia="Arial" w:hAnsi="Arial"/>
          <w:sz w:val="17"/>
          <w:szCs w:val="17"/>
          <w:u w:val="single" w:color="auto"/>
          <w:color w:val="auto"/>
        </w:rPr>
        <w:t>Right of Offset</w:t>
      </w:r>
      <w:r>
        <w:rPr>
          <w:rFonts w:ascii="Arial" w:cs="Arial" w:eastAsia="Arial" w:hAnsi="Arial"/>
          <w:sz w:val="17"/>
          <w:szCs w:val="17"/>
          <w:color w:val="auto"/>
        </w:rPr>
        <w:t>. The Company will have the right to offset against its obligation to deliver Shares (or other property or cash) under the Plan or any Award Agreement any outstanding amounts (including, without limitation, travel and entertainment or advance account balances, loans, repayment obligations under any Awards, or amounts repayable to the Company pursuant to tax equalization, housing, automobile or other employee programs) that the Participant then owes to any member of the Company Group and any amounts the Committee otherwise deems appropriate pursuant to any tax equalization policy or agreement. Notwithstanding the foregoing, if an Award is “deferred compensation” subject to Section 409A of the Code, the Committee will have no right to offset against its obligation to deliver Shares (or other property or cash) under the Plan or any Award Agreement if such offset could subject the Participant to the additional tax imposed under Section 409A of the Code in respect of an outstanding Award.</w:t>
      </w:r>
    </w:p>
    <w:p>
      <w:pPr>
        <w:spacing w:after="0" w:line="178" w:lineRule="exact"/>
        <w:rPr>
          <w:rFonts w:ascii="Arial" w:cs="Arial" w:eastAsia="Arial" w:hAnsi="Arial"/>
          <w:sz w:val="17"/>
          <w:szCs w:val="17"/>
          <w:color w:val="010000"/>
        </w:rPr>
      </w:pPr>
    </w:p>
    <w:p>
      <w:pPr>
        <w:jc w:val="both"/>
        <w:ind w:firstLine="264"/>
        <w:spacing w:after="0" w:line="263" w:lineRule="auto"/>
        <w:tabs>
          <w:tab w:leader="none" w:pos="932" w:val="left"/>
        </w:tabs>
        <w:numPr>
          <w:ilvl w:val="0"/>
          <w:numId w:val="45"/>
        </w:numPr>
        <w:rPr>
          <w:rFonts w:ascii="Arial" w:cs="Arial" w:eastAsia="Arial" w:hAnsi="Arial"/>
          <w:sz w:val="18"/>
          <w:szCs w:val="18"/>
          <w:color w:val="010000"/>
        </w:rPr>
      </w:pPr>
      <w:r>
        <w:rPr>
          <w:rFonts w:ascii="Arial" w:cs="Arial" w:eastAsia="Arial" w:hAnsi="Arial"/>
          <w:sz w:val="18"/>
          <w:szCs w:val="18"/>
          <w:u w:val="single" w:color="auto"/>
          <w:color w:val="auto"/>
        </w:rPr>
        <w:t>Expenses; Titles and Headings</w:t>
      </w:r>
      <w:r>
        <w:rPr>
          <w:rFonts w:ascii="Arial" w:cs="Arial" w:eastAsia="Arial" w:hAnsi="Arial"/>
          <w:sz w:val="18"/>
          <w:szCs w:val="18"/>
          <w:color w:val="auto"/>
        </w:rPr>
        <w:t>. The expenses of administering the Plan shall be borne by the Company Group. The titles and headings of the sections in the Plan are for convenience of reference only, and in the event of any conflict, the text of the Plan, rather than such titles or headings, shall control.</w:t>
      </w:r>
    </w:p>
    <w:p>
      <w:pPr>
        <w:spacing w:after="0" w:line="183" w:lineRule="exact"/>
        <w:rPr>
          <w:rFonts w:ascii="Arial" w:cs="Arial" w:eastAsia="Arial" w:hAnsi="Arial"/>
          <w:sz w:val="18"/>
          <w:szCs w:val="18"/>
          <w:color w:val="010000"/>
        </w:rPr>
      </w:pPr>
    </w:p>
    <w:p>
      <w:pPr>
        <w:ind w:firstLine="264"/>
        <w:spacing w:after="0" w:line="277" w:lineRule="auto"/>
        <w:tabs>
          <w:tab w:leader="none" w:pos="878" w:val="left"/>
        </w:tabs>
        <w:numPr>
          <w:ilvl w:val="0"/>
          <w:numId w:val="45"/>
        </w:numPr>
        <w:rPr>
          <w:rFonts w:ascii="Arial" w:cs="Arial" w:eastAsia="Arial" w:hAnsi="Arial"/>
          <w:sz w:val="18"/>
          <w:szCs w:val="18"/>
          <w:color w:val="010000"/>
        </w:rPr>
      </w:pPr>
      <w:r>
        <w:rPr>
          <w:rFonts w:ascii="Arial" w:cs="Arial" w:eastAsia="Arial" w:hAnsi="Arial"/>
          <w:sz w:val="18"/>
          <w:szCs w:val="18"/>
          <w:u w:val="single" w:color="auto"/>
          <w:color w:val="auto"/>
        </w:rPr>
        <w:t>Compliance With Laws, etc</w:t>
      </w:r>
      <w:r>
        <w:rPr>
          <w:rFonts w:ascii="Arial" w:cs="Arial" w:eastAsia="Arial" w:hAnsi="Arial"/>
          <w:sz w:val="18"/>
          <w:szCs w:val="18"/>
          <w:color w:val="auto"/>
        </w:rPr>
        <w:t>. Notwithstanding the foregoing, in no event shall a Participant be permitted to exercise or be issued Shares under an Award in a manner which the Committee determines would violate the Applicable Laws.</w:t>
      </w:r>
    </w:p>
    <w:p>
      <w:pPr>
        <w:spacing w:after="0" w:line="373"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48895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80"/>
          </w:cols>
          <w:pgMar w:left="880" w:top="341" w:right="639" w:bottom="1440" w:gutter="0" w:footer="0" w:header="0"/>
        </w:sectPr>
      </w:pPr>
    </w:p>
    <w:bookmarkStart w:id="31" w:name="page32"/>
    <w:bookmarkEnd w:id="31"/>
    <w:p>
      <w:pPr>
        <w:ind w:right="20" w:firstLine="264"/>
        <w:spacing w:after="0" w:line="277" w:lineRule="auto"/>
        <w:tabs>
          <w:tab w:leader="none" w:pos="801" w:val="left"/>
        </w:tabs>
        <w:numPr>
          <w:ilvl w:val="0"/>
          <w:numId w:val="46"/>
        </w:numPr>
        <w:rPr>
          <w:rFonts w:ascii="Arial" w:cs="Arial" w:eastAsia="Arial" w:hAnsi="Arial"/>
          <w:sz w:val="18"/>
          <w:szCs w:val="18"/>
          <w:color w:val="010000"/>
        </w:rPr>
      </w:pPr>
      <w:r>
        <w:rPr>
          <w:rFonts w:ascii="Arial" w:cs="Arial" w:eastAsia="Arial" w:hAnsi="Arial"/>
          <w:sz w:val="18"/>
          <w:szCs w:val="18"/>
          <w:u w:val="single" w:color="auto"/>
          <w:color w:val="auto"/>
        </w:rPr>
        <w:t>Waiver</w:t>
      </w:r>
      <w:r>
        <w:rPr>
          <w:rFonts w:ascii="Arial" w:cs="Arial" w:eastAsia="Arial" w:hAnsi="Arial"/>
          <w:sz w:val="18"/>
          <w:szCs w:val="18"/>
          <w:color w:val="auto"/>
        </w:rPr>
        <w:t>. A waiver by the Company of breach of any provision of the Plan shall not operate or be construed as a waiver of any other provision of the Plan, or of any subsequent breach by any Participant.</w:t>
      </w:r>
    </w:p>
    <w:p>
      <w:pPr>
        <w:spacing w:after="0" w:line="170" w:lineRule="exact"/>
        <w:rPr>
          <w:sz w:val="20"/>
          <w:szCs w:val="20"/>
          <w:color w:val="auto"/>
        </w:rPr>
      </w:pPr>
    </w:p>
    <w:p>
      <w:pPr>
        <w:jc w:val="both"/>
        <w:ind w:firstLine="264"/>
        <w:spacing w:after="0" w:line="257" w:lineRule="auto"/>
        <w:tabs>
          <w:tab w:leader="none" w:pos="777"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Compliance.</w:t>
      </w:r>
      <w:r>
        <w:rPr>
          <w:rFonts w:ascii="Arial" w:cs="Arial" w:eastAsia="Arial" w:hAnsi="Arial"/>
          <w:sz w:val="18"/>
          <w:szCs w:val="18"/>
          <w:color w:val="auto"/>
        </w:rPr>
        <w:t xml:space="preserve"> Notwithstanding any other provision of this Plan, (a) the Company shall not be obliged to issue any Shares pursuant to an Award unless at least the nominal value of each such newly issued Share has been fully paid in advance in accordance with applicable law (which requirement may mean the holder of an award is obliged to make such payment) and (b) the Company shall not be obliged to issue or deliver any Shares in satisfaction of Awards until all legal and regulatory requirements associated with such issue or delivery have been complied with to the satisfaction of the Committee.</w:t>
      </w:r>
    </w:p>
    <w:p>
      <w:pPr>
        <w:spacing w:after="0" w:line="188"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186055</wp:posOffset>
            </wp:positionV>
            <wp:extent cx="713232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0">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0380"/>
          </w:cols>
          <w:pgMar w:left="880" w:top="341" w:right="6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1">
                      <a:extLst>
                        <a:ext uri="{28A0092B-C50C-407E-A947-70E740481C1C}"/>
                      </a:extLst>
                    </a:blip>
                    <a:srcRect/>
                    <a:stretch>
                      <a:fillRect/>
                    </a:stretch>
                  </pic:blipFill>
                  <pic:spPr bwMode="auto">
                    <a:xfrm>
                      <a:off x="0" y="0"/>
                      <a:ext cx="7132320" cy="42545"/>
                    </a:xfrm>
                    <a:prstGeom prst="rect">
                      <a:avLst/>
                    </a:prstGeom>
                    <a:noFill/>
                  </pic:spPr>
                </pic:pic>
              </a:graphicData>
            </a:graphic>
          </wp:anchor>
        </w:drawing>
        <w:t>Exhibit 4.2</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PRA HEALTH SCIENCES, INC. 2018 STOCK INCENTIVE PLAN</w:t>
      </w:r>
    </w:p>
    <w:p>
      <w:pPr>
        <w:spacing w:after="0" w:line="225" w:lineRule="exact"/>
        <w:rPr>
          <w:sz w:val="20"/>
          <w:szCs w:val="20"/>
          <w:color w:val="auto"/>
        </w:rPr>
      </w:pPr>
    </w:p>
    <w:p>
      <w:pPr>
        <w:ind w:left="560" w:hanging="552"/>
        <w:spacing w:after="0"/>
        <w:tabs>
          <w:tab w:leader="none" w:pos="560" w:val="left"/>
        </w:tabs>
        <w:numPr>
          <w:ilvl w:val="0"/>
          <w:numId w:val="48"/>
        </w:numPr>
        <w:rPr>
          <w:rFonts w:ascii="Arial" w:cs="Arial" w:eastAsia="Arial" w:hAnsi="Arial"/>
          <w:sz w:val="18"/>
          <w:szCs w:val="18"/>
          <w:color w:val="auto"/>
        </w:rPr>
      </w:pPr>
      <w:r>
        <w:rPr>
          <w:rFonts w:ascii="Arial" w:cs="Arial" w:eastAsia="Arial" w:hAnsi="Arial"/>
          <w:sz w:val="18"/>
          <w:szCs w:val="18"/>
          <w:b w:val="1"/>
          <w:bCs w:val="1"/>
          <w:color w:val="auto"/>
        </w:rPr>
        <w:t>Purpose</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left="560" w:right="260" w:firstLine="195"/>
        <w:spacing w:after="0" w:line="301" w:lineRule="auto"/>
        <w:tabs>
          <w:tab w:leader="none" w:pos="1275" w:val="left"/>
        </w:tabs>
        <w:numPr>
          <w:ilvl w:val="1"/>
          <w:numId w:val="48"/>
        </w:numPr>
        <w:rPr>
          <w:rFonts w:ascii="Arial" w:cs="Arial" w:eastAsia="Arial" w:hAnsi="Arial"/>
          <w:sz w:val="16"/>
          <w:szCs w:val="16"/>
          <w:color w:val="auto"/>
        </w:rPr>
      </w:pPr>
      <w:r>
        <w:rPr>
          <w:rFonts w:ascii="Arial" w:cs="Arial" w:eastAsia="Arial" w:hAnsi="Arial"/>
          <w:sz w:val="16"/>
          <w:szCs w:val="16"/>
          <w:color w:val="auto"/>
        </w:rPr>
        <w:t>The Plan, which was initially adopted by PRA Health Sciences, Inc., was amended and restated in its current form in connection with the transaction entered into by ICON plc (the “Company”), ICON US Holdings Inc., Indigo Merger Sub, Inc. and PRA Health Sciences, Inc., pursuant to which PRA Health Sciences, Inc. became a Subsidiary of the Company, a public limited company incorporated in Ireland, and the Plan, together with all awards granted thereunder, was assumed by the Company with effect from 1 July 2021 (the “Assumption Date”).</w:t>
      </w:r>
    </w:p>
    <w:p>
      <w:pPr>
        <w:spacing w:after="0" w:line="157" w:lineRule="exact"/>
        <w:rPr>
          <w:rFonts w:ascii="Arial" w:cs="Arial" w:eastAsia="Arial" w:hAnsi="Arial"/>
          <w:sz w:val="16"/>
          <w:szCs w:val="16"/>
          <w:color w:val="auto"/>
        </w:rPr>
      </w:pPr>
    </w:p>
    <w:p>
      <w:pPr>
        <w:jc w:val="both"/>
        <w:ind w:left="560" w:right="240" w:firstLine="195"/>
        <w:spacing w:after="0" w:line="275" w:lineRule="auto"/>
        <w:tabs>
          <w:tab w:leader="none" w:pos="1298" w:val="left"/>
        </w:tabs>
        <w:numPr>
          <w:ilvl w:val="1"/>
          <w:numId w:val="48"/>
        </w:numPr>
        <w:rPr>
          <w:rFonts w:ascii="Arial" w:cs="Arial" w:eastAsia="Arial" w:hAnsi="Arial"/>
          <w:sz w:val="17"/>
          <w:szCs w:val="17"/>
          <w:color w:val="auto"/>
        </w:rPr>
      </w:pPr>
      <w:r>
        <w:rPr>
          <w:rFonts w:ascii="Arial" w:cs="Arial" w:eastAsia="Arial" w:hAnsi="Arial"/>
          <w:sz w:val="17"/>
          <w:szCs w:val="17"/>
          <w:color w:val="auto"/>
        </w:rPr>
        <w:t>The purpose of the PRA Health Sciences, Inc. 2018 Stock Incentive Plan is to provide a means through which the Company, and the other members of the Company Group, may attract and retain key personnel, and to provide a means whereby directors, officers, employees, consultants and advisors of the Company and the other members of the Company Group can acquire and maintain an equity interest in the Company, or be paid incentive compensation measured by reference to the value of Common Stock, thereby strengthening their commitment to the welfare of the Company Group and aligning their interests with those of the Company’s stockholders.</w:t>
      </w:r>
    </w:p>
    <w:p>
      <w:pPr>
        <w:spacing w:after="0" w:line="172" w:lineRule="exact"/>
        <w:rPr>
          <w:sz w:val="20"/>
          <w:szCs w:val="20"/>
          <w:color w:val="auto"/>
        </w:rPr>
      </w:pPr>
    </w:p>
    <w:p>
      <w:pPr>
        <w:ind w:left="560" w:hanging="552"/>
        <w:spacing w:after="0"/>
        <w:tabs>
          <w:tab w:leader="none" w:pos="560" w:val="left"/>
        </w:tabs>
        <w:numPr>
          <w:ilvl w:val="0"/>
          <w:numId w:val="49"/>
        </w:numPr>
        <w:rPr>
          <w:rFonts w:ascii="Arial" w:cs="Arial" w:eastAsia="Arial" w:hAnsi="Arial"/>
          <w:sz w:val="18"/>
          <w:szCs w:val="18"/>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 The following definitions shall be applicable throughout the Plan.</w:t>
      </w:r>
    </w:p>
    <w:p>
      <w:pPr>
        <w:spacing w:after="0" w:line="229" w:lineRule="exact"/>
        <w:rPr>
          <w:rFonts w:ascii="Arial" w:cs="Arial" w:eastAsia="Arial" w:hAnsi="Arial"/>
          <w:sz w:val="18"/>
          <w:szCs w:val="18"/>
          <w:color w:val="auto"/>
        </w:rPr>
      </w:pPr>
    </w:p>
    <w:p>
      <w:pPr>
        <w:ind w:left="1260" w:hanging="505"/>
        <w:spacing w:after="0"/>
        <w:tabs>
          <w:tab w:leader="none" w:pos="1260" w:val="left"/>
        </w:tabs>
        <w:numPr>
          <w:ilvl w:val="1"/>
          <w:numId w:val="49"/>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Adjustment Event</w:t>
      </w:r>
      <w:r>
        <w:rPr>
          <w:rFonts w:ascii="Arial" w:cs="Arial" w:eastAsia="Arial" w:hAnsi="Arial"/>
          <w:sz w:val="18"/>
          <w:szCs w:val="18"/>
          <w:color w:val="auto"/>
        </w:rPr>
        <w:t>” has the meaning given to such term in Section 11(a) of the Plan.</w:t>
      </w:r>
    </w:p>
    <w:p>
      <w:pPr>
        <w:spacing w:after="0" w:line="225" w:lineRule="exact"/>
        <w:rPr>
          <w:rFonts w:ascii="Arial" w:cs="Arial" w:eastAsia="Arial" w:hAnsi="Arial"/>
          <w:sz w:val="18"/>
          <w:szCs w:val="18"/>
          <w:color w:val="010000"/>
        </w:rPr>
      </w:pPr>
    </w:p>
    <w:p>
      <w:pPr>
        <w:jc w:val="both"/>
        <w:ind w:left="560" w:right="260" w:firstLine="195"/>
        <w:spacing w:after="0" w:line="259" w:lineRule="auto"/>
        <w:tabs>
          <w:tab w:leader="none" w:pos="1297" w:val="left"/>
        </w:tabs>
        <w:numPr>
          <w:ilvl w:val="1"/>
          <w:numId w:val="49"/>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any Person that directly or indirectly controls, is controlled by or is under common control with the Company. The term “control” (including, with correlative meaning, the terms “controlled by” and “under common control with”), as applied to any Person, means the possession, directly or indirectly, of the power to direct or cause the direction of the management and policies of such Person, whether through the ownership of voting or other securities, by contract or otherwise.</w:t>
      </w:r>
    </w:p>
    <w:p>
      <w:pPr>
        <w:spacing w:after="0" w:line="186" w:lineRule="exact"/>
        <w:rPr>
          <w:rFonts w:ascii="Arial" w:cs="Arial" w:eastAsia="Arial" w:hAnsi="Arial"/>
          <w:sz w:val="18"/>
          <w:szCs w:val="18"/>
          <w:color w:val="010000"/>
        </w:rPr>
      </w:pPr>
    </w:p>
    <w:p>
      <w:pPr>
        <w:ind w:left="1260" w:hanging="505"/>
        <w:spacing w:after="0"/>
        <w:tabs>
          <w:tab w:leader="none" w:pos="1260" w:val="left"/>
        </w:tabs>
        <w:numPr>
          <w:ilvl w:val="1"/>
          <w:numId w:val="49"/>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Annual Director Grant</w:t>
      </w:r>
      <w:r>
        <w:rPr>
          <w:rFonts w:ascii="Arial" w:cs="Arial" w:eastAsia="Arial" w:hAnsi="Arial"/>
          <w:sz w:val="18"/>
          <w:szCs w:val="18"/>
          <w:color w:val="auto"/>
        </w:rPr>
        <w:t>” has the meaning given to such term in Section 10 of the Plan.</w:t>
      </w:r>
    </w:p>
    <w:p>
      <w:pPr>
        <w:spacing w:after="0" w:line="225" w:lineRule="exact"/>
        <w:rPr>
          <w:rFonts w:ascii="Arial" w:cs="Arial" w:eastAsia="Arial" w:hAnsi="Arial"/>
          <w:sz w:val="18"/>
          <w:szCs w:val="18"/>
          <w:color w:val="010000"/>
        </w:rPr>
      </w:pPr>
    </w:p>
    <w:p>
      <w:pPr>
        <w:ind w:left="560" w:right="260" w:firstLine="195"/>
        <w:spacing w:after="0" w:line="277" w:lineRule="auto"/>
        <w:tabs>
          <w:tab w:leader="none" w:pos="1405" w:val="left"/>
        </w:tabs>
        <w:numPr>
          <w:ilvl w:val="1"/>
          <w:numId w:val="49"/>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Award</w:t>
      </w:r>
      <w:r>
        <w:rPr>
          <w:rFonts w:ascii="Arial" w:cs="Arial" w:eastAsia="Arial" w:hAnsi="Arial"/>
          <w:sz w:val="18"/>
          <w:szCs w:val="18"/>
          <w:color w:val="auto"/>
        </w:rPr>
        <w:t>” means, individually or collectively, any Incentive Stock Option, Nonqualified Stock Option, Stock Appreciation Right, Restricted Stock, Restricted Stock Unit, and Other Equity-Based Award granted under the Plan.</w:t>
      </w:r>
    </w:p>
    <w:p>
      <w:pPr>
        <w:spacing w:after="0" w:line="170" w:lineRule="exact"/>
        <w:rPr>
          <w:rFonts w:ascii="Arial" w:cs="Arial" w:eastAsia="Arial" w:hAnsi="Arial"/>
          <w:sz w:val="18"/>
          <w:szCs w:val="18"/>
          <w:color w:val="010000"/>
        </w:rPr>
      </w:pPr>
    </w:p>
    <w:p>
      <w:pPr>
        <w:ind w:left="1260" w:hanging="505"/>
        <w:spacing w:after="0"/>
        <w:tabs>
          <w:tab w:leader="none" w:pos="1260" w:val="left"/>
        </w:tabs>
        <w:numPr>
          <w:ilvl w:val="1"/>
          <w:numId w:val="49"/>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Award Agreement</w:t>
      </w:r>
      <w:r>
        <w:rPr>
          <w:rFonts w:ascii="Arial" w:cs="Arial" w:eastAsia="Arial" w:hAnsi="Arial"/>
          <w:sz w:val="18"/>
          <w:szCs w:val="18"/>
          <w:color w:val="auto"/>
        </w:rPr>
        <w:t>” means the document or documents by which each Award is evidenced.</w:t>
      </w:r>
    </w:p>
    <w:p>
      <w:pPr>
        <w:spacing w:after="0" w:line="225" w:lineRule="exact"/>
        <w:rPr>
          <w:rFonts w:ascii="Arial" w:cs="Arial" w:eastAsia="Arial" w:hAnsi="Arial"/>
          <w:sz w:val="18"/>
          <w:szCs w:val="18"/>
          <w:color w:val="010000"/>
        </w:rPr>
      </w:pPr>
    </w:p>
    <w:p>
      <w:pPr>
        <w:ind w:left="1240" w:hanging="485"/>
        <w:spacing w:after="0"/>
        <w:tabs>
          <w:tab w:leader="none" w:pos="1240" w:val="left"/>
        </w:tabs>
        <w:numPr>
          <w:ilvl w:val="1"/>
          <w:numId w:val="49"/>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225" w:lineRule="exact"/>
        <w:rPr>
          <w:rFonts w:ascii="Arial" w:cs="Arial" w:eastAsia="Arial" w:hAnsi="Arial"/>
          <w:sz w:val="18"/>
          <w:szCs w:val="18"/>
          <w:color w:val="010000"/>
        </w:rPr>
      </w:pPr>
    </w:p>
    <w:p>
      <w:pPr>
        <w:jc w:val="both"/>
        <w:ind w:left="560" w:right="240" w:firstLine="195"/>
        <w:spacing w:after="0" w:line="287" w:lineRule="auto"/>
        <w:tabs>
          <w:tab w:leader="none" w:pos="1445" w:val="left"/>
        </w:tabs>
        <w:numPr>
          <w:ilvl w:val="1"/>
          <w:numId w:val="49"/>
        </w:numPr>
        <w:rPr>
          <w:rFonts w:ascii="Arial" w:cs="Arial" w:eastAsia="Arial" w:hAnsi="Arial"/>
          <w:sz w:val="16"/>
          <w:szCs w:val="16"/>
          <w:color w:val="010000"/>
        </w:rPr>
      </w:pPr>
      <w:r>
        <w:rPr>
          <w:rFonts w:ascii="Arial" w:cs="Arial" w:eastAsia="Arial" w:hAnsi="Arial"/>
          <w:sz w:val="16"/>
          <w:szCs w:val="16"/>
          <w:color w:val="auto"/>
        </w:rPr>
        <w:t>“</w:t>
      </w:r>
      <w:r>
        <w:rPr>
          <w:rFonts w:ascii="Arial" w:cs="Arial" w:eastAsia="Arial" w:hAnsi="Arial"/>
          <w:sz w:val="16"/>
          <w:szCs w:val="16"/>
          <w:u w:val="single" w:color="auto"/>
          <w:color w:val="auto"/>
        </w:rPr>
        <w:t>Cause</w:t>
      </w:r>
      <w:r>
        <w:rPr>
          <w:rFonts w:ascii="Arial" w:cs="Arial" w:eastAsia="Arial" w:hAnsi="Arial"/>
          <w:sz w:val="16"/>
          <w:szCs w:val="16"/>
          <w:color w:val="auto"/>
        </w:rPr>
        <w:t>” means, as to any Participant, unless the applicable Award Agreement states otherwise, (i) “Cause,” as defined in any employment or consulting agreement between the Participant and the Service Recipient in effect at the time of such Termination; or (ii) in the absence of any such employment or consulting agreement (or the absence of any definition of “Cause” contained therein), the Participant’s (A) willful neglect in the performance of the Participant’s duties for the Service Recipient or willful or repeated failure or refusal to perform such duties; (B) engagement in conduct in connection with the Participant’s employment or service with the Service Recipient, which results in, or could reasonably be expected to result in, material harm to the business or reputation of the Company or any other member of the Company Group; (C) conviction of, or plea of guilty or no contest to, (I) any felony; or (II) any other crime that results in, or could reasonably be expected to result in, material harm to the business or reputation of the Company or any other member of the Company Group; (D) material violation of the written policies of the Service Recipient, including, but not limited to, those relating to sexual harassment or the disclosure or misuse of confidential information, or those set forth in the manuals or statements of policy of the Service Recipient; (E) fraud or misappropriation, embezzlement or misuse of funds or property belonging to the Company or any other member of the Company Group; or (F) act of personal dishonesty that involves personal profit in connection with the Participant’s employment or service to the Service Recipient.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424180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459" w:right="379" w:bottom="1440" w:gutter="0" w:footer="0" w:header="0"/>
        </w:sectPr>
      </w:pPr>
    </w:p>
    <w:bookmarkStart w:id="33" w:name="page34"/>
    <w:bookmarkEnd w:id="33"/>
    <w:p>
      <w:pPr>
        <w:ind w:left="525" w:hanging="525"/>
        <w:spacing w:after="0"/>
        <w:tabs>
          <w:tab w:leader="none" w:pos="525" w:val="left"/>
        </w:tabs>
        <w:numPr>
          <w:ilvl w:val="0"/>
          <w:numId w:val="50"/>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w:t>
      </w:r>
    </w:p>
    <w:p>
      <w:pPr>
        <w:spacing w:after="0" w:line="225" w:lineRule="exact"/>
        <w:rPr>
          <w:rFonts w:ascii="Arial" w:cs="Arial" w:eastAsia="Arial" w:hAnsi="Arial"/>
          <w:sz w:val="18"/>
          <w:szCs w:val="18"/>
          <w:color w:val="010000"/>
        </w:rPr>
      </w:pPr>
    </w:p>
    <w:p>
      <w:pPr>
        <w:jc w:val="both"/>
        <w:ind w:left="-75" w:right="20" w:firstLine="642"/>
        <w:spacing w:after="0" w:line="253" w:lineRule="auto"/>
        <w:tabs>
          <w:tab w:leader="none" w:pos="1220" w:val="left"/>
        </w:tabs>
        <w:numPr>
          <w:ilvl w:val="1"/>
          <w:numId w:val="50"/>
        </w:numPr>
        <w:rPr>
          <w:rFonts w:ascii="Arial" w:cs="Arial" w:eastAsia="Arial" w:hAnsi="Arial"/>
          <w:sz w:val="18"/>
          <w:szCs w:val="18"/>
          <w:color w:val="010000"/>
        </w:rPr>
      </w:pPr>
      <w:r>
        <w:rPr>
          <w:rFonts w:ascii="Arial" w:cs="Arial" w:eastAsia="Arial" w:hAnsi="Arial"/>
          <w:sz w:val="18"/>
          <w:szCs w:val="18"/>
          <w:color w:val="auto"/>
        </w:rPr>
        <w:t xml:space="preserve">the acquisition (whether by purchase, merger, consolidation, combination or other similar transaction) by any Person of beneficial ownership (within the meaning of Rule 13d-3 promulgated under the Exchange Act) of more than 50% (on a fully diluted basis) of either (A) the then outstanding shares of Common Stock, taking into account as outstanding for this purpose such Common Stock issuable upon the exercise of options or warrants, the conversion of convertible stock or debt, and the exercise of any similar right to acquire such Common Stock; or (B) the combined voting power of the then outstanding voting securities of the Company entitled to vote generally in the election of directors; </w:t>
      </w:r>
      <w:r>
        <w:rPr>
          <w:rFonts w:ascii="Arial" w:cs="Arial" w:eastAsia="Arial" w:hAnsi="Arial"/>
          <w:sz w:val="18"/>
          <w:szCs w:val="18"/>
          <w:i w:val="1"/>
          <w:iCs w:val="1"/>
          <w:color w:val="auto"/>
        </w:rPr>
        <w:t>provided, however</w:t>
      </w:r>
      <w:r>
        <w:rPr>
          <w:rFonts w:ascii="Arial" w:cs="Arial" w:eastAsia="Arial" w:hAnsi="Arial"/>
          <w:sz w:val="18"/>
          <w:szCs w:val="18"/>
          <w:color w:val="auto"/>
        </w:rPr>
        <w:t>, that for purposes of this Plan, the following acquisitions shall not constitute a Change in Control: (I) any acquisition by the Company or any Affiliate of the Company; (II) any acquisition by any employee benefit plan sponsored or maintained by the Company or any Affiliate of the Company; or (III) in respect of an Award held by a particular Participant, any acquisition by the Participant or any group of Persons including the Participant (or any entity controlled by the Participant or any group of Persons including the Participant);</w:t>
      </w:r>
    </w:p>
    <w:p>
      <w:pPr>
        <w:spacing w:after="0" w:line="194" w:lineRule="exact"/>
        <w:rPr>
          <w:rFonts w:ascii="Arial" w:cs="Arial" w:eastAsia="Arial" w:hAnsi="Arial"/>
          <w:sz w:val="18"/>
          <w:szCs w:val="18"/>
          <w:color w:val="010000"/>
        </w:rPr>
      </w:pPr>
    </w:p>
    <w:p>
      <w:pPr>
        <w:jc w:val="both"/>
        <w:ind w:left="-75" w:right="20" w:firstLine="642"/>
        <w:spacing w:after="0" w:line="290" w:lineRule="auto"/>
        <w:tabs>
          <w:tab w:leader="none" w:pos="1252" w:val="left"/>
        </w:tabs>
        <w:numPr>
          <w:ilvl w:val="1"/>
          <w:numId w:val="50"/>
        </w:numPr>
        <w:rPr>
          <w:rFonts w:ascii="Arial" w:cs="Arial" w:eastAsia="Arial" w:hAnsi="Arial"/>
          <w:sz w:val="16"/>
          <w:szCs w:val="16"/>
          <w:color w:val="010000"/>
        </w:rPr>
      </w:pPr>
      <w:r>
        <w:rPr>
          <w:rFonts w:ascii="Arial" w:cs="Arial" w:eastAsia="Arial" w:hAnsi="Arial"/>
          <w:sz w:val="16"/>
          <w:szCs w:val="16"/>
          <w:color w:val="auto"/>
        </w:rPr>
        <w:t>during any period of twelve (12) months, individuals who, at the beginning of such period, constitute the Board (the “</w:t>
      </w:r>
      <w:r>
        <w:rPr>
          <w:rFonts w:ascii="Arial" w:cs="Arial" w:eastAsia="Arial" w:hAnsi="Arial"/>
          <w:sz w:val="16"/>
          <w:szCs w:val="16"/>
          <w:u w:val="single" w:color="auto"/>
          <w:color w:val="auto"/>
        </w:rPr>
        <w:t>Incumbent Directors</w:t>
      </w:r>
      <w:r>
        <w:rPr>
          <w:rFonts w:ascii="Arial" w:cs="Arial" w:eastAsia="Arial" w:hAnsi="Arial"/>
          <w:sz w:val="16"/>
          <w:szCs w:val="16"/>
          <w:color w:val="auto"/>
        </w:rPr>
        <w:t xml:space="preserve">”) cease for any reason to constitute at least a majority of the Board, provided that any person becoming a director subsequent to the Effective Date, whose election or nomination for election was approved by a vote of at least two-thirds of the Incumbent Directors then on the Board (either by a specific vote or by approval of the proxy statement of the Company in which such person is named as a nominee for director, without written objection to such nomination) shall be an Incumbent Director; </w:t>
      </w:r>
      <w:r>
        <w:rPr>
          <w:rFonts w:ascii="Arial" w:cs="Arial" w:eastAsia="Arial" w:hAnsi="Arial"/>
          <w:sz w:val="16"/>
          <w:szCs w:val="16"/>
          <w:i w:val="1"/>
          <w:iCs w:val="1"/>
          <w:color w:val="auto"/>
        </w:rPr>
        <w:t>provided, however</w:t>
      </w:r>
      <w:r>
        <w:rPr>
          <w:rFonts w:ascii="Arial" w:cs="Arial" w:eastAsia="Arial" w:hAnsi="Arial"/>
          <w:sz w:val="16"/>
          <w:szCs w:val="16"/>
          <w:color w:val="auto"/>
        </w:rPr>
        <w:t>, that no individual initially elected or nominated as a director of the Company as a result of an actual or threatened election contest, as such terms are used in Rule 14a-12 of Regulation 14A promulgated under the Exchange Act, with respect to directors or as a result of any other actual or threatened solicitation of proxies or consents by or on behalf of any person other than the Board shall be deemed to be an Incumbent Director; or</w:t>
      </w:r>
    </w:p>
    <w:p>
      <w:pPr>
        <w:spacing w:after="0" w:line="165" w:lineRule="exact"/>
        <w:rPr>
          <w:rFonts w:ascii="Arial" w:cs="Arial" w:eastAsia="Arial" w:hAnsi="Arial"/>
          <w:sz w:val="16"/>
          <w:szCs w:val="16"/>
          <w:color w:val="010000"/>
        </w:rPr>
      </w:pPr>
    </w:p>
    <w:p>
      <w:pPr>
        <w:ind w:left="-75" w:right="20" w:firstLine="642"/>
        <w:spacing w:after="0" w:line="277" w:lineRule="auto"/>
        <w:tabs>
          <w:tab w:leader="none" w:pos="1140" w:val="left"/>
        </w:tabs>
        <w:numPr>
          <w:ilvl w:val="1"/>
          <w:numId w:val="50"/>
        </w:numPr>
        <w:rPr>
          <w:rFonts w:ascii="Arial" w:cs="Arial" w:eastAsia="Arial" w:hAnsi="Arial"/>
          <w:sz w:val="18"/>
          <w:szCs w:val="18"/>
          <w:color w:val="010000"/>
        </w:rPr>
      </w:pPr>
      <w:r>
        <w:rPr>
          <w:rFonts w:ascii="Arial" w:cs="Arial" w:eastAsia="Arial" w:hAnsi="Arial"/>
          <w:sz w:val="18"/>
          <w:szCs w:val="18"/>
          <w:color w:val="auto"/>
        </w:rPr>
        <w:t>the sale, transfer or other disposition of all or substantially all of the assets of the Company Group (taken as a whole) to any Person that is not an Affiliate of the Company.</w:t>
      </w:r>
    </w:p>
    <w:p>
      <w:pPr>
        <w:spacing w:after="0" w:line="170" w:lineRule="exact"/>
        <w:rPr>
          <w:rFonts w:ascii="Arial" w:cs="Arial" w:eastAsia="Arial" w:hAnsi="Arial"/>
          <w:sz w:val="18"/>
          <w:szCs w:val="18"/>
          <w:color w:val="010000"/>
        </w:rPr>
      </w:pPr>
    </w:p>
    <w:p>
      <w:pPr>
        <w:ind w:left="485" w:hanging="485"/>
        <w:spacing w:after="0"/>
        <w:tabs>
          <w:tab w:leader="none" w:pos="485" w:val="left"/>
        </w:tabs>
        <w:numPr>
          <w:ilvl w:val="0"/>
          <w:numId w:val="50"/>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 Consideration</w:t>
      </w:r>
      <w:r>
        <w:rPr>
          <w:rFonts w:ascii="Arial" w:cs="Arial" w:eastAsia="Arial" w:hAnsi="Arial"/>
          <w:sz w:val="18"/>
          <w:szCs w:val="18"/>
          <w:color w:val="auto"/>
        </w:rPr>
        <w:t>” has the meaning given to such term in Section 11(b) of the Plan.</w:t>
      </w:r>
    </w:p>
    <w:p>
      <w:pPr>
        <w:spacing w:after="0" w:line="225" w:lineRule="exact"/>
        <w:rPr>
          <w:rFonts w:ascii="Arial" w:cs="Arial" w:eastAsia="Arial" w:hAnsi="Arial"/>
          <w:sz w:val="18"/>
          <w:szCs w:val="18"/>
          <w:color w:val="010000"/>
        </w:rPr>
      </w:pPr>
    </w:p>
    <w:p>
      <w:pPr>
        <w:jc w:val="both"/>
        <w:ind w:left="-195" w:firstLine="195"/>
        <w:spacing w:after="0" w:line="263" w:lineRule="auto"/>
        <w:tabs>
          <w:tab w:leader="none" w:pos="488" w:val="left"/>
        </w:tabs>
        <w:numPr>
          <w:ilvl w:val="0"/>
          <w:numId w:val="50"/>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and any successor thereto. Reference in the Plan to any section of the Code shall be deemed to include any regulations or other interpretative guidance under such section, and any amendments or successor provisions to such section, regulations or guidance.</w:t>
      </w:r>
    </w:p>
    <w:p>
      <w:pPr>
        <w:spacing w:after="0" w:line="183" w:lineRule="exact"/>
        <w:rPr>
          <w:rFonts w:ascii="Arial" w:cs="Arial" w:eastAsia="Arial" w:hAnsi="Arial"/>
          <w:sz w:val="18"/>
          <w:szCs w:val="18"/>
          <w:color w:val="010000"/>
        </w:rPr>
      </w:pPr>
    </w:p>
    <w:p>
      <w:pPr>
        <w:ind w:left="-195" w:right="20" w:firstLine="195"/>
        <w:spacing w:after="0" w:line="277" w:lineRule="auto"/>
        <w:tabs>
          <w:tab w:leader="none" w:pos="677" w:val="left"/>
        </w:tabs>
        <w:numPr>
          <w:ilvl w:val="0"/>
          <w:numId w:val="50"/>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the Compensation Committee of the Board or any properly delegated subcommittee thereof or, if no such Compensation Committee or subcommittee thereof exists, the Board.</w:t>
      </w:r>
    </w:p>
    <w:p>
      <w:pPr>
        <w:spacing w:after="0" w:line="170" w:lineRule="exact"/>
        <w:rPr>
          <w:rFonts w:ascii="Arial" w:cs="Arial" w:eastAsia="Arial" w:hAnsi="Arial"/>
          <w:sz w:val="18"/>
          <w:szCs w:val="18"/>
          <w:color w:val="010000"/>
        </w:rPr>
      </w:pPr>
    </w:p>
    <w:p>
      <w:pPr>
        <w:ind w:left="-195" w:right="20" w:firstLine="195"/>
        <w:spacing w:after="0" w:line="277" w:lineRule="auto"/>
        <w:tabs>
          <w:tab w:leader="none" w:pos="542" w:val="left"/>
        </w:tabs>
        <w:numPr>
          <w:ilvl w:val="0"/>
          <w:numId w:val="50"/>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or “Shares” means ordinary shares in the capital of the Company (or ordinary shares as represented by American Depository Shares and as evidenced by American Depository Receipts).</w:t>
      </w:r>
    </w:p>
    <w:p>
      <w:pPr>
        <w:spacing w:after="0" w:line="170" w:lineRule="exact"/>
        <w:rPr>
          <w:rFonts w:ascii="Arial" w:cs="Arial" w:eastAsia="Arial" w:hAnsi="Arial"/>
          <w:sz w:val="18"/>
          <w:szCs w:val="18"/>
          <w:color w:val="010000"/>
        </w:rPr>
      </w:pPr>
    </w:p>
    <w:p>
      <w:pPr>
        <w:ind w:left="565" w:hanging="565"/>
        <w:spacing w:after="0"/>
        <w:tabs>
          <w:tab w:leader="none" w:pos="565" w:val="left"/>
        </w:tabs>
        <w:numPr>
          <w:ilvl w:val="0"/>
          <w:numId w:val="50"/>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ICON plc, a public limited company registered in Ireland, and any successor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wp:posOffset>
            </wp:positionH>
            <wp:positionV relativeFrom="paragraph">
              <wp:posOffset>452120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05"/>
          </w:cols>
          <w:pgMar w:left="1075" w:top="341" w:right="619" w:bottom="1440" w:gutter="0" w:footer="0" w:header="0"/>
        </w:sectPr>
      </w:pPr>
    </w:p>
    <w:bookmarkStart w:id="34" w:name="page35"/>
    <w:bookmarkEnd w:id="34"/>
    <w:p>
      <w:pPr>
        <w:ind w:left="-195" w:right="20" w:firstLine="195"/>
        <w:spacing w:after="0" w:line="277" w:lineRule="auto"/>
        <w:tabs>
          <w:tab w:leader="none" w:pos="596" w:val="left"/>
        </w:tabs>
        <w:numPr>
          <w:ilvl w:val="0"/>
          <w:numId w:val="51"/>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Company Group</w:t>
      </w:r>
      <w:r>
        <w:rPr>
          <w:rFonts w:ascii="Arial" w:cs="Arial" w:eastAsia="Arial" w:hAnsi="Arial"/>
          <w:sz w:val="18"/>
          <w:szCs w:val="18"/>
          <w:color w:val="auto"/>
        </w:rPr>
        <w:t>” means, collectively, the Company and its Subsidiaries, and any other Affiliate of the Company designated as a member of the Company Group by the Committee.</w:t>
      </w:r>
    </w:p>
    <w:p>
      <w:pPr>
        <w:spacing w:after="0" w:line="170" w:lineRule="exact"/>
        <w:rPr>
          <w:rFonts w:ascii="Arial" w:cs="Arial" w:eastAsia="Arial" w:hAnsi="Arial"/>
          <w:sz w:val="18"/>
          <w:szCs w:val="18"/>
          <w:color w:val="010000"/>
        </w:rPr>
      </w:pPr>
    </w:p>
    <w:p>
      <w:pPr>
        <w:ind w:left="525" w:hanging="525"/>
        <w:spacing w:after="0"/>
        <w:tabs>
          <w:tab w:leader="none" w:pos="525" w:val="left"/>
        </w:tabs>
        <w:numPr>
          <w:ilvl w:val="0"/>
          <w:numId w:val="51"/>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Continuing Entity</w:t>
      </w:r>
      <w:r>
        <w:rPr>
          <w:rFonts w:ascii="Arial" w:cs="Arial" w:eastAsia="Arial" w:hAnsi="Arial"/>
          <w:sz w:val="18"/>
          <w:szCs w:val="18"/>
          <w:color w:val="auto"/>
        </w:rPr>
        <w:t>” has the meaning given to such term in Section 11(b) of the Plan.</w:t>
      </w:r>
    </w:p>
    <w:p>
      <w:pPr>
        <w:spacing w:after="0" w:line="225" w:lineRule="exact"/>
        <w:rPr>
          <w:rFonts w:ascii="Arial" w:cs="Arial" w:eastAsia="Arial" w:hAnsi="Arial"/>
          <w:sz w:val="18"/>
          <w:szCs w:val="18"/>
          <w:color w:val="010000"/>
        </w:rPr>
      </w:pPr>
    </w:p>
    <w:p>
      <w:pPr>
        <w:ind w:left="-195" w:firstLine="195"/>
        <w:spacing w:after="0" w:line="277" w:lineRule="auto"/>
        <w:tabs>
          <w:tab w:leader="none" w:pos="623" w:val="left"/>
        </w:tabs>
        <w:numPr>
          <w:ilvl w:val="0"/>
          <w:numId w:val="51"/>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Date of Grant</w:t>
      </w:r>
      <w:r>
        <w:rPr>
          <w:rFonts w:ascii="Arial" w:cs="Arial" w:eastAsia="Arial" w:hAnsi="Arial"/>
          <w:sz w:val="18"/>
          <w:szCs w:val="18"/>
          <w:color w:val="auto"/>
        </w:rPr>
        <w:t>” means the date on which the granting of an Award is authorized, or such other date as may be specified in such authorization.</w:t>
      </w:r>
    </w:p>
    <w:p>
      <w:pPr>
        <w:spacing w:after="0" w:line="170" w:lineRule="exact"/>
        <w:rPr>
          <w:rFonts w:ascii="Arial" w:cs="Arial" w:eastAsia="Arial" w:hAnsi="Arial"/>
          <w:sz w:val="18"/>
          <w:szCs w:val="18"/>
          <w:color w:val="010000"/>
        </w:rPr>
      </w:pPr>
    </w:p>
    <w:p>
      <w:pPr>
        <w:ind w:left="-195" w:right="20" w:firstLine="195"/>
        <w:spacing w:after="0" w:line="277" w:lineRule="auto"/>
        <w:tabs>
          <w:tab w:leader="none" w:pos="582" w:val="left"/>
        </w:tabs>
        <w:numPr>
          <w:ilvl w:val="0"/>
          <w:numId w:val="51"/>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Designated Foreign Subsidiaries</w:t>
      </w:r>
      <w:r>
        <w:rPr>
          <w:rFonts w:ascii="Arial" w:cs="Arial" w:eastAsia="Arial" w:hAnsi="Arial"/>
          <w:sz w:val="18"/>
          <w:szCs w:val="18"/>
          <w:color w:val="auto"/>
        </w:rPr>
        <w:t>” means all members of the Company Group that are organized under the laws of any jurisdiction other than the United States of America that may be designated by the Board or the Committee from time to time.</w:t>
      </w:r>
    </w:p>
    <w:p>
      <w:pPr>
        <w:spacing w:after="0" w:line="170" w:lineRule="exact"/>
        <w:rPr>
          <w:rFonts w:ascii="Arial" w:cs="Arial" w:eastAsia="Arial" w:hAnsi="Arial"/>
          <w:sz w:val="18"/>
          <w:szCs w:val="18"/>
          <w:color w:val="010000"/>
        </w:rPr>
      </w:pPr>
    </w:p>
    <w:p>
      <w:pPr>
        <w:jc w:val="both"/>
        <w:ind w:left="-195" w:firstLine="195"/>
        <w:spacing w:after="0" w:line="259" w:lineRule="auto"/>
        <w:tabs>
          <w:tab w:leader="none" w:pos="525" w:val="left"/>
        </w:tabs>
        <w:numPr>
          <w:ilvl w:val="0"/>
          <w:numId w:val="51"/>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Detrimental Activity</w:t>
      </w:r>
      <w:r>
        <w:rPr>
          <w:rFonts w:ascii="Arial" w:cs="Arial" w:eastAsia="Arial" w:hAnsi="Arial"/>
          <w:sz w:val="18"/>
          <w:szCs w:val="18"/>
          <w:color w:val="auto"/>
        </w:rPr>
        <w:t>” means any of the following: (i) unauthorized disclosure of any confidential or proprietary information of any member of the Company Group; (ii) any activity that would be grounds to terminate the Participant’s employment or service with the Service Recipient for Cause; or (iii) a breach by the Participant of any noncompetition, nonsolicitation, or other agreement containing restrictive covenants with any member of the Company Group.</w:t>
      </w:r>
    </w:p>
    <w:p>
      <w:pPr>
        <w:spacing w:after="0" w:line="186" w:lineRule="exact"/>
        <w:rPr>
          <w:rFonts w:ascii="Arial" w:cs="Arial" w:eastAsia="Arial" w:hAnsi="Arial"/>
          <w:sz w:val="18"/>
          <w:szCs w:val="18"/>
          <w:color w:val="010000"/>
        </w:rPr>
      </w:pPr>
    </w:p>
    <w:p>
      <w:pPr>
        <w:ind w:left="505" w:hanging="505"/>
        <w:spacing w:after="0"/>
        <w:tabs>
          <w:tab w:leader="none" w:pos="505" w:val="left"/>
        </w:tabs>
        <w:numPr>
          <w:ilvl w:val="0"/>
          <w:numId w:val="51"/>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Director Award</w:t>
      </w:r>
      <w:r>
        <w:rPr>
          <w:rFonts w:ascii="Arial" w:cs="Arial" w:eastAsia="Arial" w:hAnsi="Arial"/>
          <w:sz w:val="18"/>
          <w:szCs w:val="18"/>
          <w:color w:val="auto"/>
        </w:rPr>
        <w:t>” has the meaning given to such term in Section 10 of the Plan.</w:t>
      </w:r>
    </w:p>
    <w:p>
      <w:pPr>
        <w:spacing w:after="0" w:line="225" w:lineRule="exact"/>
        <w:rPr>
          <w:rFonts w:ascii="Arial" w:cs="Arial" w:eastAsia="Arial" w:hAnsi="Arial"/>
          <w:sz w:val="18"/>
          <w:szCs w:val="18"/>
          <w:color w:val="010000"/>
        </w:rPr>
      </w:pPr>
    </w:p>
    <w:p>
      <w:pPr>
        <w:ind w:left="485" w:hanging="485"/>
        <w:spacing w:after="0"/>
        <w:tabs>
          <w:tab w:leader="none" w:pos="485" w:val="left"/>
        </w:tabs>
        <w:numPr>
          <w:ilvl w:val="0"/>
          <w:numId w:val="51"/>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Director Grant Value</w:t>
      </w:r>
      <w:r>
        <w:rPr>
          <w:rFonts w:ascii="Arial" w:cs="Arial" w:eastAsia="Arial" w:hAnsi="Arial"/>
          <w:sz w:val="18"/>
          <w:szCs w:val="18"/>
          <w:color w:val="auto"/>
        </w:rPr>
        <w:t>” has the meaning given to such term in Section 10 of the Plan.</w:t>
      </w:r>
    </w:p>
    <w:p>
      <w:pPr>
        <w:spacing w:after="0" w:line="225" w:lineRule="exact"/>
        <w:rPr>
          <w:rFonts w:ascii="Arial" w:cs="Arial" w:eastAsia="Arial" w:hAnsi="Arial"/>
          <w:sz w:val="18"/>
          <w:szCs w:val="18"/>
          <w:color w:val="010000"/>
        </w:rPr>
      </w:pPr>
    </w:p>
    <w:p>
      <w:pPr>
        <w:jc w:val="both"/>
        <w:ind w:left="-195" w:right="20" w:firstLine="195"/>
        <w:spacing w:after="0" w:line="254" w:lineRule="auto"/>
        <w:tabs>
          <w:tab w:leader="none" w:pos="542" w:val="left"/>
        </w:tabs>
        <w:numPr>
          <w:ilvl w:val="0"/>
          <w:numId w:val="51"/>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means, as to any Participant, unless the applicable Award Agreement states otherwise, (i) “Disability,” as defined in any employment or consulting agreement between the Participant and the Service Recipient in effect at the time of such Termination; or (ii) in the absence of any such employment or consulting agreement (or the absence of any definition of “Disability” contained therein), a condition entitling the Participant to receive benefits under a long-term disability plan of the Service Recipient or other member of the Company Group in which such Participant is eligible to participate, or, in the absence of such a plan, the complete and permanent inability of the Participant by reason of illness or accident to perform the duties of the occupation at which the Participant was employed or served when such disability commenced. Any determination of whether Disability exists in the absence of a long-term disability plan shall be made by the Company (or its designee) in its sole and absolute discretion.</w:t>
      </w:r>
    </w:p>
    <w:p>
      <w:pPr>
        <w:spacing w:after="0" w:line="191" w:lineRule="exact"/>
        <w:rPr>
          <w:rFonts w:ascii="Arial" w:cs="Arial" w:eastAsia="Arial" w:hAnsi="Arial"/>
          <w:sz w:val="18"/>
          <w:szCs w:val="18"/>
          <w:color w:val="010000"/>
        </w:rPr>
      </w:pPr>
    </w:p>
    <w:p>
      <w:pPr>
        <w:ind w:left="525" w:hanging="525"/>
        <w:spacing w:after="0"/>
        <w:tabs>
          <w:tab w:leader="none" w:pos="525" w:val="left"/>
        </w:tabs>
        <w:numPr>
          <w:ilvl w:val="0"/>
          <w:numId w:val="51"/>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means May 31, 2018.</w:t>
      </w:r>
    </w:p>
    <w:p>
      <w:pPr>
        <w:spacing w:after="0" w:line="225" w:lineRule="exact"/>
        <w:rPr>
          <w:rFonts w:ascii="Arial" w:cs="Arial" w:eastAsia="Arial" w:hAnsi="Arial"/>
          <w:sz w:val="18"/>
          <w:szCs w:val="18"/>
          <w:color w:val="010000"/>
        </w:rPr>
      </w:pPr>
    </w:p>
    <w:p>
      <w:pPr>
        <w:jc w:val="both"/>
        <w:ind w:left="-195" w:firstLine="195"/>
        <w:spacing w:after="0" w:line="293" w:lineRule="auto"/>
        <w:tabs>
          <w:tab w:leader="none" w:pos="703" w:val="left"/>
        </w:tabs>
        <w:numPr>
          <w:ilvl w:val="0"/>
          <w:numId w:val="51"/>
        </w:numPr>
        <w:rPr>
          <w:rFonts w:ascii="Arial" w:cs="Arial" w:eastAsia="Arial" w:hAnsi="Arial"/>
          <w:sz w:val="16"/>
          <w:szCs w:val="16"/>
          <w:color w:val="010000"/>
        </w:rPr>
      </w:pPr>
      <w:r>
        <w:rPr>
          <w:rFonts w:ascii="Arial" w:cs="Arial" w:eastAsia="Arial" w:hAnsi="Arial"/>
          <w:sz w:val="16"/>
          <w:szCs w:val="16"/>
          <w:color w:val="auto"/>
        </w:rPr>
        <w:t>“</w:t>
      </w:r>
      <w:r>
        <w:rPr>
          <w:rFonts w:ascii="Arial" w:cs="Arial" w:eastAsia="Arial" w:hAnsi="Arial"/>
          <w:sz w:val="16"/>
          <w:szCs w:val="16"/>
          <w:u w:val="single" w:color="auto"/>
          <w:color w:val="auto"/>
        </w:rPr>
        <w:t>Eligible Person</w:t>
      </w:r>
      <w:r>
        <w:rPr>
          <w:rFonts w:ascii="Arial" w:cs="Arial" w:eastAsia="Arial" w:hAnsi="Arial"/>
          <w:sz w:val="16"/>
          <w:szCs w:val="16"/>
          <w:color w:val="auto"/>
        </w:rPr>
        <w:t xml:space="preserve">” means any (i) individual employed by any member of the Company Group; </w:t>
      </w:r>
      <w:r>
        <w:rPr>
          <w:rFonts w:ascii="Arial" w:cs="Arial" w:eastAsia="Arial" w:hAnsi="Arial"/>
          <w:sz w:val="16"/>
          <w:szCs w:val="16"/>
          <w:i w:val="1"/>
          <w:iCs w:val="1"/>
          <w:color w:val="auto"/>
        </w:rPr>
        <w:t>provided, however</w:t>
      </w:r>
      <w:r>
        <w:rPr>
          <w:rFonts w:ascii="Arial" w:cs="Arial" w:eastAsia="Arial" w:hAnsi="Arial"/>
          <w:sz w:val="16"/>
          <w:szCs w:val="16"/>
          <w:color w:val="auto"/>
        </w:rPr>
        <w:t>, that no such employee covered by a collective bargaining agreement shall be an Eligible Person unless and to the extent that such eligibility is set forth in such collective bargaining agreement or in an agreement or instrument relating thereto; (ii) director or officer of any member of the Company Group; or (iii) consultant or advisor to any member of the Company Group who may be offered securities registrable pursuant to a registration statement on Form S-8 under the Securities Act, who, in the case of each of clauses (i) through (iii) above has entered into an Award Agreement or who has received written notification from the Committee or its designee that they have been selected to participate in the Plan.</w:t>
      </w:r>
    </w:p>
    <w:p>
      <w:pPr>
        <w:spacing w:after="0" w:line="164" w:lineRule="exact"/>
        <w:rPr>
          <w:rFonts w:ascii="Arial" w:cs="Arial" w:eastAsia="Arial" w:hAnsi="Arial"/>
          <w:sz w:val="16"/>
          <w:szCs w:val="16"/>
          <w:color w:val="010000"/>
        </w:rPr>
      </w:pPr>
    </w:p>
    <w:p>
      <w:pPr>
        <w:jc w:val="both"/>
        <w:ind w:left="-195" w:firstLine="195"/>
        <w:spacing w:after="0" w:line="286" w:lineRule="auto"/>
        <w:tabs>
          <w:tab w:leader="none" w:pos="596" w:val="left"/>
        </w:tabs>
        <w:numPr>
          <w:ilvl w:val="0"/>
          <w:numId w:val="51"/>
        </w:numPr>
        <w:rPr>
          <w:rFonts w:ascii="Arial" w:cs="Arial" w:eastAsia="Arial" w:hAnsi="Arial"/>
          <w:sz w:val="17"/>
          <w:szCs w:val="17"/>
          <w:color w:val="010000"/>
        </w:rPr>
      </w:pPr>
      <w:r>
        <w:rPr>
          <w:rFonts w:ascii="Arial" w:cs="Arial" w:eastAsia="Arial" w:hAnsi="Arial"/>
          <w:sz w:val="17"/>
          <w:szCs w:val="17"/>
          <w:color w:val="auto"/>
        </w:rPr>
        <w:t>“</w:t>
      </w:r>
      <w:r>
        <w:rPr>
          <w:rFonts w:ascii="Arial" w:cs="Arial" w:eastAsia="Arial" w:hAnsi="Arial"/>
          <w:sz w:val="17"/>
          <w:szCs w:val="17"/>
          <w:u w:val="single" w:color="auto"/>
          <w:color w:val="auto"/>
        </w:rPr>
        <w:t>Exchange Act</w:t>
      </w:r>
      <w:r>
        <w:rPr>
          <w:rFonts w:ascii="Arial" w:cs="Arial" w:eastAsia="Arial" w:hAnsi="Arial"/>
          <w:sz w:val="17"/>
          <w:szCs w:val="17"/>
          <w:color w:val="auto"/>
        </w:rPr>
        <w:t>” means the Securities Exchange Act of 1934, as amended, and any successor thereto. Reference in the Plan to any section of (or rule promulgated under) the Exchange Act shall be deemed to include any rules, regulations or other interpretative guidance under such section or rule, and any amendments or successor provisions to such section, rules, regulations or guidance.</w:t>
      </w:r>
    </w:p>
    <w:p>
      <w:pPr>
        <w:spacing w:after="0" w:line="165" w:lineRule="exact"/>
        <w:rPr>
          <w:rFonts w:ascii="Arial" w:cs="Arial" w:eastAsia="Arial" w:hAnsi="Arial"/>
          <w:sz w:val="17"/>
          <w:szCs w:val="17"/>
          <w:color w:val="010000"/>
        </w:rPr>
      </w:pPr>
    </w:p>
    <w:p>
      <w:pPr>
        <w:ind w:left="525" w:hanging="525"/>
        <w:spacing w:after="0"/>
        <w:tabs>
          <w:tab w:leader="none" w:pos="525" w:val="left"/>
        </w:tabs>
        <w:numPr>
          <w:ilvl w:val="0"/>
          <w:numId w:val="51"/>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Exercise Price</w:t>
      </w:r>
      <w:r>
        <w:rPr>
          <w:rFonts w:ascii="Arial" w:cs="Arial" w:eastAsia="Arial" w:hAnsi="Arial"/>
          <w:sz w:val="18"/>
          <w:szCs w:val="18"/>
          <w:color w:val="auto"/>
        </w:rPr>
        <w:t>” has the meaning given to such term in Section 7(b)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wp:posOffset>
            </wp:positionH>
            <wp:positionV relativeFrom="paragraph">
              <wp:posOffset>452120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05"/>
          </w:cols>
          <w:pgMar w:left="1075" w:top="341" w:right="619" w:bottom="1440" w:gutter="0" w:footer="0" w:header="0"/>
        </w:sectPr>
      </w:pPr>
    </w:p>
    <w:bookmarkStart w:id="35" w:name="page36"/>
    <w:bookmarkEnd w:id="35"/>
    <w:p>
      <w:pPr>
        <w:jc w:val="both"/>
        <w:ind w:left="-195" w:right="20" w:firstLine="195"/>
        <w:spacing w:after="0" w:line="286" w:lineRule="auto"/>
        <w:tabs>
          <w:tab w:leader="none" w:pos="716" w:val="left"/>
        </w:tabs>
        <w:numPr>
          <w:ilvl w:val="0"/>
          <w:numId w:val="52"/>
        </w:numPr>
        <w:rPr>
          <w:rFonts w:ascii="Arial" w:cs="Arial" w:eastAsia="Arial" w:hAnsi="Arial"/>
          <w:sz w:val="17"/>
          <w:szCs w:val="17"/>
          <w:color w:val="010000"/>
        </w:rPr>
      </w:pPr>
      <w:r>
        <w:rPr>
          <w:rFonts w:ascii="Arial" w:cs="Arial" w:eastAsia="Arial" w:hAnsi="Arial"/>
          <w:sz w:val="17"/>
          <w:szCs w:val="17"/>
          <w:color w:val="auto"/>
        </w:rPr>
        <w:t>“</w:t>
      </w:r>
      <w:r>
        <w:rPr>
          <w:rFonts w:ascii="Arial" w:cs="Arial" w:eastAsia="Arial" w:hAnsi="Arial"/>
          <w:sz w:val="17"/>
          <w:szCs w:val="17"/>
          <w:u w:val="single" w:color="auto"/>
          <w:color w:val="auto"/>
        </w:rPr>
        <w:t>Fair Market Value</w:t>
      </w:r>
      <w:r>
        <w:rPr>
          <w:rFonts w:ascii="Arial" w:cs="Arial" w:eastAsia="Arial" w:hAnsi="Arial"/>
          <w:sz w:val="17"/>
          <w:szCs w:val="17"/>
          <w:color w:val="auto"/>
        </w:rPr>
        <w:t>” means, as of any date, the fair market value of a share of Common Stock, as reasonably determined by the Company and consistently applied for purposes of the Plan, which may include, without limitation, the closing sales price on the trading day immediately prior to or on such date, or a trailing average of previous closing prices prior to such date.</w:t>
      </w:r>
    </w:p>
    <w:p>
      <w:pPr>
        <w:spacing w:after="0" w:line="165" w:lineRule="exact"/>
        <w:rPr>
          <w:sz w:val="20"/>
          <w:szCs w:val="20"/>
          <w:color w:val="auto"/>
        </w:rPr>
      </w:pPr>
    </w:p>
    <w:p>
      <w:pPr>
        <w:ind w:left="545" w:hanging="545"/>
        <w:spacing w:after="0"/>
        <w:tabs>
          <w:tab w:leader="none" w:pos="545" w:val="left"/>
        </w:tabs>
        <w:numPr>
          <w:ilvl w:val="0"/>
          <w:numId w:val="53"/>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has the meaning given to such term in Section 7(d) of the Plan.</w:t>
      </w:r>
    </w:p>
    <w:p>
      <w:pPr>
        <w:spacing w:after="0" w:line="225" w:lineRule="exact"/>
        <w:rPr>
          <w:rFonts w:ascii="Arial" w:cs="Arial" w:eastAsia="Arial" w:hAnsi="Arial"/>
          <w:sz w:val="18"/>
          <w:szCs w:val="18"/>
          <w:color w:val="010000"/>
        </w:rPr>
      </w:pPr>
    </w:p>
    <w:p>
      <w:pPr>
        <w:jc w:val="both"/>
        <w:ind w:left="-195" w:firstLine="195"/>
        <w:spacing w:after="0" w:line="291" w:lineRule="auto"/>
        <w:tabs>
          <w:tab w:leader="none" w:pos="560" w:val="left"/>
        </w:tabs>
        <w:numPr>
          <w:ilvl w:val="0"/>
          <w:numId w:val="53"/>
        </w:numPr>
        <w:rPr>
          <w:rFonts w:ascii="Arial" w:cs="Arial" w:eastAsia="Arial" w:hAnsi="Arial"/>
          <w:sz w:val="16"/>
          <w:szCs w:val="16"/>
          <w:color w:val="010000"/>
        </w:rPr>
      </w:pPr>
      <w:r>
        <w:rPr>
          <w:rFonts w:ascii="Arial" w:cs="Arial" w:eastAsia="Arial" w:hAnsi="Arial"/>
          <w:sz w:val="16"/>
          <w:szCs w:val="16"/>
          <w:color w:val="auto"/>
        </w:rPr>
        <w:t>“</w:t>
      </w:r>
      <w:r>
        <w:rPr>
          <w:rFonts w:ascii="Arial" w:cs="Arial" w:eastAsia="Arial" w:hAnsi="Arial"/>
          <w:sz w:val="16"/>
          <w:szCs w:val="16"/>
          <w:u w:val="single" w:color="auto"/>
          <w:color w:val="auto"/>
        </w:rPr>
        <w:t>Grant Date Fair Market Value</w:t>
      </w:r>
      <w:r>
        <w:rPr>
          <w:rFonts w:ascii="Arial" w:cs="Arial" w:eastAsia="Arial" w:hAnsi="Arial"/>
          <w:sz w:val="16"/>
          <w:szCs w:val="16"/>
          <w:color w:val="auto"/>
        </w:rPr>
        <w:t>” means, as of a Date of Grant, (i) if the Common Stock is listed on a national securities exchange, the closing sales price of the Common Stock reported on the primary exchange on which the Common Stock is listed and traded on such date, or, if there are no such sales on that date, then on the last preceding date on which such sales were reported; (ii) if the Common Stock is not listed on any national securities exchange but is quoted in an inter-dealer quotation system on a last sale basis, the average between the closing bid price and ask price reported on such date, or, if there is no such sale on that date, then on the last preceding date on which a sale was reported; or (iii) if the Common Stock is not listed on a national securities exchange or quoted in an inter-dealer quotation system on a last sale basis, the amount determined by the Committee in good faith to be the fair market value of the Common Stock.</w:t>
      </w:r>
    </w:p>
    <w:p>
      <w:pPr>
        <w:spacing w:after="0" w:line="166" w:lineRule="exact"/>
        <w:rPr>
          <w:rFonts w:ascii="Arial" w:cs="Arial" w:eastAsia="Arial" w:hAnsi="Arial"/>
          <w:sz w:val="16"/>
          <w:szCs w:val="16"/>
          <w:color w:val="010000"/>
        </w:rPr>
      </w:pPr>
    </w:p>
    <w:p>
      <w:pPr>
        <w:ind w:left="585" w:hanging="585"/>
        <w:spacing w:after="0"/>
        <w:tabs>
          <w:tab w:leader="none" w:pos="585" w:val="left"/>
        </w:tabs>
        <w:numPr>
          <w:ilvl w:val="0"/>
          <w:numId w:val="53"/>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Immediate Family Members</w:t>
      </w:r>
      <w:r>
        <w:rPr>
          <w:rFonts w:ascii="Arial" w:cs="Arial" w:eastAsia="Arial" w:hAnsi="Arial"/>
          <w:sz w:val="18"/>
          <w:szCs w:val="18"/>
          <w:color w:val="auto"/>
        </w:rPr>
        <w:t>” has the meaning given to such term in Section 13(b) of the Plan.</w:t>
      </w:r>
    </w:p>
    <w:p>
      <w:pPr>
        <w:spacing w:after="0" w:line="225" w:lineRule="exact"/>
        <w:rPr>
          <w:rFonts w:ascii="Arial" w:cs="Arial" w:eastAsia="Arial" w:hAnsi="Arial"/>
          <w:sz w:val="18"/>
          <w:szCs w:val="18"/>
          <w:color w:val="010000"/>
        </w:rPr>
      </w:pPr>
    </w:p>
    <w:p>
      <w:pPr>
        <w:ind w:left="-195" w:right="20" w:firstLine="195"/>
        <w:spacing w:after="0" w:line="277" w:lineRule="auto"/>
        <w:tabs>
          <w:tab w:leader="none" w:pos="681" w:val="left"/>
        </w:tabs>
        <w:numPr>
          <w:ilvl w:val="0"/>
          <w:numId w:val="53"/>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Incentive Stock Option</w:t>
      </w:r>
      <w:r>
        <w:rPr>
          <w:rFonts w:ascii="Arial" w:cs="Arial" w:eastAsia="Arial" w:hAnsi="Arial"/>
          <w:sz w:val="18"/>
          <w:szCs w:val="18"/>
          <w:color w:val="auto"/>
        </w:rPr>
        <w:t>” means an Option which is designated by the Committee as an incentive stock option as described in Section 422 of the Code and otherwise meets the requirements set forth in the Plan.</w:t>
      </w:r>
    </w:p>
    <w:p>
      <w:pPr>
        <w:spacing w:after="0" w:line="170" w:lineRule="exact"/>
        <w:rPr>
          <w:rFonts w:ascii="Arial" w:cs="Arial" w:eastAsia="Arial" w:hAnsi="Arial"/>
          <w:sz w:val="18"/>
          <w:szCs w:val="18"/>
          <w:color w:val="010000"/>
        </w:rPr>
      </w:pPr>
    </w:p>
    <w:p>
      <w:pPr>
        <w:ind w:left="585" w:hanging="585"/>
        <w:spacing w:after="0"/>
        <w:tabs>
          <w:tab w:leader="none" w:pos="585" w:val="left"/>
        </w:tabs>
        <w:numPr>
          <w:ilvl w:val="0"/>
          <w:numId w:val="53"/>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Indemnifiable Person</w:t>
      </w:r>
      <w:r>
        <w:rPr>
          <w:rFonts w:ascii="Arial" w:cs="Arial" w:eastAsia="Arial" w:hAnsi="Arial"/>
          <w:sz w:val="18"/>
          <w:szCs w:val="18"/>
          <w:color w:val="auto"/>
        </w:rPr>
        <w:t>” has the meaning given to such term in Section 4(e) of the Plan.</w:t>
      </w:r>
    </w:p>
    <w:p>
      <w:pPr>
        <w:spacing w:after="0" w:line="225" w:lineRule="exact"/>
        <w:rPr>
          <w:rFonts w:ascii="Arial" w:cs="Arial" w:eastAsia="Arial" w:hAnsi="Arial"/>
          <w:sz w:val="18"/>
          <w:szCs w:val="18"/>
          <w:color w:val="010000"/>
        </w:rPr>
      </w:pPr>
    </w:p>
    <w:p>
      <w:pPr>
        <w:ind w:left="605" w:hanging="605"/>
        <w:spacing w:after="0"/>
        <w:tabs>
          <w:tab w:leader="none" w:pos="605" w:val="left"/>
        </w:tabs>
        <w:numPr>
          <w:ilvl w:val="0"/>
          <w:numId w:val="53"/>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Initial Director Grant</w:t>
      </w:r>
      <w:r>
        <w:rPr>
          <w:rFonts w:ascii="Arial" w:cs="Arial" w:eastAsia="Arial" w:hAnsi="Arial"/>
          <w:sz w:val="18"/>
          <w:szCs w:val="18"/>
          <w:color w:val="auto"/>
        </w:rPr>
        <w:t>” has the meaning given to such term in Section 10 of the Plan.</w:t>
      </w:r>
    </w:p>
    <w:p>
      <w:pPr>
        <w:spacing w:after="0" w:line="225" w:lineRule="exact"/>
        <w:rPr>
          <w:rFonts w:ascii="Arial" w:cs="Arial" w:eastAsia="Arial" w:hAnsi="Arial"/>
          <w:sz w:val="18"/>
          <w:szCs w:val="18"/>
          <w:color w:val="010000"/>
        </w:rPr>
      </w:pPr>
    </w:p>
    <w:p>
      <w:pPr>
        <w:jc w:val="both"/>
        <w:ind w:left="-195" w:right="20" w:firstLine="195"/>
        <w:spacing w:after="0" w:line="291" w:lineRule="auto"/>
        <w:tabs>
          <w:tab w:leader="none" w:pos="573" w:val="left"/>
        </w:tabs>
        <w:numPr>
          <w:ilvl w:val="0"/>
          <w:numId w:val="53"/>
        </w:numPr>
        <w:rPr>
          <w:rFonts w:ascii="Arial" w:cs="Arial" w:eastAsia="Arial" w:hAnsi="Arial"/>
          <w:sz w:val="16"/>
          <w:szCs w:val="16"/>
          <w:color w:val="010000"/>
        </w:rPr>
      </w:pPr>
      <w:r>
        <w:rPr>
          <w:rFonts w:ascii="Arial" w:cs="Arial" w:eastAsia="Arial" w:hAnsi="Arial"/>
          <w:sz w:val="16"/>
          <w:szCs w:val="16"/>
          <w:color w:val="auto"/>
        </w:rPr>
        <w:t>“</w:t>
      </w:r>
      <w:r>
        <w:rPr>
          <w:rFonts w:ascii="Arial" w:cs="Arial" w:eastAsia="Arial" w:hAnsi="Arial"/>
          <w:sz w:val="16"/>
          <w:szCs w:val="16"/>
          <w:u w:val="single" w:color="auto"/>
          <w:color w:val="auto"/>
        </w:rPr>
        <w:t>Minimum Vesting Condition</w:t>
      </w:r>
      <w:r>
        <w:rPr>
          <w:rFonts w:ascii="Arial" w:cs="Arial" w:eastAsia="Arial" w:hAnsi="Arial"/>
          <w:sz w:val="16"/>
          <w:szCs w:val="16"/>
          <w:color w:val="auto"/>
        </w:rPr>
        <w:t>” means, with respect to any Award, that vesting of (or lapsing of restrictions on) such Award does not occur prior to the first anniversary of the Date of Grant (or the date of commencement of employment or service, in the case of a grant made in connection with a Participant’s commencement of employment or service), other than (i) in connection with a Change in Control, as provided in Section 11(b) hereof, or (ii) as a result of a Participant’s death or Disability; provided, however, that to the extent determined by the Committee at the time of grant or as provided in Section 10 with respect to Director Awards, an Award need not be subject to such condition so long as the number of shares underlying such Award, together with the number of shares underlying any other Award granted without being subject to such condition does not exceed 5% of the Plan Share Reserve (the “</w:t>
      </w:r>
      <w:r>
        <w:rPr>
          <w:rFonts w:ascii="Arial" w:cs="Arial" w:eastAsia="Arial" w:hAnsi="Arial"/>
          <w:sz w:val="16"/>
          <w:szCs w:val="16"/>
          <w:u w:val="single" w:color="auto"/>
          <w:color w:val="auto"/>
        </w:rPr>
        <w:t>Minimum Vesting Condition Carve Out Amount</w:t>
      </w:r>
      <w:r>
        <w:rPr>
          <w:rFonts w:ascii="Arial" w:cs="Arial" w:eastAsia="Arial" w:hAnsi="Arial"/>
          <w:sz w:val="16"/>
          <w:szCs w:val="16"/>
          <w:color w:val="auto"/>
        </w:rPr>
        <w:t>”).</w:t>
      </w:r>
    </w:p>
    <w:p>
      <w:pPr>
        <w:spacing w:after="0" w:line="166" w:lineRule="exact"/>
        <w:rPr>
          <w:rFonts w:ascii="Arial" w:cs="Arial" w:eastAsia="Arial" w:hAnsi="Arial"/>
          <w:sz w:val="16"/>
          <w:szCs w:val="16"/>
          <w:color w:val="010000"/>
        </w:rPr>
      </w:pPr>
    </w:p>
    <w:p>
      <w:pPr>
        <w:ind w:left="565" w:hanging="565"/>
        <w:spacing w:after="0"/>
        <w:tabs>
          <w:tab w:leader="none" w:pos="565" w:val="left"/>
        </w:tabs>
        <w:numPr>
          <w:ilvl w:val="0"/>
          <w:numId w:val="53"/>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Minimum Vesting Condition Carve Out Amount</w:t>
      </w:r>
      <w:r>
        <w:rPr>
          <w:rFonts w:ascii="Arial" w:cs="Arial" w:eastAsia="Arial" w:hAnsi="Arial"/>
          <w:sz w:val="18"/>
          <w:szCs w:val="18"/>
          <w:color w:val="auto"/>
        </w:rPr>
        <w:t>” has the meaning given to such term in Section 2(gg) of the Plan.</w:t>
      </w:r>
    </w:p>
    <w:p>
      <w:pPr>
        <w:spacing w:after="0" w:line="225" w:lineRule="exact"/>
        <w:rPr>
          <w:rFonts w:ascii="Arial" w:cs="Arial" w:eastAsia="Arial" w:hAnsi="Arial"/>
          <w:sz w:val="18"/>
          <w:szCs w:val="18"/>
          <w:color w:val="010000"/>
        </w:rPr>
      </w:pPr>
    </w:p>
    <w:p>
      <w:pPr>
        <w:ind w:left="625" w:hanging="625"/>
        <w:spacing w:after="0"/>
        <w:tabs>
          <w:tab w:leader="none" w:pos="625" w:val="left"/>
        </w:tabs>
        <w:numPr>
          <w:ilvl w:val="0"/>
          <w:numId w:val="53"/>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Nonqualified Stock Option</w:t>
      </w:r>
      <w:r>
        <w:rPr>
          <w:rFonts w:ascii="Arial" w:cs="Arial" w:eastAsia="Arial" w:hAnsi="Arial"/>
          <w:sz w:val="18"/>
          <w:szCs w:val="18"/>
          <w:color w:val="auto"/>
        </w:rPr>
        <w:t>” means an Option which is not designated by the Committee as an Incentive Stock Option.</w:t>
      </w:r>
    </w:p>
    <w:p>
      <w:pPr>
        <w:spacing w:after="0" w:line="225" w:lineRule="exact"/>
        <w:rPr>
          <w:rFonts w:ascii="Arial" w:cs="Arial" w:eastAsia="Arial" w:hAnsi="Arial"/>
          <w:sz w:val="18"/>
          <w:szCs w:val="18"/>
          <w:color w:val="010000"/>
        </w:rPr>
      </w:pPr>
    </w:p>
    <w:p>
      <w:pPr>
        <w:ind w:left="625" w:hanging="625"/>
        <w:spacing w:after="0"/>
        <w:tabs>
          <w:tab w:leader="none" w:pos="625" w:val="left"/>
        </w:tabs>
        <w:numPr>
          <w:ilvl w:val="0"/>
          <w:numId w:val="53"/>
        </w:numPr>
        <w:rPr>
          <w:rFonts w:ascii="Arial" w:cs="Arial" w:eastAsia="Arial" w:hAnsi="Arial"/>
          <w:sz w:val="17"/>
          <w:szCs w:val="17"/>
          <w:color w:val="010000"/>
        </w:rPr>
      </w:pPr>
      <w:r>
        <w:rPr>
          <w:rFonts w:ascii="Arial" w:cs="Arial" w:eastAsia="Arial" w:hAnsi="Arial"/>
          <w:sz w:val="17"/>
          <w:szCs w:val="17"/>
          <w:color w:val="auto"/>
        </w:rPr>
        <w:t>“</w:t>
      </w:r>
      <w:r>
        <w:rPr>
          <w:rFonts w:ascii="Arial" w:cs="Arial" w:eastAsia="Arial" w:hAnsi="Arial"/>
          <w:sz w:val="17"/>
          <w:szCs w:val="17"/>
          <w:u w:val="single" w:color="auto"/>
          <w:color w:val="auto"/>
        </w:rPr>
        <w:t>Non-Employee Director</w:t>
      </w:r>
      <w:r>
        <w:rPr>
          <w:rFonts w:ascii="Arial" w:cs="Arial" w:eastAsia="Arial" w:hAnsi="Arial"/>
          <w:sz w:val="17"/>
          <w:szCs w:val="17"/>
          <w:color w:val="auto"/>
        </w:rPr>
        <w:t>” means a member of the Board who is not an employee of any member of the Company Group.</w:t>
      </w:r>
    </w:p>
    <w:p>
      <w:pPr>
        <w:spacing w:after="0" w:line="236" w:lineRule="exact"/>
        <w:rPr>
          <w:rFonts w:ascii="Arial" w:cs="Arial" w:eastAsia="Arial" w:hAnsi="Arial"/>
          <w:sz w:val="17"/>
          <w:szCs w:val="17"/>
          <w:color w:val="010000"/>
        </w:rPr>
      </w:pPr>
    </w:p>
    <w:p>
      <w:pPr>
        <w:ind w:left="605" w:hanging="605"/>
        <w:spacing w:after="0"/>
        <w:tabs>
          <w:tab w:leader="none" w:pos="605" w:val="left"/>
        </w:tabs>
        <w:numPr>
          <w:ilvl w:val="0"/>
          <w:numId w:val="53"/>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Option</w:t>
      </w:r>
      <w:r>
        <w:rPr>
          <w:rFonts w:ascii="Arial" w:cs="Arial" w:eastAsia="Arial" w:hAnsi="Arial"/>
          <w:sz w:val="18"/>
          <w:szCs w:val="18"/>
          <w:color w:val="auto"/>
        </w:rPr>
        <w:t>” means an Award granted under Section 7 of the Plan.</w:t>
      </w:r>
    </w:p>
    <w:p>
      <w:pPr>
        <w:spacing w:after="0" w:line="225" w:lineRule="exact"/>
        <w:rPr>
          <w:rFonts w:ascii="Arial" w:cs="Arial" w:eastAsia="Arial" w:hAnsi="Arial"/>
          <w:sz w:val="18"/>
          <w:szCs w:val="18"/>
          <w:color w:val="010000"/>
        </w:rPr>
      </w:pPr>
    </w:p>
    <w:p>
      <w:pPr>
        <w:ind w:left="625" w:hanging="625"/>
        <w:spacing w:after="0"/>
        <w:tabs>
          <w:tab w:leader="none" w:pos="625" w:val="left"/>
        </w:tabs>
        <w:numPr>
          <w:ilvl w:val="0"/>
          <w:numId w:val="53"/>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Option Period</w:t>
      </w:r>
      <w:r>
        <w:rPr>
          <w:rFonts w:ascii="Arial" w:cs="Arial" w:eastAsia="Arial" w:hAnsi="Arial"/>
          <w:sz w:val="18"/>
          <w:szCs w:val="18"/>
          <w:color w:val="auto"/>
        </w:rPr>
        <w:t>” has the meaning given to such term in Section 7(c)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wp:posOffset>
            </wp:positionH>
            <wp:positionV relativeFrom="paragraph">
              <wp:posOffset>452120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05"/>
          </w:cols>
          <w:pgMar w:left="1075" w:top="341" w:right="619" w:bottom="1440" w:gutter="0" w:footer="0" w:header="0"/>
        </w:sectPr>
      </w:pPr>
    </w:p>
    <w:bookmarkStart w:id="36" w:name="page37"/>
    <w:bookmarkEnd w:id="36"/>
    <w:p>
      <w:pPr>
        <w:ind w:left="-10" w:firstLine="195"/>
        <w:spacing w:after="0" w:line="342" w:lineRule="auto"/>
        <w:tabs>
          <w:tab w:leader="none" w:pos="814" w:val="left"/>
        </w:tabs>
        <w:numPr>
          <w:ilvl w:val="1"/>
          <w:numId w:val="54"/>
        </w:numPr>
        <w:rPr>
          <w:rFonts w:ascii="Arial" w:cs="Arial" w:eastAsia="Arial" w:hAnsi="Arial"/>
          <w:sz w:val="16"/>
          <w:szCs w:val="16"/>
          <w:color w:val="010000"/>
        </w:rPr>
      </w:pPr>
      <w:r>
        <w:rPr>
          <w:rFonts w:ascii="Arial" w:cs="Arial" w:eastAsia="Arial" w:hAnsi="Arial"/>
          <w:sz w:val="16"/>
          <w:szCs w:val="16"/>
          <w:color w:val="auto"/>
        </w:rPr>
        <w:t>“</w:t>
      </w:r>
      <w:r>
        <w:rPr>
          <w:rFonts w:ascii="Arial" w:cs="Arial" w:eastAsia="Arial" w:hAnsi="Arial"/>
          <w:sz w:val="16"/>
          <w:szCs w:val="16"/>
          <w:u w:val="single" w:color="auto"/>
          <w:color w:val="auto"/>
        </w:rPr>
        <w:t>Other Equity-Based Award</w:t>
      </w:r>
      <w:r>
        <w:rPr>
          <w:rFonts w:ascii="Arial" w:cs="Arial" w:eastAsia="Arial" w:hAnsi="Arial"/>
          <w:sz w:val="16"/>
          <w:szCs w:val="16"/>
          <w:color w:val="auto"/>
        </w:rPr>
        <w:t>” means an Award that is not an Option, Restricted Stock or Restricted Stock Unit, that is granted under Section 9 of the Plan and is (i) payable by delivery of Common Stock, and/or (ii) measured by reference to the value of Common Stock.</w:t>
      </w:r>
    </w:p>
    <w:p>
      <w:pPr>
        <w:spacing w:after="0" w:line="123" w:lineRule="exact"/>
        <w:rPr>
          <w:rFonts w:ascii="Arial" w:cs="Arial" w:eastAsia="Arial" w:hAnsi="Arial"/>
          <w:sz w:val="16"/>
          <w:szCs w:val="16"/>
          <w:color w:val="010000"/>
        </w:rPr>
      </w:pPr>
    </w:p>
    <w:p>
      <w:pPr>
        <w:ind w:left="-10" w:right="20" w:firstLine="195"/>
        <w:spacing w:after="0" w:line="277" w:lineRule="auto"/>
        <w:tabs>
          <w:tab w:leader="none" w:pos="786" w:val="left"/>
        </w:tabs>
        <w:numPr>
          <w:ilvl w:val="1"/>
          <w:numId w:val="54"/>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means an Eligible Person who has been selected by the Committee to participate in the Plan and to receive an Award pursuant to the Plan.</w:t>
      </w:r>
    </w:p>
    <w:p>
      <w:pPr>
        <w:spacing w:after="0" w:line="170" w:lineRule="exact"/>
        <w:rPr>
          <w:rFonts w:ascii="Arial" w:cs="Arial" w:eastAsia="Arial" w:hAnsi="Arial"/>
          <w:sz w:val="18"/>
          <w:szCs w:val="18"/>
          <w:color w:val="010000"/>
        </w:rPr>
      </w:pPr>
    </w:p>
    <w:p>
      <w:pPr>
        <w:ind w:left="750" w:hanging="565"/>
        <w:spacing w:after="0"/>
        <w:tabs>
          <w:tab w:leader="none" w:pos="750" w:val="left"/>
        </w:tabs>
        <w:numPr>
          <w:ilvl w:val="1"/>
          <w:numId w:val="54"/>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Performance-Based Award</w:t>
      </w:r>
      <w:r>
        <w:rPr>
          <w:rFonts w:ascii="Arial" w:cs="Arial" w:eastAsia="Arial" w:hAnsi="Arial"/>
          <w:sz w:val="18"/>
          <w:szCs w:val="18"/>
          <w:color w:val="auto"/>
        </w:rPr>
        <w:t>” has the meaning given to such term in Section 11(b) of the Plan.</w:t>
      </w:r>
    </w:p>
    <w:p>
      <w:pPr>
        <w:spacing w:after="0" w:line="225" w:lineRule="exact"/>
        <w:rPr>
          <w:rFonts w:ascii="Arial" w:cs="Arial" w:eastAsia="Arial" w:hAnsi="Arial"/>
          <w:sz w:val="18"/>
          <w:szCs w:val="18"/>
          <w:color w:val="010000"/>
        </w:rPr>
      </w:pPr>
    </w:p>
    <w:p>
      <w:pPr>
        <w:ind w:left="750" w:hanging="565"/>
        <w:spacing w:after="0"/>
        <w:tabs>
          <w:tab w:leader="none" w:pos="750" w:val="left"/>
        </w:tabs>
        <w:numPr>
          <w:ilvl w:val="1"/>
          <w:numId w:val="54"/>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Permitted Transferee</w:t>
      </w:r>
      <w:r>
        <w:rPr>
          <w:rFonts w:ascii="Arial" w:cs="Arial" w:eastAsia="Arial" w:hAnsi="Arial"/>
          <w:sz w:val="18"/>
          <w:szCs w:val="18"/>
          <w:color w:val="auto"/>
        </w:rPr>
        <w:t>” has the meaning given to such term in Section 13(b) of the Plan.</w:t>
      </w:r>
    </w:p>
    <w:p>
      <w:pPr>
        <w:spacing w:after="0" w:line="225" w:lineRule="exact"/>
        <w:rPr>
          <w:rFonts w:ascii="Arial" w:cs="Arial" w:eastAsia="Arial" w:hAnsi="Arial"/>
          <w:sz w:val="18"/>
          <w:szCs w:val="18"/>
          <w:color w:val="010000"/>
        </w:rPr>
      </w:pPr>
    </w:p>
    <w:p>
      <w:pPr>
        <w:ind w:left="750" w:hanging="565"/>
        <w:spacing w:after="0"/>
        <w:tabs>
          <w:tab w:leader="none" w:pos="750" w:val="left"/>
        </w:tabs>
        <w:numPr>
          <w:ilvl w:val="1"/>
          <w:numId w:val="54"/>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entity or group (within the meaning of Section 13(d)(3) or 14(d)(2) of the Exchange Act).</w:t>
      </w:r>
    </w:p>
    <w:p>
      <w:pPr>
        <w:spacing w:after="0" w:line="225" w:lineRule="exact"/>
        <w:rPr>
          <w:rFonts w:ascii="Arial" w:cs="Arial" w:eastAsia="Arial" w:hAnsi="Arial"/>
          <w:sz w:val="18"/>
          <w:szCs w:val="18"/>
          <w:color w:val="010000"/>
        </w:rPr>
      </w:pPr>
    </w:p>
    <w:p>
      <w:pPr>
        <w:ind w:left="790" w:hanging="605"/>
        <w:spacing w:after="0"/>
        <w:tabs>
          <w:tab w:leader="none" w:pos="790" w:val="left"/>
        </w:tabs>
        <w:numPr>
          <w:ilvl w:val="1"/>
          <w:numId w:val="54"/>
        </w:numPr>
        <w:rPr>
          <w:rFonts w:ascii="Arial" w:cs="Arial" w:eastAsia="Arial" w:hAnsi="Arial"/>
          <w:sz w:val="16"/>
          <w:szCs w:val="16"/>
          <w:color w:val="010000"/>
        </w:rPr>
      </w:pPr>
      <w:r>
        <w:rPr>
          <w:rFonts w:ascii="Arial" w:cs="Arial" w:eastAsia="Arial" w:hAnsi="Arial"/>
          <w:sz w:val="16"/>
          <w:szCs w:val="16"/>
          <w:color w:val="auto"/>
        </w:rPr>
        <w:t>“</w:t>
      </w:r>
      <w:r>
        <w:rPr>
          <w:rFonts w:ascii="Arial" w:cs="Arial" w:eastAsia="Arial" w:hAnsi="Arial"/>
          <w:sz w:val="16"/>
          <w:szCs w:val="16"/>
          <w:u w:val="single" w:color="auto"/>
          <w:color w:val="auto"/>
        </w:rPr>
        <w:t>Plan</w:t>
      </w:r>
      <w:r>
        <w:rPr>
          <w:rFonts w:ascii="Arial" w:cs="Arial" w:eastAsia="Arial" w:hAnsi="Arial"/>
          <w:sz w:val="16"/>
          <w:szCs w:val="16"/>
          <w:color w:val="auto"/>
        </w:rPr>
        <w:t>” means this PRA Health Sciences, Inc. 2018 Stock Incentive Plan, as it may be amended and/or restated from time to time.</w:t>
      </w:r>
    </w:p>
    <w:p>
      <w:pPr>
        <w:spacing w:after="0" w:line="248" w:lineRule="exact"/>
        <w:rPr>
          <w:rFonts w:ascii="Arial" w:cs="Arial" w:eastAsia="Arial" w:hAnsi="Arial"/>
          <w:sz w:val="16"/>
          <w:szCs w:val="16"/>
          <w:color w:val="010000"/>
        </w:rPr>
      </w:pPr>
    </w:p>
    <w:p>
      <w:pPr>
        <w:ind w:left="750" w:hanging="565"/>
        <w:spacing w:after="0"/>
        <w:tabs>
          <w:tab w:leader="none" w:pos="750" w:val="left"/>
        </w:tabs>
        <w:numPr>
          <w:ilvl w:val="1"/>
          <w:numId w:val="54"/>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Plan Share Reserve</w:t>
      </w:r>
      <w:r>
        <w:rPr>
          <w:rFonts w:ascii="Arial" w:cs="Arial" w:eastAsia="Arial" w:hAnsi="Arial"/>
          <w:sz w:val="18"/>
          <w:szCs w:val="18"/>
          <w:color w:val="auto"/>
        </w:rPr>
        <w:t>” has the meaning given to such term in Section 5(b) of the Plan.</w:t>
      </w:r>
    </w:p>
    <w:p>
      <w:pPr>
        <w:spacing w:after="0" w:line="225" w:lineRule="exact"/>
        <w:rPr>
          <w:rFonts w:ascii="Arial" w:cs="Arial" w:eastAsia="Arial" w:hAnsi="Arial"/>
          <w:sz w:val="18"/>
          <w:szCs w:val="18"/>
          <w:color w:val="010000"/>
        </w:rPr>
      </w:pPr>
    </w:p>
    <w:p>
      <w:pPr>
        <w:ind w:left="770" w:hanging="585"/>
        <w:spacing w:after="0"/>
        <w:tabs>
          <w:tab w:leader="none" w:pos="770" w:val="left"/>
        </w:tabs>
        <w:numPr>
          <w:ilvl w:val="1"/>
          <w:numId w:val="54"/>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Prior Plan</w:t>
      </w:r>
      <w:r>
        <w:rPr>
          <w:rFonts w:ascii="Arial" w:cs="Arial" w:eastAsia="Arial" w:hAnsi="Arial"/>
          <w:sz w:val="18"/>
          <w:szCs w:val="18"/>
          <w:color w:val="auto"/>
        </w:rPr>
        <w:t>” means the 2014 PRA Health Sciences, Inc. Omnibus Incentive Plan.</w:t>
      </w:r>
    </w:p>
    <w:p>
      <w:pPr>
        <w:spacing w:after="0" w:line="225" w:lineRule="exact"/>
        <w:rPr>
          <w:rFonts w:ascii="Arial" w:cs="Arial" w:eastAsia="Arial" w:hAnsi="Arial"/>
          <w:sz w:val="18"/>
          <w:szCs w:val="18"/>
          <w:color w:val="010000"/>
        </w:rPr>
      </w:pPr>
    </w:p>
    <w:p>
      <w:pPr>
        <w:jc w:val="both"/>
        <w:ind w:left="-10" w:firstLine="195"/>
        <w:spacing w:after="0" w:line="263" w:lineRule="auto"/>
        <w:tabs>
          <w:tab w:leader="none" w:pos="840" w:val="left"/>
        </w:tabs>
        <w:numPr>
          <w:ilvl w:val="1"/>
          <w:numId w:val="54"/>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Qualifying Director</w:t>
      </w:r>
      <w:r>
        <w:rPr>
          <w:rFonts w:ascii="Arial" w:cs="Arial" w:eastAsia="Arial" w:hAnsi="Arial"/>
          <w:sz w:val="18"/>
          <w:szCs w:val="18"/>
          <w:color w:val="auto"/>
        </w:rPr>
        <w:t>” means a person who is with respect to actions intended to obtain an exemption from Section 16(b) of the Exchange Act pursuant to Rule 16b-3 under the Exchange Act, a “non-employee director” within the meaning of Rule 16b-3 under the Exchange Act.</w:t>
      </w:r>
    </w:p>
    <w:p>
      <w:pPr>
        <w:spacing w:after="0" w:line="183" w:lineRule="exact"/>
        <w:rPr>
          <w:rFonts w:ascii="Arial" w:cs="Arial" w:eastAsia="Arial" w:hAnsi="Arial"/>
          <w:sz w:val="18"/>
          <w:szCs w:val="18"/>
          <w:color w:val="010000"/>
        </w:rPr>
      </w:pPr>
    </w:p>
    <w:p>
      <w:pPr>
        <w:ind w:left="770" w:hanging="585"/>
        <w:spacing w:after="0"/>
        <w:tabs>
          <w:tab w:leader="none" w:pos="770" w:val="left"/>
        </w:tabs>
        <w:numPr>
          <w:ilvl w:val="1"/>
          <w:numId w:val="54"/>
        </w:numPr>
        <w:rPr>
          <w:rFonts w:ascii="Arial" w:cs="Arial" w:eastAsia="Arial" w:hAnsi="Arial"/>
          <w:sz w:val="16"/>
          <w:szCs w:val="16"/>
          <w:color w:val="010000"/>
        </w:rPr>
      </w:pPr>
      <w:r>
        <w:rPr>
          <w:rFonts w:ascii="Arial" w:cs="Arial" w:eastAsia="Arial" w:hAnsi="Arial"/>
          <w:sz w:val="16"/>
          <w:szCs w:val="16"/>
          <w:color w:val="auto"/>
        </w:rPr>
        <w:t>“</w:t>
      </w:r>
      <w:r>
        <w:rPr>
          <w:rFonts w:ascii="Arial" w:cs="Arial" w:eastAsia="Arial" w:hAnsi="Arial"/>
          <w:sz w:val="16"/>
          <w:szCs w:val="16"/>
          <w:u w:val="single" w:color="auto"/>
          <w:color w:val="auto"/>
        </w:rPr>
        <w:t>Qualifying Termination</w:t>
      </w:r>
      <w:r>
        <w:rPr>
          <w:rFonts w:ascii="Arial" w:cs="Arial" w:eastAsia="Arial" w:hAnsi="Arial"/>
          <w:sz w:val="16"/>
          <w:szCs w:val="16"/>
          <w:color w:val="auto"/>
        </w:rPr>
        <w:t>” means a Termination (i) by the Service Recipient other than for Cause, (ii) by the Participant as a result of</w:t>
      </w:r>
    </w:p>
    <w:p>
      <w:pPr>
        <w:spacing w:after="0" w:line="46" w:lineRule="exact"/>
        <w:rPr>
          <w:rFonts w:ascii="Arial" w:cs="Arial" w:eastAsia="Arial" w:hAnsi="Arial"/>
          <w:sz w:val="16"/>
          <w:szCs w:val="16"/>
          <w:color w:val="010000"/>
        </w:rPr>
      </w:pPr>
    </w:p>
    <w:p>
      <w:pPr>
        <w:jc w:val="both"/>
        <w:ind w:left="-10" w:right="20" w:firstLine="10"/>
        <w:spacing w:after="0" w:line="253" w:lineRule="auto"/>
        <w:tabs>
          <w:tab w:leader="none" w:pos="288"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material diminution in compensation, (B) a material reduction in duties or responsibilities, or (C) a relocation by the Service Recipient of the Participant’s principal place of employment or providing services by more than fifty (50) miles from the then-current location, or (iii) by reason of such Participant’s death or Disability, in each case on or within a twelve (12) months following a Change in Control, or such other period as specified by the Committee.</w:t>
      </w:r>
    </w:p>
    <w:p>
      <w:pPr>
        <w:spacing w:after="0" w:line="192" w:lineRule="exact"/>
        <w:rPr>
          <w:rFonts w:ascii="Arial" w:cs="Arial" w:eastAsia="Arial" w:hAnsi="Arial"/>
          <w:sz w:val="18"/>
          <w:szCs w:val="18"/>
          <w:color w:val="auto"/>
        </w:rPr>
      </w:pPr>
    </w:p>
    <w:p>
      <w:pPr>
        <w:ind w:left="-10" w:right="20" w:firstLine="195"/>
        <w:spacing w:after="0" w:line="277" w:lineRule="auto"/>
        <w:tabs>
          <w:tab w:leader="none" w:pos="915" w:val="left"/>
        </w:tabs>
        <w:numPr>
          <w:ilvl w:val="1"/>
          <w:numId w:val="55"/>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Restricted Period</w:t>
      </w:r>
      <w:r>
        <w:rPr>
          <w:rFonts w:ascii="Arial" w:cs="Arial" w:eastAsia="Arial" w:hAnsi="Arial"/>
          <w:sz w:val="18"/>
          <w:szCs w:val="18"/>
          <w:color w:val="auto"/>
        </w:rPr>
        <w:t>” means the period of time determined by the Committee during which an Award is subject to restrictions, including vesting conditions.</w:t>
      </w:r>
    </w:p>
    <w:p>
      <w:pPr>
        <w:spacing w:after="0" w:line="170" w:lineRule="exact"/>
        <w:rPr>
          <w:rFonts w:ascii="Arial" w:cs="Arial" w:eastAsia="Arial" w:hAnsi="Arial"/>
          <w:sz w:val="18"/>
          <w:szCs w:val="18"/>
          <w:color w:val="010000"/>
        </w:rPr>
      </w:pPr>
    </w:p>
    <w:p>
      <w:pPr>
        <w:jc w:val="both"/>
        <w:ind w:left="-10" w:right="20" w:firstLine="195"/>
        <w:spacing w:after="0" w:line="263" w:lineRule="auto"/>
        <w:tabs>
          <w:tab w:leader="none" w:pos="1051" w:val="left"/>
        </w:tabs>
        <w:numPr>
          <w:ilvl w:val="1"/>
          <w:numId w:val="55"/>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w:t>
      </w:r>
      <w:r>
        <w:rPr>
          <w:rFonts w:ascii="Arial" w:cs="Arial" w:eastAsia="Arial" w:hAnsi="Arial"/>
          <w:sz w:val="18"/>
          <w:szCs w:val="18"/>
          <w:color w:val="auto"/>
        </w:rPr>
        <w:t>” means Common Stock, subject to certain specified restrictions (which may include, without limitation, a requirement that the Participant remain continuously employed or provide continuous services for a specified period of time), granted under Section 8 of the Plan.</w:t>
      </w:r>
    </w:p>
    <w:p>
      <w:pPr>
        <w:spacing w:after="0" w:line="183" w:lineRule="exact"/>
        <w:rPr>
          <w:rFonts w:ascii="Arial" w:cs="Arial" w:eastAsia="Arial" w:hAnsi="Arial"/>
          <w:sz w:val="18"/>
          <w:szCs w:val="18"/>
          <w:color w:val="010000"/>
        </w:rPr>
      </w:pPr>
    </w:p>
    <w:p>
      <w:pPr>
        <w:jc w:val="both"/>
        <w:ind w:left="-10" w:right="20" w:firstLine="195"/>
        <w:spacing w:after="0" w:line="263" w:lineRule="auto"/>
        <w:tabs>
          <w:tab w:leader="none" w:pos="840" w:val="left"/>
        </w:tabs>
        <w:numPr>
          <w:ilvl w:val="1"/>
          <w:numId w:val="55"/>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 Unit</w:t>
      </w:r>
      <w:r>
        <w:rPr>
          <w:rFonts w:ascii="Arial" w:cs="Arial" w:eastAsia="Arial" w:hAnsi="Arial"/>
          <w:sz w:val="18"/>
          <w:szCs w:val="18"/>
          <w:color w:val="auto"/>
        </w:rPr>
        <w:t>” means an unfunded and unsecured promise to deliver shares of Common Stock, cash, other securities or other property, subject to certain restrictions (which may include, without limitation, a requirement that the Participant remain continuously employed or provide continuous services for a specified period of time), granted under Section 8 of the Plan.</w:t>
      </w:r>
    </w:p>
    <w:p>
      <w:pPr>
        <w:spacing w:after="0" w:line="183" w:lineRule="exact"/>
        <w:rPr>
          <w:rFonts w:ascii="Arial" w:cs="Arial" w:eastAsia="Arial" w:hAnsi="Arial"/>
          <w:sz w:val="18"/>
          <w:szCs w:val="18"/>
          <w:color w:val="010000"/>
        </w:rPr>
      </w:pPr>
    </w:p>
    <w:p>
      <w:pPr>
        <w:jc w:val="both"/>
        <w:ind w:left="-10" w:right="20" w:firstLine="195"/>
        <w:spacing w:after="0" w:line="286" w:lineRule="auto"/>
        <w:tabs>
          <w:tab w:leader="none" w:pos="855" w:val="left"/>
        </w:tabs>
        <w:numPr>
          <w:ilvl w:val="1"/>
          <w:numId w:val="55"/>
        </w:numPr>
        <w:rPr>
          <w:rFonts w:ascii="Arial" w:cs="Arial" w:eastAsia="Arial" w:hAnsi="Arial"/>
          <w:sz w:val="17"/>
          <w:szCs w:val="17"/>
          <w:color w:val="010000"/>
        </w:rPr>
      </w:pPr>
      <w:r>
        <w:rPr>
          <w:rFonts w:ascii="Arial" w:cs="Arial" w:eastAsia="Arial" w:hAnsi="Arial"/>
          <w:sz w:val="17"/>
          <w:szCs w:val="17"/>
          <w:color w:val="auto"/>
        </w:rPr>
        <w:t>“</w:t>
      </w:r>
      <w:r>
        <w:rPr>
          <w:rFonts w:ascii="Arial" w:cs="Arial" w:eastAsia="Arial" w:hAnsi="Arial"/>
          <w:sz w:val="17"/>
          <w:szCs w:val="17"/>
          <w:u w:val="single" w:color="auto"/>
          <w:color w:val="auto"/>
        </w:rPr>
        <w:t>Securities Act</w:t>
      </w:r>
      <w:r>
        <w:rPr>
          <w:rFonts w:ascii="Arial" w:cs="Arial" w:eastAsia="Arial" w:hAnsi="Arial"/>
          <w:sz w:val="17"/>
          <w:szCs w:val="17"/>
          <w:color w:val="auto"/>
        </w:rPr>
        <w:t>” means the Securities Act of 1933, as amended, and any successor thereto. Reference in the Plan to any section of (or rule promulgated under) the Securities Act shall be deemed to include any rules, regulations or other interpretative guidance under such section or rule, and any amendments or successor provisions to such section, rules, regulations or guidance.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414020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90"/>
          </w:cols>
          <w:pgMar w:left="890" w:top="341" w:right="619" w:bottom="1440" w:gutter="0" w:footer="0" w:header="0"/>
        </w:sectPr>
      </w:pPr>
    </w:p>
    <w:bookmarkStart w:id="37" w:name="page38"/>
    <w:bookmarkEnd w:id="37"/>
    <w:p>
      <w:pPr>
        <w:jc w:val="both"/>
        <w:ind w:left="560" w:right="300" w:firstLine="195"/>
        <w:spacing w:after="0" w:line="263" w:lineRule="auto"/>
        <w:tabs>
          <w:tab w:leader="none" w:pos="1370" w:val="left"/>
        </w:tabs>
        <w:numPr>
          <w:ilvl w:val="0"/>
          <w:numId w:val="56"/>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Service Recipient</w:t>
      </w:r>
      <w:r>
        <w:rPr>
          <w:rFonts w:ascii="Arial" w:cs="Arial" w:eastAsia="Arial" w:hAnsi="Arial"/>
          <w:sz w:val="18"/>
          <w:szCs w:val="18"/>
          <w:color w:val="auto"/>
        </w:rPr>
        <w:t>” means, with respect to an individual holding a given Award, the member of the Company Group by which the original recipient of such Award is, or following a Termination was most recently, principally employed or to which such original recipient provides, or following a Termination was most recently providing, services, as applicable.</w:t>
      </w:r>
    </w:p>
    <w:p>
      <w:pPr>
        <w:spacing w:after="0" w:line="183" w:lineRule="exact"/>
        <w:rPr>
          <w:rFonts w:ascii="Arial" w:cs="Arial" w:eastAsia="Arial" w:hAnsi="Arial"/>
          <w:sz w:val="18"/>
          <w:szCs w:val="18"/>
          <w:color w:val="010000"/>
        </w:rPr>
      </w:pPr>
    </w:p>
    <w:p>
      <w:pPr>
        <w:ind w:left="560" w:right="280" w:firstLine="195"/>
        <w:spacing w:after="0" w:line="277" w:lineRule="auto"/>
        <w:tabs>
          <w:tab w:leader="none" w:pos="1369" w:val="left"/>
        </w:tabs>
        <w:numPr>
          <w:ilvl w:val="0"/>
          <w:numId w:val="56"/>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SAR Base Price</w:t>
      </w:r>
      <w:r>
        <w:rPr>
          <w:rFonts w:ascii="Arial" w:cs="Arial" w:eastAsia="Arial" w:hAnsi="Arial"/>
          <w:sz w:val="18"/>
          <w:szCs w:val="18"/>
          <w:color w:val="auto"/>
        </w:rPr>
        <w:t>” means, as to any Stock Appreciation Right, the price per share of Common Stock designated as the base value above which appreciation in value is measured.</w:t>
      </w:r>
    </w:p>
    <w:p>
      <w:pPr>
        <w:spacing w:after="0" w:line="170" w:lineRule="exact"/>
        <w:rPr>
          <w:rFonts w:ascii="Arial" w:cs="Arial" w:eastAsia="Arial" w:hAnsi="Arial"/>
          <w:sz w:val="18"/>
          <w:szCs w:val="18"/>
          <w:color w:val="010000"/>
        </w:rPr>
      </w:pPr>
    </w:p>
    <w:p>
      <w:pPr>
        <w:ind w:left="560" w:right="300" w:firstLine="195"/>
        <w:spacing w:after="0" w:line="277" w:lineRule="auto"/>
        <w:tabs>
          <w:tab w:leader="none" w:pos="1329" w:val="left"/>
        </w:tabs>
        <w:numPr>
          <w:ilvl w:val="0"/>
          <w:numId w:val="56"/>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Stock Appreciation Right</w:t>
      </w:r>
      <w:r>
        <w:rPr>
          <w:rFonts w:ascii="Arial" w:cs="Arial" w:eastAsia="Arial" w:hAnsi="Arial"/>
          <w:sz w:val="18"/>
          <w:szCs w:val="18"/>
          <w:color w:val="auto"/>
        </w:rPr>
        <w:t>” or “</w:t>
      </w:r>
      <w:r>
        <w:rPr>
          <w:rFonts w:ascii="Arial" w:cs="Arial" w:eastAsia="Arial" w:hAnsi="Arial"/>
          <w:sz w:val="18"/>
          <w:szCs w:val="18"/>
          <w:u w:val="single" w:color="auto"/>
          <w:color w:val="auto"/>
        </w:rPr>
        <w:t>SAR</w:t>
      </w:r>
      <w:r>
        <w:rPr>
          <w:rFonts w:ascii="Arial" w:cs="Arial" w:eastAsia="Arial" w:hAnsi="Arial"/>
          <w:sz w:val="18"/>
          <w:szCs w:val="18"/>
          <w:color w:val="auto"/>
        </w:rPr>
        <w:t>” means an Other-Equity Based Award designated in an applicable Award Agreement as a stock appreciation right.</w:t>
      </w:r>
    </w:p>
    <w:p>
      <w:pPr>
        <w:spacing w:after="0" w:line="170" w:lineRule="exact"/>
        <w:rPr>
          <w:rFonts w:ascii="Arial" w:cs="Arial" w:eastAsia="Arial" w:hAnsi="Arial"/>
          <w:sz w:val="18"/>
          <w:szCs w:val="18"/>
          <w:color w:val="010000"/>
        </w:rPr>
      </w:pPr>
    </w:p>
    <w:p>
      <w:pPr>
        <w:ind w:left="1320" w:hanging="565"/>
        <w:spacing w:after="0"/>
        <w:tabs>
          <w:tab w:leader="none" w:pos="1320" w:val="left"/>
        </w:tabs>
        <w:numPr>
          <w:ilvl w:val="0"/>
          <w:numId w:val="56"/>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with respect to any specified Person:</w:t>
      </w:r>
    </w:p>
    <w:p>
      <w:pPr>
        <w:spacing w:after="0" w:line="225" w:lineRule="exact"/>
        <w:rPr>
          <w:rFonts w:ascii="Arial" w:cs="Arial" w:eastAsia="Arial" w:hAnsi="Arial"/>
          <w:sz w:val="18"/>
          <w:szCs w:val="18"/>
          <w:color w:val="010000"/>
        </w:rPr>
      </w:pPr>
    </w:p>
    <w:p>
      <w:pPr>
        <w:jc w:val="both"/>
        <w:ind w:left="680" w:right="300" w:firstLine="642"/>
        <w:spacing w:after="0" w:line="259" w:lineRule="auto"/>
        <w:tabs>
          <w:tab w:leader="none" w:pos="1934" w:val="left"/>
        </w:tabs>
        <w:numPr>
          <w:ilvl w:val="1"/>
          <w:numId w:val="56"/>
        </w:numPr>
        <w:rPr>
          <w:rFonts w:ascii="Arial" w:cs="Arial" w:eastAsia="Arial" w:hAnsi="Arial"/>
          <w:sz w:val="18"/>
          <w:szCs w:val="18"/>
          <w:color w:val="010000"/>
        </w:rPr>
      </w:pPr>
      <w:r>
        <w:rPr>
          <w:rFonts w:ascii="Arial" w:cs="Arial" w:eastAsia="Arial" w:hAnsi="Arial"/>
          <w:sz w:val="18"/>
          <w:szCs w:val="18"/>
          <w:color w:val="auto"/>
        </w:rPr>
        <w:t>any corporation, association or other business entity of which more than 50% of the total voting power of shares of such entity’s voting securities (without regard to the occurrence of any contingency and after giving effect to any voting agreement or stockholders’ agreement that effectively transfers voting power) is at the time owned or controlled, directly or indirectly, by that Person or one or more of the other Subsidiaries of that Person (or a combination thereof); and</w:t>
      </w:r>
    </w:p>
    <w:p>
      <w:pPr>
        <w:spacing w:after="0" w:line="186" w:lineRule="exact"/>
        <w:rPr>
          <w:rFonts w:ascii="Arial" w:cs="Arial" w:eastAsia="Arial" w:hAnsi="Arial"/>
          <w:sz w:val="18"/>
          <w:szCs w:val="18"/>
          <w:color w:val="010000"/>
        </w:rPr>
      </w:pPr>
    </w:p>
    <w:p>
      <w:pPr>
        <w:jc w:val="both"/>
        <w:ind w:left="680" w:right="300" w:firstLine="642"/>
        <w:spacing w:after="0" w:line="263" w:lineRule="auto"/>
        <w:tabs>
          <w:tab w:leader="none" w:pos="2011" w:val="left"/>
        </w:tabs>
        <w:numPr>
          <w:ilvl w:val="1"/>
          <w:numId w:val="56"/>
        </w:numPr>
        <w:rPr>
          <w:rFonts w:ascii="Arial" w:cs="Arial" w:eastAsia="Arial" w:hAnsi="Arial"/>
          <w:sz w:val="18"/>
          <w:szCs w:val="18"/>
          <w:color w:val="010000"/>
        </w:rPr>
      </w:pPr>
      <w:r>
        <w:rPr>
          <w:rFonts w:ascii="Arial" w:cs="Arial" w:eastAsia="Arial" w:hAnsi="Arial"/>
          <w:sz w:val="18"/>
          <w:szCs w:val="18"/>
          <w:color w:val="auto"/>
        </w:rPr>
        <w:t>any partnership (or any comparable foreign entity) (A) the sole general partner (or functional equivalent thereof) or the managing general partner of which is such Person or Subsidiary of such Person or (B) the only general partners (or functional equivalents thereof) of which are that Person or one or more Subsidiaries of that Person (or any combination thereof).</w:t>
      </w:r>
    </w:p>
    <w:p>
      <w:pPr>
        <w:spacing w:after="0" w:line="183" w:lineRule="exact"/>
        <w:rPr>
          <w:rFonts w:ascii="Arial" w:cs="Arial" w:eastAsia="Arial" w:hAnsi="Arial"/>
          <w:sz w:val="18"/>
          <w:szCs w:val="18"/>
          <w:color w:val="010000"/>
        </w:rPr>
      </w:pPr>
    </w:p>
    <w:p>
      <w:pPr>
        <w:ind w:left="1340" w:hanging="585"/>
        <w:spacing w:after="0"/>
        <w:tabs>
          <w:tab w:leader="none" w:pos="1340" w:val="left"/>
        </w:tabs>
        <w:numPr>
          <w:ilvl w:val="0"/>
          <w:numId w:val="56"/>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Substitute Award</w:t>
      </w:r>
      <w:r>
        <w:rPr>
          <w:rFonts w:ascii="Arial" w:cs="Arial" w:eastAsia="Arial" w:hAnsi="Arial"/>
          <w:sz w:val="18"/>
          <w:szCs w:val="18"/>
          <w:color w:val="auto"/>
        </w:rPr>
        <w:t>” has the meaning given to such term in Section 5(f) of the Plan.</w:t>
      </w:r>
    </w:p>
    <w:p>
      <w:pPr>
        <w:spacing w:after="0" w:line="225" w:lineRule="exact"/>
        <w:rPr>
          <w:rFonts w:ascii="Arial" w:cs="Arial" w:eastAsia="Arial" w:hAnsi="Arial"/>
          <w:sz w:val="18"/>
          <w:szCs w:val="18"/>
          <w:color w:val="010000"/>
        </w:rPr>
      </w:pPr>
    </w:p>
    <w:p>
      <w:pPr>
        <w:jc w:val="both"/>
        <w:ind w:left="560" w:right="280" w:firstLine="195"/>
        <w:spacing w:after="0" w:line="273" w:lineRule="auto"/>
        <w:tabs>
          <w:tab w:leader="none" w:pos="1380" w:val="left"/>
        </w:tabs>
        <w:numPr>
          <w:ilvl w:val="0"/>
          <w:numId w:val="56"/>
        </w:numPr>
        <w:rPr>
          <w:rFonts w:ascii="Arial" w:cs="Arial" w:eastAsia="Arial" w:hAnsi="Arial"/>
          <w:sz w:val="17"/>
          <w:szCs w:val="17"/>
          <w:color w:val="010000"/>
        </w:rPr>
      </w:pPr>
      <w:r>
        <w:rPr>
          <w:rFonts w:ascii="Arial" w:cs="Arial" w:eastAsia="Arial" w:hAnsi="Arial"/>
          <w:sz w:val="17"/>
          <w:szCs w:val="17"/>
          <w:color w:val="auto"/>
        </w:rPr>
        <w:t>“</w:t>
      </w:r>
      <w:r>
        <w:rPr>
          <w:rFonts w:ascii="Arial" w:cs="Arial" w:eastAsia="Arial" w:hAnsi="Arial"/>
          <w:sz w:val="17"/>
          <w:szCs w:val="17"/>
          <w:u w:val="single" w:color="auto"/>
          <w:color w:val="auto"/>
        </w:rPr>
        <w:t>Sub-Plans</w:t>
      </w:r>
      <w:r>
        <w:rPr>
          <w:rFonts w:ascii="Arial" w:cs="Arial" w:eastAsia="Arial" w:hAnsi="Arial"/>
          <w:sz w:val="17"/>
          <w:szCs w:val="17"/>
          <w:color w:val="auto"/>
        </w:rPr>
        <w:t>” means any sub-plan to the Plan that has been adopted by the Board or the Committee for the purpose of permitting the offering of Awards to employees of certain Designated Foreign Subsidiaries or otherwise outside the United States of America, with each such sub-plan designed to comply with local laws applicable to offerings in such foreign jurisdictions. Although any Sub-Plan may be designated a separate and independent plan from the Plan in order to comply with applicable local laws, the Plan Share Reserve and the other limits specified in Section 5 shall apply in the aggregate to the Plan and any Sub-Plan adopted hereunder, and the Minimum Vesting Condition shall apply to any Awards granted under any such Sub-Plan, unless prevented by applicable local laws.</w:t>
      </w:r>
    </w:p>
    <w:p>
      <w:pPr>
        <w:spacing w:after="0" w:line="177" w:lineRule="exact"/>
        <w:rPr>
          <w:rFonts w:ascii="Arial" w:cs="Arial" w:eastAsia="Arial" w:hAnsi="Arial"/>
          <w:sz w:val="17"/>
          <w:szCs w:val="17"/>
          <w:color w:val="010000"/>
        </w:rPr>
      </w:pPr>
    </w:p>
    <w:p>
      <w:pPr>
        <w:ind w:left="560" w:right="300" w:firstLine="195"/>
        <w:spacing w:after="0" w:line="277" w:lineRule="auto"/>
        <w:tabs>
          <w:tab w:leader="none" w:pos="1382" w:val="left"/>
        </w:tabs>
        <w:numPr>
          <w:ilvl w:val="0"/>
          <w:numId w:val="56"/>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Termination</w:t>
      </w:r>
      <w:r>
        <w:rPr>
          <w:rFonts w:ascii="Arial" w:cs="Arial" w:eastAsia="Arial" w:hAnsi="Arial"/>
          <w:sz w:val="18"/>
          <w:szCs w:val="18"/>
          <w:color w:val="auto"/>
        </w:rPr>
        <w:t>” means the termination of a Participant’s employment or service, as applicable, with the Service Recipient for any reason (including death).</w:t>
      </w:r>
    </w:p>
    <w:p>
      <w:pPr>
        <w:spacing w:after="0" w:line="166" w:lineRule="exact"/>
        <w:rPr>
          <w:sz w:val="20"/>
          <w:szCs w:val="20"/>
          <w:color w:val="auto"/>
        </w:rPr>
      </w:pPr>
    </w:p>
    <w:p>
      <w:pPr>
        <w:jc w:val="both"/>
        <w:ind w:left="560" w:hanging="552"/>
        <w:spacing w:after="0" w:line="261" w:lineRule="auto"/>
        <w:tabs>
          <w:tab w:leader="none" w:pos="560"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Effective Date; Duration</w:t>
      </w:r>
      <w:r>
        <w:rPr>
          <w:rFonts w:ascii="Arial" w:cs="Arial" w:eastAsia="Arial" w:hAnsi="Arial"/>
          <w:sz w:val="18"/>
          <w:szCs w:val="18"/>
          <w:color w:val="auto"/>
        </w:rPr>
        <w:t>. The Plan became effective as of the Effective Date. The expiration date of the Plan shall be the tenth (10th) anniversary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of the Effective Date, subject to earlier termination by the Committee pursuant to Section 12(a);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such expiration shall not affect Awards then outstanding, and the terms and conditions of the Plan shall continue to apply to such Awards, and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on and after the Assumption Date no new Awards have been or shall be granted hereunder.</w:t>
      </w:r>
    </w:p>
    <w:p>
      <w:pPr>
        <w:spacing w:after="0" w:line="180" w:lineRule="exact"/>
        <w:rPr>
          <w:sz w:val="20"/>
          <w:szCs w:val="20"/>
          <w:color w:val="auto"/>
        </w:rPr>
      </w:pPr>
    </w:p>
    <w:p>
      <w:pPr>
        <w:ind w:left="560" w:hanging="552"/>
        <w:spacing w:after="0"/>
        <w:tabs>
          <w:tab w:leader="none" w:pos="560" w:val="left"/>
        </w:tabs>
        <w:numPr>
          <w:ilvl w:val="0"/>
          <w:numId w:val="58"/>
        </w:numPr>
        <w:rPr>
          <w:rFonts w:ascii="Arial" w:cs="Arial" w:eastAsia="Arial" w:hAnsi="Arial"/>
          <w:sz w:val="18"/>
          <w:szCs w:val="18"/>
          <w:color w:val="auto"/>
        </w:rPr>
      </w:pPr>
      <w:r>
        <w:rPr>
          <w:rFonts w:ascii="Arial" w:cs="Arial" w:eastAsia="Arial" w:hAnsi="Arial"/>
          <w:sz w:val="18"/>
          <w:szCs w:val="18"/>
          <w:b w:val="1"/>
          <w:bCs w:val="1"/>
          <w:color w:val="auto"/>
        </w:rPr>
        <w:t>Administration</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left="560" w:right="300" w:firstLine="195"/>
        <w:spacing w:after="0" w:line="296" w:lineRule="auto"/>
        <w:tabs>
          <w:tab w:leader="none" w:pos="1314" w:val="left"/>
        </w:tabs>
        <w:numPr>
          <w:ilvl w:val="1"/>
          <w:numId w:val="58"/>
        </w:numPr>
        <w:rPr>
          <w:rFonts w:ascii="Arial" w:cs="Arial" w:eastAsia="Arial" w:hAnsi="Arial"/>
          <w:sz w:val="16"/>
          <w:szCs w:val="16"/>
          <w:color w:val="010000"/>
        </w:rPr>
      </w:pPr>
      <w:r>
        <w:rPr>
          <w:rFonts w:ascii="Arial" w:cs="Arial" w:eastAsia="Arial" w:hAnsi="Arial"/>
          <w:sz w:val="16"/>
          <w:szCs w:val="16"/>
          <w:u w:val="single" w:color="auto"/>
          <w:color w:val="auto"/>
        </w:rPr>
        <w:t>General</w:t>
      </w:r>
      <w:r>
        <w:rPr>
          <w:rFonts w:ascii="Arial" w:cs="Arial" w:eastAsia="Arial" w:hAnsi="Arial"/>
          <w:sz w:val="16"/>
          <w:szCs w:val="16"/>
          <w:color w:val="auto"/>
        </w:rPr>
        <w:t>. The Committee shall administer the Plan. To the extent required to comply with the provisions of Rule 16b-3 promulgated under the Exchange Act (if the Board is not acting as the Committee under the Plan) it is intended that each member of the Committee shall, at the time such member takes any action with respect to an Award under the Plan that is intended to qualify for the exemptions provided by Rule 16b-3 promulgated under the Exchange Act be a Qualifying Director. However, the fact that a Committee member shall fail to qualify as a Qualifying Director shall not invalidate any Award granted by the Committee that is otherwise validly granted under the Plan.</w:t>
      </w:r>
    </w:p>
    <w:p>
      <w:pPr>
        <w:spacing w:after="0" w:line="36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8" w:name="page39"/>
    <w:bookmarkEnd w:id="38"/>
    <w:p>
      <w:pPr>
        <w:jc w:val="both"/>
        <w:ind w:firstLine="195"/>
        <w:spacing w:after="0" w:line="268" w:lineRule="auto"/>
        <w:tabs>
          <w:tab w:leader="none" w:pos="872" w:val="left"/>
        </w:tabs>
        <w:numPr>
          <w:ilvl w:val="0"/>
          <w:numId w:val="59"/>
        </w:numPr>
        <w:rPr>
          <w:rFonts w:ascii="Arial" w:cs="Arial" w:eastAsia="Arial" w:hAnsi="Arial"/>
          <w:sz w:val="17"/>
          <w:szCs w:val="17"/>
          <w:color w:val="010000"/>
        </w:rPr>
      </w:pPr>
      <w:r>
        <w:rPr>
          <w:rFonts w:ascii="Arial" w:cs="Arial" w:eastAsia="Arial" w:hAnsi="Arial"/>
          <w:sz w:val="17"/>
          <w:szCs w:val="17"/>
          <w:u w:val="single" w:color="auto"/>
          <w:color w:val="auto"/>
        </w:rPr>
        <w:t>Committee Authority</w:t>
      </w:r>
      <w:r>
        <w:rPr>
          <w:rFonts w:ascii="Arial" w:cs="Arial" w:eastAsia="Arial" w:hAnsi="Arial"/>
          <w:sz w:val="17"/>
          <w:szCs w:val="17"/>
          <w:color w:val="auto"/>
        </w:rPr>
        <w:t>. Subject to the provisions of the Plan and applicable law, the Committee shall have the sole and plenary authority, in addition to other express powers and authorizations conferred on the Committee by the Plan, to (i) designate Participants; (ii) determine the type or types of Awards to be granted to a Participant; (iii) determine the number of shares of Common Stock to be covered by, or with respect to which payments, rights, or other matters are to be calculated in connection with, Awards; (iv) determine the terms and conditions of any Award; (v) determine whether, to what extent, and under what circumstances Awards may be settled in, or exercised for, cash, shares of Common Stock, other securities, other Awards or other property, or canceled, forfeited, or suspended and the method or methods by which Awards may be settled, exercised, canceled, forfeited, or suspended; (vi) determine whether, to what extent, and under what circumstances the delivery of cash, shares of Common Stock, other securities, other Awards, or other property and other amounts payable with respect to an Award shall be deferred either automatically or at the election of the Participant or of the Committee; (vii) interpret, administer, reconcile any inconsistency in, correct any defect in and/or supply any omission in the Plan and any instrument or agreement relating to, or Award granted under, the Plan; (viii) establish, amend, suspend, or waive any rules and regulations and appoint such agents as the Committee shall deem appropriate for the proper administration of the Plan; (ix) adopt Sub-Plans; and (x) make any other determination and take any other action that the Committee deems necessary or desirable for the administration of the Plan. Notwithstanding anything herein to the contrary, except as provided in Section 11(b), or on account of a Participant’s death or Disability, the Committee may not accelerate vesting of any Award.</w:t>
      </w:r>
    </w:p>
    <w:p>
      <w:pPr>
        <w:spacing w:after="0" w:line="181" w:lineRule="exact"/>
        <w:rPr>
          <w:rFonts w:ascii="Arial" w:cs="Arial" w:eastAsia="Arial" w:hAnsi="Arial"/>
          <w:sz w:val="17"/>
          <w:szCs w:val="17"/>
          <w:color w:val="010000"/>
        </w:rPr>
      </w:pPr>
    </w:p>
    <w:p>
      <w:pPr>
        <w:jc w:val="both"/>
        <w:ind w:right="20" w:firstLine="195"/>
        <w:spacing w:after="0" w:line="271" w:lineRule="auto"/>
        <w:tabs>
          <w:tab w:leader="none" w:pos="781" w:val="left"/>
        </w:tabs>
        <w:numPr>
          <w:ilvl w:val="0"/>
          <w:numId w:val="59"/>
        </w:numPr>
        <w:rPr>
          <w:rFonts w:ascii="Arial" w:cs="Arial" w:eastAsia="Arial" w:hAnsi="Arial"/>
          <w:sz w:val="17"/>
          <w:szCs w:val="17"/>
          <w:color w:val="010000"/>
        </w:rPr>
      </w:pPr>
      <w:r>
        <w:rPr>
          <w:rFonts w:ascii="Arial" w:cs="Arial" w:eastAsia="Arial" w:hAnsi="Arial"/>
          <w:sz w:val="17"/>
          <w:szCs w:val="17"/>
          <w:u w:val="single" w:color="auto"/>
          <w:color w:val="auto"/>
        </w:rPr>
        <w:t>Delegation</w:t>
      </w:r>
      <w:r>
        <w:rPr>
          <w:rFonts w:ascii="Arial" w:cs="Arial" w:eastAsia="Arial" w:hAnsi="Arial"/>
          <w:sz w:val="17"/>
          <w:szCs w:val="17"/>
          <w:color w:val="auto"/>
        </w:rPr>
        <w:t>. Except to the extent prohibited by applicable law or the applicable rules and regulations of any securities exchange or inter-dealer quotation system on which the securities of the Company are listed or traded, the Committee may allocate all or any portion of its responsibilities and powers to any one or more of its members and may delegate all or any part of its responsibilities and powers to any person or persons selected by it. Any such allocation or delegation may be revoked by the Committee at any time. Without limiting the generality of the foregoing, the Committee may delegate to one or more officers of any member of the Company Group, the authority to act on behalf of the Committee with respect to any matter, right, obligation, or election which is the responsibility of, or which is allocated to, the Committee herein, and which may be so delegated as a matter of law, except with respect to grants of Awards to persons (i) who are Non-Employee Directors, or (ii) who are subject to Section 16 of the Exchange Act.</w:t>
      </w:r>
    </w:p>
    <w:p>
      <w:pPr>
        <w:spacing w:after="0" w:line="178" w:lineRule="exact"/>
        <w:rPr>
          <w:rFonts w:ascii="Arial" w:cs="Arial" w:eastAsia="Arial" w:hAnsi="Arial"/>
          <w:sz w:val="17"/>
          <w:szCs w:val="17"/>
          <w:color w:val="010000"/>
        </w:rPr>
      </w:pPr>
    </w:p>
    <w:p>
      <w:pPr>
        <w:jc w:val="both"/>
        <w:ind w:right="20" w:firstLine="195"/>
        <w:spacing w:after="0" w:line="259" w:lineRule="auto"/>
        <w:tabs>
          <w:tab w:leader="none" w:pos="818" w:val="left"/>
        </w:tabs>
        <w:numPr>
          <w:ilvl w:val="0"/>
          <w:numId w:val="59"/>
        </w:numPr>
        <w:rPr>
          <w:rFonts w:ascii="Arial" w:cs="Arial" w:eastAsia="Arial" w:hAnsi="Arial"/>
          <w:sz w:val="18"/>
          <w:szCs w:val="18"/>
          <w:color w:val="010000"/>
        </w:rPr>
      </w:pPr>
      <w:r>
        <w:rPr>
          <w:rFonts w:ascii="Arial" w:cs="Arial" w:eastAsia="Arial" w:hAnsi="Arial"/>
          <w:sz w:val="18"/>
          <w:szCs w:val="18"/>
          <w:u w:val="single" w:color="auto"/>
          <w:color w:val="auto"/>
        </w:rPr>
        <w:t>Finality of Decisions</w:t>
      </w:r>
      <w:r>
        <w:rPr>
          <w:rFonts w:ascii="Arial" w:cs="Arial" w:eastAsia="Arial" w:hAnsi="Arial"/>
          <w:sz w:val="18"/>
          <w:szCs w:val="18"/>
          <w:color w:val="auto"/>
        </w:rPr>
        <w:t>. Unless otherwise expressly provided in the Plan, all designations, determinations, interpretations, and other decisions under or with respect to the Plan, any Award or any Award Agreement shall be within the sole discretion of the Committee, may be made at any time and shall be final, conclusive and binding upon all Persons, including, without limitation, any member of the Company Group, any Participant, any holder or beneficiary of any Award, and any stockholder of the Company.</w:t>
      </w:r>
    </w:p>
    <w:p>
      <w:pPr>
        <w:spacing w:after="0" w:line="186" w:lineRule="exact"/>
        <w:rPr>
          <w:rFonts w:ascii="Arial" w:cs="Arial" w:eastAsia="Arial" w:hAnsi="Arial"/>
          <w:sz w:val="18"/>
          <w:szCs w:val="18"/>
          <w:color w:val="010000"/>
        </w:rPr>
      </w:pPr>
    </w:p>
    <w:p>
      <w:pPr>
        <w:jc w:val="both"/>
        <w:ind w:firstLine="195"/>
        <w:spacing w:after="0" w:line="284" w:lineRule="auto"/>
        <w:tabs>
          <w:tab w:leader="none" w:pos="781" w:val="left"/>
        </w:tabs>
        <w:numPr>
          <w:ilvl w:val="0"/>
          <w:numId w:val="59"/>
        </w:numPr>
        <w:rPr>
          <w:rFonts w:ascii="Arial" w:cs="Arial" w:eastAsia="Arial" w:hAnsi="Arial"/>
          <w:sz w:val="16"/>
          <w:szCs w:val="16"/>
          <w:color w:val="010000"/>
        </w:rPr>
      </w:pPr>
      <w:r>
        <w:rPr>
          <w:rFonts w:ascii="Arial" w:cs="Arial" w:eastAsia="Arial" w:hAnsi="Arial"/>
          <w:sz w:val="16"/>
          <w:szCs w:val="16"/>
          <w:u w:val="single" w:color="auto"/>
          <w:color w:val="auto"/>
        </w:rPr>
        <w:t>Indemnification</w:t>
      </w:r>
      <w:r>
        <w:rPr>
          <w:rFonts w:ascii="Arial" w:cs="Arial" w:eastAsia="Arial" w:hAnsi="Arial"/>
          <w:sz w:val="16"/>
          <w:szCs w:val="16"/>
          <w:color w:val="auto"/>
        </w:rPr>
        <w:t>. No member of the Board, the Committee or any employee or agent of any member of the Company Group (each such Person, an “</w:t>
      </w:r>
      <w:r>
        <w:rPr>
          <w:rFonts w:ascii="Arial" w:cs="Arial" w:eastAsia="Arial" w:hAnsi="Arial"/>
          <w:sz w:val="16"/>
          <w:szCs w:val="16"/>
          <w:u w:val="single" w:color="auto"/>
          <w:color w:val="auto"/>
        </w:rPr>
        <w:t>Indemnifiable Person</w:t>
      </w:r>
      <w:r>
        <w:rPr>
          <w:rFonts w:ascii="Arial" w:cs="Arial" w:eastAsia="Arial" w:hAnsi="Arial"/>
          <w:sz w:val="16"/>
          <w:szCs w:val="16"/>
          <w:color w:val="auto"/>
        </w:rPr>
        <w:t xml:space="preserve">”) shall be liable for any action taken or omitted to be taken or any determination made with respect to the Plan or any Award hereunder (unless constituting fraud or a willful criminal act or omission). Each Indemnifiable Person shall be indemnified and held harmless by the Company against and from any loss, cost, liability, or expense (including attorneys’ fees) that may be imposed upon or incurred by such Indemnifiable Person in connection with or resulting from any action, suit or proceeding to which such Indemnifiable Person may be a party or in which such Indemnifiable Person may be involved by reason of any action taken or omitted to be taken or determination made with respect to the Plan or any Award hereunder and against and from any and all amounts paid by such Indemnifiable Person with the Company’s approval, in settlement thereof, or paid by such Indemnifiable Person in satisfaction of any judgment in any such action, suit or proceeding against such Indemnifiable Person, and the Company shall advance to such Indemnifiable Person any such expenses promptly upon written request (which request shall include an undertaking by the Indemnifiable Person to repay the amount of such advance if it shall ultimately be determined, as provided below, that the Indemnifiable Person is not entitled to be indemnified); </w:t>
      </w:r>
      <w:r>
        <w:rPr>
          <w:rFonts w:ascii="Arial" w:cs="Arial" w:eastAsia="Arial" w:hAnsi="Arial"/>
          <w:sz w:val="16"/>
          <w:szCs w:val="16"/>
          <w:i w:val="1"/>
          <w:iCs w:val="1"/>
          <w:color w:val="auto"/>
        </w:rPr>
        <w:t>provided</w:t>
      </w:r>
      <w:r>
        <w:rPr>
          <w:rFonts w:ascii="Arial" w:cs="Arial" w:eastAsia="Arial" w:hAnsi="Arial"/>
          <w:sz w:val="16"/>
          <w:szCs w:val="16"/>
          <w:color w:val="auto"/>
        </w:rPr>
        <w:t>, that the Company shall have the right, at its own expense, to assume and defend any such action, suit or proceeding and once the Company gives notice of its intent to assume the defense, the Company shall have sole control over such defense with counsel of the Company’s choice. The foregoing right of indemnification shall not be available to an Indemnifiable Person to the extent that a final judgment or other final adjudication (in either case not subject to further appeal) binding upon such Indemnifiable Person determines that the acts, omissions or determinations of such Indemnifiable Person giving rise to the indemnification claim resulted from such Indemnifiable Person’s fraud or willful criminal act or omission or that such right of indemnification is otherwise prohibited by law or by the organizational documents of any member of the Company Group. The foregoing right of indemnification shall not be exclusive of or otherwise supersede any other rights of indemnification to which such Indemnifiable Persons may be entitled under the organizational documents of any member of the Company Group, as a matter of law, under an individual indemnification agreement or contract or otherwise, or any other power that the Company may have to indemnify such Indemnifiable Persons or hold such Indemnifiable Persons harmless.</w:t>
      </w:r>
    </w:p>
    <w:p>
      <w:pPr>
        <w:spacing w:after="0" w:line="200" w:lineRule="exact"/>
        <w:rPr>
          <w:sz w:val="20"/>
          <w:szCs w:val="20"/>
          <w:color w:val="auto"/>
        </w:rPr>
      </w:pPr>
    </w:p>
    <w:p>
      <w:pPr>
        <w:spacing w:after="0" w:line="400"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48895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00"/>
          </w:cols>
          <w:pgMar w:left="880" w:top="341" w:right="619" w:bottom="1440" w:gutter="0" w:footer="0" w:header="0"/>
        </w:sectPr>
      </w:pPr>
    </w:p>
    <w:bookmarkStart w:id="39" w:name="page40"/>
    <w:bookmarkEnd w:id="39"/>
    <w:p>
      <w:pPr>
        <w:jc w:val="both"/>
        <w:ind w:left="552" w:firstLine="195"/>
        <w:spacing w:after="0" w:line="259" w:lineRule="auto"/>
        <w:tabs>
          <w:tab w:leader="none" w:pos="1299" w:val="left"/>
        </w:tabs>
        <w:numPr>
          <w:ilvl w:val="0"/>
          <w:numId w:val="60"/>
        </w:numPr>
        <w:rPr>
          <w:rFonts w:ascii="Arial" w:cs="Arial" w:eastAsia="Arial" w:hAnsi="Arial"/>
          <w:sz w:val="18"/>
          <w:szCs w:val="18"/>
          <w:color w:val="010000"/>
        </w:rPr>
      </w:pPr>
      <w:r>
        <w:rPr>
          <w:rFonts w:ascii="Arial" w:cs="Arial" w:eastAsia="Arial" w:hAnsi="Arial"/>
          <w:sz w:val="18"/>
          <w:szCs w:val="18"/>
          <w:u w:val="single" w:color="auto"/>
          <w:color w:val="auto"/>
        </w:rPr>
        <w:t>Board Authority</w:t>
      </w:r>
      <w:r>
        <w:rPr>
          <w:rFonts w:ascii="Arial" w:cs="Arial" w:eastAsia="Arial" w:hAnsi="Arial"/>
          <w:sz w:val="18"/>
          <w:szCs w:val="18"/>
          <w:color w:val="auto"/>
        </w:rPr>
        <w:t>. Notwithstanding anything to the contrary contained in the Plan, the Board may, in its sole discretion, at any time and from time to time, grant Awards and administer the Plan with respect to such Awards. Any such actions by the Board shall be subject to the applicable rules of the securities exchange or inter-dealer quotation system on which the Common Stock is listed or quoted. In any such case, the Board shall have all the authority granted to the Committee under the Plan.</w:t>
      </w:r>
    </w:p>
    <w:p>
      <w:pPr>
        <w:spacing w:after="0" w:line="183" w:lineRule="exact"/>
        <w:rPr>
          <w:sz w:val="20"/>
          <w:szCs w:val="20"/>
          <w:color w:val="auto"/>
        </w:rPr>
      </w:pPr>
    </w:p>
    <w:p>
      <w:pPr>
        <w:ind w:left="552" w:hanging="552"/>
        <w:spacing w:after="0"/>
        <w:tabs>
          <w:tab w:leader="none" w:pos="552"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Grant of Awards; Shares Subject to the Plan; Limitations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1252" w:hanging="505"/>
        <w:spacing w:after="0"/>
        <w:tabs>
          <w:tab w:leader="none" w:pos="1252" w:val="left"/>
        </w:tabs>
        <w:numPr>
          <w:ilvl w:val="1"/>
          <w:numId w:val="61"/>
        </w:numPr>
        <w:rPr>
          <w:rFonts w:ascii="Arial" w:cs="Arial" w:eastAsia="Arial" w:hAnsi="Arial"/>
          <w:sz w:val="18"/>
          <w:szCs w:val="18"/>
          <w:color w:val="010000"/>
        </w:rPr>
      </w:pPr>
      <w:r>
        <w:rPr>
          <w:rFonts w:ascii="Arial" w:cs="Arial" w:eastAsia="Arial" w:hAnsi="Arial"/>
          <w:sz w:val="18"/>
          <w:szCs w:val="18"/>
          <w:u w:val="single" w:color="auto"/>
          <w:color w:val="auto"/>
        </w:rPr>
        <w:t>Grants</w:t>
      </w:r>
      <w:r>
        <w:rPr>
          <w:rFonts w:ascii="Arial" w:cs="Arial" w:eastAsia="Arial" w:hAnsi="Arial"/>
          <w:sz w:val="18"/>
          <w:szCs w:val="18"/>
          <w:color w:val="auto"/>
        </w:rPr>
        <w:t>. The Committee may, from time to time, grant Awards to one or more Eligible Persons.</w:t>
      </w:r>
    </w:p>
    <w:p>
      <w:pPr>
        <w:spacing w:after="0" w:line="225" w:lineRule="exact"/>
        <w:rPr>
          <w:rFonts w:ascii="Arial" w:cs="Arial" w:eastAsia="Arial" w:hAnsi="Arial"/>
          <w:sz w:val="18"/>
          <w:szCs w:val="18"/>
          <w:color w:val="010000"/>
        </w:rPr>
      </w:pPr>
    </w:p>
    <w:p>
      <w:pPr>
        <w:jc w:val="both"/>
        <w:ind w:left="552" w:firstLine="195"/>
        <w:spacing w:after="0" w:line="293" w:lineRule="auto"/>
        <w:tabs>
          <w:tab w:leader="none" w:pos="1410" w:val="left"/>
        </w:tabs>
        <w:numPr>
          <w:ilvl w:val="1"/>
          <w:numId w:val="61"/>
        </w:numPr>
        <w:rPr>
          <w:rFonts w:ascii="Arial" w:cs="Arial" w:eastAsia="Arial" w:hAnsi="Arial"/>
          <w:sz w:val="16"/>
          <w:szCs w:val="16"/>
          <w:color w:val="010000"/>
        </w:rPr>
      </w:pPr>
      <w:r>
        <w:rPr>
          <w:rFonts w:ascii="Arial" w:cs="Arial" w:eastAsia="Arial" w:hAnsi="Arial"/>
          <w:sz w:val="16"/>
          <w:szCs w:val="16"/>
          <w:u w:val="single" w:color="auto"/>
          <w:color w:val="auto"/>
        </w:rPr>
        <w:t>Share Reserve</w:t>
      </w:r>
      <w:r>
        <w:rPr>
          <w:rFonts w:ascii="Arial" w:cs="Arial" w:eastAsia="Arial" w:hAnsi="Arial"/>
          <w:sz w:val="16"/>
          <w:szCs w:val="16"/>
          <w:color w:val="auto"/>
        </w:rPr>
        <w:t xml:space="preserve">. Subject to Section 11 of the Plan and section 5(g) below, a number shares of Common Stock shall initially be available for Awards under the Plan equal to the sum of (1) 2,000,000 </w:t>
      </w:r>
      <w:r>
        <w:rPr>
          <w:rFonts w:ascii="Arial" w:cs="Arial" w:eastAsia="Arial" w:hAnsi="Arial"/>
          <w:sz w:val="16"/>
          <w:szCs w:val="16"/>
          <w:i w:val="1"/>
          <w:iCs w:val="1"/>
          <w:color w:val="auto"/>
        </w:rPr>
        <w:t>plus</w:t>
      </w:r>
      <w:r>
        <w:rPr>
          <w:rFonts w:ascii="Arial" w:cs="Arial" w:eastAsia="Arial" w:hAnsi="Arial"/>
          <w:sz w:val="16"/>
          <w:szCs w:val="16"/>
          <w:color w:val="auto"/>
        </w:rPr>
        <w:t xml:space="preserve"> (2) the number of shares that remain available for grant under the Prior Plan as of the Effective Date (the “</w:t>
      </w:r>
      <w:r>
        <w:rPr>
          <w:rFonts w:ascii="Arial" w:cs="Arial" w:eastAsia="Arial" w:hAnsi="Arial"/>
          <w:sz w:val="16"/>
          <w:szCs w:val="16"/>
          <w:u w:val="single" w:color="auto"/>
          <w:color w:val="auto"/>
        </w:rPr>
        <w:t>Plan Share Reserve</w:t>
      </w:r>
      <w:r>
        <w:rPr>
          <w:rFonts w:ascii="Arial" w:cs="Arial" w:eastAsia="Arial" w:hAnsi="Arial"/>
          <w:sz w:val="16"/>
          <w:szCs w:val="16"/>
          <w:color w:val="auto"/>
        </w:rPr>
        <w:t>”), and from and after the Effective Date, no further grants shall be made under the Prior Plan. Further, the number of shares of Common Stock underlying any award granted under the Prior Plan that expires, terminates or is canceled or forfeited for any reason whatsoever under the terms of the Prior Plan, shall increase the Plan Share Reserve. Each Award granted under the Plan will reduce the Plan Share Reserve by the number of shares of Common Stock underlying the Award.</w:t>
      </w:r>
    </w:p>
    <w:p>
      <w:pPr>
        <w:spacing w:after="0" w:line="164" w:lineRule="exact"/>
        <w:rPr>
          <w:rFonts w:ascii="Arial" w:cs="Arial" w:eastAsia="Arial" w:hAnsi="Arial"/>
          <w:sz w:val="16"/>
          <w:szCs w:val="16"/>
          <w:color w:val="010000"/>
        </w:rPr>
      </w:pPr>
    </w:p>
    <w:p>
      <w:pPr>
        <w:jc w:val="both"/>
        <w:ind w:left="552" w:firstLine="195"/>
        <w:spacing w:after="0" w:line="275" w:lineRule="auto"/>
        <w:tabs>
          <w:tab w:leader="none" w:pos="1306" w:val="left"/>
        </w:tabs>
        <w:numPr>
          <w:ilvl w:val="1"/>
          <w:numId w:val="61"/>
        </w:numPr>
        <w:rPr>
          <w:rFonts w:ascii="Arial" w:cs="Arial" w:eastAsia="Arial" w:hAnsi="Arial"/>
          <w:sz w:val="17"/>
          <w:szCs w:val="17"/>
          <w:color w:val="010000"/>
        </w:rPr>
      </w:pPr>
      <w:r>
        <w:rPr>
          <w:rFonts w:ascii="Arial" w:cs="Arial" w:eastAsia="Arial" w:hAnsi="Arial"/>
          <w:sz w:val="17"/>
          <w:szCs w:val="17"/>
          <w:u w:val="single" w:color="auto"/>
          <w:color w:val="auto"/>
        </w:rPr>
        <w:t>Additional Limits</w:t>
      </w:r>
      <w:r>
        <w:rPr>
          <w:rFonts w:ascii="Arial" w:cs="Arial" w:eastAsia="Arial" w:hAnsi="Arial"/>
          <w:sz w:val="17"/>
          <w:szCs w:val="17"/>
          <w:color w:val="auto"/>
        </w:rPr>
        <w:t>. Subject to Section 11 of the Plan and Section 5(g) below, no more than the number of shares of Common Stock equal to the Plan Share Reserve may be issued in the aggregate pursuant to the exercise of Incentive Stock Options granted under the Plan. The maximum number of shares of Common Stock subject to Awards granted during a single fiscal year to any Non-Employee Director, taken together with any cash fees paid to such Non-Employee Director during the fiscal year, shall not exceed $500,000 in total value (calculating the value of any such Awards based on the grant date fair value of such Awards for financial reporting purposes).</w:t>
      </w:r>
    </w:p>
    <w:p>
      <w:pPr>
        <w:spacing w:after="0" w:line="176" w:lineRule="exact"/>
        <w:rPr>
          <w:rFonts w:ascii="Arial" w:cs="Arial" w:eastAsia="Arial" w:hAnsi="Arial"/>
          <w:sz w:val="17"/>
          <w:szCs w:val="17"/>
          <w:color w:val="010000"/>
        </w:rPr>
      </w:pPr>
    </w:p>
    <w:p>
      <w:pPr>
        <w:jc w:val="both"/>
        <w:ind w:left="552" w:firstLine="195"/>
        <w:spacing w:after="0" w:line="291" w:lineRule="auto"/>
        <w:tabs>
          <w:tab w:leader="none" w:pos="1410" w:val="left"/>
        </w:tabs>
        <w:numPr>
          <w:ilvl w:val="1"/>
          <w:numId w:val="61"/>
        </w:numPr>
        <w:rPr>
          <w:rFonts w:ascii="Arial" w:cs="Arial" w:eastAsia="Arial" w:hAnsi="Arial"/>
          <w:sz w:val="16"/>
          <w:szCs w:val="16"/>
          <w:color w:val="010000"/>
        </w:rPr>
      </w:pPr>
      <w:r>
        <w:rPr>
          <w:rFonts w:ascii="Arial" w:cs="Arial" w:eastAsia="Arial" w:hAnsi="Arial"/>
          <w:sz w:val="16"/>
          <w:szCs w:val="16"/>
          <w:u w:val="single" w:color="auto"/>
          <w:color w:val="auto"/>
        </w:rPr>
        <w:t>Share Counting</w:t>
      </w:r>
      <w:r>
        <w:rPr>
          <w:rFonts w:ascii="Arial" w:cs="Arial" w:eastAsia="Arial" w:hAnsi="Arial"/>
          <w:sz w:val="16"/>
          <w:szCs w:val="16"/>
          <w:color w:val="auto"/>
        </w:rPr>
        <w:t xml:space="preserve">. Other than with respect to Substitute Awards, to the extent that an Award expires or is canceled, forfeited, or terminated without issuance to the Participant of the full number of shares of Common Stock to which the Award related, the unissued shares will returned for future grant under the Plan. Shares of Common Stock shall be deemed to have been issued in settlement of Awards if the Fair Market Value equivalent of such shares is paid in cash;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shares shall be deemed to have been issued in settlement of a SAR, Other Equity-Based Award or Restricted Stock Unit that only provides for settlement in cash and settles only in cash. Shares withheld in payment of the Exercise Price or taxes relating to an Award and shares equal to the number of shares surrendered in payment of any Exercise Price or taxes relating to an Award shall constitute shares issued to the Participant and shall reduce the Plan Share Reserve.</w:t>
      </w:r>
    </w:p>
    <w:p>
      <w:pPr>
        <w:spacing w:after="0" w:line="166" w:lineRule="exact"/>
        <w:rPr>
          <w:rFonts w:ascii="Arial" w:cs="Arial" w:eastAsia="Arial" w:hAnsi="Arial"/>
          <w:sz w:val="16"/>
          <w:szCs w:val="16"/>
          <w:color w:val="010000"/>
        </w:rPr>
      </w:pPr>
    </w:p>
    <w:p>
      <w:pPr>
        <w:ind w:left="552" w:firstLine="195"/>
        <w:spacing w:after="0" w:line="342" w:lineRule="auto"/>
        <w:tabs>
          <w:tab w:leader="none" w:pos="1265" w:val="left"/>
        </w:tabs>
        <w:numPr>
          <w:ilvl w:val="1"/>
          <w:numId w:val="61"/>
        </w:numPr>
        <w:rPr>
          <w:rFonts w:ascii="Arial" w:cs="Arial" w:eastAsia="Arial" w:hAnsi="Arial"/>
          <w:sz w:val="16"/>
          <w:szCs w:val="16"/>
          <w:color w:val="010000"/>
        </w:rPr>
      </w:pPr>
      <w:r>
        <w:rPr>
          <w:rFonts w:ascii="Arial" w:cs="Arial" w:eastAsia="Arial" w:hAnsi="Arial"/>
          <w:sz w:val="16"/>
          <w:szCs w:val="16"/>
          <w:u w:val="single" w:color="auto"/>
          <w:color w:val="auto"/>
        </w:rPr>
        <w:t>Source of Shares</w:t>
      </w:r>
      <w:r>
        <w:rPr>
          <w:rFonts w:ascii="Arial" w:cs="Arial" w:eastAsia="Arial" w:hAnsi="Arial"/>
          <w:sz w:val="16"/>
          <w:szCs w:val="16"/>
          <w:color w:val="auto"/>
        </w:rPr>
        <w:t>. Shares of Common Stock issued by the Company in settlement of Awards may be authorized and unissued shares, shares held in the treasury of the Company, shares purchased on the open market or by private purchase or a combination of the foregoing.</w:t>
      </w:r>
    </w:p>
    <w:p>
      <w:pPr>
        <w:spacing w:after="0" w:line="326" w:lineRule="exact"/>
        <w:rPr>
          <w:sz w:val="20"/>
          <w:szCs w:val="20"/>
          <w:color w:val="auto"/>
        </w:rPr>
      </w:pPr>
    </w:p>
    <w:p>
      <w:pPr>
        <w:jc w:val="center"/>
        <w:ind w:right="-29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48895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92"/>
          </w:cols>
          <w:pgMar w:left="328" w:top="341" w:right="679" w:bottom="1440" w:gutter="0" w:footer="0" w:header="0"/>
        </w:sectPr>
      </w:pPr>
    </w:p>
    <w:bookmarkStart w:id="40" w:name="page41"/>
    <w:bookmarkEnd w:id="40"/>
    <w:p>
      <w:pPr>
        <w:jc w:val="both"/>
        <w:ind w:left="560" w:right="40" w:firstLine="195"/>
        <w:spacing w:after="0" w:line="270" w:lineRule="auto"/>
        <w:tabs>
          <w:tab w:leader="none" w:pos="1456" w:val="left"/>
        </w:tabs>
        <w:numPr>
          <w:ilvl w:val="0"/>
          <w:numId w:val="62"/>
        </w:numPr>
        <w:rPr>
          <w:rFonts w:ascii="Arial" w:cs="Arial" w:eastAsia="Arial" w:hAnsi="Arial"/>
          <w:sz w:val="17"/>
          <w:szCs w:val="17"/>
          <w:color w:val="010000"/>
        </w:rPr>
      </w:pPr>
      <w:r>
        <w:rPr>
          <w:rFonts w:ascii="Arial" w:cs="Arial" w:eastAsia="Arial" w:hAnsi="Arial"/>
          <w:sz w:val="17"/>
          <w:szCs w:val="17"/>
          <w:u w:val="single" w:color="auto"/>
          <w:color w:val="auto"/>
        </w:rPr>
        <w:t>Substitute Awards</w:t>
      </w:r>
      <w:r>
        <w:rPr>
          <w:rFonts w:ascii="Arial" w:cs="Arial" w:eastAsia="Arial" w:hAnsi="Arial"/>
          <w:sz w:val="17"/>
          <w:szCs w:val="17"/>
          <w:color w:val="auto"/>
        </w:rPr>
        <w:t>. Awards may, in the sole discretion of the Committee, be granted under the Plan in assumption of, or in substitution for, outstanding awards previously granted by an entity directly or indirectly acquired by the Company or with which the Company combines (“</w:t>
      </w:r>
      <w:r>
        <w:rPr>
          <w:rFonts w:ascii="Arial" w:cs="Arial" w:eastAsia="Arial" w:hAnsi="Arial"/>
          <w:sz w:val="17"/>
          <w:szCs w:val="17"/>
          <w:u w:val="single" w:color="auto"/>
          <w:color w:val="auto"/>
        </w:rPr>
        <w:t>Substitute Awards</w:t>
      </w:r>
      <w:r>
        <w:rPr>
          <w:rFonts w:ascii="Arial" w:cs="Arial" w:eastAsia="Arial" w:hAnsi="Arial"/>
          <w:sz w:val="17"/>
          <w:szCs w:val="17"/>
          <w:color w:val="auto"/>
        </w:rPr>
        <w:t xml:space="preserve">”). Substitute Awards shall not be counted against the Plan Share Reserve; </w:t>
      </w:r>
      <w:r>
        <w:rPr>
          <w:rFonts w:ascii="Arial" w:cs="Arial" w:eastAsia="Arial" w:hAnsi="Arial"/>
          <w:sz w:val="17"/>
          <w:szCs w:val="17"/>
          <w:i w:val="1"/>
          <w:iCs w:val="1"/>
          <w:color w:val="auto"/>
        </w:rPr>
        <w:t>provided</w:t>
      </w:r>
      <w:r>
        <w:rPr>
          <w:rFonts w:ascii="Arial" w:cs="Arial" w:eastAsia="Arial" w:hAnsi="Arial"/>
          <w:sz w:val="17"/>
          <w:szCs w:val="17"/>
          <w:color w:val="auto"/>
        </w:rPr>
        <w:t>, that Substitute Awards issued in connection with the assumption of, or in substitution for, outstanding options intended to qualify as “incentive stock options” within the meaning of Section 422 of the Code shall be counted against the aggregate number of shares of Common Stock available for Awards of Incentive Stock Options under the Plan. Subject to applicable stock exchange requirements, available shares under a stockholder-approved plan of an entity directly or indirectly acquired by the Company or with which the Company combines (as appropriately adjusted to reflect the acquisition or combination transaction) may be used for Awards under the Plan and shall not reduce the number of shares of Common Stock available for issuance under the Plan.</w:t>
      </w:r>
    </w:p>
    <w:p>
      <w:pPr>
        <w:spacing w:after="0" w:line="180" w:lineRule="exact"/>
        <w:rPr>
          <w:rFonts w:ascii="Arial" w:cs="Arial" w:eastAsia="Arial" w:hAnsi="Arial"/>
          <w:sz w:val="17"/>
          <w:szCs w:val="17"/>
          <w:color w:val="010000"/>
        </w:rPr>
      </w:pPr>
    </w:p>
    <w:p>
      <w:pPr>
        <w:jc w:val="both"/>
        <w:ind w:left="560" w:right="40" w:firstLine="195"/>
        <w:spacing w:after="0" w:line="263" w:lineRule="auto"/>
        <w:tabs>
          <w:tab w:leader="none" w:pos="1324"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Limits and Assumption Date</w:t>
      </w:r>
      <w:r>
        <w:rPr>
          <w:rFonts w:ascii="Arial" w:cs="Arial" w:eastAsia="Arial" w:hAnsi="Arial"/>
          <w:sz w:val="18"/>
          <w:szCs w:val="18"/>
          <w:color w:val="auto"/>
        </w:rPr>
        <w:t>. In all cases with respect to each of the foregoing limits in Sections 5(b) and 5(c) above the specified limits or values will be reduced by the amount of any PRA Health Sciences Inc. common stock that was issued in settlement of the respective outstanding awards under the Plan prior to the Assumption Date.</w:t>
      </w:r>
    </w:p>
    <w:p>
      <w:pPr>
        <w:spacing w:after="0" w:line="180" w:lineRule="exact"/>
        <w:rPr>
          <w:sz w:val="20"/>
          <w:szCs w:val="20"/>
          <w:color w:val="auto"/>
        </w:rPr>
      </w:pPr>
    </w:p>
    <w:p>
      <w:pPr>
        <w:ind w:left="560" w:hanging="552"/>
        <w:spacing w:after="0"/>
        <w:tabs>
          <w:tab w:leader="none" w:pos="560"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Eligibility</w:t>
      </w:r>
      <w:r>
        <w:rPr>
          <w:rFonts w:ascii="Arial" w:cs="Arial" w:eastAsia="Arial" w:hAnsi="Arial"/>
          <w:sz w:val="18"/>
          <w:szCs w:val="18"/>
          <w:color w:val="auto"/>
        </w:rPr>
        <w:t>. Participation in the Plan shall be limited to Eligible Persons.</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7</w:t>
      </w:r>
      <w:r>
        <w:rPr>
          <w:rFonts w:ascii="Arial" w:cs="Arial" w:eastAsia="Arial" w:hAnsi="Arial"/>
          <w:sz w:val="16"/>
          <w:szCs w:val="16"/>
          <w:b w:val="1"/>
          <w:bCs w:val="1"/>
          <w:color w:val="auto"/>
        </w:rPr>
        <w:t>Options</w:t>
      </w:r>
      <w:r>
        <w:rPr>
          <w:rFonts w:ascii="Arial" w:cs="Arial" w:eastAsia="Arial" w:hAnsi="Arial"/>
          <w:sz w:val="16"/>
          <w:szCs w:val="16"/>
          <w:color w:val="auto"/>
        </w:rPr>
        <w:t>.</w:t>
      </w:r>
    </w:p>
    <w:p>
      <w:pPr>
        <w:spacing w:after="0" w:line="229" w:lineRule="exact"/>
        <w:rPr>
          <w:rFonts w:ascii="Arial" w:cs="Arial" w:eastAsia="Arial" w:hAnsi="Arial"/>
          <w:sz w:val="18"/>
          <w:szCs w:val="18"/>
          <w:color w:val="auto"/>
        </w:rPr>
      </w:pPr>
    </w:p>
    <w:p>
      <w:pPr>
        <w:jc w:val="both"/>
        <w:ind w:left="560" w:right="40" w:firstLine="195"/>
        <w:spacing w:after="0" w:line="286" w:lineRule="auto"/>
        <w:tabs>
          <w:tab w:leader="none" w:pos="1273" w:val="left"/>
        </w:tabs>
        <w:numPr>
          <w:ilvl w:val="1"/>
          <w:numId w:val="63"/>
        </w:numPr>
        <w:rPr>
          <w:rFonts w:ascii="Arial" w:cs="Arial" w:eastAsia="Arial" w:hAnsi="Arial"/>
          <w:sz w:val="16"/>
          <w:szCs w:val="16"/>
          <w:color w:val="010000"/>
        </w:rPr>
      </w:pPr>
      <w:r>
        <w:rPr>
          <w:rFonts w:ascii="Arial" w:cs="Arial" w:eastAsia="Arial" w:hAnsi="Arial"/>
          <w:sz w:val="16"/>
          <w:szCs w:val="16"/>
          <w:u w:val="single" w:color="auto"/>
          <w:color w:val="auto"/>
        </w:rPr>
        <w:t>General</w:t>
      </w:r>
      <w:r>
        <w:rPr>
          <w:rFonts w:ascii="Arial" w:cs="Arial" w:eastAsia="Arial" w:hAnsi="Arial"/>
          <w:sz w:val="16"/>
          <w:szCs w:val="16"/>
          <w:color w:val="auto"/>
        </w:rPr>
        <w:t xml:space="preserve">. Each Option granted under the Plan shall be evidenced by an Award Agreement, which agreement need not be the same for each Participant. Each Option so granted shall be subject to the conditions set forth in this Section 7, and to such other conditions not inconsistent with the Plan as may be reflected in the applicable Award Agreement. All Options granted under the Plan shall be Nonqualified Stock Options unless the applicable Award Agreement expressly states that the Option is intended to be an Incentive Stock Option. Incentive Stock Options shall be granted only to Eligible Persons who are employees of a member of the Company Group, and no Incentive Stock Option shall be granted to any Eligible Person who is ineligible to receive an Incentive Stock Option under the Code. No Option shall be treated as an Incentive Stock Option unless the Plan has been approved by the stockholders of the Company in a manner intended to comply with the stockholder approval requirements of Section 422(b)(1) of the Code,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Option intended to be an Incentive Stock Option shall not fail to be effective solely on account of a failure to obtain such approval, but rather such Option shall be treated as a Nonqualified Stock Option unless and until such approval is obtained. In the case of an Incentive Stock Option, the terms and conditions of such grant shall be subject to, and comply with, such rules as may be prescribed by Section 422 of the Code. If for any reason an Option intended to be an Incentive Stock Option (or any portion thereof) shall not qualify as an Incentive Stock Option, then, to the extent of such nonqualification, such Option or portion thereof shall be regarded as a Nonqualified Stock Option appropriately granted under the Plan.</w:t>
      </w:r>
    </w:p>
    <w:p>
      <w:pPr>
        <w:spacing w:after="0" w:line="173" w:lineRule="exact"/>
        <w:rPr>
          <w:rFonts w:ascii="Arial" w:cs="Arial" w:eastAsia="Arial" w:hAnsi="Arial"/>
          <w:sz w:val="16"/>
          <w:szCs w:val="16"/>
          <w:color w:val="010000"/>
        </w:rPr>
      </w:pPr>
    </w:p>
    <w:p>
      <w:pPr>
        <w:jc w:val="both"/>
        <w:ind w:left="560" w:right="40" w:firstLine="195"/>
        <w:spacing w:after="0" w:line="257" w:lineRule="auto"/>
        <w:tabs>
          <w:tab w:leader="none" w:pos="1418" w:val="left"/>
        </w:tabs>
        <w:numPr>
          <w:ilvl w:val="1"/>
          <w:numId w:val="63"/>
        </w:numPr>
        <w:rPr>
          <w:rFonts w:ascii="Arial" w:cs="Arial" w:eastAsia="Arial" w:hAnsi="Arial"/>
          <w:sz w:val="18"/>
          <w:szCs w:val="18"/>
          <w:color w:val="010000"/>
        </w:rPr>
      </w:pPr>
      <w:r>
        <w:rPr>
          <w:rFonts w:ascii="Arial" w:cs="Arial" w:eastAsia="Arial" w:hAnsi="Arial"/>
          <w:sz w:val="18"/>
          <w:szCs w:val="18"/>
          <w:u w:val="single" w:color="auto"/>
          <w:color w:val="auto"/>
        </w:rPr>
        <w:t>Exercise Price</w:t>
      </w:r>
      <w:r>
        <w:rPr>
          <w:rFonts w:ascii="Arial" w:cs="Arial" w:eastAsia="Arial" w:hAnsi="Arial"/>
          <w:sz w:val="18"/>
          <w:szCs w:val="18"/>
          <w:color w:val="auto"/>
        </w:rPr>
        <w:t>. Except as otherwise provided by the Committee in the case of Substitute Awards, the exercise price (“</w:t>
      </w:r>
      <w:r>
        <w:rPr>
          <w:rFonts w:ascii="Arial" w:cs="Arial" w:eastAsia="Arial" w:hAnsi="Arial"/>
          <w:sz w:val="18"/>
          <w:szCs w:val="18"/>
          <w:u w:val="single" w:color="auto"/>
          <w:color w:val="auto"/>
        </w:rPr>
        <w:t>Exercise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Price</w:t>
      </w:r>
      <w:r>
        <w:rPr>
          <w:rFonts w:ascii="Arial" w:cs="Arial" w:eastAsia="Arial" w:hAnsi="Arial"/>
          <w:sz w:val="18"/>
          <w:szCs w:val="18"/>
          <w:color w:val="auto"/>
        </w:rPr>
        <w:t xml:space="preserve">”) per share of Common Stock for each Option shall not be less than 100% of the Grant Date Fair Market Value of such share;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in the case of an Incentive Stock Option granted to an employee who, at the time of the grant of such Option, owns stock</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representing more than 10% of the voting power of all classes of stock of any member of the Company Group, the Exercise Price per share shall not be less than 110% of the Grant Date Fair Market Value per share.</w:t>
      </w:r>
    </w:p>
    <w:p>
      <w:pPr>
        <w:spacing w:after="0" w:line="187" w:lineRule="exact"/>
        <w:rPr>
          <w:rFonts w:ascii="Arial" w:cs="Arial" w:eastAsia="Arial" w:hAnsi="Arial"/>
          <w:sz w:val="18"/>
          <w:szCs w:val="18"/>
          <w:color w:val="010000"/>
        </w:rPr>
      </w:pPr>
    </w:p>
    <w:p>
      <w:pPr>
        <w:ind w:left="1260" w:hanging="505"/>
        <w:spacing w:after="0"/>
        <w:tabs>
          <w:tab w:leader="none" w:pos="1260" w:val="left"/>
        </w:tabs>
        <w:numPr>
          <w:ilvl w:val="1"/>
          <w:numId w:val="63"/>
        </w:numPr>
        <w:rPr>
          <w:rFonts w:ascii="Arial" w:cs="Arial" w:eastAsia="Arial" w:hAnsi="Arial"/>
          <w:sz w:val="18"/>
          <w:szCs w:val="18"/>
          <w:color w:val="010000"/>
        </w:rPr>
      </w:pPr>
      <w:r>
        <w:rPr>
          <w:rFonts w:ascii="Arial" w:cs="Arial" w:eastAsia="Arial" w:hAnsi="Arial"/>
          <w:sz w:val="18"/>
          <w:szCs w:val="18"/>
          <w:u w:val="single" w:color="auto"/>
          <w:color w:val="auto"/>
        </w:rPr>
        <w:t>Vesting and Expiration</w:t>
      </w:r>
      <w:r>
        <w:rPr>
          <w:rFonts w:ascii="Arial" w:cs="Arial" w:eastAsia="Arial" w:hAnsi="Arial"/>
          <w:sz w:val="18"/>
          <w:szCs w:val="18"/>
          <w:color w:val="auto"/>
        </w:rPr>
        <w:t>.</w:t>
      </w:r>
    </w:p>
    <w:p>
      <w:pPr>
        <w:spacing w:after="0" w:line="225" w:lineRule="exact"/>
        <w:rPr>
          <w:rFonts w:ascii="Arial" w:cs="Arial" w:eastAsia="Arial" w:hAnsi="Arial"/>
          <w:sz w:val="18"/>
          <w:szCs w:val="18"/>
          <w:color w:val="010000"/>
        </w:rPr>
      </w:pPr>
    </w:p>
    <w:p>
      <w:pPr>
        <w:ind w:left="680" w:firstLine="642"/>
        <w:spacing w:after="0" w:line="277" w:lineRule="auto"/>
        <w:tabs>
          <w:tab w:leader="none" w:pos="1893" w:val="left"/>
        </w:tabs>
        <w:numPr>
          <w:ilvl w:val="2"/>
          <w:numId w:val="63"/>
        </w:numPr>
        <w:rPr>
          <w:rFonts w:ascii="Arial" w:cs="Arial" w:eastAsia="Arial" w:hAnsi="Arial"/>
          <w:sz w:val="18"/>
          <w:szCs w:val="18"/>
          <w:color w:val="010000"/>
        </w:rPr>
      </w:pPr>
      <w:r>
        <w:rPr>
          <w:rFonts w:ascii="Arial" w:cs="Arial" w:eastAsia="Arial" w:hAnsi="Arial"/>
          <w:sz w:val="18"/>
          <w:szCs w:val="18"/>
          <w:color w:val="auto"/>
        </w:rPr>
        <w:t>Subject to the Minimum Vesting Condition, Options shall vest and become exercisable in such manner and on such date or dates or upon such event or events as determined by the Committee.</w:t>
      </w:r>
    </w:p>
    <w:p>
      <w:pPr>
        <w:spacing w:after="0" w:line="37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40"/>
          </w:cols>
          <w:pgMar w:left="320" w:top="341" w:right="639" w:bottom="1440" w:gutter="0" w:footer="0" w:header="0"/>
        </w:sectPr>
      </w:pPr>
    </w:p>
    <w:bookmarkStart w:id="41" w:name="page42"/>
    <w:bookmarkEnd w:id="41"/>
    <w:p>
      <w:pPr>
        <w:jc w:val="both"/>
        <w:ind w:left="120" w:firstLine="642"/>
        <w:spacing w:after="0" w:line="254" w:lineRule="auto"/>
        <w:tabs>
          <w:tab w:leader="none" w:pos="1410" w:val="left"/>
        </w:tabs>
        <w:numPr>
          <w:ilvl w:val="1"/>
          <w:numId w:val="64"/>
        </w:numPr>
        <w:rPr>
          <w:rFonts w:ascii="Arial" w:cs="Arial" w:eastAsia="Arial" w:hAnsi="Arial"/>
          <w:sz w:val="18"/>
          <w:szCs w:val="18"/>
          <w:color w:val="010000"/>
        </w:rPr>
      </w:pPr>
      <w:r>
        <w:rPr>
          <w:rFonts w:ascii="Arial" w:cs="Arial" w:eastAsia="Arial" w:hAnsi="Arial"/>
          <w:sz w:val="18"/>
          <w:szCs w:val="18"/>
          <w:color w:val="auto"/>
        </w:rPr>
        <w:t>Options shall expire upon a date determined by the Committee, not to exceed ten (10) years from the Date of Grant (the “</w:t>
      </w:r>
      <w:r>
        <w:rPr>
          <w:rFonts w:ascii="Arial" w:cs="Arial" w:eastAsia="Arial" w:hAnsi="Arial"/>
          <w:sz w:val="18"/>
          <w:szCs w:val="18"/>
          <w:u w:val="single" w:color="auto"/>
          <w:color w:val="auto"/>
        </w:rPr>
        <w:t>Option Period</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that if the Option Period (other than in the case of an Incentive Stock Option) would expire at a time when trading in the shares of Common Stock is prohibited by the Company’s securities trading policy (or Company-imposed “blackout period”), then the Option Period shall be automatically extended until the thirtieth (30th) day following the expiration of such prohibition. Notwithstanding the foregoing, in no event shall the Option Period exceed five (5) years from the Date of Grant in the case of an Incentive Stock Option granted to a Participant who on the Date of Grant owns stock representing more than 10% of the voting power of all classes of stock of any member of the Company Group.</w:t>
      </w:r>
    </w:p>
    <w:p>
      <w:pPr>
        <w:spacing w:after="0" w:line="194" w:lineRule="exact"/>
        <w:rPr>
          <w:rFonts w:ascii="Arial" w:cs="Arial" w:eastAsia="Arial" w:hAnsi="Arial"/>
          <w:sz w:val="18"/>
          <w:szCs w:val="18"/>
          <w:color w:val="010000"/>
        </w:rPr>
      </w:pPr>
    </w:p>
    <w:p>
      <w:pPr>
        <w:jc w:val="both"/>
        <w:ind w:left="120" w:firstLine="642"/>
        <w:spacing w:after="0" w:line="272" w:lineRule="auto"/>
        <w:tabs>
          <w:tab w:leader="none" w:pos="1582" w:val="left"/>
        </w:tabs>
        <w:numPr>
          <w:ilvl w:val="1"/>
          <w:numId w:val="64"/>
        </w:numPr>
        <w:rPr>
          <w:rFonts w:ascii="Arial" w:cs="Arial" w:eastAsia="Arial" w:hAnsi="Arial"/>
          <w:sz w:val="17"/>
          <w:szCs w:val="17"/>
          <w:color w:val="010000"/>
        </w:rPr>
      </w:pPr>
      <w:r>
        <w:rPr>
          <w:rFonts w:ascii="Arial" w:cs="Arial" w:eastAsia="Arial" w:hAnsi="Arial"/>
          <w:sz w:val="17"/>
          <w:szCs w:val="17"/>
          <w:color w:val="auto"/>
        </w:rPr>
        <w:t>Unless otherwise provided by the Committee, whether in an Award Agreement or otherwise, in the event of: (A) a Participant’s Termination by the Service Recipient for Cause, all outstanding Options granted to such Participant shall immediately terminate and expire; (B) a Participant’s Termination due to death or Disability, each outstanding unvested Option granted to such Participant shall immediately terminate and expire, and each outstanding vested Option shall remain exercisable for one year thereafter (but in no event beyond the expiration of the Option Period); and (C) a Participant’s Termination for any other reason, each outstanding unvested Option granted to such Participant shall immediately terminate and expire, and each outstanding vested Option shall remain exercisable for ninety (90) days thereafter (but in no event beyond the expiration of the Option Period).</w:t>
      </w:r>
    </w:p>
    <w:p>
      <w:pPr>
        <w:spacing w:after="0" w:line="177" w:lineRule="exact"/>
        <w:rPr>
          <w:rFonts w:ascii="Arial" w:cs="Arial" w:eastAsia="Arial" w:hAnsi="Arial"/>
          <w:sz w:val="17"/>
          <w:szCs w:val="17"/>
          <w:color w:val="010000"/>
        </w:rPr>
      </w:pPr>
    </w:p>
    <w:p>
      <w:pPr>
        <w:jc w:val="both"/>
        <w:ind w:right="40" w:firstLine="195"/>
        <w:spacing w:after="0" w:line="285" w:lineRule="auto"/>
        <w:tabs>
          <w:tab w:leader="none" w:pos="750" w:val="left"/>
        </w:tabs>
        <w:numPr>
          <w:ilvl w:val="0"/>
          <w:numId w:val="65"/>
        </w:numPr>
        <w:rPr>
          <w:rFonts w:ascii="Arial" w:cs="Arial" w:eastAsia="Arial" w:hAnsi="Arial"/>
          <w:sz w:val="16"/>
          <w:szCs w:val="16"/>
          <w:color w:val="010000"/>
        </w:rPr>
      </w:pPr>
      <w:r>
        <w:rPr>
          <w:rFonts w:ascii="Arial" w:cs="Arial" w:eastAsia="Arial" w:hAnsi="Arial"/>
          <w:sz w:val="16"/>
          <w:szCs w:val="16"/>
          <w:u w:val="single" w:color="auto"/>
          <w:color w:val="auto"/>
        </w:rPr>
        <w:t>Method of Exercise and Form of Payment</w:t>
      </w:r>
      <w:r>
        <w:rPr>
          <w:rFonts w:ascii="Arial" w:cs="Arial" w:eastAsia="Arial" w:hAnsi="Arial"/>
          <w:sz w:val="16"/>
          <w:szCs w:val="16"/>
          <w:color w:val="auto"/>
        </w:rPr>
        <w:t xml:space="preserve">. No shares of Common Stock shall be issued pursuant to any exercise of an Option until payment in full of the Exercise Price therefor is received by the Company and the Participant has paid to the Company an amount equal to any Federal, state, local and non-U.S. income, employment and any other applicable taxes required to be withheld. Options which have become exercisable may be exercised by delivery of written or electronic notice of exercise to the Company (or telephonic instructions to the extent provided by the Committee) in accordance with the terms of the Option accompanied by payment of the Exercise Price. Subject to applicable law, the Exercise Price shall be payable: (i) in cash, check, cash equivalent and/or shares of Common Stock valued at the Fair Market Value at the time the Option is exercised (including, pursuant to procedures approved by the Committee, by means of attestation of ownership of a sufficient number of shares of Common Stock in lieu of actual issuance of such shares to the Company); </w:t>
      </w:r>
      <w:r>
        <w:rPr>
          <w:rFonts w:ascii="Arial" w:cs="Arial" w:eastAsia="Arial" w:hAnsi="Arial"/>
          <w:sz w:val="16"/>
          <w:szCs w:val="16"/>
          <w:i w:val="1"/>
          <w:iCs w:val="1"/>
          <w:color w:val="auto"/>
        </w:rPr>
        <w:t>provided</w:t>
      </w:r>
      <w:r>
        <w:rPr>
          <w:rFonts w:ascii="Arial" w:cs="Arial" w:eastAsia="Arial" w:hAnsi="Arial"/>
          <w:sz w:val="16"/>
          <w:szCs w:val="16"/>
          <w:color w:val="auto"/>
        </w:rPr>
        <w:t>, that such shares of Common Stock are not subject to any pledge or other security interest and have been held by the Participant for at least six (6) months (or such other period as established from time to time by the Committee in order to avoid adverse accounting treatment applying generally accepted accounting principles (“</w:t>
      </w:r>
      <w:r>
        <w:rPr>
          <w:rFonts w:ascii="Arial" w:cs="Arial" w:eastAsia="Arial" w:hAnsi="Arial"/>
          <w:sz w:val="16"/>
          <w:szCs w:val="16"/>
          <w:u w:val="single" w:color="auto"/>
          <w:color w:val="auto"/>
        </w:rPr>
        <w:t>GAAP</w:t>
      </w:r>
      <w:r>
        <w:rPr>
          <w:rFonts w:ascii="Arial" w:cs="Arial" w:eastAsia="Arial" w:hAnsi="Arial"/>
          <w:sz w:val="16"/>
          <w:szCs w:val="16"/>
          <w:color w:val="auto"/>
        </w:rPr>
        <w:t>”)); or (ii) by such other method as the Committee may permit, in its sole discretion, including, without limitation (A) in other property having a fair market value on the date of exercise equal to the Exercise Price; (B) by means of a broker-assisted “cashless exercise” pursuant to which the Company is delivered (including telephonically to the extent permitted by the Committee) a copy of irrevocable instructions to a stockbroker to sell the shares of Common Stock otherwise issuable upon the exercise of the Option and to deliver promptly to the Company an amount equal to the Exercise Price; or (C) a “net exercise” procedure effected by withholding the minimum number of shares of Common Stock otherwise issuable in respect of an Option that are needed to pay the Exercise Price. Any fractional shares of Common Stock shall be settled in cash.</w:t>
      </w:r>
    </w:p>
    <w:p>
      <w:pPr>
        <w:spacing w:after="0" w:line="173" w:lineRule="exact"/>
        <w:rPr>
          <w:rFonts w:ascii="Arial" w:cs="Arial" w:eastAsia="Arial" w:hAnsi="Arial"/>
          <w:sz w:val="16"/>
          <w:szCs w:val="16"/>
          <w:color w:val="010000"/>
        </w:rPr>
      </w:pPr>
    </w:p>
    <w:p>
      <w:pPr>
        <w:jc w:val="both"/>
        <w:ind w:right="40" w:firstLine="195"/>
        <w:spacing w:after="0" w:line="290" w:lineRule="auto"/>
        <w:tabs>
          <w:tab w:leader="none" w:pos="700" w:val="left"/>
        </w:tabs>
        <w:numPr>
          <w:ilvl w:val="0"/>
          <w:numId w:val="65"/>
        </w:numPr>
        <w:rPr>
          <w:rFonts w:ascii="Arial" w:cs="Arial" w:eastAsia="Arial" w:hAnsi="Arial"/>
          <w:sz w:val="16"/>
          <w:szCs w:val="16"/>
          <w:color w:val="010000"/>
        </w:rPr>
      </w:pPr>
      <w:r>
        <w:rPr>
          <w:rFonts w:ascii="Arial" w:cs="Arial" w:eastAsia="Arial" w:hAnsi="Arial"/>
          <w:sz w:val="16"/>
          <w:szCs w:val="16"/>
          <w:u w:val="single" w:color="auto"/>
          <w:color w:val="auto"/>
        </w:rPr>
        <w:t>Notification upon Disqualifying Disposition of an Incentive Stock Option</w:t>
      </w:r>
      <w:r>
        <w:rPr>
          <w:rFonts w:ascii="Arial" w:cs="Arial" w:eastAsia="Arial" w:hAnsi="Arial"/>
          <w:sz w:val="16"/>
          <w:szCs w:val="16"/>
          <w:color w:val="auto"/>
        </w:rPr>
        <w:t>. Each Participant awarded an Incentive Stock Option under the Plan shall notify the Company in writing immediately after the date the Participant makes a disqualifying disposition of any Common Stock acquired pursuant to the exercise of such Incentive Stock Option. A disqualifying disposition is any disposition (including, without limitation, any sale) of such Common Stock before the later of (i) the date that is two (2) years after the Date of Grant of the Incentive Stock Option, or (ii) the date that is one (1) year after the date of exercise of the Incentive Stock Option. The Company may, if determined by the Committee and in accordance with procedures established by the Committee, retain possession, as agent for the applicable Participant, of any Common Stock acquired pursuant to the exercise of an Incentive Stock Option until the end of the period described in the preceding sentence, subject to complying with any instructions from such Participant as to the sale of such Common Stock.</w:t>
      </w:r>
    </w:p>
    <w:p>
      <w:pPr>
        <w:spacing w:after="0" w:line="368"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48895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80"/>
          </w:cols>
          <w:pgMar w:left="880" w:top="341" w:right="639" w:bottom="1440" w:gutter="0" w:footer="0" w:header="0"/>
        </w:sectPr>
      </w:pPr>
    </w:p>
    <w:bookmarkStart w:id="42" w:name="page43"/>
    <w:bookmarkEnd w:id="42"/>
    <w:p>
      <w:pPr>
        <w:jc w:val="both"/>
        <w:ind w:left="552" w:right="40" w:firstLine="195"/>
        <w:spacing w:after="0" w:line="279" w:lineRule="auto"/>
        <w:tabs>
          <w:tab w:leader="none" w:pos="1299" w:val="left"/>
        </w:tabs>
        <w:numPr>
          <w:ilvl w:val="0"/>
          <w:numId w:val="66"/>
        </w:numPr>
        <w:rPr>
          <w:rFonts w:ascii="Arial" w:cs="Arial" w:eastAsia="Arial" w:hAnsi="Arial"/>
          <w:sz w:val="17"/>
          <w:szCs w:val="17"/>
          <w:color w:val="010000"/>
        </w:rPr>
      </w:pPr>
      <w:r>
        <w:rPr>
          <w:rFonts w:ascii="Arial" w:cs="Arial" w:eastAsia="Arial" w:hAnsi="Arial"/>
          <w:sz w:val="17"/>
          <w:szCs w:val="17"/>
          <w:u w:val="single" w:color="auto"/>
          <w:color w:val="auto"/>
        </w:rPr>
        <w:t>Compliance With Laws, etc</w:t>
      </w:r>
      <w:r>
        <w:rPr>
          <w:rFonts w:ascii="Arial" w:cs="Arial" w:eastAsia="Arial" w:hAnsi="Arial"/>
          <w:sz w:val="17"/>
          <w:szCs w:val="17"/>
          <w:color w:val="auto"/>
        </w:rPr>
        <w:t>. Notwithstanding the foregoing, in no event shall a Participant be permitted to exercise an Option in a manner which the Committee determines would violate the Sarbanes-Oxley Act of 2002, as it may be amended from time to time, or any other applicable law or the applicable rules and regulations of the Securities and Exchange Commission or the applicable rules and regulations of any securities exchange or inter-dealer quotation system on which the securities of the Company are listed or traded.</w:t>
      </w:r>
    </w:p>
    <w:p>
      <w:pPr>
        <w:spacing w:after="0" w:line="167" w:lineRule="exact"/>
        <w:rPr>
          <w:sz w:val="20"/>
          <w:szCs w:val="20"/>
          <w:color w:val="auto"/>
        </w:rPr>
      </w:pPr>
    </w:p>
    <w:p>
      <w:pPr>
        <w:ind w:left="552" w:hanging="552"/>
        <w:spacing w:after="0"/>
        <w:tabs>
          <w:tab w:leader="none" w:pos="552" w:val="left"/>
        </w:tabs>
        <w:numPr>
          <w:ilvl w:val="0"/>
          <w:numId w:val="67"/>
        </w:numPr>
        <w:rPr>
          <w:rFonts w:ascii="Arial" w:cs="Arial" w:eastAsia="Arial" w:hAnsi="Arial"/>
          <w:sz w:val="18"/>
          <w:szCs w:val="18"/>
          <w:color w:val="auto"/>
        </w:rPr>
      </w:pPr>
      <w:r>
        <w:rPr>
          <w:rFonts w:ascii="Arial" w:cs="Arial" w:eastAsia="Arial" w:hAnsi="Arial"/>
          <w:sz w:val="18"/>
          <w:szCs w:val="18"/>
          <w:b w:val="1"/>
          <w:bCs w:val="1"/>
          <w:color w:val="auto"/>
        </w:rPr>
        <w:t>Restricted Stock and Restricted Stock Units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left="552" w:right="60" w:firstLine="195"/>
        <w:spacing w:after="0" w:line="263" w:lineRule="auto"/>
        <w:tabs>
          <w:tab w:leader="none" w:pos="1360" w:val="left"/>
        </w:tabs>
        <w:numPr>
          <w:ilvl w:val="1"/>
          <w:numId w:val="67"/>
        </w:numPr>
        <w:rPr>
          <w:rFonts w:ascii="Arial" w:cs="Arial" w:eastAsia="Arial" w:hAnsi="Arial"/>
          <w:sz w:val="18"/>
          <w:szCs w:val="18"/>
          <w:color w:val="010000"/>
        </w:rPr>
      </w:pPr>
      <w:r>
        <w:rPr>
          <w:rFonts w:ascii="Arial" w:cs="Arial" w:eastAsia="Arial" w:hAnsi="Arial"/>
          <w:sz w:val="18"/>
          <w:szCs w:val="18"/>
          <w:u w:val="single" w:color="auto"/>
          <w:color w:val="auto"/>
        </w:rPr>
        <w:t>General</w:t>
      </w:r>
      <w:r>
        <w:rPr>
          <w:rFonts w:ascii="Arial" w:cs="Arial" w:eastAsia="Arial" w:hAnsi="Arial"/>
          <w:sz w:val="18"/>
          <w:szCs w:val="18"/>
          <w:color w:val="auto"/>
        </w:rPr>
        <w:t>. Each grant of Restricted Stock and Restricted Stock Units shall be evidenced by an Award Agreement. Each Restricted Stock and Restricted Stock Unit so granted shall be subject to the conditions set forth in this Section 8, and to such other conditions not inconsistent with the Plan as may be reflected in the applicable Award Agreement.</w:t>
      </w:r>
    </w:p>
    <w:p>
      <w:pPr>
        <w:spacing w:after="0" w:line="183" w:lineRule="exact"/>
        <w:rPr>
          <w:rFonts w:ascii="Arial" w:cs="Arial" w:eastAsia="Arial" w:hAnsi="Arial"/>
          <w:sz w:val="18"/>
          <w:szCs w:val="18"/>
          <w:color w:val="010000"/>
        </w:rPr>
      </w:pPr>
    </w:p>
    <w:p>
      <w:pPr>
        <w:jc w:val="both"/>
        <w:ind w:left="552" w:right="40" w:firstLine="195"/>
        <w:spacing w:after="0" w:line="269" w:lineRule="auto"/>
        <w:tabs>
          <w:tab w:leader="none" w:pos="1262" w:val="left"/>
        </w:tabs>
        <w:numPr>
          <w:ilvl w:val="1"/>
          <w:numId w:val="67"/>
        </w:numPr>
        <w:rPr>
          <w:rFonts w:ascii="Arial" w:cs="Arial" w:eastAsia="Arial" w:hAnsi="Arial"/>
          <w:sz w:val="17"/>
          <w:szCs w:val="17"/>
          <w:color w:val="010000"/>
        </w:rPr>
      </w:pPr>
      <w:r>
        <w:rPr>
          <w:rFonts w:ascii="Arial" w:cs="Arial" w:eastAsia="Arial" w:hAnsi="Arial"/>
          <w:sz w:val="17"/>
          <w:szCs w:val="17"/>
          <w:u w:val="single" w:color="auto"/>
          <w:color w:val="auto"/>
        </w:rPr>
        <w:t>Stock Certificates and Book-Entry; Escrow or Similar Arrangement</w:t>
      </w:r>
      <w:r>
        <w:rPr>
          <w:rFonts w:ascii="Arial" w:cs="Arial" w:eastAsia="Arial" w:hAnsi="Arial"/>
          <w:sz w:val="17"/>
          <w:szCs w:val="17"/>
          <w:color w:val="auto"/>
        </w:rPr>
        <w:t>. Upon the grant of Restricted Stock, the Committee shall cause a stock certificate registered in the name of the Participant to be issued or shall cause share(s) of Common Stock to be registered in the name of the Participant and held in book-entry form subject to the Company’s directions and, if the Committee determines that the Restricted Stock shall be held by the Company or in escrow rather than issued to the Participant pending the release of the applicable restrictions, the Committee may require the Participant to additionally execute and deliver to the Company (i) an escrow agreement satisfactory to the Committee, if applicable; and (ii) the appropriate stock power (endorsed in blank) with respect to the Restricted Stock covered by such agreement. Subject to the restrictions set forth in this Section 8, Section 13(c) of the Plan and the applicable Award Agreement, a Participant generally shall have the rights and privileges of a stockholder as to shares of Restricted Stock, including, without limitation, the right to vote such Restricted Stock. To the extent shares of Restricted Stock are forfeited, any stock certificates issued to the Participant evidencing such shares shall be returned to the Company, and all rights of the Participant to such shares and as a stockholder with respect thereto shall terminate without further obligation on the part of the Company. A Participant shall have no rights or privileges as a stockholder as to Restricted Stock Units.</w:t>
      </w:r>
    </w:p>
    <w:p>
      <w:pPr>
        <w:spacing w:after="0" w:line="178" w:lineRule="exact"/>
        <w:rPr>
          <w:rFonts w:ascii="Arial" w:cs="Arial" w:eastAsia="Arial" w:hAnsi="Arial"/>
          <w:sz w:val="17"/>
          <w:szCs w:val="17"/>
          <w:color w:val="010000"/>
        </w:rPr>
      </w:pPr>
    </w:p>
    <w:p>
      <w:pPr>
        <w:ind w:left="552" w:right="40" w:firstLine="195"/>
        <w:spacing w:after="0" w:line="308" w:lineRule="auto"/>
        <w:tabs>
          <w:tab w:leader="none" w:pos="1387" w:val="left"/>
        </w:tabs>
        <w:numPr>
          <w:ilvl w:val="1"/>
          <w:numId w:val="67"/>
        </w:numPr>
        <w:rPr>
          <w:rFonts w:ascii="Arial" w:cs="Arial" w:eastAsia="Arial" w:hAnsi="Arial"/>
          <w:sz w:val="17"/>
          <w:szCs w:val="17"/>
          <w:color w:val="010000"/>
        </w:rPr>
      </w:pPr>
      <w:r>
        <w:rPr>
          <w:rFonts w:ascii="Arial" w:cs="Arial" w:eastAsia="Arial" w:hAnsi="Arial"/>
          <w:sz w:val="17"/>
          <w:szCs w:val="17"/>
          <w:u w:val="single" w:color="auto"/>
          <w:color w:val="auto"/>
        </w:rPr>
        <w:t>Vesting</w:t>
      </w:r>
      <w:r>
        <w:rPr>
          <w:rFonts w:ascii="Arial" w:cs="Arial" w:eastAsia="Arial" w:hAnsi="Arial"/>
          <w:sz w:val="17"/>
          <w:szCs w:val="17"/>
          <w:color w:val="auto"/>
        </w:rPr>
        <w:t>. Subject to the Minimum Vesting Condition, Restricted Stock and Restricted Stock Units shall vest, and any applicable Restricted Period shall lapse, in such manner and on such date or dates or upon such event or events as determined by the Committee.</w:t>
      </w:r>
    </w:p>
    <w:p>
      <w:pPr>
        <w:spacing w:after="0" w:line="146" w:lineRule="exact"/>
        <w:rPr>
          <w:rFonts w:ascii="Arial" w:cs="Arial" w:eastAsia="Arial" w:hAnsi="Arial"/>
          <w:sz w:val="17"/>
          <w:szCs w:val="17"/>
          <w:color w:val="010000"/>
        </w:rPr>
      </w:pPr>
    </w:p>
    <w:p>
      <w:pPr>
        <w:ind w:left="1272" w:hanging="525"/>
        <w:spacing w:after="0"/>
        <w:tabs>
          <w:tab w:leader="none" w:pos="1272" w:val="left"/>
        </w:tabs>
        <w:numPr>
          <w:ilvl w:val="1"/>
          <w:numId w:val="67"/>
        </w:numPr>
        <w:rPr>
          <w:rFonts w:ascii="Arial" w:cs="Arial" w:eastAsia="Arial" w:hAnsi="Arial"/>
          <w:sz w:val="18"/>
          <w:szCs w:val="18"/>
          <w:color w:val="010000"/>
        </w:rPr>
      </w:pPr>
      <w:r>
        <w:rPr>
          <w:rFonts w:ascii="Arial" w:cs="Arial" w:eastAsia="Arial" w:hAnsi="Arial"/>
          <w:sz w:val="18"/>
          <w:szCs w:val="18"/>
          <w:u w:val="single" w:color="auto"/>
          <w:color w:val="auto"/>
        </w:rPr>
        <w:t>Issuance of Restricted Stock and Settlement of Restricted Stock Units</w:t>
      </w:r>
      <w:r>
        <w:rPr>
          <w:rFonts w:ascii="Arial" w:cs="Arial" w:eastAsia="Arial" w:hAnsi="Arial"/>
          <w:sz w:val="18"/>
          <w:szCs w:val="18"/>
          <w:color w:val="auto"/>
        </w:rPr>
        <w:t>.</w:t>
      </w:r>
    </w:p>
    <w:p>
      <w:pPr>
        <w:spacing w:after="0" w:line="225" w:lineRule="exact"/>
        <w:rPr>
          <w:rFonts w:ascii="Arial" w:cs="Arial" w:eastAsia="Arial" w:hAnsi="Arial"/>
          <w:sz w:val="18"/>
          <w:szCs w:val="18"/>
          <w:color w:val="010000"/>
        </w:rPr>
      </w:pPr>
    </w:p>
    <w:p>
      <w:pPr>
        <w:jc w:val="both"/>
        <w:ind w:left="672" w:firstLine="642"/>
        <w:spacing w:after="0" w:line="255" w:lineRule="auto"/>
        <w:tabs>
          <w:tab w:leader="none" w:pos="1899" w:val="left"/>
        </w:tabs>
        <w:numPr>
          <w:ilvl w:val="2"/>
          <w:numId w:val="67"/>
        </w:numPr>
        <w:rPr>
          <w:rFonts w:ascii="Arial" w:cs="Arial" w:eastAsia="Arial" w:hAnsi="Arial"/>
          <w:sz w:val="18"/>
          <w:szCs w:val="18"/>
          <w:color w:val="010000"/>
        </w:rPr>
      </w:pPr>
      <w:r>
        <w:rPr>
          <w:rFonts w:ascii="Arial" w:cs="Arial" w:eastAsia="Arial" w:hAnsi="Arial"/>
          <w:sz w:val="18"/>
          <w:szCs w:val="18"/>
          <w:color w:val="auto"/>
        </w:rPr>
        <w:t>Upon the expiration of the Restricted Period with respect to any shares of Restricted Stock, the restrictions set forth in the applicable Award Agreement shall be of no further force or effect with respect to such shares, except as set forth in the applicable Award Agreement. If an escrow arrangement is used, upon such expiration, the Company shall issue to the Participant, or the Participant’s beneficiary, without charge, the stock certificate (or, if applicable, a notice evidencing a book-entry notation) evidencing the shares of Restricted Stock which have not then been forfeited and with respect to which the Restricted Period has expired (rounded down to the nearest full share).</w:t>
      </w:r>
    </w:p>
    <w:p>
      <w:pPr>
        <w:spacing w:after="0" w:line="192" w:lineRule="exact"/>
        <w:rPr>
          <w:rFonts w:ascii="Arial" w:cs="Arial" w:eastAsia="Arial" w:hAnsi="Arial"/>
          <w:sz w:val="18"/>
          <w:szCs w:val="18"/>
          <w:color w:val="010000"/>
        </w:rPr>
      </w:pPr>
    </w:p>
    <w:p>
      <w:pPr>
        <w:jc w:val="both"/>
        <w:ind w:left="672" w:firstLine="642"/>
        <w:spacing w:after="0" w:line="289" w:lineRule="auto"/>
        <w:tabs>
          <w:tab w:leader="none" w:pos="1962" w:val="left"/>
        </w:tabs>
        <w:numPr>
          <w:ilvl w:val="2"/>
          <w:numId w:val="67"/>
        </w:numPr>
        <w:rPr>
          <w:rFonts w:ascii="Arial" w:cs="Arial" w:eastAsia="Arial" w:hAnsi="Arial"/>
          <w:sz w:val="16"/>
          <w:szCs w:val="16"/>
          <w:color w:val="010000"/>
        </w:rPr>
      </w:pPr>
      <w:r>
        <w:rPr>
          <w:rFonts w:ascii="Arial" w:cs="Arial" w:eastAsia="Arial" w:hAnsi="Arial"/>
          <w:sz w:val="16"/>
          <w:szCs w:val="16"/>
          <w:color w:val="auto"/>
        </w:rPr>
        <w:t xml:space="preserve">Unless otherwise provided by the Committee in an Award Agreement or otherwise, upon the expiration of the Restricted Period with respect to any outstanding Restricted Stock Units, the Company shall issue to the Participant or the Participant’s beneficiary, without charge, one (1) share of Common Stock (or other securities or other property, as applicable) for each such outstanding Restricted Stock Unit;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Committee may, in its sole discretion, elect to (A) pay cash or part cash and part shares of Common Stock in lieu of issuing only shares of Common Stock in respect of such Restricted Stock Units; or (B) defer the issuance of shares of Common Stock (or cash or part cash and part shares of Common Stock, as the case may be) beyond the expiration of the Restricted Period if such extension would not cause adverse tax consequences under Section 409A of the Code. If a cash payment is made in lieu of issuing shares of Common Stock in respect of such Restricted Stock Units, the amount of such payment shall be equal to the Fair Market Value per share of the Common Stock as of the date on which the Restricted Period lapsed with respect to such Restricted Stock Units.</w:t>
      </w:r>
    </w:p>
    <w:p>
      <w:pPr>
        <w:spacing w:after="0" w:line="369" w:lineRule="exact"/>
        <w:rPr>
          <w:sz w:val="20"/>
          <w:szCs w:val="20"/>
          <w:color w:val="auto"/>
        </w:rPr>
      </w:pPr>
    </w:p>
    <w:p>
      <w:pPr>
        <w:jc w:val="center"/>
        <w:ind w:right="-231"/>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48895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32"/>
          </w:cols>
          <w:pgMar w:left="328" w:top="341" w:right="639" w:bottom="1440" w:gutter="0" w:footer="0" w:header="0"/>
        </w:sectPr>
      </w:pPr>
    </w:p>
    <w:bookmarkStart w:id="43" w:name="page44"/>
    <w:bookmarkEnd w:id="43"/>
    <w:p>
      <w:pPr>
        <w:jc w:val="both"/>
        <w:ind w:left="560" w:right="340" w:firstLine="195"/>
        <w:spacing w:after="0" w:line="263" w:lineRule="auto"/>
        <w:tabs>
          <w:tab w:leader="none" w:pos="1354" w:val="left"/>
        </w:tabs>
        <w:numPr>
          <w:ilvl w:val="0"/>
          <w:numId w:val="68"/>
        </w:numPr>
        <w:rPr>
          <w:rFonts w:ascii="Arial" w:cs="Arial" w:eastAsia="Arial" w:hAnsi="Arial"/>
          <w:sz w:val="18"/>
          <w:szCs w:val="18"/>
          <w:color w:val="010000"/>
        </w:rPr>
      </w:pPr>
      <w:r>
        <w:rPr>
          <w:rFonts w:ascii="Arial" w:cs="Arial" w:eastAsia="Arial" w:hAnsi="Arial"/>
          <w:sz w:val="18"/>
          <w:szCs w:val="18"/>
          <w:u w:val="single" w:color="auto"/>
          <w:color w:val="auto"/>
        </w:rPr>
        <w:t>Legends on Restricted Stock</w:t>
      </w:r>
      <w:r>
        <w:rPr>
          <w:rFonts w:ascii="Arial" w:cs="Arial" w:eastAsia="Arial" w:hAnsi="Arial"/>
          <w:sz w:val="18"/>
          <w:szCs w:val="18"/>
          <w:color w:val="auto"/>
        </w:rPr>
        <w:t>. Each certificate, if any, or book entry representing Restricted Stock awarded under the Plan, if any, shall bear a legend or book entry notation substantially in the form of the following, in addition to any other information the Company deems appropriate, until the lapse of all restrictions with respect to such shares of Common Stock:</w:t>
      </w:r>
    </w:p>
    <w:p>
      <w:pPr>
        <w:spacing w:after="0" w:line="184" w:lineRule="exact"/>
        <w:rPr>
          <w:sz w:val="20"/>
          <w:szCs w:val="20"/>
          <w:color w:val="auto"/>
        </w:rPr>
      </w:pPr>
    </w:p>
    <w:p>
      <w:pPr>
        <w:jc w:val="both"/>
        <w:ind w:left="560" w:right="260"/>
        <w:spacing w:after="0" w:line="259" w:lineRule="auto"/>
        <w:rPr>
          <w:sz w:val="20"/>
          <w:szCs w:val="20"/>
          <w:color w:val="auto"/>
        </w:rPr>
      </w:pPr>
      <w:r>
        <w:rPr>
          <w:rFonts w:ascii="Arial" w:cs="Arial" w:eastAsia="Arial" w:hAnsi="Arial"/>
          <w:sz w:val="18"/>
          <w:szCs w:val="18"/>
          <w:color w:val="auto"/>
        </w:rPr>
        <w:t>TRANSFER OF THIS CERTIFICATE AND THE SHARES OF COMMON STOCK REPRESENTED HEREBY IS RESTRICTED PURSUANT TO THE TERMS OF THE PRA HEALTH SCIENCES, INC. 2018 SHARE INCENTIVE PLAN AND A RESTRICTED STOCK AWARD AGREEMENT BETWEEN PRA HEALTH SCIENCES, INC. AND PARTICIPANT. A COPY OF SUCH PLAN AND AWARD AGREEMENT IS ON FILE AT THE PRINCIPAL EXECUTIVE OFFICES OF PRA HEALTH SCIENCES, INC.</w:t>
      </w:r>
    </w:p>
    <w:p>
      <w:pPr>
        <w:spacing w:after="0" w:line="183" w:lineRule="exact"/>
        <w:rPr>
          <w:sz w:val="20"/>
          <w:szCs w:val="20"/>
          <w:color w:val="auto"/>
        </w:rPr>
      </w:pPr>
    </w:p>
    <w:p>
      <w:pPr>
        <w:jc w:val="both"/>
        <w:ind w:left="560" w:hanging="552"/>
        <w:spacing w:after="0" w:line="277" w:lineRule="auto"/>
        <w:tabs>
          <w:tab w:leader="none" w:pos="560" w:val="left"/>
        </w:tabs>
        <w:numPr>
          <w:ilvl w:val="0"/>
          <w:numId w:val="69"/>
        </w:numPr>
        <w:rPr>
          <w:rFonts w:ascii="Arial" w:cs="Arial" w:eastAsia="Arial" w:hAnsi="Arial"/>
          <w:sz w:val="17"/>
          <w:szCs w:val="17"/>
          <w:color w:val="auto"/>
        </w:rPr>
      </w:pPr>
      <w:r>
        <w:rPr>
          <w:rFonts w:ascii="Arial" w:cs="Arial" w:eastAsia="Arial" w:hAnsi="Arial"/>
          <w:sz w:val="17"/>
          <w:szCs w:val="17"/>
          <w:b w:val="1"/>
          <w:bCs w:val="1"/>
          <w:color w:val="auto"/>
        </w:rPr>
        <w:t>Other Equity-Based Awards</w:t>
      </w:r>
      <w:r>
        <w:rPr>
          <w:rFonts w:ascii="Arial" w:cs="Arial" w:eastAsia="Arial" w:hAnsi="Arial"/>
          <w:sz w:val="17"/>
          <w:szCs w:val="17"/>
          <w:color w:val="auto"/>
        </w:rPr>
        <w:t>. The Committee may grant Other Equity-Based Awards under the Plan, denominated in shares of Common Stock or</w:t>
      </w:r>
      <w:r>
        <w:rPr>
          <w:rFonts w:ascii="Arial" w:cs="Arial" w:eastAsia="Arial" w:hAnsi="Arial"/>
          <w:sz w:val="17"/>
          <w:szCs w:val="17"/>
          <w:b w:val="1"/>
          <w:bCs w:val="1"/>
          <w:color w:val="auto"/>
        </w:rPr>
        <w:t xml:space="preserve"> </w:t>
      </w:r>
      <w:r>
        <w:rPr>
          <w:rFonts w:ascii="Arial" w:cs="Arial" w:eastAsia="Arial" w:hAnsi="Arial"/>
          <w:sz w:val="17"/>
          <w:szCs w:val="17"/>
          <w:color w:val="auto"/>
        </w:rPr>
        <w:t>based upon the value or otherwise related to the of shares of Common Stock, to Eligible Persons, alone or in tandem with other Awards, in such amounts and, subject to the Minimum Vesting Condition, dependent on such other conditions as the Committee shall from time to time in its sole discretion determine. Each Other Equity-Based Award granted under the Plan shall be evidenced by an Award Agreement and shall be subject to such conditions not inconsistent with the Plan as may be reflected in the applicable Award Agreement.</w:t>
      </w:r>
    </w:p>
    <w:p>
      <w:pPr>
        <w:spacing w:after="0" w:line="168" w:lineRule="exact"/>
        <w:rPr>
          <w:sz w:val="20"/>
          <w:szCs w:val="20"/>
          <w:color w:val="auto"/>
        </w:rPr>
      </w:pPr>
    </w:p>
    <w:p>
      <w:pPr>
        <w:ind w:left="560" w:hanging="552"/>
        <w:spacing w:after="0"/>
        <w:tabs>
          <w:tab w:leader="none" w:pos="560"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Non-Employee Director Grants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560" w:right="340" w:firstLine="195"/>
        <w:spacing w:after="0" w:line="277" w:lineRule="auto"/>
        <w:tabs>
          <w:tab w:leader="none" w:pos="1314" w:val="left"/>
        </w:tabs>
        <w:numPr>
          <w:ilvl w:val="1"/>
          <w:numId w:val="70"/>
        </w:numPr>
        <w:rPr>
          <w:rFonts w:ascii="Arial" w:cs="Arial" w:eastAsia="Arial" w:hAnsi="Arial"/>
          <w:sz w:val="18"/>
          <w:szCs w:val="18"/>
          <w:color w:val="010000"/>
        </w:rPr>
      </w:pPr>
      <w:r>
        <w:rPr>
          <w:rFonts w:ascii="Arial" w:cs="Arial" w:eastAsia="Arial" w:hAnsi="Arial"/>
          <w:sz w:val="18"/>
          <w:szCs w:val="18"/>
          <w:color w:val="auto"/>
        </w:rPr>
        <w:t>The Committee may, subject to Section 5(c) hereof, grant Awards to Non- Employee Directors (a “</w:t>
      </w:r>
      <w:r>
        <w:rPr>
          <w:rFonts w:ascii="Arial" w:cs="Arial" w:eastAsia="Arial" w:hAnsi="Arial"/>
          <w:sz w:val="18"/>
          <w:szCs w:val="18"/>
          <w:u w:val="single" w:color="auto"/>
          <w:color w:val="auto"/>
        </w:rPr>
        <w:t>Director Award</w:t>
      </w:r>
      <w:r>
        <w:rPr>
          <w:rFonts w:ascii="Arial" w:cs="Arial" w:eastAsia="Arial" w:hAnsi="Arial"/>
          <w:sz w:val="18"/>
          <w:szCs w:val="18"/>
          <w:color w:val="auto"/>
        </w:rPr>
        <w:t>”), subject to the terms of this Section 10.</w:t>
      </w:r>
    </w:p>
    <w:p>
      <w:pPr>
        <w:spacing w:after="0" w:line="170" w:lineRule="exact"/>
        <w:rPr>
          <w:rFonts w:ascii="Arial" w:cs="Arial" w:eastAsia="Arial" w:hAnsi="Arial"/>
          <w:sz w:val="18"/>
          <w:szCs w:val="18"/>
          <w:color w:val="010000"/>
        </w:rPr>
      </w:pPr>
    </w:p>
    <w:p>
      <w:pPr>
        <w:jc w:val="both"/>
        <w:ind w:left="560" w:right="340" w:firstLine="195"/>
        <w:spacing w:after="0" w:line="289" w:lineRule="auto"/>
        <w:tabs>
          <w:tab w:leader="none" w:pos="1297" w:val="left"/>
        </w:tabs>
        <w:numPr>
          <w:ilvl w:val="1"/>
          <w:numId w:val="70"/>
        </w:numPr>
        <w:rPr>
          <w:rFonts w:ascii="Arial" w:cs="Arial" w:eastAsia="Arial" w:hAnsi="Arial"/>
          <w:sz w:val="16"/>
          <w:szCs w:val="16"/>
          <w:color w:val="010000"/>
        </w:rPr>
      </w:pPr>
      <w:r>
        <w:rPr>
          <w:rFonts w:ascii="Arial" w:cs="Arial" w:eastAsia="Arial" w:hAnsi="Arial"/>
          <w:sz w:val="16"/>
          <w:szCs w:val="16"/>
          <w:color w:val="auto"/>
        </w:rPr>
        <w:t>The form of any Director Award, as well as the vesting and other applicable conditions of a Director Award, shall be determined by the Board prior to the applicable Date of Grant. Notwithstanding anything contained in the Plan to the contrary, in the event that a Non-Employee Director undergoes a Terminationon the date of a regularly scheduled annual meeting of the stockholders of the Company that is prior to the first anniversary of the Date of Grant of any Director Award as a result of such Non-Employee Director not being reelected for another term as a Non-Employee Director, the Director Award (or portion thereof) otherwise scheduled to vest on such first anniversary of the Date of Grant shall immediately vest upon such Termination, and such Director Award (or portion thereof) that vests as a result of this sentence shall count against the Minimum Vesting Condition Carve Out Amount (and to the extent that the number of shares of Common Stock subject to any such vesting would exceed the remaining Minimum Vesting Condition Carve Out Amount, vesting shall not occur with respect to any any such shares in excess of such Minimum Vesting Condition Carve Out Amount and shall be forfeited).</w:t>
      </w:r>
    </w:p>
    <w:p>
      <w:pPr>
        <w:spacing w:after="0" w:line="162" w:lineRule="exact"/>
        <w:rPr>
          <w:rFonts w:ascii="Arial" w:cs="Arial" w:eastAsia="Arial" w:hAnsi="Arial"/>
          <w:sz w:val="16"/>
          <w:szCs w:val="16"/>
          <w:color w:val="010000"/>
        </w:rPr>
      </w:pPr>
    </w:p>
    <w:p>
      <w:pPr>
        <w:ind w:left="560" w:hanging="552"/>
        <w:spacing w:after="0" w:line="282" w:lineRule="auto"/>
        <w:tabs>
          <w:tab w:leader="none" w:pos="560"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Changes in Capital Structure and Similar Events</w:t>
      </w:r>
      <w:r>
        <w:rPr>
          <w:rFonts w:ascii="Arial" w:cs="Arial" w:eastAsia="Arial" w:hAnsi="Arial"/>
          <w:sz w:val="18"/>
          <w:szCs w:val="18"/>
          <w:color w:val="auto"/>
        </w:rPr>
        <w:t>. Notwithstanding any other provision in this Plan to the contrary, the following provisions shall</w:t>
      </w:r>
      <w:r>
        <w:rPr>
          <w:rFonts w:ascii="Arial" w:cs="Arial" w:eastAsia="Arial" w:hAnsi="Arial"/>
          <w:sz w:val="18"/>
          <w:szCs w:val="18"/>
          <w:b w:val="1"/>
          <w:bCs w:val="1"/>
          <w:color w:val="auto"/>
        </w:rPr>
        <w:t xml:space="preserve"> </w:t>
      </w:r>
      <w:r>
        <w:rPr>
          <w:rFonts w:ascii="Arial" w:cs="Arial" w:eastAsia="Arial" w:hAnsi="Arial"/>
          <w:sz w:val="18"/>
          <w:szCs w:val="18"/>
          <w:color w:val="auto"/>
        </w:rPr>
        <w:t>apply to all Awards granted hereunder</w:t>
      </w:r>
    </w:p>
    <w:p>
      <w:pPr>
        <w:spacing w:after="0" w:line="165" w:lineRule="exact"/>
        <w:rPr>
          <w:rFonts w:ascii="Arial" w:cs="Arial" w:eastAsia="Arial" w:hAnsi="Arial"/>
          <w:sz w:val="18"/>
          <w:szCs w:val="18"/>
          <w:color w:val="auto"/>
        </w:rPr>
      </w:pPr>
    </w:p>
    <w:p>
      <w:pPr>
        <w:ind w:left="1280" w:hanging="525"/>
        <w:spacing w:after="0"/>
        <w:tabs>
          <w:tab w:leader="none" w:pos="1280" w:val="left"/>
        </w:tabs>
        <w:numPr>
          <w:ilvl w:val="1"/>
          <w:numId w:val="70"/>
        </w:numPr>
        <w:rPr>
          <w:rFonts w:ascii="Arial" w:cs="Arial" w:eastAsia="Arial" w:hAnsi="Arial"/>
          <w:sz w:val="17"/>
          <w:szCs w:val="17"/>
          <w:color w:val="010000"/>
        </w:rPr>
      </w:pPr>
      <w:r>
        <w:rPr>
          <w:rFonts w:ascii="Arial" w:cs="Arial" w:eastAsia="Arial" w:hAnsi="Arial"/>
          <w:sz w:val="17"/>
          <w:szCs w:val="17"/>
          <w:u w:val="single" w:color="auto"/>
          <w:color w:val="auto"/>
        </w:rPr>
        <w:t>General</w:t>
      </w:r>
      <w:r>
        <w:rPr>
          <w:rFonts w:ascii="Arial" w:cs="Arial" w:eastAsia="Arial" w:hAnsi="Arial"/>
          <w:sz w:val="17"/>
          <w:szCs w:val="17"/>
          <w:color w:val="auto"/>
        </w:rPr>
        <w:t>. In the event of (i) any dividend (other than regular cash dividends) or other distribution (whether in the form of cash, shares</w:t>
      </w:r>
    </w:p>
    <w:p>
      <w:pPr>
        <w:spacing w:after="0" w:line="35" w:lineRule="exact"/>
        <w:rPr>
          <w:sz w:val="20"/>
          <w:szCs w:val="20"/>
          <w:color w:val="auto"/>
        </w:rPr>
      </w:pPr>
    </w:p>
    <w:p>
      <w:pPr>
        <w:jc w:val="both"/>
        <w:ind w:left="560" w:right="340"/>
        <w:spacing w:after="0" w:line="284" w:lineRule="auto"/>
        <w:rPr>
          <w:sz w:val="20"/>
          <w:szCs w:val="20"/>
          <w:color w:val="auto"/>
        </w:rPr>
      </w:pPr>
      <w:r>
        <w:rPr>
          <w:rFonts w:ascii="Arial" w:cs="Arial" w:eastAsia="Arial" w:hAnsi="Arial"/>
          <w:sz w:val="16"/>
          <w:szCs w:val="16"/>
          <w:color w:val="auto"/>
        </w:rPr>
        <w:t>of Common Stock, other securities or other property), recapitalization, stock split, reverse stock split, reorganization, merger, consolidation, split-up, split-off, spin-off, combination, repurchase or exchange of shares of Common Stock or other securities of the Company, issuance of warrants or other rights to acquire shares of Common Stock or other securities of the Company, or other similar corporate transaction or event that affects the shares of Common Stock (including a Change in Control); or (ii) unusual or nonrecurring events affecting the Company, including changes in applicable rules, rulings, regulations or other requirements, that the Committee determines, in its sole discretion, could result in substantial dilution or enlargement of the rights intended to be granted to, or available for, Participants (any event in (i) or (ii), an “</w:t>
      </w:r>
      <w:r>
        <w:rPr>
          <w:rFonts w:ascii="Arial" w:cs="Arial" w:eastAsia="Arial" w:hAnsi="Arial"/>
          <w:sz w:val="16"/>
          <w:szCs w:val="16"/>
          <w:u w:val="single" w:color="auto"/>
          <w:color w:val="auto"/>
        </w:rPr>
        <w:t>Adjustment Event</w:t>
      </w:r>
      <w:r>
        <w:rPr>
          <w:rFonts w:ascii="Arial" w:cs="Arial" w:eastAsia="Arial" w:hAnsi="Arial"/>
          <w:sz w:val="16"/>
          <w:szCs w:val="16"/>
          <w:color w:val="auto"/>
        </w:rPr>
        <w:t xml:space="preserve">”), the Committee shall, in respect of any such Adjustment Event, make such proportionate substitution or adjustment, if any, as it deems equitable, to any or all of (A) the Plan Share Reserve, or any other limit applicable under the Plan with respect to the number of Awards which may be granted hereunder; (B) the number of shares of Common Stock or other securities of the Company (or number and kind of other securities or other property) which may be issued in respect of Awards or with respect to which Awards may be granted under the Plan or any Sub- Plan; and (C) the terms of any outstanding Award, including, without limitation, (I) the number of shares of Common Stock or other securities of the Company (or number and kind of other securities or other property) subject to outstanding Awards or to which outstanding Awards relate; (II) the Exercise Price or SAR Base Price with respect to any Option or SAR, as applicable or any amount payable as a condition of issuance of shares of Common Stock (in the case of any other Award) (provided that in no event shall the per share price of an award be reduced to an amount that is lower than the nominal value of a Share); or (III) any applicable performance measures; </w:t>
      </w:r>
      <w:r>
        <w:rPr>
          <w:rFonts w:ascii="Arial" w:cs="Arial" w:eastAsia="Arial" w:hAnsi="Arial"/>
          <w:sz w:val="16"/>
          <w:szCs w:val="16"/>
          <w:i w:val="1"/>
          <w:iCs w:val="1"/>
          <w:color w:val="auto"/>
        </w:rPr>
        <w:t>provided</w:t>
      </w:r>
      <w:r>
        <w:rPr>
          <w:rFonts w:ascii="Arial" w:cs="Arial" w:eastAsia="Arial" w:hAnsi="Arial"/>
          <w:sz w:val="16"/>
          <w:szCs w:val="16"/>
          <w:color w:val="auto"/>
        </w:rPr>
        <w:t>, that in the case of any “equity restructuring” (within the meaning of the Financial Accounting Standards Board Accounting Standards Codification Topic 718 (or any successor pronouncement thereto)), the Committee shall make an equitable or proportionate adjustment to outstanding Awards to reflect such equity restructuring.</w:t>
      </w:r>
    </w:p>
    <w:p>
      <w:pPr>
        <w:spacing w:after="0" w:line="200" w:lineRule="exact"/>
        <w:rPr>
          <w:sz w:val="20"/>
          <w:szCs w:val="20"/>
          <w:color w:val="auto"/>
        </w:rPr>
      </w:pPr>
    </w:p>
    <w:p>
      <w:pPr>
        <w:spacing w:after="0" w:line="39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4" w:name="page45"/>
    <w:bookmarkEnd w:id="44"/>
    <w:p>
      <w:pPr>
        <w:jc w:val="both"/>
        <w:ind w:right="40" w:firstLine="195"/>
        <w:spacing w:after="0" w:line="263" w:lineRule="auto"/>
        <w:tabs>
          <w:tab w:leader="none" w:pos="831" w:val="left"/>
        </w:tabs>
        <w:numPr>
          <w:ilvl w:val="0"/>
          <w:numId w:val="71"/>
        </w:numPr>
        <w:rPr>
          <w:rFonts w:ascii="Arial" w:cs="Arial" w:eastAsia="Arial" w:hAnsi="Arial"/>
          <w:sz w:val="18"/>
          <w:szCs w:val="18"/>
          <w:color w:val="010000"/>
        </w:rPr>
      </w:pPr>
      <w:r>
        <w:rPr>
          <w:rFonts w:ascii="Arial" w:cs="Arial" w:eastAsia="Arial" w:hAnsi="Arial"/>
          <w:sz w:val="18"/>
          <w:szCs w:val="18"/>
          <w:u w:val="single" w:color="auto"/>
          <w:color w:val="auto"/>
        </w:rPr>
        <w:t>Change in Control</w:t>
      </w:r>
      <w:r>
        <w:rPr>
          <w:rFonts w:ascii="Arial" w:cs="Arial" w:eastAsia="Arial" w:hAnsi="Arial"/>
          <w:sz w:val="18"/>
          <w:szCs w:val="18"/>
          <w:color w:val="auto"/>
        </w:rPr>
        <w:t>. In the event of a Change in Control, without limiting the foregoing and unless otherwise determined by the Committee (which determination may not include any accelerated vesting, except as provided in this Section 11(b)), in its sole discretion, the following provisions shall apply.</w:t>
      </w:r>
    </w:p>
    <w:p>
      <w:pPr>
        <w:spacing w:after="0" w:line="183" w:lineRule="exact"/>
        <w:rPr>
          <w:rFonts w:ascii="Arial" w:cs="Arial" w:eastAsia="Arial" w:hAnsi="Arial"/>
          <w:sz w:val="18"/>
          <w:szCs w:val="18"/>
          <w:color w:val="010000"/>
        </w:rPr>
      </w:pPr>
    </w:p>
    <w:p>
      <w:pPr>
        <w:jc w:val="both"/>
        <w:ind w:left="120" w:firstLine="642"/>
        <w:spacing w:after="0" w:line="272" w:lineRule="auto"/>
        <w:tabs>
          <w:tab w:leader="none" w:pos="1266" w:val="left"/>
        </w:tabs>
        <w:numPr>
          <w:ilvl w:val="1"/>
          <w:numId w:val="71"/>
        </w:numPr>
        <w:rPr>
          <w:rFonts w:ascii="Arial" w:cs="Arial" w:eastAsia="Arial" w:hAnsi="Arial"/>
          <w:sz w:val="17"/>
          <w:szCs w:val="17"/>
          <w:color w:val="010000"/>
        </w:rPr>
      </w:pPr>
      <w:r>
        <w:rPr>
          <w:rFonts w:ascii="Arial" w:cs="Arial" w:eastAsia="Arial" w:hAnsi="Arial"/>
          <w:sz w:val="17"/>
          <w:szCs w:val="17"/>
          <w:u w:val="single" w:color="auto"/>
          <w:color w:val="auto"/>
        </w:rPr>
        <w:t>Outstanding Awards with Time-Based Vesting</w:t>
      </w:r>
      <w:r>
        <w:rPr>
          <w:rFonts w:ascii="Arial" w:cs="Arial" w:eastAsia="Arial" w:hAnsi="Arial"/>
          <w:sz w:val="17"/>
          <w:szCs w:val="17"/>
          <w:color w:val="auto"/>
        </w:rPr>
        <w:t>. All outstanding Awards subject to vesting based on the Participant’s continued service over a period of time (“</w:t>
      </w:r>
      <w:r>
        <w:rPr>
          <w:rFonts w:ascii="Arial" w:cs="Arial" w:eastAsia="Arial" w:hAnsi="Arial"/>
          <w:sz w:val="17"/>
          <w:szCs w:val="17"/>
          <w:u w:val="single" w:color="auto"/>
          <w:color w:val="auto"/>
        </w:rPr>
        <w:t>Time-Based Awards</w:t>
      </w:r>
      <w:r>
        <w:rPr>
          <w:rFonts w:ascii="Arial" w:cs="Arial" w:eastAsia="Arial" w:hAnsi="Arial"/>
          <w:sz w:val="17"/>
          <w:szCs w:val="17"/>
          <w:color w:val="auto"/>
        </w:rPr>
        <w:t>”) shall be assumed by the surviving or acquiring entity, or its Affiliates (the “</w:t>
      </w:r>
      <w:r>
        <w:rPr>
          <w:rFonts w:ascii="Arial" w:cs="Arial" w:eastAsia="Arial" w:hAnsi="Arial"/>
          <w:sz w:val="17"/>
          <w:szCs w:val="17"/>
          <w:u w:val="single" w:color="auto"/>
          <w:color w:val="auto"/>
        </w:rPr>
        <w:t>Continuing</w:t>
      </w:r>
      <w:r>
        <w:rPr>
          <w:rFonts w:ascii="Arial" w:cs="Arial" w:eastAsia="Arial" w:hAnsi="Arial"/>
          <w:sz w:val="17"/>
          <w:szCs w:val="17"/>
          <w:color w:val="auto"/>
        </w:rPr>
        <w:t xml:space="preserve"> </w:t>
      </w:r>
      <w:r>
        <w:rPr>
          <w:rFonts w:ascii="Arial" w:cs="Arial" w:eastAsia="Arial" w:hAnsi="Arial"/>
          <w:sz w:val="17"/>
          <w:szCs w:val="17"/>
          <w:u w:val="single" w:color="auto"/>
          <w:color w:val="auto"/>
        </w:rPr>
        <w:t>Entity</w:t>
      </w:r>
      <w:r>
        <w:rPr>
          <w:rFonts w:ascii="Arial" w:cs="Arial" w:eastAsia="Arial" w:hAnsi="Arial"/>
          <w:sz w:val="17"/>
          <w:szCs w:val="17"/>
          <w:color w:val="auto"/>
        </w:rPr>
        <w:t>”), or substituted for new cash or equity-based awards of such Continuing Entity, as provided in the merger or acquisition agreement, or if no such assumption or substitution is provided for, all outstanding Time-Based Awards shall become fully vested and, to the extent applicable, exercisable and all forfeiture restrictions on such Awards shall lapse. To the extent that any Time-Based Awards are to be assumed or substituted, the Committee may provide that the vesting of any unvested portion of any one or more of such Awards will automatically accelerate upon a Participant’s Qualifying Termination.</w:t>
      </w:r>
    </w:p>
    <w:p>
      <w:pPr>
        <w:spacing w:after="0" w:line="177" w:lineRule="exact"/>
        <w:rPr>
          <w:rFonts w:ascii="Arial" w:cs="Arial" w:eastAsia="Arial" w:hAnsi="Arial"/>
          <w:sz w:val="17"/>
          <w:szCs w:val="17"/>
          <w:color w:val="010000"/>
        </w:rPr>
      </w:pPr>
    </w:p>
    <w:p>
      <w:pPr>
        <w:jc w:val="both"/>
        <w:ind w:left="120" w:firstLine="642"/>
        <w:spacing w:after="0" w:line="269" w:lineRule="auto"/>
        <w:tabs>
          <w:tab w:leader="none" w:pos="1451" w:val="left"/>
        </w:tabs>
        <w:numPr>
          <w:ilvl w:val="1"/>
          <w:numId w:val="71"/>
        </w:numPr>
        <w:rPr>
          <w:rFonts w:ascii="Arial" w:cs="Arial" w:eastAsia="Arial" w:hAnsi="Arial"/>
          <w:sz w:val="17"/>
          <w:szCs w:val="17"/>
          <w:color w:val="010000"/>
        </w:rPr>
      </w:pPr>
      <w:r>
        <w:rPr>
          <w:rFonts w:ascii="Arial" w:cs="Arial" w:eastAsia="Arial" w:hAnsi="Arial"/>
          <w:sz w:val="17"/>
          <w:szCs w:val="17"/>
          <w:u w:val="single" w:color="auto"/>
          <w:color w:val="auto"/>
        </w:rPr>
        <w:t>Outstanding Awards with Performance-Based Vesting</w:t>
      </w:r>
      <w:r>
        <w:rPr>
          <w:rFonts w:ascii="Arial" w:cs="Arial" w:eastAsia="Arial" w:hAnsi="Arial"/>
          <w:sz w:val="17"/>
          <w:szCs w:val="17"/>
          <w:color w:val="auto"/>
        </w:rPr>
        <w:t>. All outstanding unvested Awards subject to vesting based on the achievement of performance criteria (“</w:t>
      </w:r>
      <w:r>
        <w:rPr>
          <w:rFonts w:ascii="Arial" w:cs="Arial" w:eastAsia="Arial" w:hAnsi="Arial"/>
          <w:sz w:val="17"/>
          <w:szCs w:val="17"/>
          <w:u w:val="single" w:color="auto"/>
          <w:color w:val="auto"/>
        </w:rPr>
        <w:t>Performance-Based Awards</w:t>
      </w:r>
      <w:r>
        <w:rPr>
          <w:rFonts w:ascii="Arial" w:cs="Arial" w:eastAsia="Arial" w:hAnsi="Arial"/>
          <w:sz w:val="17"/>
          <w:szCs w:val="17"/>
          <w:color w:val="auto"/>
        </w:rPr>
        <w:t>”) shall vest as of the effective date of the Change in Control (A) at the target level, pro-rated to reflect the portion of the performance period that has elapsed as of the effective date of the Change in Control or (B) at the actual achievement level, based on the actual achievement of such performance criteria, as of the effective date of the Change in Control or the most recent practicable date immediately prior to the effective date of the Change in Control on which the performance criteria may be measured prior to such effective date, as reasonably determined by the Committee in good faith, including any reasonable assumptions, adjustments or projections related to such performance criteria. The level of vesting for each outstanding Performance-Based Award on a Change in Control as between clause (A) or (B) above shall be the level that provides the greatest value under each Performance-Based Award, which may be different with respect to each outstanding Performance-Based Award. Any unvested portion of any outstanding Performance- Based Award that does not become vested in connection with a Change in Control in accordance with this Section 11(b)(ii) shall terminate and cease to be outstanding as of the effective date of the Change in Control, without payment of any consideration to the Participant.</w:t>
      </w:r>
    </w:p>
    <w:p>
      <w:pPr>
        <w:spacing w:after="0" w:line="178" w:lineRule="exact"/>
        <w:rPr>
          <w:rFonts w:ascii="Arial" w:cs="Arial" w:eastAsia="Arial" w:hAnsi="Arial"/>
          <w:sz w:val="17"/>
          <w:szCs w:val="17"/>
          <w:color w:val="010000"/>
        </w:rPr>
      </w:pPr>
    </w:p>
    <w:p>
      <w:pPr>
        <w:jc w:val="both"/>
        <w:ind w:left="120" w:firstLine="642"/>
        <w:spacing w:after="0" w:line="285" w:lineRule="auto"/>
        <w:tabs>
          <w:tab w:leader="none" w:pos="1393" w:val="left"/>
        </w:tabs>
        <w:numPr>
          <w:ilvl w:val="1"/>
          <w:numId w:val="71"/>
        </w:numPr>
        <w:rPr>
          <w:rFonts w:ascii="Arial" w:cs="Arial" w:eastAsia="Arial" w:hAnsi="Arial"/>
          <w:sz w:val="16"/>
          <w:szCs w:val="16"/>
          <w:color w:val="010000"/>
        </w:rPr>
      </w:pPr>
      <w:r>
        <w:rPr>
          <w:rFonts w:ascii="Arial" w:cs="Arial" w:eastAsia="Arial" w:hAnsi="Arial"/>
          <w:sz w:val="16"/>
          <w:szCs w:val="16"/>
          <w:u w:val="single" w:color="auto"/>
          <w:color w:val="auto"/>
        </w:rPr>
        <w:t>Cancellation of Awards</w:t>
      </w:r>
      <w:r>
        <w:rPr>
          <w:rFonts w:ascii="Arial" w:cs="Arial" w:eastAsia="Arial" w:hAnsi="Arial"/>
          <w:sz w:val="16"/>
          <w:szCs w:val="16"/>
          <w:color w:val="auto"/>
        </w:rPr>
        <w:t>. In connection with a Change in Control, the Committee may, in its sole discretion, but shall not be obligated to, provide for cancellation of all or any portion of any one or more outstanding Awards and payment to the holders of such Awards, with respect to the portion of such Awards that are vested as of such cancellation (including, without limitation, any Awards that would vest in accordance with the terms of such Award or in accordance with this Section 11(b)(i) or (ii) hereof, as applicable), the value of the vested portion of such Awards, if any, as determined by the Committee (which value, if applicable, may be based upon the per- share consideration received or to be received by the holders of the shares of Common Stock upon the occurrence of the Change in Control (the “</w:t>
      </w:r>
      <w:r>
        <w:rPr>
          <w:rFonts w:ascii="Arial" w:cs="Arial" w:eastAsia="Arial" w:hAnsi="Arial"/>
          <w:sz w:val="16"/>
          <w:szCs w:val="16"/>
          <w:u w:val="single" w:color="auto"/>
          <w:color w:val="auto"/>
        </w:rPr>
        <w:t>Change in</w:t>
      </w:r>
      <w:r>
        <w:rPr>
          <w:rFonts w:ascii="Arial" w:cs="Arial" w:eastAsia="Arial" w:hAnsi="Arial"/>
          <w:sz w:val="16"/>
          <w:szCs w:val="16"/>
          <w:color w:val="auto"/>
        </w:rPr>
        <w:t xml:space="preserve"> </w:t>
      </w:r>
      <w:r>
        <w:rPr>
          <w:rFonts w:ascii="Arial" w:cs="Arial" w:eastAsia="Arial" w:hAnsi="Arial"/>
          <w:sz w:val="16"/>
          <w:szCs w:val="16"/>
          <w:u w:val="single" w:color="auto"/>
          <w:color w:val="auto"/>
        </w:rPr>
        <w:t>Control Consideration</w:t>
      </w:r>
      <w:r>
        <w:rPr>
          <w:rFonts w:ascii="Arial" w:cs="Arial" w:eastAsia="Arial" w:hAnsi="Arial"/>
          <w:sz w:val="16"/>
          <w:szCs w:val="16"/>
          <w:color w:val="auto"/>
        </w:rPr>
        <w:t>”), including, without limitation, in the case of an outstanding Option or SAR, a cash payment in an amount equal to the excess, if any, of the Change in Control Consideration over the per-share Exercise Price or SAR Base Price, as applicable, of such Option or SAR, multiplied by the number of shares of Common Stock underlying the vested portion of each such Option or SAR. Payments to holders with respect to the vested portion of such cancelled Awards pursuant to this Section 11(b)(iii) shall be made in cash or, in the sole discretion of the Committee, in such other form of consideration necessary for such holders to receive the property, cash, securities, and/or other consideration (or any combination thereof) as such holders would have been entitled to receive upon the occurrence of the Change in Control as if such holders had been, immediately prior to such Change in Control, the holder of the number of shares of Common Stock covered by the vested portion of such cancelled Awards (less any applicable Exercise or SAR Base Price). The unvested portion of any outstanding Award, and the vested portion of any Option or SAR having an Exercise or Strike Price equal to, or in excess of, the Change in Control Consideration, may be canceled and terminated without any payment or consideration therefor.</w:t>
      </w:r>
    </w:p>
    <w:p>
      <w:pPr>
        <w:spacing w:after="0" w:line="379"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48895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80"/>
          </w:cols>
          <w:pgMar w:left="880" w:top="341" w:right="639" w:bottom="1440" w:gutter="0" w:footer="0" w:header="0"/>
        </w:sectPr>
      </w:pPr>
    </w:p>
    <w:bookmarkStart w:id="45" w:name="page46"/>
    <w:bookmarkEnd w:id="45"/>
    <w:p>
      <w:pPr>
        <w:jc w:val="both"/>
        <w:ind w:left="572"/>
        <w:spacing w:after="0" w:line="254" w:lineRule="auto"/>
        <w:rPr>
          <w:sz w:val="20"/>
          <w:szCs w:val="20"/>
          <w:color w:val="auto"/>
        </w:rPr>
      </w:pPr>
      <w:r>
        <w:rPr>
          <w:rFonts w:ascii="Arial" w:cs="Arial" w:eastAsia="Arial" w:hAnsi="Arial"/>
          <w:sz w:val="18"/>
          <w:szCs w:val="18"/>
          <w:color w:val="auto"/>
        </w:rPr>
        <w:t>For purposes of Section 11(b)(i) above, the assumption or substitution of an Award may include conversion of the shares of Common Stock underlying such Award into shares of the Continuing Entity, or, subject to any limitations or reductions as may be necessary to comply with Section 409A of the Code, into cash, property or other securities having an equivalent value as the Award, which conversion shall not affect any continued vesting requirements of the Award (other than as provided in clause (i) above upon a Participant’s Qualifying Termination). For the avoidance of doubt, any such substitution of an Award shall not provide for the acceleration of any vesting requirements of the Award (other than as provided in clause (i) above upon a Participant’s Termination) and no Awards shall vest solely as a result of such assumption or substitution.</w:t>
      </w:r>
    </w:p>
    <w:p>
      <w:pPr>
        <w:spacing w:after="0" w:line="195" w:lineRule="exact"/>
        <w:rPr>
          <w:sz w:val="20"/>
          <w:szCs w:val="20"/>
          <w:color w:val="auto"/>
        </w:rPr>
      </w:pPr>
    </w:p>
    <w:p>
      <w:pPr>
        <w:jc w:val="both"/>
        <w:ind w:left="552" w:firstLine="195"/>
        <w:spacing w:after="0" w:line="296" w:lineRule="auto"/>
        <w:tabs>
          <w:tab w:leader="none" w:pos="1468" w:val="left"/>
        </w:tabs>
        <w:numPr>
          <w:ilvl w:val="0"/>
          <w:numId w:val="72"/>
        </w:numPr>
        <w:rPr>
          <w:rFonts w:ascii="Arial" w:cs="Arial" w:eastAsia="Arial" w:hAnsi="Arial"/>
          <w:sz w:val="16"/>
          <w:szCs w:val="16"/>
          <w:color w:val="010000"/>
        </w:rPr>
      </w:pPr>
      <w:r>
        <w:rPr>
          <w:rFonts w:ascii="Arial" w:cs="Arial" w:eastAsia="Arial" w:hAnsi="Arial"/>
          <w:sz w:val="16"/>
          <w:szCs w:val="16"/>
          <w:u w:val="single" w:color="auto"/>
          <w:color w:val="auto"/>
        </w:rPr>
        <w:t>Other Requirements</w:t>
      </w:r>
      <w:r>
        <w:rPr>
          <w:rFonts w:ascii="Arial" w:cs="Arial" w:eastAsia="Arial" w:hAnsi="Arial"/>
          <w:sz w:val="16"/>
          <w:szCs w:val="16"/>
          <w:color w:val="auto"/>
        </w:rPr>
        <w:t>. Prior to any payment or adjustment contemplated under this Section 11, the Committee may require a Participant to (i) represent and warrant as to the unencumbered title to the Participant’s Awards; (ii) bear such Participant’s pro rata share of any post-closing indemnity obligations, and be subject to the same post-closing purchase price adjustments, escrow terms, offset rights, holdback terms, and similar conditions as the other holders of Common Stock, subject to any limitations or reductions as may be necessary to comply with Section 409A of the Code; and (iii) deliver customary transfer documentation as reasonably determined by the Committee.</w:t>
      </w:r>
    </w:p>
    <w:p>
      <w:pPr>
        <w:spacing w:after="0" w:line="161" w:lineRule="exact"/>
        <w:rPr>
          <w:rFonts w:ascii="Arial" w:cs="Arial" w:eastAsia="Arial" w:hAnsi="Arial"/>
          <w:sz w:val="16"/>
          <w:szCs w:val="16"/>
          <w:color w:val="010000"/>
        </w:rPr>
      </w:pPr>
    </w:p>
    <w:p>
      <w:pPr>
        <w:ind w:left="552" w:firstLine="195"/>
        <w:spacing w:after="0" w:line="277" w:lineRule="auto"/>
        <w:tabs>
          <w:tab w:leader="none" w:pos="1289" w:val="left"/>
        </w:tabs>
        <w:numPr>
          <w:ilvl w:val="0"/>
          <w:numId w:val="72"/>
        </w:numPr>
        <w:rPr>
          <w:rFonts w:ascii="Arial" w:cs="Arial" w:eastAsia="Arial" w:hAnsi="Arial"/>
          <w:sz w:val="18"/>
          <w:szCs w:val="18"/>
          <w:color w:val="010000"/>
        </w:rPr>
      </w:pPr>
      <w:r>
        <w:rPr>
          <w:rFonts w:ascii="Arial" w:cs="Arial" w:eastAsia="Arial" w:hAnsi="Arial"/>
          <w:sz w:val="18"/>
          <w:szCs w:val="18"/>
          <w:u w:val="single" w:color="auto"/>
          <w:color w:val="auto"/>
        </w:rPr>
        <w:t>Fractional Shares</w:t>
      </w:r>
      <w:r>
        <w:rPr>
          <w:rFonts w:ascii="Arial" w:cs="Arial" w:eastAsia="Arial" w:hAnsi="Arial"/>
          <w:sz w:val="18"/>
          <w:szCs w:val="18"/>
          <w:color w:val="auto"/>
        </w:rPr>
        <w:t>. Any adjustment provided under this Section 11 may provide for the elimination of any fractional share that might otherwise become subject to an Award.</w:t>
      </w:r>
    </w:p>
    <w:p>
      <w:pPr>
        <w:spacing w:after="0" w:line="170" w:lineRule="exact"/>
        <w:rPr>
          <w:rFonts w:ascii="Arial" w:cs="Arial" w:eastAsia="Arial" w:hAnsi="Arial"/>
          <w:sz w:val="18"/>
          <w:szCs w:val="18"/>
          <w:color w:val="010000"/>
        </w:rPr>
      </w:pPr>
    </w:p>
    <w:p>
      <w:pPr>
        <w:ind w:left="552" w:firstLine="195"/>
        <w:spacing w:after="0" w:line="277" w:lineRule="auto"/>
        <w:tabs>
          <w:tab w:leader="none" w:pos="1319" w:val="left"/>
        </w:tabs>
        <w:numPr>
          <w:ilvl w:val="0"/>
          <w:numId w:val="72"/>
        </w:numPr>
        <w:rPr>
          <w:rFonts w:ascii="Arial" w:cs="Arial" w:eastAsia="Arial" w:hAnsi="Arial"/>
          <w:sz w:val="18"/>
          <w:szCs w:val="18"/>
          <w:color w:val="010000"/>
        </w:rPr>
      </w:pPr>
      <w:r>
        <w:rPr>
          <w:rFonts w:ascii="Arial" w:cs="Arial" w:eastAsia="Arial" w:hAnsi="Arial"/>
          <w:sz w:val="18"/>
          <w:szCs w:val="18"/>
          <w:u w:val="single" w:color="auto"/>
          <w:color w:val="auto"/>
        </w:rPr>
        <w:t>Binding Effect</w:t>
      </w:r>
      <w:r>
        <w:rPr>
          <w:rFonts w:ascii="Arial" w:cs="Arial" w:eastAsia="Arial" w:hAnsi="Arial"/>
          <w:sz w:val="18"/>
          <w:szCs w:val="18"/>
          <w:color w:val="auto"/>
        </w:rPr>
        <w:t>. Any adjustment, substitution, determination of value or other action taken by the Committee under this Section 11 shall be conclusive and binding for all purposes.</w:t>
      </w:r>
    </w:p>
    <w:p>
      <w:pPr>
        <w:spacing w:after="0" w:line="166" w:lineRule="exact"/>
        <w:rPr>
          <w:sz w:val="20"/>
          <w:szCs w:val="20"/>
          <w:color w:val="auto"/>
        </w:rPr>
      </w:pPr>
    </w:p>
    <w:p>
      <w:pPr>
        <w:ind w:left="552" w:hanging="552"/>
        <w:spacing w:after="0"/>
        <w:tabs>
          <w:tab w:leader="none" w:pos="552"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t>Amendments and Termination</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left="552" w:firstLine="195"/>
        <w:spacing w:after="0" w:line="269" w:lineRule="auto"/>
        <w:tabs>
          <w:tab w:leader="none" w:pos="1333" w:val="left"/>
        </w:tabs>
        <w:numPr>
          <w:ilvl w:val="1"/>
          <w:numId w:val="73"/>
        </w:numPr>
        <w:rPr>
          <w:rFonts w:ascii="Arial" w:cs="Arial" w:eastAsia="Arial" w:hAnsi="Arial"/>
          <w:sz w:val="17"/>
          <w:szCs w:val="17"/>
          <w:color w:val="010000"/>
        </w:rPr>
      </w:pPr>
      <w:r>
        <w:rPr>
          <w:rFonts w:ascii="Arial" w:cs="Arial" w:eastAsia="Arial" w:hAnsi="Arial"/>
          <w:sz w:val="17"/>
          <w:szCs w:val="17"/>
          <w:u w:val="single" w:color="auto"/>
          <w:color w:val="auto"/>
        </w:rPr>
        <w:t>Amendment and Termination of the Plan</w:t>
      </w:r>
      <w:r>
        <w:rPr>
          <w:rFonts w:ascii="Arial" w:cs="Arial" w:eastAsia="Arial" w:hAnsi="Arial"/>
          <w:sz w:val="17"/>
          <w:szCs w:val="17"/>
          <w:color w:val="auto"/>
        </w:rPr>
        <w:t xml:space="preserve">. The Board may amend, alter, suspend, discontinue, or terminate the Plan or any portion thereof at any time;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such amendment, alteration, suspension, discontinuance or termination shall be made without stockholder approval if (i) such approval is necessary to comply with any regulatory requirement applicable to the Plan (including, without limitation, as necessary to comply with any rules or regulations of any securities exchange or inter-dealer quotation system on which the securities of the Company may be listed or quoted) or for changes in GAAP to new accounting standards; (ii) it would materially increase the number of securities which may be issued under the Plan (except for increases pursuant to Section 5 or 11 of the Plan); or (iii) it would materially modify the requirements for participation in the Plan; </w:t>
      </w:r>
      <w:r>
        <w:rPr>
          <w:rFonts w:ascii="Arial" w:cs="Arial" w:eastAsia="Arial" w:hAnsi="Arial"/>
          <w:sz w:val="17"/>
          <w:szCs w:val="17"/>
          <w:i w:val="1"/>
          <w:iCs w:val="1"/>
          <w:color w:val="auto"/>
        </w:rPr>
        <w:t>provided, further</w:t>
      </w:r>
      <w:r>
        <w:rPr>
          <w:rFonts w:ascii="Arial" w:cs="Arial" w:eastAsia="Arial" w:hAnsi="Arial"/>
          <w:sz w:val="17"/>
          <w:szCs w:val="17"/>
          <w:color w:val="auto"/>
        </w:rPr>
        <w:t>, that any such amendment, alteration, suspension, discontinuance or termination that would materially and adversely affect the rights of any Participant or any holder or beneficiary of any Award theretofore granted shall not to that extent be effective without the consent of the affected Participant, holder or beneficiary. Notwithstanding the foregoing, no amendment shall be made to Section 12(c) of the Plan without stockholder approval.</w:t>
      </w:r>
    </w:p>
    <w:p>
      <w:pPr>
        <w:spacing w:after="0" w:line="388" w:lineRule="exact"/>
        <w:rPr>
          <w:sz w:val="20"/>
          <w:szCs w:val="20"/>
          <w:color w:val="auto"/>
        </w:rPr>
      </w:pPr>
    </w:p>
    <w:p>
      <w:pPr>
        <w:jc w:val="center"/>
        <w:ind w:right="-271"/>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48895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92"/>
          </w:cols>
          <w:pgMar w:left="328" w:top="341" w:right="679" w:bottom="1440" w:gutter="0" w:footer="0" w:header="0"/>
        </w:sectPr>
      </w:pPr>
    </w:p>
    <w:bookmarkStart w:id="46" w:name="page47"/>
    <w:bookmarkEnd w:id="46"/>
    <w:p>
      <w:pPr>
        <w:jc w:val="both"/>
        <w:ind w:left="552" w:right="40" w:firstLine="195"/>
        <w:spacing w:after="0" w:line="255" w:lineRule="auto"/>
        <w:tabs>
          <w:tab w:leader="none" w:pos="1397" w:val="left"/>
        </w:tabs>
        <w:numPr>
          <w:ilvl w:val="0"/>
          <w:numId w:val="74"/>
        </w:numPr>
        <w:rPr>
          <w:rFonts w:ascii="Arial" w:cs="Arial" w:eastAsia="Arial" w:hAnsi="Arial"/>
          <w:sz w:val="18"/>
          <w:szCs w:val="18"/>
          <w:color w:val="010000"/>
        </w:rPr>
      </w:pPr>
      <w:r>
        <w:rPr>
          <w:rFonts w:ascii="Arial" w:cs="Arial" w:eastAsia="Arial" w:hAnsi="Arial"/>
          <w:sz w:val="18"/>
          <w:szCs w:val="18"/>
          <w:u w:val="single" w:color="auto"/>
          <w:color w:val="auto"/>
        </w:rPr>
        <w:t>Amendment of Award Agreements</w:t>
      </w:r>
      <w:r>
        <w:rPr>
          <w:rFonts w:ascii="Arial" w:cs="Arial" w:eastAsia="Arial" w:hAnsi="Arial"/>
          <w:sz w:val="18"/>
          <w:szCs w:val="18"/>
          <w:color w:val="auto"/>
        </w:rPr>
        <w:t xml:space="preserve">. The Committee may, to the extent consistent with the terms of the Plan and any applicable Award Agreement, waive any conditions or rights under, amend any terms of, or alter, suspend, discontinue, cancel or terminate, any Award theretofore granted or the associated Award Agreement, prospectively or retroactively (including after a Participant’s Termination); </w:t>
      </w:r>
      <w:r>
        <w:rPr>
          <w:rFonts w:ascii="Arial" w:cs="Arial" w:eastAsia="Arial" w:hAnsi="Arial"/>
          <w:sz w:val="18"/>
          <w:szCs w:val="18"/>
          <w:i w:val="1"/>
          <w:iCs w:val="1"/>
          <w:color w:val="auto"/>
        </w:rPr>
        <w:t>provided</w:t>
      </w:r>
      <w:r>
        <w:rPr>
          <w:rFonts w:ascii="Arial" w:cs="Arial" w:eastAsia="Arial" w:hAnsi="Arial"/>
          <w:sz w:val="18"/>
          <w:szCs w:val="18"/>
          <w:color w:val="auto"/>
        </w:rPr>
        <w:t>, that, other than pursuant to Section 11, any such waiver, amendment, alteration, suspension, discontinuance, cancellation or termination that would materially and adversely affect the rights of any Participant with respect to any Award theretofore granted shall not to that extent be effective without the consent of the affected Participant.</w:t>
      </w:r>
    </w:p>
    <w:p>
      <w:pPr>
        <w:spacing w:after="0" w:line="192" w:lineRule="exact"/>
        <w:rPr>
          <w:rFonts w:ascii="Arial" w:cs="Arial" w:eastAsia="Arial" w:hAnsi="Arial"/>
          <w:sz w:val="18"/>
          <w:szCs w:val="18"/>
          <w:color w:val="010000"/>
        </w:rPr>
      </w:pPr>
    </w:p>
    <w:p>
      <w:pPr>
        <w:jc w:val="both"/>
        <w:ind w:left="552" w:right="40" w:firstLine="195"/>
        <w:spacing w:after="0" w:line="293" w:lineRule="auto"/>
        <w:tabs>
          <w:tab w:leader="none" w:pos="1360" w:val="left"/>
        </w:tabs>
        <w:numPr>
          <w:ilvl w:val="0"/>
          <w:numId w:val="74"/>
        </w:numPr>
        <w:rPr>
          <w:rFonts w:ascii="Arial" w:cs="Arial" w:eastAsia="Arial" w:hAnsi="Arial"/>
          <w:sz w:val="16"/>
          <w:szCs w:val="16"/>
          <w:color w:val="010000"/>
        </w:rPr>
      </w:pPr>
      <w:r>
        <w:rPr>
          <w:rFonts w:ascii="Arial" w:cs="Arial" w:eastAsia="Arial" w:hAnsi="Arial"/>
          <w:sz w:val="16"/>
          <w:szCs w:val="16"/>
          <w:u w:val="single" w:color="auto"/>
          <w:color w:val="auto"/>
        </w:rPr>
        <w:t>No Repricing</w:t>
      </w:r>
      <w:r>
        <w:rPr>
          <w:rFonts w:ascii="Arial" w:cs="Arial" w:eastAsia="Arial" w:hAnsi="Arial"/>
          <w:sz w:val="16"/>
          <w:szCs w:val="16"/>
          <w:color w:val="auto"/>
        </w:rPr>
        <w:t>. Notwithstanding anything in the Plan to the contrary, without stockholder approval, except as otherwise permitted under Section 11 of the Plan, (i) no amendment or modification may reduce the Exercise Price of any Option or the SAR Base Price of any SAR; (ii) the Committee may not cancel any outstanding Option or SAR and replace it with a new Option or SAR (with a lower Exercise Price or SAR Base Price, as the case may be) or other Award or cash payment that is greater than the intrinsic value (if any) of the cancelled Option or SAR; and (iii) the Committee may not take any other action which is considered a “repricing” for purposes of the stockholder approval rules of any securities exchange or inter- dealer quotation system on which the securities of the Company are listed or quoted.</w:t>
      </w:r>
    </w:p>
    <w:p>
      <w:pPr>
        <w:spacing w:after="0" w:line="160" w:lineRule="exact"/>
        <w:rPr>
          <w:sz w:val="20"/>
          <w:szCs w:val="20"/>
          <w:color w:val="auto"/>
        </w:rPr>
      </w:pPr>
    </w:p>
    <w:p>
      <w:pPr>
        <w:ind w:left="552" w:hanging="552"/>
        <w:spacing w:after="0"/>
        <w:tabs>
          <w:tab w:leader="none" w:pos="552" w:val="left"/>
        </w:tabs>
        <w:numPr>
          <w:ilvl w:val="0"/>
          <w:numId w:val="75"/>
        </w:numPr>
        <w:rPr>
          <w:rFonts w:ascii="Arial" w:cs="Arial" w:eastAsia="Arial" w:hAnsi="Arial"/>
          <w:sz w:val="18"/>
          <w:szCs w:val="18"/>
          <w:color w:val="auto"/>
        </w:rPr>
      </w:pPr>
      <w:r>
        <w:rPr>
          <w:rFonts w:ascii="Arial" w:cs="Arial" w:eastAsia="Arial" w:hAnsi="Arial"/>
          <w:sz w:val="18"/>
          <w:szCs w:val="18"/>
          <w:b w:val="1"/>
          <w:bCs w:val="1"/>
          <w:color w:val="auto"/>
        </w:rPr>
        <w:t>General</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left="552" w:right="40" w:firstLine="195"/>
        <w:spacing w:after="0" w:line="254" w:lineRule="auto"/>
        <w:tabs>
          <w:tab w:leader="none" w:pos="1441" w:val="left"/>
        </w:tabs>
        <w:numPr>
          <w:ilvl w:val="1"/>
          <w:numId w:val="75"/>
        </w:numPr>
        <w:rPr>
          <w:rFonts w:ascii="Arial" w:cs="Arial" w:eastAsia="Arial" w:hAnsi="Arial"/>
          <w:sz w:val="18"/>
          <w:szCs w:val="18"/>
          <w:color w:val="010000"/>
        </w:rPr>
      </w:pPr>
      <w:r>
        <w:rPr>
          <w:rFonts w:ascii="Arial" w:cs="Arial" w:eastAsia="Arial" w:hAnsi="Arial"/>
          <w:sz w:val="18"/>
          <w:szCs w:val="18"/>
          <w:u w:val="single" w:color="auto"/>
          <w:color w:val="auto"/>
        </w:rPr>
        <w:t>Award Agreements</w:t>
      </w:r>
      <w:r>
        <w:rPr>
          <w:rFonts w:ascii="Arial" w:cs="Arial" w:eastAsia="Arial" w:hAnsi="Arial"/>
          <w:sz w:val="18"/>
          <w:szCs w:val="18"/>
          <w:color w:val="auto"/>
        </w:rPr>
        <w:t>. Each Award under the Plan shall be evidenced by an Award Agreement, which shall be delivered to the Participant to whom such Award was granted and shall specify the terms and conditions of the Award and any rules applicable thereto, including, without limitation, the effect on such Award of the death, Disability or Termination of a Participant, or of such other events as may be determined by the Committee. For purposes of the Plan, an Award Agreement may be in any such form (written or electronic) as determined by the Committee (including, without limitation, a Board or Committee resolution, an employment agreement, a notice, a certificate or a letter) evidencing the Award. The Committee need not require an Award Agreement to be signed by the Participant or a duly authorized representative of the Company.</w:t>
      </w:r>
    </w:p>
    <w:p>
      <w:pPr>
        <w:spacing w:after="0" w:line="194" w:lineRule="exact"/>
        <w:rPr>
          <w:rFonts w:ascii="Arial" w:cs="Arial" w:eastAsia="Arial" w:hAnsi="Arial"/>
          <w:sz w:val="18"/>
          <w:szCs w:val="18"/>
          <w:color w:val="010000"/>
        </w:rPr>
      </w:pPr>
    </w:p>
    <w:p>
      <w:pPr>
        <w:ind w:left="1272" w:hanging="525"/>
        <w:spacing w:after="0"/>
        <w:tabs>
          <w:tab w:leader="none" w:pos="1272" w:val="left"/>
        </w:tabs>
        <w:numPr>
          <w:ilvl w:val="1"/>
          <w:numId w:val="75"/>
        </w:numPr>
        <w:rPr>
          <w:rFonts w:ascii="Arial" w:cs="Arial" w:eastAsia="Arial" w:hAnsi="Arial"/>
          <w:sz w:val="18"/>
          <w:szCs w:val="18"/>
          <w:color w:val="010000"/>
        </w:rPr>
      </w:pPr>
      <w:r>
        <w:rPr>
          <w:rFonts w:ascii="Arial" w:cs="Arial" w:eastAsia="Arial" w:hAnsi="Arial"/>
          <w:sz w:val="18"/>
          <w:szCs w:val="18"/>
          <w:u w:val="single" w:color="auto"/>
          <w:color w:val="auto"/>
        </w:rPr>
        <w:t>Nontransferability</w:t>
      </w:r>
      <w:r>
        <w:rPr>
          <w:rFonts w:ascii="Arial" w:cs="Arial" w:eastAsia="Arial" w:hAnsi="Arial"/>
          <w:sz w:val="18"/>
          <w:szCs w:val="18"/>
          <w:color w:val="auto"/>
        </w:rPr>
        <w:t>.</w:t>
      </w:r>
    </w:p>
    <w:p>
      <w:pPr>
        <w:spacing w:after="0" w:line="225" w:lineRule="exact"/>
        <w:rPr>
          <w:rFonts w:ascii="Arial" w:cs="Arial" w:eastAsia="Arial" w:hAnsi="Arial"/>
          <w:sz w:val="18"/>
          <w:szCs w:val="18"/>
          <w:color w:val="010000"/>
        </w:rPr>
      </w:pPr>
    </w:p>
    <w:p>
      <w:pPr>
        <w:jc w:val="both"/>
        <w:ind w:left="672" w:firstLine="642"/>
        <w:spacing w:after="0" w:line="254" w:lineRule="auto"/>
        <w:tabs>
          <w:tab w:leader="none" w:pos="1845" w:val="left"/>
        </w:tabs>
        <w:numPr>
          <w:ilvl w:val="2"/>
          <w:numId w:val="75"/>
        </w:numPr>
        <w:rPr>
          <w:rFonts w:ascii="Arial" w:cs="Arial" w:eastAsia="Arial" w:hAnsi="Arial"/>
          <w:sz w:val="18"/>
          <w:szCs w:val="18"/>
          <w:color w:val="010000"/>
        </w:rPr>
      </w:pPr>
      <w:r>
        <w:rPr>
          <w:rFonts w:ascii="Arial" w:cs="Arial" w:eastAsia="Arial" w:hAnsi="Arial"/>
          <w:sz w:val="18"/>
          <w:szCs w:val="18"/>
          <w:color w:val="auto"/>
        </w:rPr>
        <w:t xml:space="preserve">Each Award shall be exercisable only by such Participant to whom such Award was granted during the Participant’s lifetime, or, if permissible under applicable law, by the Participant’s legal guardian or representative. No Award may be assigned, alienated, pledged, attached, sold or otherwise transferred or encumbered by a Participant (unless such transfer is specifically required pursuant to a domestic relations order or by applicable law) other than by will or by the laws of descent and distribution and any such purported assignment, alienation, pledge, attachment, sale, transfer or encumbrance shall be void and unenforceable against any member of the Company Group; </w:t>
      </w:r>
      <w:r>
        <w:rPr>
          <w:rFonts w:ascii="Arial" w:cs="Arial" w:eastAsia="Arial" w:hAnsi="Arial"/>
          <w:sz w:val="18"/>
          <w:szCs w:val="18"/>
          <w:i w:val="1"/>
          <w:iCs w:val="1"/>
          <w:color w:val="auto"/>
        </w:rPr>
        <w:t>provided</w:t>
      </w:r>
      <w:r>
        <w:rPr>
          <w:rFonts w:ascii="Arial" w:cs="Arial" w:eastAsia="Arial" w:hAnsi="Arial"/>
          <w:sz w:val="18"/>
          <w:szCs w:val="18"/>
          <w:color w:val="auto"/>
        </w:rPr>
        <w:t>, that the designation of a beneficiary shall not constitute an assignment, alienation, pledge, attachment, sale, transfer or</w:t>
      </w:r>
      <w:r>
        <w:rPr>
          <w:rFonts w:ascii="Arial" w:cs="Arial" w:eastAsia="Arial" w:hAnsi="Arial"/>
          <w:sz w:val="18"/>
          <w:szCs w:val="18"/>
          <w:i w:val="1"/>
          <w:iCs w:val="1"/>
          <w:color w:val="auto"/>
        </w:rPr>
        <w:t xml:space="preserve"> </w:t>
      </w:r>
      <w:r>
        <w:rPr>
          <w:rFonts w:ascii="Arial" w:cs="Arial" w:eastAsia="Arial" w:hAnsi="Arial"/>
          <w:sz w:val="18"/>
          <w:szCs w:val="18"/>
          <w:color w:val="auto"/>
        </w:rPr>
        <w:t>encumbrance.</w:t>
      </w:r>
    </w:p>
    <w:p>
      <w:pPr>
        <w:spacing w:after="0" w:line="194" w:lineRule="exact"/>
        <w:rPr>
          <w:rFonts w:ascii="Arial" w:cs="Arial" w:eastAsia="Arial" w:hAnsi="Arial"/>
          <w:sz w:val="18"/>
          <w:szCs w:val="18"/>
          <w:color w:val="010000"/>
        </w:rPr>
      </w:pPr>
    </w:p>
    <w:p>
      <w:pPr>
        <w:jc w:val="both"/>
        <w:ind w:left="672" w:firstLine="642"/>
        <w:spacing w:after="0" w:line="288" w:lineRule="auto"/>
        <w:tabs>
          <w:tab w:leader="none" w:pos="1854" w:val="left"/>
        </w:tabs>
        <w:numPr>
          <w:ilvl w:val="2"/>
          <w:numId w:val="75"/>
        </w:numPr>
        <w:rPr>
          <w:rFonts w:ascii="Arial" w:cs="Arial" w:eastAsia="Arial" w:hAnsi="Arial"/>
          <w:sz w:val="16"/>
          <w:szCs w:val="16"/>
          <w:color w:val="010000"/>
        </w:rPr>
      </w:pPr>
      <w:r>
        <w:rPr>
          <w:rFonts w:ascii="Arial" w:cs="Arial" w:eastAsia="Arial" w:hAnsi="Arial"/>
          <w:sz w:val="16"/>
          <w:szCs w:val="16"/>
          <w:color w:val="auto"/>
        </w:rPr>
        <w:t>Notwithstanding the foregoing, the Committee may, in its sole discretion, permit Awards (other than Incentive Stock Options) to be transferred by a Participant, without consideration, subject to such rules as the Committee may adopt consistent with any applicable Award Agreement to preserve the purposes of the Plan, to (A) any person who is a “family member” of the Participant, as such term is used in the instructions to Form S-8 under the Securities Act or any successor form of registration statement promulgated by the Securities and Exchange Commission (collectively, the “</w:t>
      </w:r>
      <w:r>
        <w:rPr>
          <w:rFonts w:ascii="Arial" w:cs="Arial" w:eastAsia="Arial" w:hAnsi="Arial"/>
          <w:sz w:val="16"/>
          <w:szCs w:val="16"/>
          <w:u w:val="single" w:color="auto"/>
          <w:color w:val="auto"/>
        </w:rPr>
        <w:t>Immediate Family Members</w:t>
      </w:r>
      <w:r>
        <w:rPr>
          <w:rFonts w:ascii="Arial" w:cs="Arial" w:eastAsia="Arial" w:hAnsi="Arial"/>
          <w:sz w:val="16"/>
          <w:szCs w:val="16"/>
          <w:color w:val="auto"/>
        </w:rPr>
        <w:t>”); (B) a trust solely for the benefit of the Participant and the Participant’s Immediate Family Members; (C) a partnership or limited liability company whose only partners or stockholders are the Participant and the Participant’s Immediate Family Members; or (D) a beneficiary to whom donations are eligible to be treated as “charitable contributions” for federal income tax purposes (each transferee described in clauses (A), (B), (C) and (D) above is hereinafter referred to as a “</w:t>
      </w:r>
      <w:r>
        <w:rPr>
          <w:rFonts w:ascii="Arial" w:cs="Arial" w:eastAsia="Arial" w:hAnsi="Arial"/>
          <w:sz w:val="16"/>
          <w:szCs w:val="16"/>
          <w:u w:val="single" w:color="auto"/>
          <w:color w:val="auto"/>
        </w:rPr>
        <w:t>Permitted Transferee</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that the Participant gives the Committee advance written notice describing the terms and conditions of the proposed transfer and the Committee notifies the Participant in writing that such a transfer would comply with the requirements of the Plan.</w:t>
      </w:r>
    </w:p>
    <w:p>
      <w:pPr>
        <w:spacing w:after="0" w:line="371" w:lineRule="exact"/>
        <w:rPr>
          <w:sz w:val="20"/>
          <w:szCs w:val="20"/>
          <w:color w:val="auto"/>
        </w:rPr>
      </w:pPr>
    </w:p>
    <w:p>
      <w:pPr>
        <w:jc w:val="center"/>
        <w:ind w:right="-231"/>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48895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32"/>
          </w:cols>
          <w:pgMar w:left="328" w:top="341" w:right="639" w:bottom="1440" w:gutter="0" w:footer="0" w:header="0"/>
        </w:sectPr>
      </w:pPr>
    </w:p>
    <w:bookmarkStart w:id="47" w:name="page48"/>
    <w:bookmarkEnd w:id="47"/>
    <w:p>
      <w:pPr>
        <w:jc w:val="both"/>
        <w:ind w:left="6" w:firstLine="642"/>
        <w:spacing w:after="0" w:line="291" w:lineRule="auto"/>
        <w:tabs>
          <w:tab w:leader="none" w:pos="1333" w:val="left"/>
        </w:tabs>
        <w:numPr>
          <w:ilvl w:val="2"/>
          <w:numId w:val="76"/>
        </w:numPr>
        <w:rPr>
          <w:rFonts w:ascii="Arial" w:cs="Arial" w:eastAsia="Arial" w:hAnsi="Arial"/>
          <w:sz w:val="16"/>
          <w:szCs w:val="16"/>
          <w:color w:val="010000"/>
        </w:rPr>
      </w:pPr>
      <w:r>
        <w:rPr>
          <w:rFonts w:ascii="Arial" w:cs="Arial" w:eastAsia="Arial" w:hAnsi="Arial"/>
          <w:sz w:val="16"/>
          <w:szCs w:val="16"/>
          <w:color w:val="auto"/>
        </w:rPr>
        <w:t>The terms of any Award transferred in accordance with clause (ii) above shall apply to the Permitted Transferee and any reference in the Plan, or in any applicable Award Agreement, to a Participant shall be deemed to refer to the Permitted Transferee, except that</w:t>
      </w:r>
    </w:p>
    <w:p>
      <w:pPr>
        <w:jc w:val="both"/>
        <w:ind w:left="6" w:hanging="6"/>
        <w:spacing w:after="0" w:line="251" w:lineRule="auto"/>
        <w:tabs>
          <w:tab w:leader="none" w:pos="305" w:val="left"/>
        </w:tabs>
        <w:numPr>
          <w:ilvl w:val="0"/>
          <w:numId w:val="77"/>
        </w:numPr>
        <w:rPr>
          <w:rFonts w:ascii="Arial" w:cs="Arial" w:eastAsia="Arial" w:hAnsi="Arial"/>
          <w:sz w:val="18"/>
          <w:szCs w:val="18"/>
          <w:color w:val="auto"/>
        </w:rPr>
      </w:pPr>
      <w:r>
        <w:rPr>
          <w:rFonts w:ascii="Arial" w:cs="Arial" w:eastAsia="Arial" w:hAnsi="Arial"/>
          <w:sz w:val="18"/>
          <w:szCs w:val="18"/>
          <w:color w:val="auto"/>
        </w:rPr>
        <w:t>Permitted Transferees shall not be entitled to transfer any Award, other than by will or the laws of descent and distribution; (B) Permitted Transferees shall not be entitled to exercise any transferred Option unless there shall be in effect a registration statement on an appropriate form covering the shares of Common Stock to be acquired pursuant to the exercise of such Option if the Committee determines, consistent with any applicable Award Agreement, that such a registration statement is necessary or appropriate; (C) neither the Committee nor the Company shall be required to provide any notice to a Permitted Transferee, whether or not such notice is or would otherwise have been required to be given to the Participant under the Plan or otherwise; and (D) the consequences of a Participant’s Termination under the terms of the Plan and the applicable Award Agreement shall continue to be applied with respect to the Participant, including, without limitation, that an Option shall be exercisable by the Permitted Transferee only to the extent, and for the periods, specified in the Plan and the applicable Award Agreement.</w:t>
      </w:r>
    </w:p>
    <w:p>
      <w:pPr>
        <w:spacing w:after="0" w:line="197" w:lineRule="exact"/>
        <w:rPr>
          <w:rFonts w:ascii="Arial" w:cs="Arial" w:eastAsia="Arial" w:hAnsi="Arial"/>
          <w:sz w:val="18"/>
          <w:szCs w:val="18"/>
          <w:color w:val="auto"/>
        </w:rPr>
      </w:pPr>
    </w:p>
    <w:p>
      <w:pPr>
        <w:ind w:left="586" w:hanging="505"/>
        <w:spacing w:after="0"/>
        <w:tabs>
          <w:tab w:leader="none" w:pos="586" w:val="left"/>
        </w:tabs>
        <w:numPr>
          <w:ilvl w:val="1"/>
          <w:numId w:val="77"/>
        </w:numPr>
        <w:rPr>
          <w:rFonts w:ascii="Arial" w:cs="Arial" w:eastAsia="Arial" w:hAnsi="Arial"/>
          <w:sz w:val="18"/>
          <w:szCs w:val="18"/>
          <w:color w:val="010000"/>
        </w:rPr>
      </w:pPr>
      <w:r>
        <w:rPr>
          <w:rFonts w:ascii="Arial" w:cs="Arial" w:eastAsia="Arial" w:hAnsi="Arial"/>
          <w:sz w:val="18"/>
          <w:szCs w:val="18"/>
          <w:u w:val="single" w:color="auto"/>
          <w:color w:val="auto"/>
        </w:rPr>
        <w:t>Dividends and Dividend Equivalents</w:t>
      </w:r>
      <w:r>
        <w:rPr>
          <w:rFonts w:ascii="Arial" w:cs="Arial" w:eastAsia="Arial" w:hAnsi="Arial"/>
          <w:sz w:val="18"/>
          <w:szCs w:val="18"/>
          <w:color w:val="auto"/>
        </w:rPr>
        <w:t>.</w:t>
      </w:r>
    </w:p>
    <w:p>
      <w:pPr>
        <w:spacing w:after="0" w:line="225" w:lineRule="exact"/>
        <w:rPr>
          <w:rFonts w:ascii="Arial" w:cs="Arial" w:eastAsia="Arial" w:hAnsi="Arial"/>
          <w:sz w:val="18"/>
          <w:szCs w:val="18"/>
          <w:color w:val="010000"/>
        </w:rPr>
      </w:pPr>
    </w:p>
    <w:p>
      <w:pPr>
        <w:jc w:val="both"/>
        <w:ind w:left="6" w:firstLine="642"/>
        <w:spacing w:after="0" w:line="257" w:lineRule="auto"/>
        <w:tabs>
          <w:tab w:leader="none" w:pos="1179" w:val="left"/>
        </w:tabs>
        <w:numPr>
          <w:ilvl w:val="2"/>
          <w:numId w:val="77"/>
        </w:numPr>
        <w:rPr>
          <w:rFonts w:ascii="Arial" w:cs="Arial" w:eastAsia="Arial" w:hAnsi="Arial"/>
          <w:sz w:val="18"/>
          <w:szCs w:val="18"/>
          <w:color w:val="010000"/>
        </w:rPr>
      </w:pPr>
      <w:r>
        <w:rPr>
          <w:rFonts w:ascii="Arial" w:cs="Arial" w:eastAsia="Arial" w:hAnsi="Arial"/>
          <w:sz w:val="18"/>
          <w:szCs w:val="18"/>
          <w:color w:val="auto"/>
        </w:rPr>
        <w:t>The Committee may, in its sole discretion, provide a Participant as part of an Award with dividends, dividend equivalents, or similar payments in respect of Awards, payable in cash, shares of Common Stock, other securities, other Awards or other property, on a current or deferred basis, on such terms and conditions as may be determined by the Committee in its sole discretion, including, without limitation, payment directly to the Participant, withholding of such amounts by the Company subject to vesting of the Award or reinvestment in additional shares of Common Stock.</w:t>
      </w:r>
    </w:p>
    <w:p>
      <w:pPr>
        <w:spacing w:after="0" w:line="188" w:lineRule="exact"/>
        <w:rPr>
          <w:sz w:val="20"/>
          <w:szCs w:val="20"/>
          <w:color w:val="auto"/>
        </w:rPr>
      </w:pPr>
    </w:p>
    <w:p>
      <w:pPr>
        <w:jc w:val="both"/>
        <w:ind w:left="6" w:firstLine="642"/>
        <w:spacing w:after="0" w:line="311" w:lineRule="auto"/>
        <w:tabs>
          <w:tab w:leader="none" w:pos="1350" w:val="left"/>
        </w:tabs>
        <w:numPr>
          <w:ilvl w:val="1"/>
          <w:numId w:val="78"/>
        </w:numPr>
        <w:rPr>
          <w:rFonts w:ascii="Arial" w:cs="Arial" w:eastAsia="Arial" w:hAnsi="Arial"/>
          <w:sz w:val="16"/>
          <w:szCs w:val="16"/>
          <w:color w:val="010000"/>
        </w:rPr>
      </w:pPr>
      <w:r>
        <w:rPr>
          <w:rFonts w:ascii="Arial" w:cs="Arial" w:eastAsia="Arial" w:hAnsi="Arial"/>
          <w:sz w:val="16"/>
          <w:szCs w:val="16"/>
          <w:color w:val="auto"/>
        </w:rPr>
        <w:t>Without limiting the foregoing, unless otherwise provided in the Award Agreement, any dividend otherwise payable in respect of any share of Restricted Stock that remains subject to vesting conditions at the time of payment of such dividend shall be retained by the Company and remain subject to the same vesting conditions as the share of Restricted Stock to which the dividend relates.</w:t>
      </w:r>
    </w:p>
    <w:p>
      <w:pPr>
        <w:spacing w:after="0" w:line="148" w:lineRule="exact"/>
        <w:rPr>
          <w:rFonts w:ascii="Arial" w:cs="Arial" w:eastAsia="Arial" w:hAnsi="Arial"/>
          <w:sz w:val="16"/>
          <w:szCs w:val="16"/>
          <w:color w:val="010000"/>
        </w:rPr>
      </w:pPr>
    </w:p>
    <w:p>
      <w:pPr>
        <w:jc w:val="both"/>
        <w:ind w:left="6" w:firstLine="642"/>
        <w:spacing w:after="0" w:line="271" w:lineRule="auto"/>
        <w:tabs>
          <w:tab w:leader="none" w:pos="1373" w:val="left"/>
        </w:tabs>
        <w:numPr>
          <w:ilvl w:val="1"/>
          <w:numId w:val="78"/>
        </w:numPr>
        <w:rPr>
          <w:rFonts w:ascii="Arial" w:cs="Arial" w:eastAsia="Arial" w:hAnsi="Arial"/>
          <w:sz w:val="17"/>
          <w:szCs w:val="17"/>
          <w:color w:val="010000"/>
        </w:rPr>
      </w:pPr>
      <w:r>
        <w:rPr>
          <w:rFonts w:ascii="Arial" w:cs="Arial" w:eastAsia="Arial" w:hAnsi="Arial"/>
          <w:sz w:val="17"/>
          <w:szCs w:val="17"/>
          <w:color w:val="auto"/>
        </w:rPr>
        <w:t>To the extent provided in an Award Agreement, the holder of outstanding Restricted Stock Units shall be entitled to be credited with dividend equivalent payments (upon the payment by the Company of dividends on shares of Common Stock) either in cash or, in the sole discretion of the Committee, in shares of Common Stock having a Fair Market Value equal to the amount of such dividends (and interest may, in the sole discretion of the Committee, be credited on the amount of cash dividend equivalents at a rate and subject to such terms as determined by the Committee), which accumulated dividend equivalents (and interest thereon, if applicable) shall be payable at the same time as the underlying Restricted Stock Units are settled following the date on which the Restricted Period lapses with respect to such Restricted Stock Units, and, if such Restricted Stock Units are forfeited, the Participant shall have no right to such dividend equivalent payments (or interest thereon, if applicable).</w:t>
      </w:r>
    </w:p>
    <w:p>
      <w:pPr>
        <w:spacing w:after="0" w:line="178" w:lineRule="exact"/>
        <w:rPr>
          <w:rFonts w:ascii="Arial" w:cs="Arial" w:eastAsia="Arial" w:hAnsi="Arial"/>
          <w:sz w:val="17"/>
          <w:szCs w:val="17"/>
          <w:color w:val="010000"/>
        </w:rPr>
      </w:pPr>
    </w:p>
    <w:p>
      <w:pPr>
        <w:ind w:left="606" w:hanging="525"/>
        <w:spacing w:after="0"/>
        <w:tabs>
          <w:tab w:leader="none" w:pos="606" w:val="left"/>
        </w:tabs>
        <w:numPr>
          <w:ilvl w:val="0"/>
          <w:numId w:val="79"/>
        </w:numPr>
        <w:rPr>
          <w:rFonts w:ascii="Arial" w:cs="Arial" w:eastAsia="Arial" w:hAnsi="Arial"/>
          <w:sz w:val="18"/>
          <w:szCs w:val="18"/>
          <w:color w:val="010000"/>
        </w:rPr>
      </w:pPr>
      <w:r>
        <w:rPr>
          <w:rFonts w:ascii="Arial" w:cs="Arial" w:eastAsia="Arial" w:hAnsi="Arial"/>
          <w:sz w:val="18"/>
          <w:szCs w:val="18"/>
          <w:u w:val="single" w:color="auto"/>
          <w:color w:val="auto"/>
        </w:rPr>
        <w:t>Tax Withholding</w:t>
      </w:r>
      <w:r>
        <w:rPr>
          <w:rFonts w:ascii="Arial" w:cs="Arial" w:eastAsia="Arial" w:hAnsi="Arial"/>
          <w:sz w:val="18"/>
          <w:szCs w:val="18"/>
          <w:color w:val="auto"/>
        </w:rPr>
        <w:t>.</w:t>
      </w:r>
    </w:p>
    <w:p>
      <w:pPr>
        <w:spacing w:after="0" w:line="225" w:lineRule="exact"/>
        <w:rPr>
          <w:rFonts w:ascii="Arial" w:cs="Arial" w:eastAsia="Arial" w:hAnsi="Arial"/>
          <w:sz w:val="18"/>
          <w:szCs w:val="18"/>
          <w:color w:val="010000"/>
        </w:rPr>
      </w:pPr>
    </w:p>
    <w:p>
      <w:pPr>
        <w:jc w:val="both"/>
        <w:ind w:left="6" w:firstLine="642"/>
        <w:spacing w:after="0" w:line="301" w:lineRule="auto"/>
        <w:tabs>
          <w:tab w:leader="none" w:pos="1152" w:val="left"/>
        </w:tabs>
        <w:numPr>
          <w:ilvl w:val="1"/>
          <w:numId w:val="79"/>
        </w:numPr>
        <w:rPr>
          <w:rFonts w:ascii="Arial" w:cs="Arial" w:eastAsia="Arial" w:hAnsi="Arial"/>
          <w:sz w:val="16"/>
          <w:szCs w:val="16"/>
          <w:color w:val="010000"/>
        </w:rPr>
      </w:pPr>
      <w:r>
        <w:rPr>
          <w:rFonts w:ascii="Arial" w:cs="Arial" w:eastAsia="Arial" w:hAnsi="Arial"/>
          <w:sz w:val="16"/>
          <w:szCs w:val="16"/>
          <w:color w:val="auto"/>
        </w:rPr>
        <w:t>A Participant shall be required to pay to the Company or one or more of its Subsidiaries, as applicable, an amount in cash (by check or wire transfer) equal to the aggregate amount of any income, employment and/or other applicable taxes that are statutorily required to be withheld in respect of an Award. Alternatively, the Company or any of its Subsidiaries may elect, in its sole discretion, to satisfy this requirement by withholding such amount from any cash compensation or other cash amounts owing to a Participant.</w:t>
      </w:r>
    </w:p>
    <w:p>
      <w:pPr>
        <w:spacing w:after="0" w:line="157" w:lineRule="exact"/>
        <w:rPr>
          <w:rFonts w:ascii="Arial" w:cs="Arial" w:eastAsia="Arial" w:hAnsi="Arial"/>
          <w:sz w:val="16"/>
          <w:szCs w:val="16"/>
          <w:color w:val="010000"/>
        </w:rPr>
      </w:pPr>
    </w:p>
    <w:p>
      <w:pPr>
        <w:jc w:val="both"/>
        <w:ind w:left="6" w:firstLine="642"/>
        <w:spacing w:after="0" w:line="289" w:lineRule="auto"/>
        <w:tabs>
          <w:tab w:leader="none" w:pos="1364" w:val="left"/>
        </w:tabs>
        <w:numPr>
          <w:ilvl w:val="1"/>
          <w:numId w:val="79"/>
        </w:numPr>
        <w:rPr>
          <w:rFonts w:ascii="Arial" w:cs="Arial" w:eastAsia="Arial" w:hAnsi="Arial"/>
          <w:sz w:val="16"/>
          <w:szCs w:val="16"/>
          <w:color w:val="010000"/>
        </w:rPr>
      </w:pPr>
      <w:r>
        <w:rPr>
          <w:rFonts w:ascii="Arial" w:cs="Arial" w:eastAsia="Arial" w:hAnsi="Arial"/>
          <w:sz w:val="16"/>
          <w:szCs w:val="16"/>
          <w:color w:val="auto"/>
        </w:rPr>
        <w:t>Without limiting the foregoing, the Committee may (but is not obligated to), in its sole discretion, permit or require a Participant to satisfy, all or any portion of the minimum income, employment and/or other applicable taxes that are statutorily required to be withheld with respect to an Award by (A) the delivery of shares of Common Stock (which are not subject to any pledge or other security interest) that have been both held by the Participant and vested for at least six (6) months (or such other period as established from time to time by the Committee in order to avoid adverse accounting treatment under applicable accounting standards) having an aggregate Fair Market Value equal to such minimum statutorily required withholding liability (or portion thereof); or (B) having the Company withhold from the shares of Common Stock otherwise issuable or deliverable to, or that would otherwise be retained by, the Participant upon the grant, exercise, vesting or settlement of the Award, as applicable, a number of shares of Common Stock with an aggregate Fair Market Value equal to an amount, subject to clause (iii) below, not in excess of such minimum statutorily required withholding liability (or portion thereof).</w:t>
      </w:r>
    </w:p>
    <w:p>
      <w:pPr>
        <w:spacing w:after="0" w:line="369"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wp:posOffset>
            </wp:positionH>
            <wp:positionV relativeFrom="paragraph">
              <wp:posOffset>48895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6"/>
          </w:cols>
          <w:pgMar w:left="994" w:top="341" w:right="639" w:bottom="1440" w:gutter="0" w:footer="0" w:header="0"/>
        </w:sectPr>
      </w:pPr>
    </w:p>
    <w:bookmarkStart w:id="48" w:name="page49"/>
    <w:bookmarkEnd w:id="48"/>
    <w:p>
      <w:pPr>
        <w:jc w:val="both"/>
        <w:ind w:left="120" w:firstLine="642"/>
        <w:spacing w:after="0" w:line="254" w:lineRule="auto"/>
        <w:tabs>
          <w:tab w:leader="none" w:pos="1528" w:val="left"/>
        </w:tabs>
        <w:numPr>
          <w:ilvl w:val="1"/>
          <w:numId w:val="80"/>
        </w:numPr>
        <w:rPr>
          <w:rFonts w:ascii="Arial" w:cs="Arial" w:eastAsia="Arial" w:hAnsi="Arial"/>
          <w:sz w:val="18"/>
          <w:szCs w:val="18"/>
          <w:color w:val="010000"/>
        </w:rPr>
      </w:pPr>
      <w:r>
        <w:rPr>
          <w:rFonts w:ascii="Arial" w:cs="Arial" w:eastAsia="Arial" w:hAnsi="Arial"/>
          <w:sz w:val="18"/>
          <w:szCs w:val="18"/>
          <w:color w:val="auto"/>
        </w:rPr>
        <w:t>The Committee, subject to its having considered the applicable accounting impact of any such determination, has full discretion to allow Participants to satisfy, in whole or in part, any additional income, employment and/or other applicable taxes payable by them with respect to an Award by electing to have the Company withhold from the shares of Common Stock otherwise issuable or deliverable to, or that would otherwise be retained by, a Participant upon the grant, exercise, vesting or settlement of the Award, as applicable, shares of Common Stock having an aggregate Fair Market Value that is greater than the applicable minimum required statutory withholding liability (but such withholding may in no event be in excess of the maximum statutory withholding amount(s) in a Participant’s relevant tax jurisdictions).</w:t>
      </w:r>
    </w:p>
    <w:p>
      <w:pPr>
        <w:spacing w:after="0" w:line="194" w:lineRule="exact"/>
        <w:rPr>
          <w:rFonts w:ascii="Arial" w:cs="Arial" w:eastAsia="Arial" w:hAnsi="Arial"/>
          <w:sz w:val="18"/>
          <w:szCs w:val="18"/>
          <w:color w:val="010000"/>
        </w:rPr>
      </w:pPr>
    </w:p>
    <w:p>
      <w:pPr>
        <w:jc w:val="both"/>
        <w:ind w:right="40" w:firstLine="195"/>
        <w:spacing w:after="0" w:line="296" w:lineRule="auto"/>
        <w:tabs>
          <w:tab w:leader="none" w:pos="727" w:val="left"/>
        </w:tabs>
        <w:numPr>
          <w:ilvl w:val="0"/>
          <w:numId w:val="81"/>
        </w:numPr>
        <w:rPr>
          <w:rFonts w:ascii="Arial" w:cs="Arial" w:eastAsia="Arial" w:hAnsi="Arial"/>
          <w:sz w:val="16"/>
          <w:szCs w:val="16"/>
          <w:color w:val="010000"/>
        </w:rPr>
      </w:pPr>
      <w:r>
        <w:rPr>
          <w:rFonts w:ascii="Arial" w:cs="Arial" w:eastAsia="Arial" w:hAnsi="Arial"/>
          <w:sz w:val="16"/>
          <w:szCs w:val="16"/>
          <w:u w:val="single" w:color="auto"/>
          <w:color w:val="auto"/>
        </w:rPr>
        <w:t>Data Protection</w:t>
      </w:r>
      <w:r>
        <w:rPr>
          <w:rFonts w:ascii="Arial" w:cs="Arial" w:eastAsia="Arial" w:hAnsi="Arial"/>
          <w:sz w:val="16"/>
          <w:szCs w:val="16"/>
          <w:color w:val="auto"/>
        </w:rPr>
        <w:t>. By participating in the Plan or accepting any rights granted under it, each Participant consents to the collection and processing of personal data relating to the Participant so that the Company and its Affiliates can fulfill their obligations and exercise their rights under the Plan and generally administer and manage the Plan. This data will include, but may not be limited to, data about participation in the Plan and shares offered or received, purchased, or sold under the Plan from time to time and other appropriate financial and other data (such as the date on which the Awards were granted) about the Participant and the Participant’s participation in the Plan.</w:t>
      </w:r>
    </w:p>
    <w:p>
      <w:pPr>
        <w:spacing w:after="0" w:line="161" w:lineRule="exact"/>
        <w:rPr>
          <w:rFonts w:ascii="Arial" w:cs="Arial" w:eastAsia="Arial" w:hAnsi="Arial"/>
          <w:sz w:val="16"/>
          <w:szCs w:val="16"/>
          <w:color w:val="010000"/>
        </w:rPr>
      </w:pPr>
    </w:p>
    <w:p>
      <w:pPr>
        <w:jc w:val="both"/>
        <w:ind w:right="40" w:firstLine="195"/>
        <w:spacing w:after="0" w:line="268" w:lineRule="auto"/>
        <w:tabs>
          <w:tab w:leader="none" w:pos="734" w:val="left"/>
        </w:tabs>
        <w:numPr>
          <w:ilvl w:val="0"/>
          <w:numId w:val="81"/>
        </w:numPr>
        <w:rPr>
          <w:rFonts w:ascii="Arial" w:cs="Arial" w:eastAsia="Arial" w:hAnsi="Arial"/>
          <w:sz w:val="17"/>
          <w:szCs w:val="17"/>
          <w:color w:val="010000"/>
        </w:rPr>
      </w:pPr>
      <w:r>
        <w:rPr>
          <w:rFonts w:ascii="Arial" w:cs="Arial" w:eastAsia="Arial" w:hAnsi="Arial"/>
          <w:sz w:val="17"/>
          <w:szCs w:val="17"/>
          <w:u w:val="single" w:color="auto"/>
          <w:color w:val="auto"/>
        </w:rPr>
        <w:t>No Claim to Awards; No Rights to Continued Employment; Waiver</w:t>
      </w:r>
      <w:r>
        <w:rPr>
          <w:rFonts w:ascii="Arial" w:cs="Arial" w:eastAsia="Arial" w:hAnsi="Arial"/>
          <w:sz w:val="17"/>
          <w:szCs w:val="17"/>
          <w:color w:val="auto"/>
        </w:rPr>
        <w:t>. No employee of any member of the Company Group, or other Person, shall have any claim or right to be granted an Award under the Plan or, having been selected for the grant of an Award, to be selected for a grant of any other Award. There is no obligation for uniformity of treatment of Participants or holders or beneficiaries of Awards. The terms and conditions of Awards and the Committee’s determinations and interpretations with respect thereto need not be the same with respect to each Participant and may be made selectively among Participants, whether or not such Participants are similarly situated. Neither the Plan nor any action taken hereunder shall be construed as giving any Participant any right to be retained in the employ or service of the Service Recipient or any other member of the Company Group, nor shall it be construed as giving any Participant any rights to continued service on the Board. The Service Recipient or any other member of the Company Group may at any time dismiss a Participant from employment or discontinue any consulting relationship, free from any liability or any claim under the Plan, unless otherwise expressly provided in the Plan or any Award Agreement. By accepting an Award under the Plan, a Participant shall thereby be deemed to have waived any claim to continued exercise or vesting of an Award or to damages or severance entitlement related to non-continuation of the Award beyond the period provided under the Plan or any Award Agreement, except to the extent of any provision to the contrary in any written employment contract or other agreement between the Service Recipient and/or any member of the Company Group and the Participant, whether any such agreement is executed before, on or after the Date of Grant.</w:t>
      </w:r>
    </w:p>
    <w:p>
      <w:pPr>
        <w:spacing w:after="0" w:line="184" w:lineRule="exact"/>
        <w:rPr>
          <w:rFonts w:ascii="Arial" w:cs="Arial" w:eastAsia="Arial" w:hAnsi="Arial"/>
          <w:sz w:val="17"/>
          <w:szCs w:val="17"/>
          <w:color w:val="010000"/>
        </w:rPr>
      </w:pPr>
    </w:p>
    <w:p>
      <w:pPr>
        <w:jc w:val="both"/>
        <w:ind w:right="40" w:firstLine="195"/>
        <w:spacing w:after="0" w:line="259" w:lineRule="auto"/>
        <w:tabs>
          <w:tab w:leader="none" w:pos="777" w:val="left"/>
        </w:tabs>
        <w:numPr>
          <w:ilvl w:val="0"/>
          <w:numId w:val="81"/>
        </w:numPr>
        <w:rPr>
          <w:rFonts w:ascii="Arial" w:cs="Arial" w:eastAsia="Arial" w:hAnsi="Arial"/>
          <w:sz w:val="18"/>
          <w:szCs w:val="18"/>
          <w:color w:val="010000"/>
        </w:rPr>
      </w:pPr>
      <w:r>
        <w:rPr>
          <w:rFonts w:ascii="Arial" w:cs="Arial" w:eastAsia="Arial" w:hAnsi="Arial"/>
          <w:sz w:val="18"/>
          <w:szCs w:val="18"/>
          <w:u w:val="single" w:color="auto"/>
          <w:color w:val="auto"/>
        </w:rPr>
        <w:t>International Participants</w:t>
      </w:r>
      <w:r>
        <w:rPr>
          <w:rFonts w:ascii="Arial" w:cs="Arial" w:eastAsia="Arial" w:hAnsi="Arial"/>
          <w:sz w:val="18"/>
          <w:szCs w:val="18"/>
          <w:color w:val="auto"/>
        </w:rPr>
        <w:t>. With respect to Participants who reside or work outside of the United States of America, the Committee may, in its sole discretion, amend the terms of the Plan and create or amend Sub-Plans or amend outstanding Awards with respect to such Participants in order to conform such terms with the requirements of local law or to obtain more favorable tax or other treatment for a Participant or any member of the Company Group.</w:t>
      </w:r>
    </w:p>
    <w:p>
      <w:pPr>
        <w:spacing w:after="0" w:line="186" w:lineRule="exact"/>
        <w:rPr>
          <w:rFonts w:ascii="Arial" w:cs="Arial" w:eastAsia="Arial" w:hAnsi="Arial"/>
          <w:sz w:val="18"/>
          <w:szCs w:val="18"/>
          <w:color w:val="010000"/>
        </w:rPr>
      </w:pPr>
    </w:p>
    <w:p>
      <w:pPr>
        <w:jc w:val="both"/>
        <w:ind w:right="40" w:firstLine="195"/>
        <w:spacing w:after="0" w:line="291" w:lineRule="auto"/>
        <w:tabs>
          <w:tab w:leader="none" w:pos="737" w:val="left"/>
        </w:tabs>
        <w:numPr>
          <w:ilvl w:val="0"/>
          <w:numId w:val="81"/>
        </w:numPr>
        <w:rPr>
          <w:rFonts w:ascii="Arial" w:cs="Arial" w:eastAsia="Arial" w:hAnsi="Arial"/>
          <w:sz w:val="16"/>
          <w:szCs w:val="16"/>
          <w:color w:val="010000"/>
        </w:rPr>
      </w:pPr>
      <w:r>
        <w:rPr>
          <w:rFonts w:ascii="Arial" w:cs="Arial" w:eastAsia="Arial" w:hAnsi="Arial"/>
          <w:sz w:val="16"/>
          <w:szCs w:val="16"/>
          <w:u w:val="single" w:color="auto"/>
          <w:color w:val="auto"/>
        </w:rPr>
        <w:t>Designation and Change of Beneficiary</w:t>
      </w:r>
      <w:r>
        <w:rPr>
          <w:rFonts w:ascii="Arial" w:cs="Arial" w:eastAsia="Arial" w:hAnsi="Arial"/>
          <w:sz w:val="16"/>
          <w:szCs w:val="16"/>
          <w:color w:val="auto"/>
        </w:rPr>
        <w:t xml:space="preserve">. Each Participant may file with the Committee a written designation of one or more Persons as the beneficiary(ies) who shall be entitled to receive the amounts payable with respect to an Award, if any, due under the Plan upon the Participant’s death. A Participant may, from time to time, revoke or change the Participant’s beneficiary designation without the consent of any prior beneficiary by filing a new designation with the Committee. The last such designation received by the Committee shall be controlling; </w:t>
      </w:r>
      <w:r>
        <w:rPr>
          <w:rFonts w:ascii="Arial" w:cs="Arial" w:eastAsia="Arial" w:hAnsi="Arial"/>
          <w:sz w:val="16"/>
          <w:szCs w:val="16"/>
          <w:i w:val="1"/>
          <w:iCs w:val="1"/>
          <w:color w:val="auto"/>
        </w:rPr>
        <w:t>provided, however</w:t>
      </w:r>
      <w:r>
        <w:rPr>
          <w:rFonts w:ascii="Arial" w:cs="Arial" w:eastAsia="Arial" w:hAnsi="Arial"/>
          <w:sz w:val="16"/>
          <w:szCs w:val="16"/>
          <w:color w:val="auto"/>
        </w:rPr>
        <w:t>, that no designation, or change or revocation thereof, shall be effective unless received by the Committee prior to the</w:t>
      </w:r>
      <w:r>
        <w:rPr>
          <w:rFonts w:ascii="Arial" w:cs="Arial" w:eastAsia="Arial" w:hAnsi="Arial"/>
          <w:sz w:val="16"/>
          <w:szCs w:val="16"/>
          <w:i w:val="1"/>
          <w:iCs w:val="1"/>
          <w:color w:val="auto"/>
        </w:rPr>
        <w:t xml:space="preserve"> </w:t>
      </w:r>
      <w:r>
        <w:rPr>
          <w:rFonts w:ascii="Arial" w:cs="Arial" w:eastAsia="Arial" w:hAnsi="Arial"/>
          <w:sz w:val="16"/>
          <w:szCs w:val="16"/>
          <w:color w:val="auto"/>
        </w:rPr>
        <w:t>Participant’s death, and in no event shall it be effective as of a date prior to such receipt. If no beneficiary designation is filed by a Participant, the beneficiary shall be deemed to be the Participant’s spouse or, if the Participant is unmarried at the time of death, the Participant’s estate.</w:t>
      </w:r>
    </w:p>
    <w:p>
      <w:pPr>
        <w:spacing w:after="0" w:line="369"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48895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80"/>
          </w:cols>
          <w:pgMar w:left="880" w:top="341" w:right="639" w:bottom="1440" w:gutter="0" w:footer="0" w:header="0"/>
        </w:sectPr>
      </w:pPr>
    </w:p>
    <w:bookmarkStart w:id="49" w:name="page50"/>
    <w:bookmarkEnd w:id="49"/>
    <w:p>
      <w:pPr>
        <w:jc w:val="both"/>
        <w:ind w:right="40" w:firstLine="195"/>
        <w:spacing w:after="0" w:line="288" w:lineRule="auto"/>
        <w:tabs>
          <w:tab w:leader="none" w:pos="791" w:val="left"/>
        </w:tabs>
        <w:numPr>
          <w:ilvl w:val="0"/>
          <w:numId w:val="82"/>
        </w:numPr>
        <w:rPr>
          <w:rFonts w:ascii="Arial" w:cs="Arial" w:eastAsia="Arial" w:hAnsi="Arial"/>
          <w:sz w:val="16"/>
          <w:szCs w:val="16"/>
          <w:color w:val="010000"/>
        </w:rPr>
      </w:pPr>
      <w:r>
        <w:rPr>
          <w:rFonts w:ascii="Arial" w:cs="Arial" w:eastAsia="Arial" w:hAnsi="Arial"/>
          <w:sz w:val="16"/>
          <w:szCs w:val="16"/>
          <w:u w:val="single" w:color="auto"/>
          <w:color w:val="auto"/>
        </w:rPr>
        <w:t>Termination</w:t>
      </w:r>
      <w:r>
        <w:rPr>
          <w:rFonts w:ascii="Arial" w:cs="Arial" w:eastAsia="Arial" w:hAnsi="Arial"/>
          <w:sz w:val="16"/>
          <w:szCs w:val="16"/>
          <w:color w:val="auto"/>
        </w:rPr>
        <w:t>. Except as otherwise provided in an Award Agreement, unless determined otherwise by the Committee at any point following such event: (i) neither a temporary absence from employment or service due to illness, vacation or leave of absence (including, without limitation, a call to active duty for military service through a Reserve or National Guard unit) nor a transfer from employment or service with one member of the Company Group to employment or service with another member of the Company Group (or vice-versa) shall be considered a Termination; and (ii) if a Participant undergoes a Termination of employment, but such Participant continues to provide services to the Company Group in a non-employee capacity, such change in status shall not be considered a Termination for purposes of the Plan. Further, unless otherwise determined by the Committee, in the event that any Service Recipient ceases to be a member of the Company Group (by reason of sale, divestiture, spin-off or other similar transaction), unless a Participant’s employment or service is transferred to another entity that would constitute a member of the Company Group immediately following such transaction, such Participant shall be deemed to have suffered a Termination hereunder as of the date of the consummation of such transaction.</w:t>
      </w:r>
    </w:p>
    <w:p>
      <w:pPr>
        <w:spacing w:after="0" w:line="168" w:lineRule="exact"/>
        <w:rPr>
          <w:rFonts w:ascii="Arial" w:cs="Arial" w:eastAsia="Arial" w:hAnsi="Arial"/>
          <w:sz w:val="16"/>
          <w:szCs w:val="16"/>
          <w:color w:val="010000"/>
        </w:rPr>
      </w:pPr>
    </w:p>
    <w:p>
      <w:pPr>
        <w:jc w:val="both"/>
        <w:ind w:right="40" w:firstLine="195"/>
        <w:spacing w:after="0" w:line="263" w:lineRule="auto"/>
        <w:tabs>
          <w:tab w:leader="none" w:pos="805" w:val="left"/>
        </w:tabs>
        <w:numPr>
          <w:ilvl w:val="0"/>
          <w:numId w:val="82"/>
        </w:numPr>
        <w:rPr>
          <w:rFonts w:ascii="Arial" w:cs="Arial" w:eastAsia="Arial" w:hAnsi="Arial"/>
          <w:sz w:val="18"/>
          <w:szCs w:val="18"/>
          <w:color w:val="010000"/>
        </w:rPr>
      </w:pPr>
      <w:r>
        <w:rPr>
          <w:rFonts w:ascii="Arial" w:cs="Arial" w:eastAsia="Arial" w:hAnsi="Arial"/>
          <w:sz w:val="18"/>
          <w:szCs w:val="18"/>
          <w:u w:val="single" w:color="auto"/>
          <w:color w:val="auto"/>
        </w:rPr>
        <w:t>No Rights as a Stockholder</w:t>
      </w:r>
      <w:r>
        <w:rPr>
          <w:rFonts w:ascii="Arial" w:cs="Arial" w:eastAsia="Arial" w:hAnsi="Arial"/>
          <w:sz w:val="18"/>
          <w:szCs w:val="18"/>
          <w:color w:val="auto"/>
        </w:rPr>
        <w:t>. Except as otherwise specifically provided in the Plan or any Award Agreement, no Person shall be entitled to the privileges of ownership in respect of shares of Common Stock which are subject to Awards hereunder until such shares have been issued or delivered to such Person.</w:t>
      </w:r>
    </w:p>
    <w:p>
      <w:pPr>
        <w:spacing w:after="0" w:line="183" w:lineRule="exact"/>
        <w:rPr>
          <w:rFonts w:ascii="Arial" w:cs="Arial" w:eastAsia="Arial" w:hAnsi="Arial"/>
          <w:sz w:val="18"/>
          <w:szCs w:val="18"/>
          <w:color w:val="010000"/>
        </w:rPr>
      </w:pPr>
    </w:p>
    <w:p>
      <w:pPr>
        <w:ind w:left="720" w:hanging="525"/>
        <w:spacing w:after="0"/>
        <w:tabs>
          <w:tab w:leader="none" w:pos="720" w:val="left"/>
        </w:tabs>
        <w:numPr>
          <w:ilvl w:val="0"/>
          <w:numId w:val="82"/>
        </w:numPr>
        <w:rPr>
          <w:rFonts w:ascii="Arial" w:cs="Arial" w:eastAsia="Arial" w:hAnsi="Arial"/>
          <w:sz w:val="18"/>
          <w:szCs w:val="18"/>
          <w:color w:val="010000"/>
        </w:rPr>
      </w:pPr>
      <w:r>
        <w:rPr>
          <w:rFonts w:ascii="Arial" w:cs="Arial" w:eastAsia="Arial" w:hAnsi="Arial"/>
          <w:sz w:val="18"/>
          <w:szCs w:val="18"/>
          <w:u w:val="single" w:color="auto"/>
          <w:color w:val="auto"/>
        </w:rPr>
        <w:t>Government and Other Regulations</w:t>
      </w:r>
      <w:r>
        <w:rPr>
          <w:rFonts w:ascii="Arial" w:cs="Arial" w:eastAsia="Arial" w:hAnsi="Arial"/>
          <w:sz w:val="18"/>
          <w:szCs w:val="18"/>
          <w:color w:val="auto"/>
        </w:rPr>
        <w:t>.</w:t>
      </w:r>
    </w:p>
    <w:p>
      <w:pPr>
        <w:spacing w:after="0" w:line="225" w:lineRule="exact"/>
        <w:rPr>
          <w:rFonts w:ascii="Arial" w:cs="Arial" w:eastAsia="Arial" w:hAnsi="Arial"/>
          <w:sz w:val="18"/>
          <w:szCs w:val="18"/>
          <w:color w:val="010000"/>
        </w:rPr>
      </w:pPr>
    </w:p>
    <w:p>
      <w:pPr>
        <w:jc w:val="both"/>
        <w:ind w:left="120" w:firstLine="642"/>
        <w:spacing w:after="0" w:line="267" w:lineRule="auto"/>
        <w:tabs>
          <w:tab w:leader="none" w:pos="1360" w:val="left"/>
        </w:tabs>
        <w:numPr>
          <w:ilvl w:val="1"/>
          <w:numId w:val="82"/>
        </w:numPr>
        <w:rPr>
          <w:rFonts w:ascii="Arial" w:cs="Arial" w:eastAsia="Arial" w:hAnsi="Arial"/>
          <w:sz w:val="17"/>
          <w:szCs w:val="17"/>
          <w:color w:val="010000"/>
        </w:rPr>
      </w:pPr>
      <w:r>
        <w:rPr>
          <w:rFonts w:ascii="Arial" w:cs="Arial" w:eastAsia="Arial" w:hAnsi="Arial"/>
          <w:sz w:val="17"/>
          <w:szCs w:val="17"/>
          <w:color w:val="auto"/>
        </w:rPr>
        <w:t>The obligation of the Company to settle Awards in shares of Common Stock or other consideration shall be subject to all applicable laws, rules, and regulations, and to such approvals by governmental agencies as may be required. Notwithstanding any terms or conditions of any Award to the contrary, the Company shall be under no obligation to offer to sell or to sell, and shall be prohibited from offering to sell or selling, any shares of Common Stock pursuant to an Award unless such shares have been properly registered for sale pursuant to the Securities Act with the Securities and Exchange Commission or unless the Company has received an opinion of counsel (if the Company has requested such an opinion), satisfactory to the Company, that such shares may be offered or sold without such registration pursuant to an available exemption therefrom and the terms and conditions of such exemption have been fully complied with. The Company shall be under no obligation to register for sale under the Securities Act any of the shares of Common Stock to be offered or sold under the Plan. The Committee shall have the authority to provide that all shares of Common Stock issued under the Plan shall be subject to such stop-transfer orders and other restrictions as the Committee may deem advisable under the Plan, the applicable Award Agreement, the Federal securities laws, or the rules, regulations and other requirements of the Securities and Exchange Commission, any securities exchange or inter-dealer quotation system on which the securities of the Company are listed or quoted and any other applicable Federal, state, local or non-U.S. laws, rules, regulations and other requirements, and, without limiting the generality of Section 8 of the Plan, the Committee may cause a legend or legends to be put on certificates representing shares of Common Stock issued under the Plan to make appropriate reference to such restrictions or may cause such Common Stock issued under the Plan in book-entry form to be held subject to the Company’s instructions or subject to appropriate stop-transfer orders. Notwithstanding any provision in the Plan to the contrary, the Committee reserves the right to add any additional terms or provisions to any Award granted under the Plan that the Committee, in its sole discretion, deems necessary or advisable in order that such Award complies with the legal requirements of any governmental entity to whose jurisdiction the Award is subject.</w:t>
      </w:r>
    </w:p>
    <w:p>
      <w:pPr>
        <w:spacing w:after="0" w:line="391"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48895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80"/>
          </w:cols>
          <w:pgMar w:left="880" w:top="341" w:right="639" w:bottom="1440" w:gutter="0" w:footer="0" w:header="0"/>
        </w:sectPr>
      </w:pPr>
    </w:p>
    <w:bookmarkStart w:id="50" w:name="page51"/>
    <w:bookmarkEnd w:id="50"/>
    <w:p>
      <w:pPr>
        <w:jc w:val="both"/>
        <w:ind w:left="120" w:firstLine="642"/>
        <w:spacing w:after="0" w:line="268" w:lineRule="auto"/>
        <w:tabs>
          <w:tab w:leader="none" w:pos="1046" w:val="left"/>
        </w:tabs>
        <w:numPr>
          <w:ilvl w:val="1"/>
          <w:numId w:val="83"/>
        </w:numPr>
        <w:rPr>
          <w:rFonts w:ascii="Arial" w:cs="Arial" w:eastAsia="Arial" w:hAnsi="Arial"/>
          <w:sz w:val="17"/>
          <w:szCs w:val="17"/>
          <w:color w:val="010000"/>
        </w:rPr>
      </w:pPr>
      <w:r>
        <w:rPr>
          <w:rFonts w:ascii="Arial" w:cs="Arial" w:eastAsia="Arial" w:hAnsi="Arial"/>
          <w:sz w:val="17"/>
          <w:szCs w:val="17"/>
          <w:color w:val="auto"/>
        </w:rPr>
        <w:t>The Committee may cancel an Award or any portion thereof if it determines, in its sole discretion, that legal or contractual restrictions and/or blockage and/or other market considerations would make the Company’s acquisition of shares of Common Stock from the public markets, the Company’s issuance of Common Stock to the Participant, the Participant’s acquisition of Common Stock from the Company and/or the Participant’s sale of Common Stock to the public markets, illegal, impracticable or inadvisable. If the Committee determines to cancel all or any portion of an Award in accordance with the foregoing, the Company shall, subject to any limitations or reductions as may be necessary to comply with Section 409A of the Code, (A) in the case of Options or SARs, provide the Participant with a cash payment or grant of shares of Common Stock, subject to deferred vesting and delivery consistent with the vesting restrictions applicable to such Award, equal to the excess of (I) the aggregate Fair Market Value of the shares of Common Stock subject to such Award or portion thereof canceled (determined as of the applicable exercise date, or the date that the shares would have been vested or issued, as applicable); over (II) the aggregate Exercise Price or SAR Base Price (in the case of an Option or SAR, respectively) or any amount payable to the Company as a condition of issuance of shares of Common Stock (in the case of any other Award), or (B) in the case of Restricted Stock, Restricted Stock Units or Other Equity-Based Awards, provide the Participant with a cash payment or grant of shares of Common Stock, subject to deferred vesting and delivery consistent with the vesting restrictions applicable to such Award, equal to the value of such Award or the underlying shares in respect thereof.</w:t>
      </w:r>
    </w:p>
    <w:p>
      <w:pPr>
        <w:spacing w:after="0" w:line="184" w:lineRule="exact"/>
        <w:rPr>
          <w:rFonts w:ascii="Arial" w:cs="Arial" w:eastAsia="Arial" w:hAnsi="Arial"/>
          <w:sz w:val="17"/>
          <w:szCs w:val="17"/>
          <w:color w:val="010000"/>
        </w:rPr>
      </w:pPr>
    </w:p>
    <w:p>
      <w:pPr>
        <w:jc w:val="both"/>
        <w:ind w:right="40" w:firstLine="195"/>
        <w:spacing w:after="0" w:line="273" w:lineRule="auto"/>
        <w:tabs>
          <w:tab w:leader="none" w:pos="710" w:val="left"/>
        </w:tabs>
        <w:numPr>
          <w:ilvl w:val="0"/>
          <w:numId w:val="84"/>
        </w:numPr>
        <w:rPr>
          <w:rFonts w:ascii="Arial" w:cs="Arial" w:eastAsia="Arial" w:hAnsi="Arial"/>
          <w:sz w:val="17"/>
          <w:szCs w:val="17"/>
          <w:color w:val="010000"/>
        </w:rPr>
      </w:pPr>
      <w:r>
        <w:rPr>
          <w:rFonts w:ascii="Arial" w:cs="Arial" w:eastAsia="Arial" w:hAnsi="Arial"/>
          <w:sz w:val="17"/>
          <w:szCs w:val="17"/>
          <w:u w:val="single" w:color="auto"/>
          <w:color w:val="auto"/>
        </w:rPr>
        <w:t>No Section 83(b) Elections Without Consent of Company</w:t>
      </w:r>
      <w:r>
        <w:rPr>
          <w:rFonts w:ascii="Arial" w:cs="Arial" w:eastAsia="Arial" w:hAnsi="Arial"/>
          <w:sz w:val="17"/>
          <w:szCs w:val="17"/>
          <w:color w:val="auto"/>
        </w:rPr>
        <w:t>. No election under Section 83(b) of the Code or under a similar provision of law may be made unless expressly permitted by the terms of the applicable Award Agreement or by action of the Committee in writing prior to the making of such election. If a Participant, in connection with the acquisition of shares of Common Stock under the Plan or otherwise, is expressly permitted to make such election and the Participant makes the election, the Participant shall notify the Company of such election within ten (10) days of filing notice of the election with the Internal Revenue Service or other governmental authority, in addition to any filing and notification required pursuant to Section 83(b) of the Code or other applicable provision.</w:t>
      </w:r>
    </w:p>
    <w:p>
      <w:pPr>
        <w:spacing w:after="0" w:line="177" w:lineRule="exact"/>
        <w:rPr>
          <w:rFonts w:ascii="Arial" w:cs="Arial" w:eastAsia="Arial" w:hAnsi="Arial"/>
          <w:sz w:val="17"/>
          <w:szCs w:val="17"/>
          <w:color w:val="010000"/>
        </w:rPr>
      </w:pPr>
    </w:p>
    <w:p>
      <w:pPr>
        <w:jc w:val="both"/>
        <w:ind w:right="40" w:firstLine="195"/>
        <w:spacing w:after="0" w:line="273" w:lineRule="auto"/>
        <w:tabs>
          <w:tab w:leader="none" w:pos="773" w:val="left"/>
        </w:tabs>
        <w:numPr>
          <w:ilvl w:val="0"/>
          <w:numId w:val="84"/>
        </w:numPr>
        <w:rPr>
          <w:rFonts w:ascii="Arial" w:cs="Arial" w:eastAsia="Arial" w:hAnsi="Arial"/>
          <w:sz w:val="17"/>
          <w:szCs w:val="17"/>
          <w:color w:val="010000"/>
        </w:rPr>
      </w:pPr>
      <w:r>
        <w:rPr>
          <w:rFonts w:ascii="Arial" w:cs="Arial" w:eastAsia="Arial" w:hAnsi="Arial"/>
          <w:sz w:val="17"/>
          <w:szCs w:val="17"/>
          <w:u w:val="single" w:color="auto"/>
          <w:color w:val="auto"/>
        </w:rPr>
        <w:t>Payments to Persons Other Than Participants</w:t>
      </w:r>
      <w:r>
        <w:rPr>
          <w:rFonts w:ascii="Arial" w:cs="Arial" w:eastAsia="Arial" w:hAnsi="Arial"/>
          <w:sz w:val="17"/>
          <w:szCs w:val="17"/>
          <w:color w:val="auto"/>
        </w:rPr>
        <w:t>. If the Committee shall find that any Person to whom any amount is payable under the Plan is unable to care for the Participant’s affairs because of illness or accident, or is a minor, or has died, then any payment due to such Person or the Participant’s estate (unless a prior claim therefor has been made by a duly appointed legal representative) may, if the Committee so directs the Company, be paid to the Participant’s spouse, child, relative, an institution maintaining or having custody of such Person, or any other Person deemed by the Committee to be a proper recipient on behalf of such Person otherwise entitled to payment. Any such payment shall be a complete discharge of the liability of the Committee and the Company therefor.</w:t>
      </w:r>
    </w:p>
    <w:p>
      <w:pPr>
        <w:spacing w:after="0" w:line="177" w:lineRule="exact"/>
        <w:rPr>
          <w:rFonts w:ascii="Arial" w:cs="Arial" w:eastAsia="Arial" w:hAnsi="Arial"/>
          <w:sz w:val="17"/>
          <w:szCs w:val="17"/>
          <w:color w:val="010000"/>
        </w:rPr>
      </w:pPr>
    </w:p>
    <w:p>
      <w:pPr>
        <w:jc w:val="both"/>
        <w:ind w:right="40" w:firstLine="195"/>
        <w:spacing w:after="0" w:line="259" w:lineRule="auto"/>
        <w:tabs>
          <w:tab w:leader="none" w:pos="764" w:val="left"/>
        </w:tabs>
        <w:numPr>
          <w:ilvl w:val="0"/>
          <w:numId w:val="84"/>
        </w:numPr>
        <w:rPr>
          <w:rFonts w:ascii="Arial" w:cs="Arial" w:eastAsia="Arial" w:hAnsi="Arial"/>
          <w:sz w:val="18"/>
          <w:szCs w:val="18"/>
          <w:color w:val="010000"/>
        </w:rPr>
      </w:pPr>
      <w:r>
        <w:rPr>
          <w:rFonts w:ascii="Arial" w:cs="Arial" w:eastAsia="Arial" w:hAnsi="Arial"/>
          <w:sz w:val="18"/>
          <w:szCs w:val="18"/>
          <w:u w:val="single" w:color="auto"/>
          <w:color w:val="auto"/>
        </w:rPr>
        <w:t>Nonexclusivity of the Plan</w:t>
      </w:r>
      <w:r>
        <w:rPr>
          <w:rFonts w:ascii="Arial" w:cs="Arial" w:eastAsia="Arial" w:hAnsi="Arial"/>
          <w:sz w:val="18"/>
          <w:szCs w:val="18"/>
          <w:color w:val="auto"/>
        </w:rPr>
        <w:t>. Neither the adoption of the Plan by the Board nor the submission of the Plan to the stockholders of the Company for approval shall be construed as creating any limitations on the power of the Board to adopt such other incentive arrangements as it may deem desirable, including, without limitation, the granting of equity-based awards otherwise than under the Plan, and such arrangements may be either applicable generally or only in specific cases.</w:t>
      </w:r>
    </w:p>
    <w:p>
      <w:pPr>
        <w:spacing w:after="0" w:line="186" w:lineRule="exact"/>
        <w:rPr>
          <w:rFonts w:ascii="Arial" w:cs="Arial" w:eastAsia="Arial" w:hAnsi="Arial"/>
          <w:sz w:val="18"/>
          <w:szCs w:val="18"/>
          <w:color w:val="010000"/>
        </w:rPr>
      </w:pPr>
    </w:p>
    <w:p>
      <w:pPr>
        <w:jc w:val="both"/>
        <w:ind w:right="40" w:firstLine="195"/>
        <w:spacing w:after="0" w:line="271" w:lineRule="auto"/>
        <w:tabs>
          <w:tab w:leader="none" w:pos="737" w:val="left"/>
        </w:tabs>
        <w:numPr>
          <w:ilvl w:val="0"/>
          <w:numId w:val="84"/>
        </w:numPr>
        <w:rPr>
          <w:rFonts w:ascii="Arial" w:cs="Arial" w:eastAsia="Arial" w:hAnsi="Arial"/>
          <w:sz w:val="17"/>
          <w:szCs w:val="17"/>
          <w:color w:val="010000"/>
        </w:rPr>
      </w:pPr>
      <w:r>
        <w:rPr>
          <w:rFonts w:ascii="Arial" w:cs="Arial" w:eastAsia="Arial" w:hAnsi="Arial"/>
          <w:sz w:val="17"/>
          <w:szCs w:val="17"/>
          <w:u w:val="single" w:color="auto"/>
          <w:color w:val="auto"/>
        </w:rPr>
        <w:t>No Trust or Fund Created</w:t>
      </w:r>
      <w:r>
        <w:rPr>
          <w:rFonts w:ascii="Arial" w:cs="Arial" w:eastAsia="Arial" w:hAnsi="Arial"/>
          <w:sz w:val="17"/>
          <w:szCs w:val="17"/>
          <w:color w:val="auto"/>
        </w:rPr>
        <w:t>. Neither the Plan nor any Award shall create or be construed to create a trust or separate fund of any kind or a fiduciary relationship between any member of the Company Group, on the one hand, and a Participant or other Person, on the other hand. No provision of the Plan or any Award shall require the Company, for the purpose of satisfying any obligations under the Plan, to purchase assets or place any assets in a trust or other entity to which contributions are made or otherwise to segregate any assets, nor shall the Company be obligated to maintain separate bank accounts, books, records or other evidence of the existence of a segregated or separately maintained or administered fund for such purposes. Participants shall have no rights under the Plan other than as unsecured general creditors of the Company, except that insofar as they may have become entitled to payment of additional compensation by performance of services, they shall have the same rights as other service providers under general law.</w:t>
      </w:r>
    </w:p>
    <w:p>
      <w:pPr>
        <w:spacing w:after="0" w:line="178" w:lineRule="exact"/>
        <w:rPr>
          <w:rFonts w:ascii="Arial" w:cs="Arial" w:eastAsia="Arial" w:hAnsi="Arial"/>
          <w:sz w:val="17"/>
          <w:szCs w:val="17"/>
          <w:color w:val="010000"/>
        </w:rPr>
      </w:pPr>
    </w:p>
    <w:p>
      <w:pPr>
        <w:jc w:val="both"/>
        <w:ind w:right="40" w:firstLine="195"/>
        <w:spacing w:after="0" w:line="259" w:lineRule="auto"/>
        <w:tabs>
          <w:tab w:leader="none" w:pos="710" w:val="left"/>
        </w:tabs>
        <w:numPr>
          <w:ilvl w:val="0"/>
          <w:numId w:val="84"/>
        </w:numPr>
        <w:rPr>
          <w:rFonts w:ascii="Arial" w:cs="Arial" w:eastAsia="Arial" w:hAnsi="Arial"/>
          <w:sz w:val="18"/>
          <w:szCs w:val="18"/>
          <w:color w:val="010000"/>
        </w:rPr>
      </w:pPr>
      <w:r>
        <w:rPr>
          <w:rFonts w:ascii="Arial" w:cs="Arial" w:eastAsia="Arial" w:hAnsi="Arial"/>
          <w:sz w:val="18"/>
          <w:szCs w:val="18"/>
          <w:u w:val="single" w:color="auto"/>
          <w:color w:val="auto"/>
        </w:rPr>
        <w:t>Reliance on Reports</w:t>
      </w:r>
      <w:r>
        <w:rPr>
          <w:rFonts w:ascii="Arial" w:cs="Arial" w:eastAsia="Arial" w:hAnsi="Arial"/>
          <w:sz w:val="18"/>
          <w:szCs w:val="18"/>
          <w:color w:val="auto"/>
        </w:rPr>
        <w:t>. Each member of the Committee and each member of the Board shall be fully justified in acting or failing to act, as the case may be, and shall not be liable for having so acted or failed to act in good faith, in reliance upon any report made by the independent public accountant of any member of the Company Group and/or any other information furnished in connection with the Plan by any agent of the Company or the Committee or the Board, other than himself or herself.</w:t>
      </w:r>
    </w:p>
    <w:p>
      <w:pPr>
        <w:spacing w:after="0" w:line="389"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48895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80"/>
          </w:cols>
          <w:pgMar w:left="880" w:top="341" w:right="639" w:bottom="1440" w:gutter="0" w:footer="0" w:header="0"/>
        </w:sectPr>
      </w:pPr>
    </w:p>
    <w:bookmarkStart w:id="51" w:name="page52"/>
    <w:bookmarkEnd w:id="51"/>
    <w:p>
      <w:pPr>
        <w:jc w:val="both"/>
        <w:ind w:right="40" w:firstLine="195"/>
        <w:spacing w:after="0" w:line="263" w:lineRule="auto"/>
        <w:tabs>
          <w:tab w:leader="none" w:pos="872" w:val="left"/>
        </w:tabs>
        <w:numPr>
          <w:ilvl w:val="0"/>
          <w:numId w:val="85"/>
        </w:numPr>
        <w:rPr>
          <w:rFonts w:ascii="Arial" w:cs="Arial" w:eastAsia="Arial" w:hAnsi="Arial"/>
          <w:sz w:val="18"/>
          <w:szCs w:val="18"/>
          <w:color w:val="010000"/>
        </w:rPr>
      </w:pPr>
      <w:r>
        <w:rPr>
          <w:rFonts w:ascii="Arial" w:cs="Arial" w:eastAsia="Arial" w:hAnsi="Arial"/>
          <w:sz w:val="18"/>
          <w:szCs w:val="18"/>
          <w:u w:val="single" w:color="auto"/>
          <w:color w:val="auto"/>
        </w:rPr>
        <w:t>Relationship to Other Benefits</w:t>
      </w:r>
      <w:r>
        <w:rPr>
          <w:rFonts w:ascii="Arial" w:cs="Arial" w:eastAsia="Arial" w:hAnsi="Arial"/>
          <w:sz w:val="18"/>
          <w:szCs w:val="18"/>
          <w:color w:val="auto"/>
        </w:rPr>
        <w:t>. No payment under the Plan shall be taken into account in determining any benefits under any pension, retirement, profit sharing, group insurance or other benefit plan of the Company except as otherwise specifically provided in such other plan or as required by applicable law.</w:t>
      </w:r>
    </w:p>
    <w:p>
      <w:pPr>
        <w:spacing w:after="0" w:line="183" w:lineRule="exact"/>
        <w:rPr>
          <w:rFonts w:ascii="Arial" w:cs="Arial" w:eastAsia="Arial" w:hAnsi="Arial"/>
          <w:sz w:val="18"/>
          <w:szCs w:val="18"/>
          <w:color w:val="010000"/>
        </w:rPr>
      </w:pPr>
    </w:p>
    <w:p>
      <w:pPr>
        <w:jc w:val="both"/>
        <w:ind w:right="40" w:firstLine="195"/>
        <w:spacing w:after="0" w:line="257" w:lineRule="auto"/>
        <w:tabs>
          <w:tab w:leader="none" w:pos="869" w:val="left"/>
        </w:tabs>
        <w:numPr>
          <w:ilvl w:val="0"/>
          <w:numId w:val="85"/>
        </w:numPr>
        <w:rPr>
          <w:rFonts w:ascii="Arial" w:cs="Arial" w:eastAsia="Arial" w:hAnsi="Arial"/>
          <w:sz w:val="18"/>
          <w:szCs w:val="18"/>
          <w:color w:val="010000"/>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Plan shall be governed by and construed in accordance with the internal laws of the State of Delaware applicable to contracts made and performed wholly within the State of Delaware, without giving effect to the conflict of laws provisions thereof. EACH PARTICIPANT WHO ACCEPTS AN AWARD IRREVOCABLY WAIVES ALL RIGHT TO A TRIAL BY JURY IN ANY SUIT, ACTION, OR OTHER PROCEEDING INSTITUTED BY OR AGAINST SUCH PARTICIPANT IN RESPECT OF THE PARTICIPANT’S RIGHTS OR OBLIGATIONS HEREUNDER</w:t>
      </w:r>
    </w:p>
    <w:p>
      <w:pPr>
        <w:spacing w:after="0" w:line="187" w:lineRule="exact"/>
        <w:rPr>
          <w:rFonts w:ascii="Arial" w:cs="Arial" w:eastAsia="Arial" w:hAnsi="Arial"/>
          <w:sz w:val="18"/>
          <w:szCs w:val="18"/>
          <w:color w:val="010000"/>
        </w:rPr>
      </w:pPr>
    </w:p>
    <w:p>
      <w:pPr>
        <w:jc w:val="both"/>
        <w:ind w:right="40" w:firstLine="195"/>
        <w:spacing w:after="0" w:line="255" w:lineRule="auto"/>
        <w:tabs>
          <w:tab w:leader="none" w:pos="784" w:val="left"/>
        </w:tabs>
        <w:numPr>
          <w:ilvl w:val="0"/>
          <w:numId w:val="85"/>
        </w:numPr>
        <w:rPr>
          <w:rFonts w:ascii="Arial" w:cs="Arial" w:eastAsia="Arial" w:hAnsi="Arial"/>
          <w:sz w:val="18"/>
          <w:szCs w:val="18"/>
          <w:color w:val="010000"/>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the Plan or any Award or Award Agreement is or becomes or is deemed to be invalid, illegal, or unenforceable in any jurisdiction or as to any Person or Award, or would disqualify the Plan or any Award under any law deemed applicable by the Committee, such provision shall be construed or deemed amended to conform to the applicable laws, or if it cannot be construed or deemed amended without, in the determination of the Committee, materially altering the intent of the Plan or the Award, such provision shall be construed or deemed stricken as to such jurisdiction, Person or Award and the remainder of the Plan and any such Award shall remain in full force and effect.</w:t>
      </w:r>
    </w:p>
    <w:p>
      <w:pPr>
        <w:spacing w:after="0" w:line="192" w:lineRule="exact"/>
        <w:rPr>
          <w:rFonts w:ascii="Arial" w:cs="Arial" w:eastAsia="Arial" w:hAnsi="Arial"/>
          <w:sz w:val="18"/>
          <w:szCs w:val="18"/>
          <w:color w:val="010000"/>
        </w:rPr>
      </w:pPr>
    </w:p>
    <w:p>
      <w:pPr>
        <w:jc w:val="both"/>
        <w:ind w:right="40" w:firstLine="195"/>
        <w:spacing w:after="0" w:line="263" w:lineRule="auto"/>
        <w:tabs>
          <w:tab w:leader="none" w:pos="697" w:val="left"/>
        </w:tabs>
        <w:numPr>
          <w:ilvl w:val="0"/>
          <w:numId w:val="85"/>
        </w:numPr>
        <w:rPr>
          <w:rFonts w:ascii="Arial" w:cs="Arial" w:eastAsia="Arial" w:hAnsi="Arial"/>
          <w:sz w:val="18"/>
          <w:szCs w:val="18"/>
          <w:color w:val="010000"/>
        </w:rPr>
      </w:pPr>
      <w:r>
        <w:rPr>
          <w:rFonts w:ascii="Arial" w:cs="Arial" w:eastAsia="Arial" w:hAnsi="Arial"/>
          <w:sz w:val="18"/>
          <w:szCs w:val="18"/>
          <w:u w:val="single" w:color="auto"/>
          <w:color w:val="auto"/>
        </w:rPr>
        <w:t>Obligations Binding on Successors</w:t>
      </w:r>
      <w:r>
        <w:rPr>
          <w:rFonts w:ascii="Arial" w:cs="Arial" w:eastAsia="Arial" w:hAnsi="Arial"/>
          <w:sz w:val="18"/>
          <w:szCs w:val="18"/>
          <w:color w:val="auto"/>
        </w:rPr>
        <w:t>. The obligations of the Company under the Plan shall be binding upon any successor corporation or organization resulting from the merger, consolidation or other reorganization of the Company, or upon any successor corporation or organization succeeding to substantially all of the assets and business of the Company.</w:t>
      </w:r>
    </w:p>
    <w:p>
      <w:pPr>
        <w:spacing w:after="0" w:line="183" w:lineRule="exact"/>
        <w:rPr>
          <w:rFonts w:ascii="Arial" w:cs="Arial" w:eastAsia="Arial" w:hAnsi="Arial"/>
          <w:sz w:val="18"/>
          <w:szCs w:val="18"/>
          <w:color w:val="010000"/>
        </w:rPr>
      </w:pPr>
    </w:p>
    <w:p>
      <w:pPr>
        <w:ind w:left="720" w:hanging="525"/>
        <w:spacing w:after="0"/>
        <w:tabs>
          <w:tab w:leader="none" w:pos="720" w:val="left"/>
        </w:tabs>
        <w:numPr>
          <w:ilvl w:val="0"/>
          <w:numId w:val="85"/>
        </w:numPr>
        <w:rPr>
          <w:rFonts w:ascii="Arial" w:cs="Arial" w:eastAsia="Arial" w:hAnsi="Arial"/>
          <w:sz w:val="18"/>
          <w:szCs w:val="18"/>
          <w:color w:val="010000"/>
        </w:rPr>
      </w:pPr>
      <w:r>
        <w:rPr>
          <w:rFonts w:ascii="Arial" w:cs="Arial" w:eastAsia="Arial" w:hAnsi="Arial"/>
          <w:sz w:val="18"/>
          <w:szCs w:val="18"/>
          <w:u w:val="single" w:color="auto"/>
          <w:color w:val="auto"/>
        </w:rPr>
        <w:t>Section 409A of the Code</w:t>
      </w:r>
      <w:r>
        <w:rPr>
          <w:rFonts w:ascii="Arial" w:cs="Arial" w:eastAsia="Arial" w:hAnsi="Arial"/>
          <w:sz w:val="18"/>
          <w:szCs w:val="18"/>
          <w:color w:val="auto"/>
        </w:rPr>
        <w:t>.</w:t>
      </w:r>
    </w:p>
    <w:p>
      <w:pPr>
        <w:spacing w:after="0" w:line="225" w:lineRule="exact"/>
        <w:rPr>
          <w:rFonts w:ascii="Arial" w:cs="Arial" w:eastAsia="Arial" w:hAnsi="Arial"/>
          <w:sz w:val="18"/>
          <w:szCs w:val="18"/>
          <w:color w:val="010000"/>
        </w:rPr>
      </w:pPr>
    </w:p>
    <w:p>
      <w:pPr>
        <w:jc w:val="both"/>
        <w:ind w:left="120" w:firstLine="642"/>
        <w:spacing w:after="0" w:line="253" w:lineRule="auto"/>
        <w:tabs>
          <w:tab w:leader="none" w:pos="1306" w:val="left"/>
        </w:tabs>
        <w:numPr>
          <w:ilvl w:val="1"/>
          <w:numId w:val="85"/>
        </w:numPr>
        <w:rPr>
          <w:rFonts w:ascii="Arial" w:cs="Arial" w:eastAsia="Arial" w:hAnsi="Arial"/>
          <w:sz w:val="18"/>
          <w:szCs w:val="18"/>
          <w:color w:val="010000"/>
        </w:rPr>
      </w:pPr>
      <w:r>
        <w:rPr>
          <w:rFonts w:ascii="Arial" w:cs="Arial" w:eastAsia="Arial" w:hAnsi="Arial"/>
          <w:sz w:val="18"/>
          <w:szCs w:val="18"/>
          <w:color w:val="auto"/>
        </w:rPr>
        <w:t>Notwithstanding any provision of the Plan to the contrary, it is intended that the provisions of the Plan comply with Section 409A of the Code, and all provisions of the Plan shall be construed and interpreted in a manner consistent with the requirements for avoiding taxes or penalties under Section 409A of the Code. Each Participant is solely responsible and liable for the satisfaction of all taxes and penalties that may be imposed on or in respect of such Participant in connection with the Plan (including any taxes and penalties under Section 409A of the Code), and neither the Service Recipient nor any other member of the Company Group shall have any obligation to indemnify or otherwise hold such Participant (or any beneficiary) harmless from any or all of such taxes or penalties. With respect to any Award that is considered “deferred compensation” subject to Section 409A of the Code, references in the Plan to “termination of employment” (and substantially similar phrases) shall mean “separation from service” within the meaning of Section 409A of the Code. For purposes of Section 409A of the Code, each of the payments that may be made in respect of any Award granted under the Plan is designated as separate a payment.</w:t>
      </w:r>
    </w:p>
    <w:p>
      <w:pPr>
        <w:spacing w:after="0" w:line="194" w:lineRule="exact"/>
        <w:rPr>
          <w:rFonts w:ascii="Arial" w:cs="Arial" w:eastAsia="Arial" w:hAnsi="Arial"/>
          <w:sz w:val="18"/>
          <w:szCs w:val="18"/>
          <w:color w:val="010000"/>
        </w:rPr>
      </w:pPr>
    </w:p>
    <w:p>
      <w:pPr>
        <w:jc w:val="both"/>
        <w:ind w:left="120" w:firstLine="642"/>
        <w:spacing w:after="0" w:line="273" w:lineRule="auto"/>
        <w:tabs>
          <w:tab w:leader="none" w:pos="1316" w:val="left"/>
        </w:tabs>
        <w:numPr>
          <w:ilvl w:val="1"/>
          <w:numId w:val="85"/>
        </w:numPr>
        <w:rPr>
          <w:rFonts w:ascii="Arial" w:cs="Arial" w:eastAsia="Arial" w:hAnsi="Arial"/>
          <w:sz w:val="17"/>
          <w:szCs w:val="17"/>
          <w:color w:val="010000"/>
        </w:rPr>
      </w:pPr>
      <w:r>
        <w:rPr>
          <w:rFonts w:ascii="Arial" w:cs="Arial" w:eastAsia="Arial" w:hAnsi="Arial"/>
          <w:sz w:val="17"/>
          <w:szCs w:val="17"/>
          <w:color w:val="auto"/>
        </w:rPr>
        <w:t>Notwithstanding anything in the Plan to the contrary, if a Participant is a “specified employee” within the meaning of Section 409A(a)(2)(B)(i) of the Code, no payments in respect of any Awards that are “deferred compensation” subject to Section 409A of the Code and which would otherwise be payable upon the Participant’s “separation from service” (as defined in Section 409A of the Code) shall be made to such Participant prior to the date that is six (6) months after the date of such Participant’s “separation from service” or, if earlier, the date of the Participant’s death. Following any applicable six (6) month delay, all such delayed payments will be paid in a single lump sum on the earliest date permitted under Section 409A of the Code that is also a business day.</w:t>
      </w:r>
    </w:p>
    <w:p>
      <w:pPr>
        <w:spacing w:after="0" w:line="380"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48895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80"/>
          </w:cols>
          <w:pgMar w:left="880" w:top="341" w:right="639" w:bottom="1440" w:gutter="0" w:footer="0" w:header="0"/>
        </w:sectPr>
      </w:pPr>
    </w:p>
    <w:bookmarkStart w:id="52" w:name="page53"/>
    <w:bookmarkEnd w:id="52"/>
    <w:p>
      <w:pPr>
        <w:jc w:val="both"/>
        <w:ind w:left="120" w:right="120" w:firstLine="642"/>
        <w:spacing w:after="0" w:line="273" w:lineRule="auto"/>
        <w:tabs>
          <w:tab w:leader="none" w:pos="1352" w:val="left"/>
        </w:tabs>
        <w:numPr>
          <w:ilvl w:val="2"/>
          <w:numId w:val="86"/>
        </w:numPr>
        <w:rPr>
          <w:rFonts w:ascii="Arial" w:cs="Arial" w:eastAsia="Arial" w:hAnsi="Arial"/>
          <w:sz w:val="17"/>
          <w:szCs w:val="17"/>
          <w:color w:val="010000"/>
        </w:rPr>
      </w:pPr>
      <w:r>
        <w:rPr>
          <w:rFonts w:ascii="Arial" w:cs="Arial" w:eastAsia="Arial" w:hAnsi="Arial"/>
          <w:sz w:val="17"/>
          <w:szCs w:val="17"/>
          <w:color w:val="auto"/>
        </w:rPr>
        <w:t>Unless otherwise provided by the Committee in an Award Agreement or otherwise, in the event that the timing of payments in respect of any Award (that would otherwise be considered “deferred compensation” subject to Section 409A of the Code) would be accelerated upon the occurrence of (A) a Change in Control, no such acceleration shall be permitted unless the event giving rise to the Change in Control satisfies the definition of a change in the ownership or effective control of a corporation, or a change in the ownership of a substantial portion of the assets of a corporation pursuant to Section 409A of the Code; or (B) a Disability, no such acceleration shall be permitted unless the Disability also satisfies the definition of “Disability” pursuant to Section 409A of the Code.</w:t>
      </w:r>
    </w:p>
    <w:p>
      <w:pPr>
        <w:spacing w:after="0" w:line="177" w:lineRule="exact"/>
        <w:rPr>
          <w:rFonts w:ascii="Arial" w:cs="Arial" w:eastAsia="Arial" w:hAnsi="Arial"/>
          <w:sz w:val="17"/>
          <w:szCs w:val="17"/>
          <w:color w:val="010000"/>
        </w:rPr>
      </w:pPr>
    </w:p>
    <w:p>
      <w:pPr>
        <w:jc w:val="both"/>
        <w:ind w:right="40" w:firstLine="195"/>
        <w:spacing w:after="0" w:line="291" w:lineRule="auto"/>
        <w:tabs>
          <w:tab w:leader="none" w:pos="818" w:val="left"/>
        </w:tabs>
        <w:numPr>
          <w:ilvl w:val="1"/>
          <w:numId w:val="87"/>
        </w:numPr>
        <w:rPr>
          <w:rFonts w:ascii="Arial" w:cs="Arial" w:eastAsia="Arial" w:hAnsi="Arial"/>
          <w:sz w:val="16"/>
          <w:szCs w:val="16"/>
          <w:color w:val="010000"/>
        </w:rPr>
      </w:pPr>
      <w:r>
        <w:rPr>
          <w:rFonts w:ascii="Arial" w:cs="Arial" w:eastAsia="Arial" w:hAnsi="Arial"/>
          <w:sz w:val="16"/>
          <w:szCs w:val="16"/>
          <w:u w:val="single" w:color="auto"/>
          <w:color w:val="auto"/>
        </w:rPr>
        <w:t>Clawback/Repayment</w:t>
      </w:r>
      <w:r>
        <w:rPr>
          <w:rFonts w:ascii="Arial" w:cs="Arial" w:eastAsia="Arial" w:hAnsi="Arial"/>
          <w:sz w:val="16"/>
          <w:szCs w:val="16"/>
          <w:color w:val="auto"/>
        </w:rPr>
        <w:t>. All Awards shall be subject to reduction, cancellation, forfeiture or recoupment to the extent necessary to comply with (i) any clawback, forfeiture or other similar policy adopted by the Board or the Committee and as in effect from time to time; and</w:t>
      </w:r>
    </w:p>
    <w:p>
      <w:pPr>
        <w:jc w:val="both"/>
        <w:ind w:right="40" w:firstLine="10"/>
        <w:spacing w:after="0" w:line="277" w:lineRule="auto"/>
        <w:tabs>
          <w:tab w:leader="none" w:pos="269" w:val="left"/>
        </w:tabs>
        <w:numPr>
          <w:ilvl w:val="0"/>
          <w:numId w:val="88"/>
        </w:numPr>
        <w:rPr>
          <w:rFonts w:ascii="Arial" w:cs="Arial" w:eastAsia="Arial" w:hAnsi="Arial"/>
          <w:sz w:val="17"/>
          <w:szCs w:val="17"/>
          <w:color w:val="auto"/>
        </w:rPr>
      </w:pPr>
      <w:r>
        <w:rPr>
          <w:rFonts w:ascii="Arial" w:cs="Arial" w:eastAsia="Arial" w:hAnsi="Arial"/>
          <w:sz w:val="17"/>
          <w:szCs w:val="17"/>
          <w:color w:val="auto"/>
        </w:rPr>
        <w:t>applicable law. Further, to the extent that the Participant receives any amount in excess of the amount that the Participant should otherwise have received under the terms of the Award for any reason (including, without limitation, by reason of a financial restatement, mistake in calculations or other administrative error), the Participant shall be required to repay any such excess amount to the Company.</w:t>
      </w:r>
    </w:p>
    <w:p>
      <w:pPr>
        <w:spacing w:after="0" w:line="172" w:lineRule="exact"/>
        <w:rPr>
          <w:rFonts w:ascii="Arial" w:cs="Arial" w:eastAsia="Arial" w:hAnsi="Arial"/>
          <w:sz w:val="17"/>
          <w:szCs w:val="17"/>
          <w:color w:val="auto"/>
        </w:rPr>
      </w:pPr>
    </w:p>
    <w:p>
      <w:pPr>
        <w:ind w:right="40" w:firstLine="195"/>
        <w:spacing w:after="0" w:line="308" w:lineRule="auto"/>
        <w:tabs>
          <w:tab w:leader="none" w:pos="844" w:val="left"/>
        </w:tabs>
        <w:numPr>
          <w:ilvl w:val="1"/>
          <w:numId w:val="88"/>
        </w:numPr>
        <w:rPr>
          <w:rFonts w:ascii="Arial" w:cs="Arial" w:eastAsia="Arial" w:hAnsi="Arial"/>
          <w:sz w:val="17"/>
          <w:szCs w:val="17"/>
          <w:color w:val="010000"/>
        </w:rPr>
      </w:pPr>
      <w:r>
        <w:rPr>
          <w:rFonts w:ascii="Arial" w:cs="Arial" w:eastAsia="Arial" w:hAnsi="Arial"/>
          <w:sz w:val="17"/>
          <w:szCs w:val="17"/>
          <w:u w:val="single" w:color="auto"/>
          <w:color w:val="auto"/>
        </w:rPr>
        <w:t>Detrimental Activity</w:t>
      </w:r>
      <w:r>
        <w:rPr>
          <w:rFonts w:ascii="Arial" w:cs="Arial" w:eastAsia="Arial" w:hAnsi="Arial"/>
          <w:sz w:val="17"/>
          <w:szCs w:val="17"/>
          <w:color w:val="auto"/>
        </w:rPr>
        <w:t>. Notwithstanding anything to the contrary contained herein, if a Participant has engaged in any Detrimental Activity, as determined by the Committee, the Committee may, in its sole discretion, provide for one or more of the following:</w:t>
      </w:r>
    </w:p>
    <w:p>
      <w:pPr>
        <w:spacing w:after="0" w:line="146" w:lineRule="exact"/>
        <w:rPr>
          <w:rFonts w:ascii="Arial" w:cs="Arial" w:eastAsia="Arial" w:hAnsi="Arial"/>
          <w:sz w:val="17"/>
          <w:szCs w:val="17"/>
          <w:color w:val="010000"/>
        </w:rPr>
      </w:pPr>
    </w:p>
    <w:p>
      <w:pPr>
        <w:ind w:left="1240" w:hanging="478"/>
        <w:spacing w:after="0"/>
        <w:tabs>
          <w:tab w:leader="none" w:pos="1240" w:val="left"/>
        </w:tabs>
        <w:numPr>
          <w:ilvl w:val="2"/>
          <w:numId w:val="88"/>
        </w:numPr>
        <w:rPr>
          <w:rFonts w:ascii="Arial" w:cs="Arial" w:eastAsia="Arial" w:hAnsi="Arial"/>
          <w:sz w:val="18"/>
          <w:szCs w:val="18"/>
          <w:color w:val="010000"/>
        </w:rPr>
      </w:pPr>
      <w:r>
        <w:rPr>
          <w:rFonts w:ascii="Arial" w:cs="Arial" w:eastAsia="Arial" w:hAnsi="Arial"/>
          <w:sz w:val="18"/>
          <w:szCs w:val="18"/>
          <w:color w:val="auto"/>
        </w:rPr>
        <w:t>cancellation of any or all of such Participant’s outstanding Awards; and</w:t>
      </w:r>
    </w:p>
    <w:p>
      <w:pPr>
        <w:spacing w:after="0" w:line="225" w:lineRule="exact"/>
        <w:rPr>
          <w:rFonts w:ascii="Arial" w:cs="Arial" w:eastAsia="Arial" w:hAnsi="Arial"/>
          <w:sz w:val="18"/>
          <w:szCs w:val="18"/>
          <w:color w:val="010000"/>
        </w:rPr>
      </w:pPr>
    </w:p>
    <w:p>
      <w:pPr>
        <w:ind w:left="120" w:firstLine="642"/>
        <w:spacing w:after="0" w:line="277" w:lineRule="auto"/>
        <w:tabs>
          <w:tab w:leader="none" w:pos="1302" w:val="left"/>
        </w:tabs>
        <w:numPr>
          <w:ilvl w:val="2"/>
          <w:numId w:val="88"/>
        </w:numPr>
        <w:rPr>
          <w:rFonts w:ascii="Arial" w:cs="Arial" w:eastAsia="Arial" w:hAnsi="Arial"/>
          <w:sz w:val="18"/>
          <w:szCs w:val="18"/>
          <w:color w:val="010000"/>
        </w:rPr>
      </w:pPr>
      <w:r>
        <w:rPr>
          <w:rFonts w:ascii="Arial" w:cs="Arial" w:eastAsia="Arial" w:hAnsi="Arial"/>
          <w:sz w:val="18"/>
          <w:szCs w:val="18"/>
          <w:color w:val="auto"/>
        </w:rPr>
        <w:t>forfeiture and prompt repayment to the Company by the Participant, of any gain realized on the vesting, exercise or settlement of any Awards previously granted to such Participant.</w:t>
      </w:r>
    </w:p>
    <w:p>
      <w:pPr>
        <w:spacing w:after="0" w:line="170" w:lineRule="exact"/>
        <w:rPr>
          <w:rFonts w:ascii="Arial" w:cs="Arial" w:eastAsia="Arial" w:hAnsi="Arial"/>
          <w:sz w:val="18"/>
          <w:szCs w:val="18"/>
          <w:color w:val="010000"/>
        </w:rPr>
      </w:pPr>
    </w:p>
    <w:p>
      <w:pPr>
        <w:jc w:val="both"/>
        <w:ind w:right="40" w:firstLine="195"/>
        <w:spacing w:after="0" w:line="290" w:lineRule="auto"/>
        <w:tabs>
          <w:tab w:leader="none" w:pos="858" w:val="left"/>
        </w:tabs>
        <w:numPr>
          <w:ilvl w:val="1"/>
          <w:numId w:val="88"/>
        </w:numPr>
        <w:rPr>
          <w:rFonts w:ascii="Arial" w:cs="Arial" w:eastAsia="Arial" w:hAnsi="Arial"/>
          <w:sz w:val="16"/>
          <w:szCs w:val="16"/>
          <w:color w:val="010000"/>
        </w:rPr>
      </w:pPr>
      <w:r>
        <w:rPr>
          <w:rFonts w:ascii="Arial" w:cs="Arial" w:eastAsia="Arial" w:hAnsi="Arial"/>
          <w:sz w:val="16"/>
          <w:szCs w:val="16"/>
          <w:u w:val="single" w:color="auto"/>
          <w:color w:val="auto"/>
        </w:rPr>
        <w:t>Right of Offset</w:t>
      </w:r>
      <w:r>
        <w:rPr>
          <w:rFonts w:ascii="Arial" w:cs="Arial" w:eastAsia="Arial" w:hAnsi="Arial"/>
          <w:sz w:val="16"/>
          <w:szCs w:val="16"/>
          <w:color w:val="auto"/>
        </w:rPr>
        <w:t>. The Company will have the right to offset against its obligation to deliver shares of Common Stock (or other property or cash) under the Plan or any Award Agreement any outstanding amounts (including, without limitation, travel and entertainment or advance account balances, loans, repayment obligations under any Awards, or amounts repayable to the Company pursuant to tax equalization, housing, automobile or other employee programs) that the Participant then owes to any member of the Company Group and any amounts the Committee otherwise deems appropriate pursuant to any tax equalization policy or agreement. Notwithstanding the foregoing, if an Award is “deferred compensation” subject to Section 409A of the Code, the Committee will have no right to offset against its obligation to deliver shares of Common Stock (or other property or cash) under the Plan or any Award Agreement if such offset could subject the Participant to the additional tax imposed under Section 409A of the Code in respect of an outstanding Award.</w:t>
      </w:r>
    </w:p>
    <w:p>
      <w:pPr>
        <w:spacing w:after="0" w:line="165" w:lineRule="exact"/>
        <w:rPr>
          <w:rFonts w:ascii="Arial" w:cs="Arial" w:eastAsia="Arial" w:hAnsi="Arial"/>
          <w:sz w:val="16"/>
          <w:szCs w:val="16"/>
          <w:color w:val="010000"/>
        </w:rPr>
      </w:pPr>
    </w:p>
    <w:p>
      <w:pPr>
        <w:jc w:val="both"/>
        <w:ind w:right="40" w:firstLine="195"/>
        <w:spacing w:after="0" w:line="263" w:lineRule="auto"/>
        <w:tabs>
          <w:tab w:leader="none" w:pos="872" w:val="left"/>
        </w:tabs>
        <w:numPr>
          <w:ilvl w:val="1"/>
          <w:numId w:val="88"/>
        </w:numPr>
        <w:rPr>
          <w:rFonts w:ascii="Arial" w:cs="Arial" w:eastAsia="Arial" w:hAnsi="Arial"/>
          <w:sz w:val="18"/>
          <w:szCs w:val="18"/>
          <w:color w:val="010000"/>
        </w:rPr>
      </w:pPr>
      <w:r>
        <w:rPr>
          <w:rFonts w:ascii="Arial" w:cs="Arial" w:eastAsia="Arial" w:hAnsi="Arial"/>
          <w:sz w:val="18"/>
          <w:szCs w:val="18"/>
          <w:u w:val="single" w:color="auto"/>
          <w:color w:val="auto"/>
        </w:rPr>
        <w:t>Expenses; Titles and Headings</w:t>
      </w:r>
      <w:r>
        <w:rPr>
          <w:rFonts w:ascii="Arial" w:cs="Arial" w:eastAsia="Arial" w:hAnsi="Arial"/>
          <w:sz w:val="18"/>
          <w:szCs w:val="18"/>
          <w:color w:val="auto"/>
        </w:rPr>
        <w:t>. The expenses of administering the Plan shall be borne by the Company Group. The titles and headings of the sections in the Plan are for convenience of reference only, and in the event of any conflict, the text of the Plan, rather than such titles or headings, shall control.</w:t>
      </w:r>
    </w:p>
    <w:p>
      <w:pPr>
        <w:spacing w:after="0" w:line="183" w:lineRule="exact"/>
        <w:rPr>
          <w:rFonts w:ascii="Arial" w:cs="Arial" w:eastAsia="Arial" w:hAnsi="Arial"/>
          <w:sz w:val="18"/>
          <w:szCs w:val="18"/>
          <w:color w:val="010000"/>
        </w:rPr>
      </w:pPr>
    </w:p>
    <w:p>
      <w:pPr>
        <w:jc w:val="both"/>
        <w:ind w:right="40" w:firstLine="195"/>
        <w:spacing w:after="0" w:line="257" w:lineRule="auto"/>
        <w:tabs>
          <w:tab w:leader="none" w:pos="727" w:val="left"/>
        </w:tabs>
        <w:numPr>
          <w:ilvl w:val="1"/>
          <w:numId w:val="88"/>
        </w:numPr>
        <w:rPr>
          <w:rFonts w:ascii="Arial" w:cs="Arial" w:eastAsia="Arial" w:hAnsi="Arial"/>
          <w:sz w:val="18"/>
          <w:szCs w:val="18"/>
          <w:color w:val="auto"/>
        </w:rPr>
      </w:pPr>
      <w:r>
        <w:rPr>
          <w:rFonts w:ascii="Arial" w:cs="Arial" w:eastAsia="Arial" w:hAnsi="Arial"/>
          <w:sz w:val="18"/>
          <w:szCs w:val="18"/>
          <w:u w:val="single" w:color="auto"/>
          <w:color w:val="auto"/>
        </w:rPr>
        <w:t>Compliance</w:t>
      </w:r>
      <w:r>
        <w:rPr>
          <w:rFonts w:ascii="Arial" w:cs="Arial" w:eastAsia="Arial" w:hAnsi="Arial"/>
          <w:sz w:val="18"/>
          <w:szCs w:val="18"/>
          <w:color w:val="auto"/>
        </w:rPr>
        <w:t>. Notwithstanding any other provision of this Plan, (a) the Company shall not be obliged to issue any Shares pursuant to an Award unless at least the nominal value of each such newly issued Share has been fully paid in advance in accordance with applicable law (which requirement may mean the holder of an award is obliged to make such payment) and (b) the Company shall not be obliged to issue or deliver any Shares in satisfaction of Awards until all legal and regulatory requirements associated with such issue or delivery have been complied with to the satisfaction of the Committee.</w:t>
      </w:r>
    </w:p>
    <w:p>
      <w:pPr>
        <w:spacing w:after="0" w:line="188"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186055</wp:posOffset>
            </wp:positionV>
            <wp:extent cx="713232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380"/>
          </w:cols>
          <w:pgMar w:left="880" w:top="341" w:right="6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252095</wp:posOffset>
            </wp:positionV>
            <wp:extent cx="7132320" cy="431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3">
                      <a:extLst>
                        <a:ext uri="{28A0092B-C50C-407E-A947-70E740481C1C}"/>
                      </a:extLst>
                    </a:blip>
                    <a:srcRect/>
                    <a:stretch>
                      <a:fillRect/>
                    </a:stretch>
                  </pic:blipFill>
                  <pic:spPr bwMode="auto">
                    <a:xfrm>
                      <a:off x="0" y="0"/>
                      <a:ext cx="7132320" cy="43180"/>
                    </a:xfrm>
                    <a:prstGeom prst="rect">
                      <a:avLst/>
                    </a:prstGeom>
                    <a:noFill/>
                  </pic:spPr>
                </pic:pic>
              </a:graphicData>
            </a:graphic>
          </wp:anchor>
        </w:drawing>
        <w:t>Exhibit 4.3</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PRA HEALTH SCIENCES, INC. 2014 OMNIBUS INCENTIVE PLAN</w:t>
      </w:r>
    </w:p>
    <w:p>
      <w:pPr>
        <w:spacing w:after="0" w:line="198" w:lineRule="exact"/>
        <w:rPr>
          <w:sz w:val="20"/>
          <w:szCs w:val="20"/>
          <w:color w:val="auto"/>
        </w:rPr>
      </w:pPr>
    </w:p>
    <w:p>
      <w:pPr>
        <w:ind w:left="560" w:hanging="552"/>
        <w:spacing w:after="0"/>
        <w:tabs>
          <w:tab w:leader="none" w:pos="560" w:val="left"/>
        </w:tabs>
        <w:numPr>
          <w:ilvl w:val="0"/>
          <w:numId w:val="89"/>
        </w:numPr>
        <w:rPr>
          <w:rFonts w:ascii="Arial" w:cs="Arial" w:eastAsia="Arial" w:hAnsi="Arial"/>
          <w:sz w:val="18"/>
          <w:szCs w:val="18"/>
          <w:color w:val="auto"/>
        </w:rPr>
      </w:pPr>
      <w:r>
        <w:rPr>
          <w:rFonts w:ascii="Arial" w:cs="Arial" w:eastAsia="Arial" w:hAnsi="Arial"/>
          <w:sz w:val="18"/>
          <w:szCs w:val="18"/>
          <w:b w:val="1"/>
          <w:bCs w:val="1"/>
          <w:color w:val="auto"/>
        </w:rPr>
        <w:t>Purpose</w:t>
      </w:r>
      <w:r>
        <w:rPr>
          <w:rFonts w:ascii="Arial" w:cs="Arial" w:eastAsia="Arial" w:hAnsi="Arial"/>
          <w:sz w:val="18"/>
          <w:szCs w:val="18"/>
          <w:color w:val="auto"/>
        </w:rPr>
        <w:t>.</w:t>
      </w:r>
    </w:p>
    <w:p>
      <w:pPr>
        <w:spacing w:after="0" w:line="220" w:lineRule="exact"/>
        <w:rPr>
          <w:rFonts w:ascii="Arial" w:cs="Arial" w:eastAsia="Arial" w:hAnsi="Arial"/>
          <w:sz w:val="18"/>
          <w:szCs w:val="18"/>
          <w:color w:val="auto"/>
        </w:rPr>
      </w:pPr>
    </w:p>
    <w:p>
      <w:pPr>
        <w:jc w:val="both"/>
        <w:ind w:left="180" w:firstLine="644"/>
        <w:spacing w:after="0" w:line="238" w:lineRule="auto"/>
        <w:tabs>
          <w:tab w:leader="none" w:pos="1495" w:val="left"/>
        </w:tabs>
        <w:numPr>
          <w:ilvl w:val="1"/>
          <w:numId w:val="89"/>
        </w:numPr>
        <w:rPr>
          <w:rFonts w:ascii="Arial" w:cs="Arial" w:eastAsia="Arial" w:hAnsi="Arial"/>
          <w:sz w:val="18"/>
          <w:szCs w:val="18"/>
          <w:color w:val="auto"/>
        </w:rPr>
      </w:pPr>
      <w:r>
        <w:rPr>
          <w:rFonts w:ascii="Arial" w:cs="Arial" w:eastAsia="Arial" w:hAnsi="Arial"/>
          <w:sz w:val="18"/>
          <w:szCs w:val="18"/>
          <w:color w:val="auto"/>
        </w:rPr>
        <w:t>The Plan, which was initially adopted by PRA Health Sciences, Inc., was amended and restated in its current form in connection with the transaction entered into by ICON plc (the "Company"), ICON US Holdings Inc., Indigo Merger Sub, Inc. and PRA Health Sciences, Inc., pursuant to which PRA Health Sciences, Inc. became a Subsidiary of the Company, a public limited company incorporated in Ireland, and the Plan, together with all awards granted thereunder, was assumed by the Company with effect from 1 July 2021 (the "Assumption Date").</w:t>
      </w:r>
    </w:p>
    <w:p>
      <w:pPr>
        <w:spacing w:after="0" w:line="188" w:lineRule="exact"/>
        <w:rPr>
          <w:rFonts w:ascii="Arial" w:cs="Arial" w:eastAsia="Arial" w:hAnsi="Arial"/>
          <w:sz w:val="18"/>
          <w:szCs w:val="18"/>
          <w:color w:val="auto"/>
        </w:rPr>
      </w:pPr>
    </w:p>
    <w:p>
      <w:pPr>
        <w:jc w:val="both"/>
        <w:ind w:left="180" w:firstLine="644"/>
        <w:spacing w:after="0" w:line="237" w:lineRule="auto"/>
        <w:tabs>
          <w:tab w:leader="none" w:pos="1483" w:val="left"/>
        </w:tabs>
        <w:numPr>
          <w:ilvl w:val="1"/>
          <w:numId w:val="89"/>
        </w:numPr>
        <w:rPr>
          <w:rFonts w:ascii="Arial" w:cs="Arial" w:eastAsia="Arial" w:hAnsi="Arial"/>
          <w:sz w:val="18"/>
          <w:szCs w:val="18"/>
          <w:color w:val="auto"/>
        </w:rPr>
      </w:pPr>
      <w:r>
        <w:rPr>
          <w:rFonts w:ascii="Arial" w:cs="Arial" w:eastAsia="Arial" w:hAnsi="Arial"/>
          <w:sz w:val="18"/>
          <w:szCs w:val="18"/>
          <w:color w:val="auto"/>
        </w:rPr>
        <w:t>The purpose of the PRA Health Sciences, Inc. 2014 Omnibus Incentive Plan is to provide a means through which the Company and its Affiliates may attract and retain key personnel and to provide a means whereby directors, officers, employees, consultants and advisors (and prospective directors, officers, employees, consultants and advisors) of the Company and its Affiliates can acquire and maintain an equity interest in the Company, or be paid incentive compensation, including incentive compensation measured by reference to the value of Common Stock, thereby strengthening their commitment to the welfare of the Company and its Affiliates and aligning their interests with those of the Company's stockholders.</w:t>
      </w:r>
    </w:p>
    <w:p>
      <w:pPr>
        <w:spacing w:after="0" w:line="169" w:lineRule="exact"/>
        <w:rPr>
          <w:sz w:val="20"/>
          <w:szCs w:val="20"/>
          <w:color w:val="auto"/>
        </w:rPr>
      </w:pPr>
    </w:p>
    <w:p>
      <w:pPr>
        <w:ind w:left="560" w:hanging="552"/>
        <w:spacing w:after="0"/>
        <w:tabs>
          <w:tab w:leader="none" w:pos="560" w:val="left"/>
        </w:tabs>
        <w:numPr>
          <w:ilvl w:val="0"/>
          <w:numId w:val="90"/>
        </w:numPr>
        <w:rPr>
          <w:rFonts w:ascii="Arial" w:cs="Arial" w:eastAsia="Arial" w:hAnsi="Arial"/>
          <w:sz w:val="18"/>
          <w:szCs w:val="18"/>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 The following definitions shall be applicable throughout the Plan.</w:t>
      </w:r>
    </w:p>
    <w:p>
      <w:pPr>
        <w:spacing w:after="0" w:line="220" w:lineRule="exact"/>
        <w:rPr>
          <w:rFonts w:ascii="Arial" w:cs="Arial" w:eastAsia="Arial" w:hAnsi="Arial"/>
          <w:sz w:val="18"/>
          <w:szCs w:val="18"/>
          <w:color w:val="auto"/>
        </w:rPr>
      </w:pPr>
    </w:p>
    <w:p>
      <w:pPr>
        <w:ind w:left="1340" w:hanging="516"/>
        <w:spacing w:after="0"/>
        <w:tabs>
          <w:tab w:leader="none" w:pos="1340" w:val="left"/>
        </w:tabs>
        <w:numPr>
          <w:ilvl w:val="1"/>
          <w:numId w:val="90"/>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Absolute Share Limit</w:t>
      </w:r>
      <w:r>
        <w:rPr>
          <w:rFonts w:ascii="Arial" w:cs="Arial" w:eastAsia="Arial" w:hAnsi="Arial"/>
          <w:sz w:val="18"/>
          <w:szCs w:val="18"/>
          <w:color w:val="auto"/>
        </w:rPr>
        <w:t>" has the meaning given such term in Section 5(a) of the Plan.</w:t>
      </w:r>
    </w:p>
    <w:p>
      <w:pPr>
        <w:spacing w:after="0" w:line="198" w:lineRule="exact"/>
        <w:rPr>
          <w:rFonts w:ascii="Arial" w:cs="Arial" w:eastAsia="Arial" w:hAnsi="Arial"/>
          <w:sz w:val="18"/>
          <w:szCs w:val="18"/>
          <w:color w:val="010000"/>
        </w:rPr>
      </w:pPr>
    </w:p>
    <w:p>
      <w:pPr>
        <w:jc w:val="both"/>
        <w:ind w:left="660" w:right="340" w:firstLine="167"/>
        <w:spacing w:after="0" w:line="238" w:lineRule="auto"/>
        <w:tabs>
          <w:tab w:leader="none" w:pos="1459" w:val="left"/>
        </w:tabs>
        <w:numPr>
          <w:ilvl w:val="1"/>
          <w:numId w:val="90"/>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any Person that directly or indirectly controls, is controlled by or is under common control with the Company. The term "control" (including, with correlative meaning, the terms "controlled by" and "under common control with"), as applied to any Person, means the possession, directly or indirectly, of the power to direct or cause the direction of the management and policies of such Person, whether through the ownership of voting or other securities, by contract or otherwise.</w:t>
      </w:r>
    </w:p>
    <w:p>
      <w:pPr>
        <w:spacing w:after="0" w:line="191" w:lineRule="exact"/>
        <w:rPr>
          <w:rFonts w:ascii="Arial" w:cs="Arial" w:eastAsia="Arial" w:hAnsi="Arial"/>
          <w:sz w:val="18"/>
          <w:szCs w:val="18"/>
          <w:color w:val="010000"/>
        </w:rPr>
      </w:pPr>
    </w:p>
    <w:p>
      <w:pPr>
        <w:jc w:val="both"/>
        <w:ind w:left="660" w:right="420" w:firstLine="167"/>
        <w:spacing w:after="0"/>
        <w:tabs>
          <w:tab w:leader="none" w:pos="1381" w:val="left"/>
        </w:tabs>
        <w:numPr>
          <w:ilvl w:val="1"/>
          <w:numId w:val="90"/>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Award</w:t>
      </w:r>
      <w:r>
        <w:rPr>
          <w:rFonts w:ascii="Arial" w:cs="Arial" w:eastAsia="Arial" w:hAnsi="Arial"/>
          <w:sz w:val="18"/>
          <w:szCs w:val="18"/>
          <w:color w:val="auto"/>
        </w:rPr>
        <w:t>" means, individually or collectively, any Incentive Stock Option, Nonqualified Stock Option, Stock Appreciation Right, Restricted Stock, Restricted Stock Unit, Other Stock-Based Award and Performance Compensation Award granted under the Plan.</w:t>
      </w:r>
    </w:p>
    <w:p>
      <w:pPr>
        <w:spacing w:after="0" w:line="189" w:lineRule="exact"/>
        <w:rPr>
          <w:rFonts w:ascii="Arial" w:cs="Arial" w:eastAsia="Arial" w:hAnsi="Arial"/>
          <w:sz w:val="18"/>
          <w:szCs w:val="18"/>
          <w:color w:val="010000"/>
        </w:rPr>
      </w:pPr>
    </w:p>
    <w:p>
      <w:pPr>
        <w:ind w:left="1340" w:hanging="513"/>
        <w:spacing w:after="0"/>
        <w:tabs>
          <w:tab w:leader="none" w:pos="1340" w:val="left"/>
        </w:tabs>
        <w:numPr>
          <w:ilvl w:val="1"/>
          <w:numId w:val="90"/>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Award Agreement</w:t>
      </w:r>
      <w:r>
        <w:rPr>
          <w:rFonts w:ascii="Arial" w:cs="Arial" w:eastAsia="Arial" w:hAnsi="Arial"/>
          <w:sz w:val="18"/>
          <w:szCs w:val="18"/>
          <w:color w:val="auto"/>
        </w:rPr>
        <w:t>" means the document or documents by which each Award is evidenced.</w:t>
      </w:r>
    </w:p>
    <w:p>
      <w:pPr>
        <w:spacing w:after="0" w:line="198" w:lineRule="exact"/>
        <w:rPr>
          <w:rFonts w:ascii="Arial" w:cs="Arial" w:eastAsia="Arial" w:hAnsi="Arial"/>
          <w:sz w:val="18"/>
          <w:szCs w:val="18"/>
          <w:color w:val="010000"/>
        </w:rPr>
      </w:pPr>
    </w:p>
    <w:p>
      <w:pPr>
        <w:ind w:left="1340" w:hanging="513"/>
        <w:spacing w:after="0"/>
        <w:tabs>
          <w:tab w:leader="none" w:pos="1340" w:val="left"/>
        </w:tabs>
        <w:numPr>
          <w:ilvl w:val="1"/>
          <w:numId w:val="90"/>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198" w:lineRule="exact"/>
        <w:rPr>
          <w:rFonts w:ascii="Arial" w:cs="Arial" w:eastAsia="Arial" w:hAnsi="Arial"/>
          <w:sz w:val="18"/>
          <w:szCs w:val="18"/>
          <w:color w:val="010000"/>
        </w:rPr>
      </w:pPr>
    </w:p>
    <w:p>
      <w:pPr>
        <w:jc w:val="both"/>
        <w:ind w:left="660" w:right="300" w:firstLine="167"/>
        <w:spacing w:after="0" w:line="236" w:lineRule="auto"/>
        <w:tabs>
          <w:tab w:leader="none" w:pos="1378" w:val="left"/>
        </w:tabs>
        <w:numPr>
          <w:ilvl w:val="1"/>
          <w:numId w:val="90"/>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Cause</w:t>
      </w:r>
      <w:r>
        <w:rPr>
          <w:rFonts w:ascii="Arial" w:cs="Arial" w:eastAsia="Arial" w:hAnsi="Arial"/>
          <w:sz w:val="18"/>
          <w:szCs w:val="18"/>
          <w:color w:val="auto"/>
        </w:rPr>
        <w:t>" means, as to any Participant, unless the applicable Award Agreement states otherwise, (i) "Cause", as defined in any employment or consulting agreement between the Participant and the Service Recipient in effect at the time of such Termination, or (ii) in the absence of any such employment or consulting agreement (or the absence of any definition of "Cause" contained therein), the Participant's (A) willful neglect in the performance of the Participant's duties for the Service Recipient or willful or repeated failure or refusal to perform such duties; (B) engagement in conduct in connection with the Participant's employment or service with the Service Recipient, which results, or could reasonably be expected to result in, material harm to the business or reputation of the Company or any Affiliate; (C) conviction of, or plea of guilty or no contest to, (I) any felony; or (II) any other crime that results, or could reasonably be expected to result in, material harm to the business or reputation of the Company or any Affiliate; (D) material violation of the written policies of the Service Recipient, including but not limited to those relating to sexual harassment or the disclosure or misuse of confidential information, or those set forth in the manuals or statements of policy of the Service Recipient; (E) fraud or misappropriation, embezzlement or misuse of funds or property belonging to the Company or any Affiliate; or (F) act of personal dishonesty that involves personal profit in connection with the Participant's employment or service to the Service Recipient.</w:t>
      </w:r>
    </w:p>
    <w:p>
      <w:pPr>
        <w:spacing w:after="0" w:line="200" w:lineRule="exact"/>
        <w:rPr>
          <w:sz w:val="20"/>
          <w:szCs w:val="20"/>
          <w:color w:val="auto"/>
        </w:rPr>
      </w:pPr>
    </w:p>
    <w:p>
      <w:pPr>
        <w:spacing w:after="0" w:line="21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54" w:name="page55"/>
    <w:bookmarkEnd w:id="54"/>
    <w:p>
      <w:pPr>
        <w:ind w:left="720" w:hanging="562"/>
        <w:spacing w:after="0"/>
        <w:tabs>
          <w:tab w:leader="none" w:pos="720" w:val="left"/>
        </w:tabs>
        <w:numPr>
          <w:ilvl w:val="0"/>
          <w:numId w:val="91"/>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w:t>
      </w:r>
    </w:p>
    <w:p>
      <w:pPr>
        <w:spacing w:after="0" w:line="198" w:lineRule="exact"/>
        <w:rPr>
          <w:rFonts w:ascii="Arial" w:cs="Arial" w:eastAsia="Arial" w:hAnsi="Arial"/>
          <w:sz w:val="18"/>
          <w:szCs w:val="18"/>
          <w:color w:val="010000"/>
        </w:rPr>
      </w:pPr>
    </w:p>
    <w:p>
      <w:pPr>
        <w:jc w:val="both"/>
        <w:ind w:left="80" w:right="20" w:firstLine="654"/>
        <w:spacing w:after="0" w:line="236" w:lineRule="auto"/>
        <w:tabs>
          <w:tab w:leader="none" w:pos="1373" w:val="left"/>
        </w:tabs>
        <w:numPr>
          <w:ilvl w:val="1"/>
          <w:numId w:val="91"/>
        </w:numPr>
        <w:rPr>
          <w:rFonts w:ascii="Arial" w:cs="Arial" w:eastAsia="Arial" w:hAnsi="Arial"/>
          <w:sz w:val="18"/>
          <w:szCs w:val="18"/>
          <w:color w:val="010000"/>
        </w:rPr>
      </w:pPr>
      <w:r>
        <w:rPr>
          <w:rFonts w:ascii="Arial" w:cs="Arial" w:eastAsia="Arial" w:hAnsi="Arial"/>
          <w:sz w:val="18"/>
          <w:szCs w:val="18"/>
          <w:color w:val="auto"/>
        </w:rPr>
        <w:t xml:space="preserve">the acquisition (whether by purchase, merger, consolidation, combination or other similar transaction) by any Person of beneficial ownership (within the meaning of Rule 13d-3 promulgated under the Exchange Act) of more than 50% (on a fully diluted basis) of either (A) the then outstanding shares of Common Stock, taking into account as outstanding for this purpose such Common Stock issuable upon the exercise of options or warrants, the conversion of convertible stock or debt, and the exercise of any similar right to acquire such Common Stock or (B) the combined voting power of the then outstanding voting securities of the Company entitled to vote generally in the election of directors; </w:t>
      </w:r>
      <w:r>
        <w:rPr>
          <w:rFonts w:ascii="Arial" w:cs="Arial" w:eastAsia="Arial" w:hAnsi="Arial"/>
          <w:sz w:val="18"/>
          <w:szCs w:val="18"/>
          <w:i w:val="1"/>
          <w:iCs w:val="1"/>
          <w:color w:val="auto"/>
        </w:rPr>
        <w:t>provided, however</w:t>
      </w:r>
      <w:r>
        <w:rPr>
          <w:rFonts w:ascii="Arial" w:cs="Arial" w:eastAsia="Arial" w:hAnsi="Arial"/>
          <w:sz w:val="18"/>
          <w:szCs w:val="18"/>
          <w:color w:val="auto"/>
        </w:rPr>
        <w:t>, that for purposes of this Plan, the following acquisitions shall not constitute a Change in Control: (I) any acquisition by the Company or any Affiliate; (II) any acquisition by any employee benefit plan sponsored or maintained by the Company or any Affiliate; or (III) in respect of an Award held by a particular Participant, any acquisition by the Participant or any group of Persons including the Participant (or any entity controlled by the Participant or any group of Persons including the Participant);</w:t>
      </w:r>
    </w:p>
    <w:p>
      <w:pPr>
        <w:spacing w:after="0" w:line="192" w:lineRule="exact"/>
        <w:rPr>
          <w:rFonts w:ascii="Arial" w:cs="Arial" w:eastAsia="Arial" w:hAnsi="Arial"/>
          <w:sz w:val="18"/>
          <w:szCs w:val="18"/>
          <w:color w:val="010000"/>
        </w:rPr>
      </w:pPr>
    </w:p>
    <w:p>
      <w:pPr>
        <w:jc w:val="both"/>
        <w:ind w:left="80" w:right="20" w:firstLine="654"/>
        <w:spacing w:after="0" w:line="236" w:lineRule="auto"/>
        <w:tabs>
          <w:tab w:leader="none" w:pos="1345" w:val="left"/>
        </w:tabs>
        <w:numPr>
          <w:ilvl w:val="1"/>
          <w:numId w:val="91"/>
        </w:numPr>
        <w:rPr>
          <w:rFonts w:ascii="Arial" w:cs="Arial" w:eastAsia="Arial" w:hAnsi="Arial"/>
          <w:sz w:val="18"/>
          <w:szCs w:val="18"/>
          <w:color w:val="010000"/>
        </w:rPr>
      </w:pPr>
      <w:r>
        <w:rPr>
          <w:rFonts w:ascii="Arial" w:cs="Arial" w:eastAsia="Arial" w:hAnsi="Arial"/>
          <w:sz w:val="18"/>
          <w:szCs w:val="18"/>
          <w:color w:val="auto"/>
        </w:rPr>
        <w:t>during any period of twelve (12) months, individuals who, at the beginning of such period, constitute the Board (the "</w:t>
      </w:r>
      <w:r>
        <w:rPr>
          <w:rFonts w:ascii="Arial" w:cs="Arial" w:eastAsia="Arial" w:hAnsi="Arial"/>
          <w:sz w:val="18"/>
          <w:szCs w:val="18"/>
          <w:u w:val="single" w:color="auto"/>
          <w:color w:val="auto"/>
        </w:rPr>
        <w:t>Incumbent Directors</w:t>
      </w:r>
      <w:r>
        <w:rPr>
          <w:rFonts w:ascii="Arial" w:cs="Arial" w:eastAsia="Arial" w:hAnsi="Arial"/>
          <w:sz w:val="18"/>
          <w:szCs w:val="18"/>
          <w:color w:val="auto"/>
        </w:rPr>
        <w:t xml:space="preserve">") cease for any reason to constitute at least a majority of the Board, provided that any person becoming a director subsequent to the date hereof, whose election or nomination for election was approved by a vote of at least two-thirds of the Incumbent Directors then on the Board (either by a specific vote or by approval of the proxy statement of the Company in which such person is named as a nominee for director, without written objection to such nomination) shall be an Incumbent Director; </w:t>
      </w:r>
      <w:r>
        <w:rPr>
          <w:rFonts w:ascii="Arial" w:cs="Arial" w:eastAsia="Arial" w:hAnsi="Arial"/>
          <w:sz w:val="18"/>
          <w:szCs w:val="18"/>
          <w:i w:val="1"/>
          <w:iCs w:val="1"/>
          <w:color w:val="auto"/>
        </w:rPr>
        <w:t>provided, however</w:t>
      </w:r>
      <w:r>
        <w:rPr>
          <w:rFonts w:ascii="Arial" w:cs="Arial" w:eastAsia="Arial" w:hAnsi="Arial"/>
          <w:sz w:val="18"/>
          <w:szCs w:val="18"/>
          <w:color w:val="auto"/>
        </w:rPr>
        <w:t>, that no individual initially elected or nominated as a director of the Company as a result of an actual or threatened election contest, as such terms are used in Rule 14a-12 of Regulation 14A promulgated under the Exchange Act, with respect to directors or as a result of any other actual or threatened solicitation of proxies or consents by or on behalf of any person other than the Board shall be deemed to be an Incumbent Director; or</w:t>
      </w:r>
    </w:p>
    <w:p>
      <w:pPr>
        <w:spacing w:after="0" w:line="193" w:lineRule="exact"/>
        <w:rPr>
          <w:rFonts w:ascii="Arial" w:cs="Arial" w:eastAsia="Arial" w:hAnsi="Arial"/>
          <w:sz w:val="18"/>
          <w:szCs w:val="18"/>
          <w:color w:val="010000"/>
        </w:rPr>
      </w:pPr>
    </w:p>
    <w:p>
      <w:pPr>
        <w:ind w:left="80" w:right="80" w:firstLine="654"/>
        <w:spacing w:after="0" w:line="246" w:lineRule="auto"/>
        <w:tabs>
          <w:tab w:leader="none" w:pos="1318" w:val="left"/>
        </w:tabs>
        <w:numPr>
          <w:ilvl w:val="1"/>
          <w:numId w:val="91"/>
        </w:numPr>
        <w:rPr>
          <w:rFonts w:ascii="Arial" w:cs="Arial" w:eastAsia="Arial" w:hAnsi="Arial"/>
          <w:sz w:val="18"/>
          <w:szCs w:val="18"/>
          <w:color w:val="010000"/>
        </w:rPr>
      </w:pPr>
      <w:r>
        <w:rPr>
          <w:rFonts w:ascii="Arial" w:cs="Arial" w:eastAsia="Arial" w:hAnsi="Arial"/>
          <w:sz w:val="18"/>
          <w:szCs w:val="18"/>
          <w:color w:val="auto"/>
        </w:rPr>
        <w:t>the sale, transfer or other disposition of all or substantially all of the assets of the Company to any Person that is not an Affiliate of the Company.</w:t>
      </w:r>
    </w:p>
    <w:p>
      <w:pPr>
        <w:spacing w:after="0" w:line="183" w:lineRule="exact"/>
        <w:rPr>
          <w:rFonts w:ascii="Arial" w:cs="Arial" w:eastAsia="Arial" w:hAnsi="Arial"/>
          <w:sz w:val="18"/>
          <w:szCs w:val="18"/>
          <w:color w:val="010000"/>
        </w:rPr>
      </w:pPr>
    </w:p>
    <w:p>
      <w:pPr>
        <w:jc w:val="both"/>
        <w:ind w:right="20" w:firstLine="167"/>
        <w:spacing w:after="0"/>
        <w:tabs>
          <w:tab w:leader="none" w:pos="758" w:val="left"/>
        </w:tabs>
        <w:numPr>
          <w:ilvl w:val="0"/>
          <w:numId w:val="91"/>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and any successor thereto. Reference in the Plan to any section of the Code shall be deemed to include any regulations or other interpretative guidance under such section, and any amendments or successor provisions to such section, regulations or guidance.</w:t>
      </w:r>
    </w:p>
    <w:p>
      <w:pPr>
        <w:spacing w:after="0" w:line="189" w:lineRule="exact"/>
        <w:rPr>
          <w:rFonts w:ascii="Arial" w:cs="Arial" w:eastAsia="Arial" w:hAnsi="Arial"/>
          <w:sz w:val="18"/>
          <w:szCs w:val="18"/>
          <w:color w:val="010000"/>
        </w:rPr>
      </w:pPr>
    </w:p>
    <w:p>
      <w:pPr>
        <w:ind w:right="20" w:firstLine="167"/>
        <w:spacing w:after="0" w:line="246" w:lineRule="auto"/>
        <w:tabs>
          <w:tab w:leader="none" w:pos="694" w:val="left"/>
        </w:tabs>
        <w:numPr>
          <w:ilvl w:val="0"/>
          <w:numId w:val="91"/>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the Compensation Committee of the Board or any properly delegated subcommittee thereof or, if no such Compensation Committee or subcommittee thereof exists, the Board.</w:t>
      </w:r>
    </w:p>
    <w:p>
      <w:pPr>
        <w:spacing w:after="0" w:line="183" w:lineRule="exact"/>
        <w:rPr>
          <w:rFonts w:ascii="Arial" w:cs="Arial" w:eastAsia="Arial" w:hAnsi="Arial"/>
          <w:sz w:val="18"/>
          <w:szCs w:val="18"/>
          <w:color w:val="010000"/>
        </w:rPr>
      </w:pPr>
    </w:p>
    <w:p>
      <w:pPr>
        <w:ind w:firstLine="167"/>
        <w:spacing w:after="0" w:line="246" w:lineRule="auto"/>
        <w:tabs>
          <w:tab w:leader="none" w:pos="734" w:val="left"/>
        </w:tabs>
        <w:numPr>
          <w:ilvl w:val="0"/>
          <w:numId w:val="91"/>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or "</w:t>
      </w:r>
      <w:r>
        <w:rPr>
          <w:rFonts w:ascii="Arial" w:cs="Arial" w:eastAsia="Arial" w:hAnsi="Arial"/>
          <w:sz w:val="18"/>
          <w:szCs w:val="18"/>
          <w:u w:val="single" w:color="auto"/>
          <w:color w:val="auto"/>
        </w:rPr>
        <w:t>Shares</w:t>
      </w:r>
      <w:r>
        <w:rPr>
          <w:rFonts w:ascii="Arial" w:cs="Arial" w:eastAsia="Arial" w:hAnsi="Arial"/>
          <w:sz w:val="18"/>
          <w:szCs w:val="18"/>
          <w:color w:val="auto"/>
        </w:rPr>
        <w:t>" means ordinary shares in the capital of the Company (or ordinary shares as represented by American Depository Shares and as evidenced by American Depository Receipts).</w:t>
      </w:r>
    </w:p>
    <w:p>
      <w:pPr>
        <w:spacing w:after="0" w:line="183" w:lineRule="exact"/>
        <w:rPr>
          <w:rFonts w:ascii="Arial" w:cs="Arial" w:eastAsia="Arial" w:hAnsi="Arial"/>
          <w:sz w:val="18"/>
          <w:szCs w:val="18"/>
          <w:color w:val="010000"/>
        </w:rPr>
      </w:pPr>
    </w:p>
    <w:p>
      <w:pPr>
        <w:ind w:left="680" w:hanging="513"/>
        <w:spacing w:after="0"/>
        <w:tabs>
          <w:tab w:leader="none" w:pos="680" w:val="left"/>
        </w:tabs>
        <w:numPr>
          <w:ilvl w:val="0"/>
          <w:numId w:val="91"/>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ICON plc, a public limited company registered in Ireland, and any successor thereto.</w:t>
      </w:r>
    </w:p>
    <w:p>
      <w:pPr>
        <w:spacing w:after="0" w:line="198" w:lineRule="exact"/>
        <w:rPr>
          <w:rFonts w:ascii="Arial" w:cs="Arial" w:eastAsia="Arial" w:hAnsi="Arial"/>
          <w:sz w:val="18"/>
          <w:szCs w:val="18"/>
          <w:color w:val="010000"/>
        </w:rPr>
      </w:pPr>
    </w:p>
    <w:p>
      <w:pPr>
        <w:ind w:right="120" w:firstLine="167"/>
        <w:spacing w:after="0" w:line="246" w:lineRule="auto"/>
        <w:tabs>
          <w:tab w:leader="none" w:pos="856" w:val="left"/>
        </w:tabs>
        <w:numPr>
          <w:ilvl w:val="0"/>
          <w:numId w:val="91"/>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Date of Grant</w:t>
      </w:r>
      <w:r>
        <w:rPr>
          <w:rFonts w:ascii="Arial" w:cs="Arial" w:eastAsia="Arial" w:hAnsi="Arial"/>
          <w:sz w:val="18"/>
          <w:szCs w:val="18"/>
          <w:color w:val="auto"/>
        </w:rPr>
        <w:t>" means the date on which the granting of an Award is authorized, or such other date as may be specified in such authorization.</w:t>
      </w:r>
    </w:p>
    <w:p>
      <w:pPr>
        <w:spacing w:after="0" w:line="183" w:lineRule="exact"/>
        <w:rPr>
          <w:rFonts w:ascii="Arial" w:cs="Arial" w:eastAsia="Arial" w:hAnsi="Arial"/>
          <w:sz w:val="18"/>
          <w:szCs w:val="18"/>
          <w:color w:val="010000"/>
        </w:rPr>
      </w:pPr>
    </w:p>
    <w:p>
      <w:pPr>
        <w:ind w:right="40" w:firstLine="167"/>
        <w:spacing w:after="0" w:line="246" w:lineRule="auto"/>
        <w:tabs>
          <w:tab w:leader="none" w:pos="704" w:val="left"/>
        </w:tabs>
        <w:numPr>
          <w:ilvl w:val="0"/>
          <w:numId w:val="91"/>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Designated Foreign Subsidiaries</w:t>
      </w:r>
      <w:r>
        <w:rPr>
          <w:rFonts w:ascii="Arial" w:cs="Arial" w:eastAsia="Arial" w:hAnsi="Arial"/>
          <w:sz w:val="18"/>
          <w:szCs w:val="18"/>
          <w:color w:val="auto"/>
        </w:rPr>
        <w:t>" means all Affiliates organized under the laws of any jurisdiction or country other than the United States of America that may be designated by the Board or the Committee from time to time.</w:t>
      </w:r>
    </w:p>
    <w:p>
      <w:pPr>
        <w:spacing w:after="0" w:line="183" w:lineRule="exact"/>
        <w:rPr>
          <w:rFonts w:ascii="Arial" w:cs="Arial" w:eastAsia="Arial" w:hAnsi="Arial"/>
          <w:sz w:val="18"/>
          <w:szCs w:val="18"/>
          <w:color w:val="010000"/>
        </w:rPr>
      </w:pPr>
    </w:p>
    <w:p>
      <w:pPr>
        <w:jc w:val="both"/>
        <w:ind w:right="140" w:firstLine="167"/>
        <w:spacing w:after="0" w:line="238" w:lineRule="auto"/>
        <w:tabs>
          <w:tab w:leader="none" w:pos="920" w:val="left"/>
        </w:tabs>
        <w:numPr>
          <w:ilvl w:val="0"/>
          <w:numId w:val="91"/>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Detrimental Activity</w:t>
      </w:r>
      <w:r>
        <w:rPr>
          <w:rFonts w:ascii="Arial" w:cs="Arial" w:eastAsia="Arial" w:hAnsi="Arial"/>
          <w:sz w:val="18"/>
          <w:szCs w:val="18"/>
          <w:color w:val="auto"/>
        </w:rPr>
        <w:t>" means any of the following: (i) unauthorized disclosure of any confidential or proprietary information of the Company or its Affiliates; (ii) any activity that would be grounds to terminate the Participant's employment or service with the Service Recipient for Cause; (iii) the breach of any noncompetition, nonsolicitation or other agreement containing restrictive covenants, with the Company or its Affiliates; or (iv) fraud or conduct contributing to any financial restatements or irregularities, as determined by the Committee in its sole discretion.</w:t>
      </w:r>
    </w:p>
    <w:p>
      <w:pPr>
        <w:spacing w:after="0" w:line="200" w:lineRule="exact"/>
        <w:rPr>
          <w:sz w:val="20"/>
          <w:szCs w:val="20"/>
          <w:color w:val="auto"/>
        </w:rPr>
      </w:pPr>
    </w:p>
    <w:p>
      <w:pPr>
        <w:spacing w:after="0" w:line="205"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40640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00"/>
          </w:cols>
          <w:pgMar w:left="980" w:top="355" w:right="619" w:bottom="1440" w:gutter="0" w:footer="0" w:header="0"/>
        </w:sectPr>
      </w:pPr>
    </w:p>
    <w:bookmarkStart w:id="55" w:name="page56"/>
    <w:bookmarkEnd w:id="55"/>
    <w:p>
      <w:pPr>
        <w:jc w:val="both"/>
        <w:ind w:right="60" w:firstLine="167"/>
        <w:spacing w:after="0" w:line="237" w:lineRule="auto"/>
        <w:tabs>
          <w:tab w:leader="none" w:pos="745" w:val="left"/>
        </w:tabs>
        <w:numPr>
          <w:ilvl w:val="0"/>
          <w:numId w:val="92"/>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means, as to any Participant, unless the applicable Award Agreement states otherwise, (i) "Disability", as defined in any employment or consulting agreement between the Participant and the Service Recipient in effect at the time of such Termination; or (ii) in the absence of any such employment or consulting agreement (or the absence of any definition of "Disability" contained therein), a condition entitling the Participant to receive benefits under a long-term disability plan of the Company or an Affiliate, or, in the absence of such a plan, the complete and permanent inability by reason of illness or accident to perform the duties of the occupation at which a Participant was employed or served when such disability commenced. Any determination of whether Disability exists shall be made by the Company in its sole and absolute discretion.</w:t>
      </w:r>
    </w:p>
    <w:p>
      <w:pPr>
        <w:spacing w:after="0" w:line="189" w:lineRule="exact"/>
        <w:rPr>
          <w:rFonts w:ascii="Arial" w:cs="Arial" w:eastAsia="Arial" w:hAnsi="Arial"/>
          <w:sz w:val="18"/>
          <w:szCs w:val="18"/>
          <w:color w:val="010000"/>
        </w:rPr>
      </w:pPr>
    </w:p>
    <w:p>
      <w:pPr>
        <w:ind w:left="680" w:hanging="513"/>
        <w:spacing w:after="0"/>
        <w:tabs>
          <w:tab w:leader="none" w:pos="680" w:val="left"/>
        </w:tabs>
        <w:numPr>
          <w:ilvl w:val="0"/>
          <w:numId w:val="92"/>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means October 31, 2014.</w:t>
      </w:r>
    </w:p>
    <w:p>
      <w:pPr>
        <w:spacing w:after="0" w:line="198" w:lineRule="exact"/>
        <w:rPr>
          <w:rFonts w:ascii="Arial" w:cs="Arial" w:eastAsia="Arial" w:hAnsi="Arial"/>
          <w:sz w:val="18"/>
          <w:szCs w:val="18"/>
          <w:color w:val="010000"/>
        </w:rPr>
      </w:pPr>
    </w:p>
    <w:p>
      <w:pPr>
        <w:jc w:val="both"/>
        <w:ind w:right="40" w:firstLine="167"/>
        <w:spacing w:after="0" w:line="236" w:lineRule="auto"/>
        <w:tabs>
          <w:tab w:leader="none" w:pos="691" w:val="left"/>
        </w:tabs>
        <w:numPr>
          <w:ilvl w:val="0"/>
          <w:numId w:val="92"/>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Eligible Director</w:t>
      </w:r>
      <w:r>
        <w:rPr>
          <w:rFonts w:ascii="Arial" w:cs="Arial" w:eastAsia="Arial" w:hAnsi="Arial"/>
          <w:sz w:val="18"/>
          <w:szCs w:val="18"/>
          <w:color w:val="auto"/>
        </w:rPr>
        <w:t>" means a person who is (i) with respect to actions intended to obtain an exemption from Section 16(b) of the Exchange Act pursuant to Rule 16b-3 under the Exchange Act, a "non-employee director" within the meaning of Rule 16b-3 under the Exchange Act; (ii) with respect to actions intended to obtain the exception for performance- based compensation under 162(m) of the Code, an "outside director" within the meaning of Section 162(m) of the Code; and (iii) with respect to actions undertaken to comply with the rules of the NASDAQ or any other securities exchange or inter-dealer quotation system on which the Common Stock is listed or quoted, an "independent director" under the rules of the NASDAQ or any other securities exchange or inter-dealer quotation system on which the Common Stock is listed or quoted, or a person meeting any similar requirement under any successor rule or regulation.</w:t>
      </w:r>
    </w:p>
    <w:p>
      <w:pPr>
        <w:spacing w:after="0" w:line="176" w:lineRule="exact"/>
        <w:rPr>
          <w:rFonts w:ascii="Arial" w:cs="Arial" w:eastAsia="Arial" w:hAnsi="Arial"/>
          <w:sz w:val="18"/>
          <w:szCs w:val="18"/>
          <w:color w:val="010000"/>
        </w:rPr>
      </w:pPr>
    </w:p>
    <w:p>
      <w:pPr>
        <w:jc w:val="both"/>
        <w:ind w:right="40" w:firstLine="167"/>
        <w:spacing w:after="0" w:line="237" w:lineRule="auto"/>
        <w:tabs>
          <w:tab w:leader="none" w:pos="768" w:val="left"/>
        </w:tabs>
        <w:numPr>
          <w:ilvl w:val="0"/>
          <w:numId w:val="92"/>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Eligible Person</w:t>
      </w:r>
      <w:r>
        <w:rPr>
          <w:rFonts w:ascii="Arial" w:cs="Arial" w:eastAsia="Arial" w:hAnsi="Arial"/>
          <w:sz w:val="18"/>
          <w:szCs w:val="18"/>
          <w:color w:val="auto"/>
        </w:rPr>
        <w:t xml:space="preserve">" means any (i) individual employed by the Company or an Affiliate; </w:t>
      </w:r>
      <w:r>
        <w:rPr>
          <w:rFonts w:ascii="Arial" w:cs="Arial" w:eastAsia="Arial" w:hAnsi="Arial"/>
          <w:sz w:val="18"/>
          <w:szCs w:val="18"/>
          <w:i w:val="1"/>
          <w:iCs w:val="1"/>
          <w:color w:val="auto"/>
        </w:rPr>
        <w:t>provided, however</w:t>
      </w:r>
      <w:r>
        <w:rPr>
          <w:rFonts w:ascii="Arial" w:cs="Arial" w:eastAsia="Arial" w:hAnsi="Arial"/>
          <w:sz w:val="18"/>
          <w:szCs w:val="18"/>
          <w:color w:val="auto"/>
        </w:rPr>
        <w:t>, that no such employee covered by a collective bargaining agreement shall be an Eligible Person unless and to the extent that such eligibility is set forth in such collective bargaining agreement or in an agreement or instrument relating thereto; (ii) director or officer of the Company or an Affiliate; (iii) consultant or advisor to the Company or an Affiliate who may be offered securities registrable pursuant to a registration statement on Form S-8 under the Securities Act; or (iv) any prospective employees, directors, officers, consultants or advisors who have accepted offers of employment or consultancy from the Company or one of its Affiliates (and would satisfy the provisions of clauses (i) through (iii) above once he or she begins employment with or providing services to the Company or one of its Affiliates), who, in the case of each of clauses (i) through (iv) above has entered into an Award Agreement or who has received written notification from the Committee or its designee that they have been selected to participate in the Plan. Solely for purposes of this Section 2(r), "Affiliate" shall be limited to: (1) a Subsidiary; (2) any parent corporation of the Company within the meaning of Section 424(e) of the Code ("</w:t>
      </w:r>
      <w:r>
        <w:rPr>
          <w:rFonts w:ascii="Arial" w:cs="Arial" w:eastAsia="Arial" w:hAnsi="Arial"/>
          <w:sz w:val="18"/>
          <w:szCs w:val="18"/>
          <w:u w:val="single" w:color="auto"/>
          <w:color w:val="auto"/>
        </w:rPr>
        <w:t>Parent</w:t>
      </w:r>
      <w:r>
        <w:rPr>
          <w:rFonts w:ascii="Arial" w:cs="Arial" w:eastAsia="Arial" w:hAnsi="Arial"/>
          <w:sz w:val="18"/>
          <w:szCs w:val="18"/>
          <w:color w:val="auto"/>
        </w:rPr>
        <w:t>"); (3) any corporation, trade or business of which 50% or more of the combined voting power of such entity's outstanding securities is directly or indirectly controlled by the Company or any Subsidiary or Parent; or (4) any corporation, trade or business which, directly or indirectly, controls 50% or more of the combined voting power of the outstanding securities of the Company.</w:t>
      </w:r>
    </w:p>
    <w:p>
      <w:pPr>
        <w:spacing w:after="0" w:line="193" w:lineRule="exact"/>
        <w:rPr>
          <w:rFonts w:ascii="Arial" w:cs="Arial" w:eastAsia="Arial" w:hAnsi="Arial"/>
          <w:sz w:val="18"/>
          <w:szCs w:val="18"/>
          <w:color w:val="010000"/>
        </w:rPr>
      </w:pPr>
    </w:p>
    <w:p>
      <w:pPr>
        <w:jc w:val="both"/>
        <w:ind w:firstLine="167"/>
        <w:spacing w:after="0" w:line="238" w:lineRule="auto"/>
        <w:tabs>
          <w:tab w:leader="none" w:pos="811" w:val="left"/>
        </w:tabs>
        <w:numPr>
          <w:ilvl w:val="0"/>
          <w:numId w:val="92"/>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 and any successor thereto. Reference in the Plan to any section of (or rule promulgated under) the Exchange Act shall be deemed to include any rules, regulations or other interpretative guidance under such section or rule, and any amendments or successor provisions to such section, rules, regulations or guidance.</w:t>
      </w:r>
    </w:p>
    <w:p>
      <w:pPr>
        <w:spacing w:after="0" w:line="191" w:lineRule="exact"/>
        <w:rPr>
          <w:rFonts w:ascii="Arial" w:cs="Arial" w:eastAsia="Arial" w:hAnsi="Arial"/>
          <w:sz w:val="18"/>
          <w:szCs w:val="18"/>
          <w:color w:val="010000"/>
        </w:rPr>
      </w:pPr>
    </w:p>
    <w:p>
      <w:pPr>
        <w:ind w:left="720" w:hanging="562"/>
        <w:spacing w:after="0"/>
        <w:tabs>
          <w:tab w:leader="none" w:pos="720" w:val="left"/>
        </w:tabs>
        <w:numPr>
          <w:ilvl w:val="0"/>
          <w:numId w:val="92"/>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Exercise Price</w:t>
      </w:r>
      <w:r>
        <w:rPr>
          <w:rFonts w:ascii="Arial" w:cs="Arial" w:eastAsia="Arial" w:hAnsi="Arial"/>
          <w:sz w:val="18"/>
          <w:szCs w:val="18"/>
          <w:color w:val="auto"/>
        </w:rPr>
        <w:t>" has the meaning given such term in Section 7(b) of the Plan.</w:t>
      </w:r>
    </w:p>
    <w:p>
      <w:pPr>
        <w:spacing w:after="0" w:line="200" w:lineRule="exact"/>
        <w:rPr>
          <w:sz w:val="20"/>
          <w:szCs w:val="20"/>
          <w:color w:val="auto"/>
        </w:rPr>
      </w:pPr>
    </w:p>
    <w:p>
      <w:pPr>
        <w:spacing w:after="0" w:line="214"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40640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00"/>
          </w:cols>
          <w:pgMar w:left="980" w:top="355" w:right="719" w:bottom="1440" w:gutter="0" w:footer="0" w:header="0"/>
        </w:sectPr>
      </w:pPr>
    </w:p>
    <w:bookmarkStart w:id="56" w:name="page57"/>
    <w:bookmarkEnd w:id="56"/>
    <w:p>
      <w:pPr>
        <w:jc w:val="both"/>
        <w:ind w:firstLine="167"/>
        <w:spacing w:after="0" w:line="236" w:lineRule="auto"/>
        <w:tabs>
          <w:tab w:leader="none" w:pos="772" w:val="left"/>
        </w:tabs>
        <w:numPr>
          <w:ilvl w:val="0"/>
          <w:numId w:val="93"/>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xml:space="preserve">" means, on a given date, if (i) the Common Stock is listed on a national securities exchange, the closing sales price of the Common Stock reported on the primary exchange on which the Common Stock is listed and traded on such date, or, if there are no such sales on that date, then on the last preceding date on which such sales were reported; (ii) the Common Stock is not listed on any national securities exchange but is quoted in an inter- dealer quotation system on a last sale basis, the average between the closing bid price and ask price reported on such date, or, if there is no such sale on that date, then on the last preceding date on which a sale was reported; or (iii) the Common Stock is not listed on a national securities exchange or quoted in an inter-dealer quotation system on a last sale basis, the amount determined by the Committee in good faith to be the fair market value of the Common Stock;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as to any Awards granted on or with a Date of Grant of the date of the pricing of the Company's initial public offering, "Fair Market Value" shall be equal to the per share price the Common Stock is offered to the public in connection with such initial public offering.</w:t>
      </w:r>
    </w:p>
    <w:p>
      <w:pPr>
        <w:spacing w:after="0" w:line="192" w:lineRule="exact"/>
        <w:rPr>
          <w:rFonts w:ascii="Arial" w:cs="Arial" w:eastAsia="Arial" w:hAnsi="Arial"/>
          <w:sz w:val="18"/>
          <w:szCs w:val="18"/>
          <w:color w:val="010000"/>
        </w:rPr>
      </w:pPr>
    </w:p>
    <w:p>
      <w:pPr>
        <w:ind w:left="720" w:hanging="553"/>
        <w:spacing w:after="0"/>
        <w:tabs>
          <w:tab w:leader="none" w:pos="720" w:val="left"/>
        </w:tabs>
        <w:numPr>
          <w:ilvl w:val="0"/>
          <w:numId w:val="93"/>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has the meaning given such term in Section 14(b) of the Plan</w:t>
      </w:r>
    </w:p>
    <w:p>
      <w:pPr>
        <w:spacing w:after="0" w:line="198" w:lineRule="exact"/>
        <w:rPr>
          <w:rFonts w:ascii="Arial" w:cs="Arial" w:eastAsia="Arial" w:hAnsi="Arial"/>
          <w:sz w:val="18"/>
          <w:szCs w:val="18"/>
          <w:color w:val="010000"/>
        </w:rPr>
      </w:pPr>
    </w:p>
    <w:p>
      <w:pPr>
        <w:ind w:left="720" w:hanging="553"/>
        <w:spacing w:after="0"/>
        <w:tabs>
          <w:tab w:leader="none" w:pos="720" w:val="left"/>
        </w:tabs>
        <w:numPr>
          <w:ilvl w:val="0"/>
          <w:numId w:val="93"/>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Immediate Family Members</w:t>
      </w:r>
      <w:r>
        <w:rPr>
          <w:rFonts w:ascii="Arial" w:cs="Arial" w:eastAsia="Arial" w:hAnsi="Arial"/>
          <w:sz w:val="18"/>
          <w:szCs w:val="18"/>
          <w:color w:val="auto"/>
        </w:rPr>
        <w:t>" has the meaning given such term in Section 14(b) of the Plan.</w:t>
      </w:r>
    </w:p>
    <w:p>
      <w:pPr>
        <w:spacing w:after="0" w:line="180" w:lineRule="exact"/>
        <w:rPr>
          <w:rFonts w:ascii="Arial" w:cs="Arial" w:eastAsia="Arial" w:hAnsi="Arial"/>
          <w:sz w:val="18"/>
          <w:szCs w:val="18"/>
          <w:color w:val="010000"/>
        </w:rPr>
      </w:pPr>
    </w:p>
    <w:p>
      <w:pPr>
        <w:ind w:firstLine="167"/>
        <w:spacing w:after="0" w:line="267" w:lineRule="auto"/>
        <w:tabs>
          <w:tab w:leader="none" w:pos="829" w:val="left"/>
        </w:tabs>
        <w:numPr>
          <w:ilvl w:val="0"/>
          <w:numId w:val="93"/>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Incentive Stock Option</w:t>
      </w:r>
      <w:r>
        <w:rPr>
          <w:rFonts w:ascii="Arial" w:cs="Arial" w:eastAsia="Arial" w:hAnsi="Arial"/>
          <w:sz w:val="18"/>
          <w:szCs w:val="18"/>
          <w:color w:val="auto"/>
        </w:rPr>
        <w:t xml:space="preserve">" means an Option which is designated by the </w:t>
      </w:r>
      <w:r>
        <w:rPr>
          <w:rFonts w:ascii="Arial" w:cs="Arial" w:eastAsia="Arial" w:hAnsi="Arial"/>
          <w:sz w:val="18"/>
          <w:szCs w:val="18"/>
          <w:i w:val="1"/>
          <w:iCs w:val="1"/>
          <w:color w:val="auto"/>
        </w:rPr>
        <w:t>Committee</w:t>
      </w:r>
      <w:r>
        <w:rPr>
          <w:rFonts w:ascii="Arial" w:cs="Arial" w:eastAsia="Arial" w:hAnsi="Arial"/>
          <w:sz w:val="18"/>
          <w:szCs w:val="18"/>
          <w:color w:val="auto"/>
        </w:rPr>
        <w:t xml:space="preserve"> as an incentive stock option as described in Section 422 of the Code and otherwise meets the requirements set forth in the Plan.</w:t>
      </w:r>
    </w:p>
    <w:p>
      <w:pPr>
        <w:spacing w:after="0" w:line="164" w:lineRule="exact"/>
        <w:rPr>
          <w:rFonts w:ascii="Arial" w:cs="Arial" w:eastAsia="Arial" w:hAnsi="Arial"/>
          <w:sz w:val="18"/>
          <w:szCs w:val="18"/>
          <w:color w:val="010000"/>
        </w:rPr>
      </w:pPr>
    </w:p>
    <w:p>
      <w:pPr>
        <w:ind w:left="680" w:hanging="513"/>
        <w:spacing w:after="0"/>
        <w:tabs>
          <w:tab w:leader="none" w:pos="680" w:val="left"/>
        </w:tabs>
        <w:numPr>
          <w:ilvl w:val="0"/>
          <w:numId w:val="93"/>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Indemnifiable Person</w:t>
      </w:r>
      <w:r>
        <w:rPr>
          <w:rFonts w:ascii="Arial" w:cs="Arial" w:eastAsia="Arial" w:hAnsi="Arial"/>
          <w:sz w:val="18"/>
          <w:szCs w:val="18"/>
          <w:color w:val="auto"/>
        </w:rPr>
        <w:t>" has the meaning given such term in Section 4(e) of the Plan.</w:t>
      </w:r>
    </w:p>
    <w:p>
      <w:pPr>
        <w:spacing w:after="0" w:line="198" w:lineRule="exact"/>
        <w:rPr>
          <w:rFonts w:ascii="Arial" w:cs="Arial" w:eastAsia="Arial" w:hAnsi="Arial"/>
          <w:sz w:val="18"/>
          <w:szCs w:val="18"/>
          <w:color w:val="010000"/>
        </w:rPr>
      </w:pPr>
    </w:p>
    <w:p>
      <w:pPr>
        <w:ind w:left="680" w:hanging="513"/>
        <w:spacing w:after="0"/>
        <w:tabs>
          <w:tab w:leader="none" w:pos="680" w:val="left"/>
        </w:tabs>
        <w:numPr>
          <w:ilvl w:val="0"/>
          <w:numId w:val="93"/>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NASDAQ</w:t>
      </w:r>
      <w:r>
        <w:rPr>
          <w:rFonts w:ascii="Arial" w:cs="Arial" w:eastAsia="Arial" w:hAnsi="Arial"/>
          <w:sz w:val="18"/>
          <w:szCs w:val="18"/>
          <w:color w:val="auto"/>
        </w:rPr>
        <w:t>" means The NASDAQ Global Market.</w:t>
      </w:r>
    </w:p>
    <w:p>
      <w:pPr>
        <w:spacing w:after="0" w:line="198" w:lineRule="exact"/>
        <w:rPr>
          <w:sz w:val="20"/>
          <w:szCs w:val="20"/>
          <w:color w:val="auto"/>
        </w:rPr>
      </w:pPr>
    </w:p>
    <w:p>
      <w:pPr>
        <w:ind w:firstLine="167"/>
        <w:spacing w:after="0" w:line="246" w:lineRule="auto"/>
        <w:tabs>
          <w:tab w:leader="none" w:pos="785" w:val="left"/>
        </w:tabs>
        <w:numPr>
          <w:ilvl w:val="0"/>
          <w:numId w:val="94"/>
        </w:numPr>
        <w:rPr>
          <w:rFonts w:ascii="Arial" w:cs="Arial" w:eastAsia="Arial" w:hAnsi="Arial"/>
          <w:sz w:val="18"/>
          <w:szCs w:val="18"/>
          <w:color w:val="010000"/>
        </w:rPr>
      </w:pPr>
      <w:r>
        <w:rPr>
          <w:rFonts w:ascii="Arial" w:cs="Arial" w:eastAsia="Arial" w:hAnsi="Arial"/>
          <w:sz w:val="18"/>
          <w:szCs w:val="18"/>
          <w:color w:val="010000"/>
        </w:rPr>
        <w:t>"</w:t>
      </w:r>
      <w:r>
        <w:rPr>
          <w:rFonts w:ascii="Arial" w:cs="Arial" w:eastAsia="Arial" w:hAnsi="Arial"/>
          <w:sz w:val="18"/>
          <w:szCs w:val="18"/>
          <w:u w:val="single" w:color="auto"/>
          <w:color w:val="010000"/>
        </w:rPr>
        <w:t>Negative Discretion</w:t>
      </w:r>
      <w:r>
        <w:rPr>
          <w:rFonts w:ascii="Arial" w:cs="Arial" w:eastAsia="Arial" w:hAnsi="Arial"/>
          <w:sz w:val="18"/>
          <w:szCs w:val="18"/>
          <w:color w:val="010000"/>
        </w:rPr>
        <w:t>" means the discretion authorized by the Plan to be applied by the Committee to eliminate or reduce the size of a Performance Compensation Award consistent with Section 162(m) of the Code.</w:t>
      </w:r>
    </w:p>
    <w:p>
      <w:pPr>
        <w:spacing w:after="0" w:line="178" w:lineRule="exact"/>
        <w:rPr>
          <w:rFonts w:ascii="Arial" w:cs="Arial" w:eastAsia="Arial" w:hAnsi="Arial"/>
          <w:sz w:val="18"/>
          <w:szCs w:val="18"/>
          <w:color w:val="010000"/>
        </w:rPr>
      </w:pPr>
    </w:p>
    <w:p>
      <w:pPr>
        <w:ind w:left="760" w:hanging="593"/>
        <w:spacing w:after="0"/>
        <w:tabs>
          <w:tab w:leader="none" w:pos="760" w:val="left"/>
        </w:tabs>
        <w:numPr>
          <w:ilvl w:val="0"/>
          <w:numId w:val="94"/>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Nonqualified Stock Option</w:t>
      </w:r>
      <w:r>
        <w:rPr>
          <w:rFonts w:ascii="Arial" w:cs="Arial" w:eastAsia="Arial" w:hAnsi="Arial"/>
          <w:sz w:val="18"/>
          <w:szCs w:val="18"/>
          <w:color w:val="auto"/>
        </w:rPr>
        <w:t>" means an Option which is not designated by the Committee as an Incentive Stock</w:t>
      </w:r>
    </w:p>
    <w:p>
      <w:pPr>
        <w:spacing w:after="0"/>
        <w:rPr>
          <w:rFonts w:ascii="Arial" w:cs="Arial" w:eastAsia="Arial" w:hAnsi="Arial"/>
          <w:sz w:val="18"/>
          <w:szCs w:val="18"/>
          <w:color w:val="010000"/>
        </w:rPr>
      </w:pPr>
      <w:r>
        <w:rPr>
          <w:rFonts w:ascii="Arial" w:cs="Arial" w:eastAsia="Arial" w:hAnsi="Arial"/>
          <w:sz w:val="18"/>
          <w:szCs w:val="18"/>
          <w:color w:val="auto"/>
        </w:rPr>
        <w:t>Option.</w:t>
      </w:r>
    </w:p>
    <w:p>
      <w:pPr>
        <w:spacing w:after="0" w:line="198" w:lineRule="exact"/>
        <w:rPr>
          <w:rFonts w:ascii="Arial" w:cs="Arial" w:eastAsia="Arial" w:hAnsi="Arial"/>
          <w:sz w:val="18"/>
          <w:szCs w:val="18"/>
          <w:color w:val="010000"/>
        </w:rPr>
      </w:pPr>
    </w:p>
    <w:p>
      <w:pPr>
        <w:ind w:left="660" w:hanging="493"/>
        <w:spacing w:after="0"/>
        <w:tabs>
          <w:tab w:leader="none" w:pos="660" w:val="left"/>
        </w:tabs>
        <w:numPr>
          <w:ilvl w:val="0"/>
          <w:numId w:val="94"/>
        </w:numPr>
        <w:rPr>
          <w:rFonts w:ascii="Arial" w:cs="Arial" w:eastAsia="Arial" w:hAnsi="Arial"/>
          <w:sz w:val="18"/>
          <w:szCs w:val="18"/>
          <w:color w:val="010000"/>
        </w:rPr>
      </w:pPr>
      <w:r>
        <w:rPr>
          <w:rFonts w:ascii="Arial" w:cs="Arial" w:eastAsia="Arial" w:hAnsi="Arial"/>
          <w:sz w:val="18"/>
          <w:szCs w:val="18"/>
          <w:color w:val="010000"/>
        </w:rPr>
        <w:t>"</w:t>
      </w:r>
      <w:r>
        <w:rPr>
          <w:rFonts w:ascii="Arial" w:cs="Arial" w:eastAsia="Arial" w:hAnsi="Arial"/>
          <w:sz w:val="18"/>
          <w:szCs w:val="18"/>
          <w:u w:val="single" w:color="auto"/>
          <w:color w:val="010000"/>
        </w:rPr>
        <w:t>Non-Employee Director</w:t>
      </w:r>
      <w:r>
        <w:rPr>
          <w:rFonts w:ascii="Arial" w:cs="Arial" w:eastAsia="Arial" w:hAnsi="Arial"/>
          <w:sz w:val="18"/>
          <w:szCs w:val="18"/>
          <w:color w:val="010000"/>
        </w:rPr>
        <w:t>" means a member of the Board who is not an employee of the Company or any Affiliate.</w:t>
      </w:r>
    </w:p>
    <w:p>
      <w:pPr>
        <w:spacing w:after="0" w:line="198" w:lineRule="exact"/>
        <w:rPr>
          <w:rFonts w:ascii="Arial" w:cs="Arial" w:eastAsia="Arial" w:hAnsi="Arial"/>
          <w:sz w:val="18"/>
          <w:szCs w:val="18"/>
          <w:color w:val="010000"/>
        </w:rPr>
      </w:pPr>
    </w:p>
    <w:p>
      <w:pPr>
        <w:ind w:left="680" w:hanging="513"/>
        <w:spacing w:after="0"/>
        <w:tabs>
          <w:tab w:leader="none" w:pos="680" w:val="left"/>
        </w:tabs>
        <w:numPr>
          <w:ilvl w:val="0"/>
          <w:numId w:val="94"/>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Option</w:t>
      </w:r>
      <w:r>
        <w:rPr>
          <w:rFonts w:ascii="Arial" w:cs="Arial" w:eastAsia="Arial" w:hAnsi="Arial"/>
          <w:sz w:val="18"/>
          <w:szCs w:val="18"/>
          <w:color w:val="auto"/>
        </w:rPr>
        <w:t>" means an Award granted under Section 7 of the Plan.</w:t>
      </w:r>
    </w:p>
    <w:p>
      <w:pPr>
        <w:spacing w:after="0" w:line="198" w:lineRule="exact"/>
        <w:rPr>
          <w:rFonts w:ascii="Arial" w:cs="Arial" w:eastAsia="Arial" w:hAnsi="Arial"/>
          <w:sz w:val="18"/>
          <w:szCs w:val="18"/>
          <w:color w:val="010000"/>
        </w:rPr>
      </w:pPr>
    </w:p>
    <w:p>
      <w:pPr>
        <w:ind w:left="680" w:hanging="513"/>
        <w:spacing w:after="0"/>
        <w:tabs>
          <w:tab w:leader="none" w:pos="680" w:val="left"/>
        </w:tabs>
        <w:numPr>
          <w:ilvl w:val="0"/>
          <w:numId w:val="94"/>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Option Period</w:t>
      </w:r>
      <w:r>
        <w:rPr>
          <w:rFonts w:ascii="Arial" w:cs="Arial" w:eastAsia="Arial" w:hAnsi="Arial"/>
          <w:sz w:val="18"/>
          <w:szCs w:val="18"/>
          <w:color w:val="auto"/>
        </w:rPr>
        <w:t>" has the meaning given such term in Section 7(c) of the Plan.</w:t>
      </w:r>
    </w:p>
    <w:p>
      <w:pPr>
        <w:spacing w:after="0" w:line="198" w:lineRule="exact"/>
        <w:rPr>
          <w:rFonts w:ascii="Arial" w:cs="Arial" w:eastAsia="Arial" w:hAnsi="Arial"/>
          <w:sz w:val="18"/>
          <w:szCs w:val="18"/>
          <w:color w:val="010000"/>
        </w:rPr>
      </w:pPr>
    </w:p>
    <w:p>
      <w:pPr>
        <w:ind w:left="740" w:hanging="576"/>
        <w:spacing w:after="0"/>
        <w:tabs>
          <w:tab w:leader="none" w:pos="740" w:val="left"/>
        </w:tabs>
        <w:numPr>
          <w:ilvl w:val="0"/>
          <w:numId w:val="94"/>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Other Stock-Based Award</w:t>
      </w:r>
      <w:r>
        <w:rPr>
          <w:rFonts w:ascii="Arial" w:cs="Arial" w:eastAsia="Arial" w:hAnsi="Arial"/>
          <w:sz w:val="18"/>
          <w:szCs w:val="18"/>
          <w:color w:val="auto"/>
        </w:rPr>
        <w:t>" means an Award granted under Section 10 of the Plan.</w:t>
      </w:r>
    </w:p>
    <w:p>
      <w:pPr>
        <w:spacing w:after="0" w:line="198" w:lineRule="exact"/>
        <w:rPr>
          <w:rFonts w:ascii="Arial" w:cs="Arial" w:eastAsia="Arial" w:hAnsi="Arial"/>
          <w:sz w:val="18"/>
          <w:szCs w:val="18"/>
          <w:color w:val="010000"/>
        </w:rPr>
      </w:pPr>
    </w:p>
    <w:p>
      <w:pPr>
        <w:ind w:firstLine="167"/>
        <w:spacing w:after="0" w:line="246" w:lineRule="auto"/>
        <w:tabs>
          <w:tab w:leader="none" w:pos="772" w:val="left"/>
        </w:tabs>
        <w:numPr>
          <w:ilvl w:val="0"/>
          <w:numId w:val="94"/>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means an Eligible Person who has been selected by the Committee to participate in the Plan and to receive an Award pursuant to the Plan.</w:t>
      </w:r>
    </w:p>
    <w:p>
      <w:pPr>
        <w:spacing w:after="0" w:line="183" w:lineRule="exact"/>
        <w:rPr>
          <w:rFonts w:ascii="Arial" w:cs="Arial" w:eastAsia="Arial" w:hAnsi="Arial"/>
          <w:sz w:val="18"/>
          <w:szCs w:val="18"/>
          <w:color w:val="010000"/>
        </w:rPr>
      </w:pPr>
    </w:p>
    <w:p>
      <w:pPr>
        <w:ind w:firstLine="167"/>
        <w:spacing w:after="0" w:line="246" w:lineRule="auto"/>
        <w:tabs>
          <w:tab w:leader="none" w:pos="691" w:val="left"/>
        </w:tabs>
        <w:numPr>
          <w:ilvl w:val="0"/>
          <w:numId w:val="94"/>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Performance Compensation Award</w:t>
      </w:r>
      <w:r>
        <w:rPr>
          <w:rFonts w:ascii="Arial" w:cs="Arial" w:eastAsia="Arial" w:hAnsi="Arial"/>
          <w:sz w:val="18"/>
          <w:szCs w:val="18"/>
          <w:color w:val="auto"/>
        </w:rPr>
        <w:t>" means any Award designated by the Committee as a Performance Compensation Award pursuant to Section 11 of the Plan.</w:t>
      </w:r>
    </w:p>
    <w:p>
      <w:pPr>
        <w:spacing w:after="0" w:line="183" w:lineRule="exact"/>
        <w:rPr>
          <w:rFonts w:ascii="Arial" w:cs="Arial" w:eastAsia="Arial" w:hAnsi="Arial"/>
          <w:sz w:val="18"/>
          <w:szCs w:val="18"/>
          <w:color w:val="010000"/>
        </w:rPr>
      </w:pPr>
    </w:p>
    <w:p>
      <w:pPr>
        <w:ind w:firstLine="167"/>
        <w:spacing w:after="0" w:line="246" w:lineRule="auto"/>
        <w:tabs>
          <w:tab w:leader="none" w:pos="752" w:val="left"/>
        </w:tabs>
        <w:numPr>
          <w:ilvl w:val="0"/>
          <w:numId w:val="94"/>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Performance Criteria</w:t>
      </w:r>
      <w:r>
        <w:rPr>
          <w:rFonts w:ascii="Arial" w:cs="Arial" w:eastAsia="Arial" w:hAnsi="Arial"/>
          <w:sz w:val="18"/>
          <w:szCs w:val="18"/>
          <w:color w:val="auto"/>
        </w:rPr>
        <w:t>" means the criterion or criteria that the Committee shall select for purposes of establishing the Performance Goals for a Performance Period with respect to any Performance Compensation Award under the Plan.</w:t>
      </w:r>
    </w:p>
    <w:p>
      <w:pPr>
        <w:spacing w:after="0" w:line="183" w:lineRule="exact"/>
        <w:rPr>
          <w:rFonts w:ascii="Arial" w:cs="Arial" w:eastAsia="Arial" w:hAnsi="Arial"/>
          <w:sz w:val="18"/>
          <w:szCs w:val="18"/>
          <w:color w:val="010000"/>
        </w:rPr>
      </w:pPr>
    </w:p>
    <w:p>
      <w:pPr>
        <w:jc w:val="both"/>
        <w:ind w:firstLine="167"/>
        <w:spacing w:after="0" w:line="238" w:lineRule="auto"/>
        <w:tabs>
          <w:tab w:leader="none" w:pos="819" w:val="left"/>
        </w:tabs>
        <w:numPr>
          <w:ilvl w:val="0"/>
          <w:numId w:val="94"/>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Performance Formula</w:t>
      </w:r>
      <w:r>
        <w:rPr>
          <w:rFonts w:ascii="Arial" w:cs="Arial" w:eastAsia="Arial" w:hAnsi="Arial"/>
          <w:sz w:val="18"/>
          <w:szCs w:val="18"/>
          <w:color w:val="auto"/>
        </w:rPr>
        <w:t>" means, for a Performance Period, the one or more objective formulae applied against the relevant Performance Goal to determine, with regard to the Performance Compensation Award of a particular Participant, whether all, some portion but less than all, or none of the Performance Compensation Award has been earned for the Performance Period.</w:t>
      </w:r>
    </w:p>
    <w:p>
      <w:pPr>
        <w:spacing w:after="0" w:line="191" w:lineRule="exact"/>
        <w:rPr>
          <w:rFonts w:ascii="Arial" w:cs="Arial" w:eastAsia="Arial" w:hAnsi="Arial"/>
          <w:sz w:val="18"/>
          <w:szCs w:val="18"/>
          <w:color w:val="010000"/>
        </w:rPr>
      </w:pPr>
    </w:p>
    <w:p>
      <w:pPr>
        <w:ind w:firstLine="167"/>
        <w:spacing w:after="0" w:line="246" w:lineRule="auto"/>
        <w:tabs>
          <w:tab w:leader="none" w:pos="725" w:val="left"/>
        </w:tabs>
        <w:numPr>
          <w:ilvl w:val="0"/>
          <w:numId w:val="94"/>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Performance Goals</w:t>
      </w:r>
      <w:r>
        <w:rPr>
          <w:rFonts w:ascii="Arial" w:cs="Arial" w:eastAsia="Arial" w:hAnsi="Arial"/>
          <w:sz w:val="18"/>
          <w:szCs w:val="18"/>
          <w:color w:val="auto"/>
        </w:rPr>
        <w:t>" means, for a Performance Period, the one or more goals established by the Committee for the Performance Period based upon the Performance Criteria.</w:t>
      </w:r>
    </w:p>
    <w:p>
      <w:pPr>
        <w:spacing w:after="0" w:line="399"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40640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00"/>
          </w:cols>
          <w:pgMar w:left="980" w:top="355" w:right="719" w:bottom="1440" w:gutter="0" w:footer="0" w:header="0"/>
        </w:sectPr>
      </w:pPr>
    </w:p>
    <w:bookmarkStart w:id="57" w:name="page58"/>
    <w:bookmarkEnd w:id="57"/>
    <w:p>
      <w:pPr>
        <w:jc w:val="both"/>
        <w:ind w:firstLine="167"/>
        <w:spacing w:after="0"/>
        <w:tabs>
          <w:tab w:leader="none" w:pos="671" w:val="left"/>
        </w:tabs>
        <w:numPr>
          <w:ilvl w:val="0"/>
          <w:numId w:val="95"/>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Performance Period</w:t>
      </w:r>
      <w:r>
        <w:rPr>
          <w:rFonts w:ascii="Arial" w:cs="Arial" w:eastAsia="Arial" w:hAnsi="Arial"/>
          <w:sz w:val="18"/>
          <w:szCs w:val="18"/>
          <w:color w:val="auto"/>
        </w:rPr>
        <w:t>" means the one or more periods of time of not less than 12 months, as the Committee may select, over which the attainment of one or more Performance Goals will be measured for the purpose of determining a Participant's right to, and the payment of, a Performance Compensation Award.</w:t>
      </w:r>
    </w:p>
    <w:p>
      <w:pPr>
        <w:spacing w:after="0" w:line="189" w:lineRule="exact"/>
        <w:rPr>
          <w:rFonts w:ascii="Arial" w:cs="Arial" w:eastAsia="Arial" w:hAnsi="Arial"/>
          <w:sz w:val="18"/>
          <w:szCs w:val="18"/>
          <w:color w:val="010000"/>
        </w:rPr>
      </w:pPr>
    </w:p>
    <w:p>
      <w:pPr>
        <w:ind w:left="680" w:hanging="513"/>
        <w:spacing w:after="0"/>
        <w:tabs>
          <w:tab w:leader="none" w:pos="680" w:val="left"/>
        </w:tabs>
        <w:numPr>
          <w:ilvl w:val="0"/>
          <w:numId w:val="95"/>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Permitted Transferee</w:t>
      </w:r>
      <w:r>
        <w:rPr>
          <w:rFonts w:ascii="Arial" w:cs="Arial" w:eastAsia="Arial" w:hAnsi="Arial"/>
          <w:sz w:val="18"/>
          <w:szCs w:val="18"/>
          <w:color w:val="auto"/>
        </w:rPr>
        <w:t>" has the meaning given such term in Section 14(b) of the Plan.</w:t>
      </w:r>
    </w:p>
    <w:p>
      <w:pPr>
        <w:spacing w:after="0" w:line="198" w:lineRule="exact"/>
        <w:rPr>
          <w:rFonts w:ascii="Arial" w:cs="Arial" w:eastAsia="Arial" w:hAnsi="Arial"/>
          <w:sz w:val="18"/>
          <w:szCs w:val="18"/>
          <w:color w:val="010000"/>
        </w:rPr>
      </w:pPr>
    </w:p>
    <w:p>
      <w:pPr>
        <w:ind w:firstLine="167"/>
        <w:spacing w:after="0" w:line="246" w:lineRule="auto"/>
        <w:tabs>
          <w:tab w:leader="none" w:pos="812" w:val="left"/>
        </w:tabs>
        <w:numPr>
          <w:ilvl w:val="0"/>
          <w:numId w:val="95"/>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entity or group (within the meaning of Section 13(d)(3) or Section 14(d)(2) of the Exchange Act).</w:t>
      </w:r>
    </w:p>
    <w:p>
      <w:pPr>
        <w:spacing w:after="0" w:line="183" w:lineRule="exact"/>
        <w:rPr>
          <w:rFonts w:ascii="Arial" w:cs="Arial" w:eastAsia="Arial" w:hAnsi="Arial"/>
          <w:sz w:val="18"/>
          <w:szCs w:val="18"/>
          <w:color w:val="010000"/>
        </w:rPr>
      </w:pPr>
    </w:p>
    <w:p>
      <w:pPr>
        <w:ind w:left="680" w:hanging="513"/>
        <w:spacing w:after="0"/>
        <w:tabs>
          <w:tab w:leader="none" w:pos="680" w:val="left"/>
        </w:tabs>
        <w:numPr>
          <w:ilvl w:val="0"/>
          <w:numId w:val="95"/>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this PRA Health Sciences, Inc. 2014 Omnibus Incentive Plan, as it may be amended from time to time.</w:t>
      </w:r>
    </w:p>
    <w:p>
      <w:pPr>
        <w:spacing w:after="0" w:line="198" w:lineRule="exact"/>
        <w:rPr>
          <w:rFonts w:ascii="Arial" w:cs="Arial" w:eastAsia="Arial" w:hAnsi="Arial"/>
          <w:sz w:val="18"/>
          <w:szCs w:val="18"/>
          <w:color w:val="010000"/>
        </w:rPr>
      </w:pPr>
    </w:p>
    <w:p>
      <w:pPr>
        <w:jc w:val="both"/>
        <w:ind w:firstLine="167"/>
        <w:spacing w:after="0"/>
        <w:tabs>
          <w:tab w:leader="none" w:pos="812" w:val="left"/>
        </w:tabs>
        <w:numPr>
          <w:ilvl w:val="0"/>
          <w:numId w:val="95"/>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Restricted Period</w:t>
      </w:r>
      <w:r>
        <w:rPr>
          <w:rFonts w:ascii="Arial" w:cs="Arial" w:eastAsia="Arial" w:hAnsi="Arial"/>
          <w:sz w:val="18"/>
          <w:szCs w:val="18"/>
          <w:color w:val="auto"/>
        </w:rPr>
        <w:t>" means the period of time determined by the Committee during which an Award is subject to restrictions or, as applicable, the period of time within which performance is measured for purposes of determining whether an Award has been earned.</w:t>
      </w:r>
    </w:p>
    <w:p>
      <w:pPr>
        <w:spacing w:after="0" w:line="189" w:lineRule="exact"/>
        <w:rPr>
          <w:rFonts w:ascii="Arial" w:cs="Arial" w:eastAsia="Arial" w:hAnsi="Arial"/>
          <w:sz w:val="18"/>
          <w:szCs w:val="18"/>
          <w:color w:val="010000"/>
        </w:rPr>
      </w:pPr>
    </w:p>
    <w:p>
      <w:pPr>
        <w:jc w:val="both"/>
        <w:ind w:firstLine="167"/>
        <w:spacing w:after="0"/>
        <w:tabs>
          <w:tab w:leader="none" w:pos="691" w:val="left"/>
        </w:tabs>
        <w:numPr>
          <w:ilvl w:val="0"/>
          <w:numId w:val="95"/>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w:t>
      </w:r>
      <w:r>
        <w:rPr>
          <w:rFonts w:ascii="Arial" w:cs="Arial" w:eastAsia="Arial" w:hAnsi="Arial"/>
          <w:sz w:val="18"/>
          <w:szCs w:val="18"/>
          <w:color w:val="auto"/>
        </w:rPr>
        <w:t>" means Common Stock, subject to certain specified restrictions (which may include, without limitation, a requirement that the Participant remain continuously employed or provide continuous services for a specified period of time), granted under Section 9 of the Plan.</w:t>
      </w:r>
    </w:p>
    <w:p>
      <w:pPr>
        <w:spacing w:after="0" w:line="189" w:lineRule="exact"/>
        <w:rPr>
          <w:rFonts w:ascii="Arial" w:cs="Arial" w:eastAsia="Arial" w:hAnsi="Arial"/>
          <w:sz w:val="18"/>
          <w:szCs w:val="18"/>
          <w:color w:val="010000"/>
        </w:rPr>
      </w:pPr>
    </w:p>
    <w:p>
      <w:pPr>
        <w:jc w:val="both"/>
        <w:ind w:firstLine="167"/>
        <w:spacing w:after="0" w:line="238" w:lineRule="auto"/>
        <w:tabs>
          <w:tab w:leader="none" w:pos="764" w:val="left"/>
        </w:tabs>
        <w:numPr>
          <w:ilvl w:val="0"/>
          <w:numId w:val="95"/>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 Unit</w:t>
      </w:r>
      <w:r>
        <w:rPr>
          <w:rFonts w:ascii="Arial" w:cs="Arial" w:eastAsia="Arial" w:hAnsi="Arial"/>
          <w:sz w:val="18"/>
          <w:szCs w:val="18"/>
          <w:color w:val="auto"/>
        </w:rPr>
        <w:t>" means an unfunded and unsecured promise to deliver shares of Common Stock, cash, other securities or other property, subject to certain restrictions (which may include, without limitation, a requirement that the Participant remain continuously employed or provide continuous services for a specified period of time), granted under Section 9 of the Plan.</w:t>
      </w:r>
    </w:p>
    <w:p>
      <w:pPr>
        <w:spacing w:after="0" w:line="191" w:lineRule="exact"/>
        <w:rPr>
          <w:rFonts w:ascii="Arial" w:cs="Arial" w:eastAsia="Arial" w:hAnsi="Arial"/>
          <w:sz w:val="18"/>
          <w:szCs w:val="18"/>
          <w:color w:val="010000"/>
        </w:rPr>
      </w:pPr>
    </w:p>
    <w:p>
      <w:pPr>
        <w:ind w:left="660" w:hanging="493"/>
        <w:spacing w:after="0"/>
        <w:tabs>
          <w:tab w:leader="none" w:pos="660" w:val="left"/>
        </w:tabs>
        <w:numPr>
          <w:ilvl w:val="0"/>
          <w:numId w:val="95"/>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SAR Period</w:t>
      </w:r>
      <w:r>
        <w:rPr>
          <w:rFonts w:ascii="Arial" w:cs="Arial" w:eastAsia="Arial" w:hAnsi="Arial"/>
          <w:sz w:val="18"/>
          <w:szCs w:val="18"/>
          <w:color w:val="auto"/>
        </w:rPr>
        <w:t>" has the meaning given such term in Section 8(c) of the Plan.</w:t>
      </w:r>
    </w:p>
    <w:p>
      <w:pPr>
        <w:spacing w:after="0" w:line="198" w:lineRule="exact"/>
        <w:rPr>
          <w:rFonts w:ascii="Arial" w:cs="Arial" w:eastAsia="Arial" w:hAnsi="Arial"/>
          <w:sz w:val="18"/>
          <w:szCs w:val="18"/>
          <w:color w:val="010000"/>
        </w:rPr>
      </w:pPr>
    </w:p>
    <w:p>
      <w:pPr>
        <w:jc w:val="both"/>
        <w:ind w:firstLine="167"/>
        <w:spacing w:after="0" w:line="238" w:lineRule="auto"/>
        <w:tabs>
          <w:tab w:leader="none" w:pos="758" w:val="left"/>
        </w:tabs>
        <w:numPr>
          <w:ilvl w:val="0"/>
          <w:numId w:val="95"/>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and any successor thereto. Reference in the Plan to any section of (or rule promulgated under) the Securities Act shall be deemed to include any rules, regulations or other interpretative guidance under such section or rule, and any amendments or successor provisions to such section, rules, regulations or guidance.</w:t>
      </w:r>
    </w:p>
    <w:p>
      <w:pPr>
        <w:spacing w:after="0" w:line="191" w:lineRule="exact"/>
        <w:rPr>
          <w:rFonts w:ascii="Arial" w:cs="Arial" w:eastAsia="Arial" w:hAnsi="Arial"/>
          <w:sz w:val="18"/>
          <w:szCs w:val="18"/>
          <w:color w:val="010000"/>
        </w:rPr>
      </w:pPr>
    </w:p>
    <w:p>
      <w:pPr>
        <w:jc w:val="both"/>
        <w:ind w:firstLine="167"/>
        <w:spacing w:after="0" w:line="261" w:lineRule="auto"/>
        <w:tabs>
          <w:tab w:leader="none" w:pos="691" w:val="left"/>
        </w:tabs>
        <w:numPr>
          <w:ilvl w:val="0"/>
          <w:numId w:val="95"/>
        </w:numPr>
        <w:rPr>
          <w:rFonts w:ascii="Arial" w:cs="Arial" w:eastAsia="Arial" w:hAnsi="Arial"/>
          <w:sz w:val="17"/>
          <w:szCs w:val="17"/>
          <w:color w:val="010000"/>
        </w:rPr>
      </w:pPr>
      <w:r>
        <w:rPr>
          <w:rFonts w:ascii="Arial" w:cs="Arial" w:eastAsia="Arial" w:hAnsi="Arial"/>
          <w:sz w:val="17"/>
          <w:szCs w:val="17"/>
          <w:color w:val="auto"/>
        </w:rPr>
        <w:t>"</w:t>
      </w:r>
      <w:r>
        <w:rPr>
          <w:rFonts w:ascii="Arial" w:cs="Arial" w:eastAsia="Arial" w:hAnsi="Arial"/>
          <w:sz w:val="17"/>
          <w:szCs w:val="17"/>
          <w:u w:val="single" w:color="auto"/>
          <w:color w:val="auto"/>
        </w:rPr>
        <w:t>Service Recipient</w:t>
      </w:r>
      <w:r>
        <w:rPr>
          <w:rFonts w:ascii="Arial" w:cs="Arial" w:eastAsia="Arial" w:hAnsi="Arial"/>
          <w:sz w:val="17"/>
          <w:szCs w:val="17"/>
          <w:color w:val="auto"/>
        </w:rPr>
        <w:t>" means, with respect to a Participant holding a given Award, either the Company or an Affiliate of the Company by which the original recipient of such Award is, or following a Termination was most recently, principally employed or to which such original recipient provides, or following a Termination was most recently providing, services, as applicable.</w:t>
      </w:r>
    </w:p>
    <w:p>
      <w:pPr>
        <w:spacing w:after="0" w:line="172" w:lineRule="exact"/>
        <w:rPr>
          <w:rFonts w:ascii="Arial" w:cs="Arial" w:eastAsia="Arial" w:hAnsi="Arial"/>
          <w:sz w:val="17"/>
          <w:szCs w:val="17"/>
          <w:color w:val="010000"/>
        </w:rPr>
      </w:pPr>
    </w:p>
    <w:p>
      <w:pPr>
        <w:ind w:left="720" w:hanging="553"/>
        <w:spacing w:after="0"/>
        <w:tabs>
          <w:tab w:leader="none" w:pos="720" w:val="left"/>
        </w:tabs>
        <w:numPr>
          <w:ilvl w:val="0"/>
          <w:numId w:val="95"/>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Stock Appreciation Right</w:t>
      </w:r>
      <w:r>
        <w:rPr>
          <w:rFonts w:ascii="Arial" w:cs="Arial" w:eastAsia="Arial" w:hAnsi="Arial"/>
          <w:sz w:val="18"/>
          <w:szCs w:val="18"/>
          <w:color w:val="auto"/>
        </w:rPr>
        <w:t>" or "</w:t>
      </w:r>
      <w:r>
        <w:rPr>
          <w:rFonts w:ascii="Arial" w:cs="Arial" w:eastAsia="Arial" w:hAnsi="Arial"/>
          <w:sz w:val="18"/>
          <w:szCs w:val="18"/>
          <w:u w:val="single" w:color="auto"/>
          <w:color w:val="auto"/>
        </w:rPr>
        <w:t>SAR</w:t>
      </w:r>
      <w:r>
        <w:rPr>
          <w:rFonts w:ascii="Arial" w:cs="Arial" w:eastAsia="Arial" w:hAnsi="Arial"/>
          <w:sz w:val="18"/>
          <w:szCs w:val="18"/>
          <w:color w:val="auto"/>
        </w:rPr>
        <w:t>" means an Award granted under Section 8 of the Plan.</w:t>
      </w:r>
    </w:p>
    <w:p>
      <w:pPr>
        <w:spacing w:after="0" w:line="198" w:lineRule="exact"/>
        <w:rPr>
          <w:rFonts w:ascii="Arial" w:cs="Arial" w:eastAsia="Arial" w:hAnsi="Arial"/>
          <w:sz w:val="18"/>
          <w:szCs w:val="18"/>
          <w:color w:val="010000"/>
        </w:rPr>
      </w:pPr>
    </w:p>
    <w:p>
      <w:pPr>
        <w:ind w:left="700" w:hanging="533"/>
        <w:spacing w:after="0"/>
        <w:tabs>
          <w:tab w:leader="none" w:pos="700" w:val="left"/>
        </w:tabs>
        <w:numPr>
          <w:ilvl w:val="0"/>
          <w:numId w:val="95"/>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Strike Price</w:t>
      </w:r>
      <w:r>
        <w:rPr>
          <w:rFonts w:ascii="Arial" w:cs="Arial" w:eastAsia="Arial" w:hAnsi="Arial"/>
          <w:sz w:val="18"/>
          <w:szCs w:val="18"/>
          <w:color w:val="auto"/>
        </w:rPr>
        <w:t>" has the meaning given such term in Section 8(b) of the Plan.</w:t>
      </w:r>
    </w:p>
    <w:p>
      <w:pPr>
        <w:spacing w:after="0" w:line="198" w:lineRule="exact"/>
        <w:rPr>
          <w:rFonts w:ascii="Arial" w:cs="Arial" w:eastAsia="Arial" w:hAnsi="Arial"/>
          <w:sz w:val="18"/>
          <w:szCs w:val="18"/>
          <w:color w:val="010000"/>
        </w:rPr>
      </w:pPr>
    </w:p>
    <w:p>
      <w:pPr>
        <w:ind w:left="720" w:hanging="562"/>
        <w:spacing w:after="0"/>
        <w:tabs>
          <w:tab w:leader="none" w:pos="720" w:val="left"/>
        </w:tabs>
        <w:numPr>
          <w:ilvl w:val="0"/>
          <w:numId w:val="95"/>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with respect to any specified Person:</w:t>
      </w:r>
    </w:p>
    <w:p>
      <w:pPr>
        <w:spacing w:after="0" w:line="198" w:lineRule="exact"/>
        <w:rPr>
          <w:rFonts w:ascii="Arial" w:cs="Arial" w:eastAsia="Arial" w:hAnsi="Arial"/>
          <w:sz w:val="18"/>
          <w:szCs w:val="18"/>
          <w:color w:val="010000"/>
        </w:rPr>
      </w:pPr>
    </w:p>
    <w:p>
      <w:pPr>
        <w:jc w:val="both"/>
        <w:ind w:left="100" w:right="20" w:firstLine="652"/>
        <w:spacing w:after="0" w:line="238" w:lineRule="auto"/>
        <w:tabs>
          <w:tab w:leader="none" w:pos="1258" w:val="left"/>
        </w:tabs>
        <w:numPr>
          <w:ilvl w:val="2"/>
          <w:numId w:val="95"/>
        </w:numPr>
        <w:rPr>
          <w:rFonts w:ascii="Arial" w:cs="Arial" w:eastAsia="Arial" w:hAnsi="Arial"/>
          <w:sz w:val="18"/>
          <w:szCs w:val="18"/>
          <w:color w:val="010000"/>
        </w:rPr>
      </w:pPr>
      <w:r>
        <w:rPr>
          <w:rFonts w:ascii="Arial" w:cs="Arial" w:eastAsia="Arial" w:hAnsi="Arial"/>
          <w:sz w:val="18"/>
          <w:szCs w:val="18"/>
          <w:color w:val="auto"/>
        </w:rPr>
        <w:t>any corporation, association or other business entity of which more than 50% of the total voting power of shares of such entity's voting securities (without regard to the occurrence of any contingency and after giving effect to any voting agreement or stockholders' agreement that effectively transfers voting power) is at the time owned or controlled, directly or indirectly, by that Person or one or more of the other Subsidiaries of that Person (or a combination thereof); and</w:t>
      </w:r>
    </w:p>
    <w:p>
      <w:pPr>
        <w:spacing w:after="0" w:line="191" w:lineRule="exact"/>
        <w:rPr>
          <w:rFonts w:ascii="Arial" w:cs="Arial" w:eastAsia="Arial" w:hAnsi="Arial"/>
          <w:sz w:val="18"/>
          <w:szCs w:val="18"/>
          <w:color w:val="010000"/>
        </w:rPr>
      </w:pPr>
    </w:p>
    <w:p>
      <w:pPr>
        <w:jc w:val="both"/>
        <w:ind w:left="100" w:right="100" w:firstLine="652"/>
        <w:spacing w:after="0" w:line="238" w:lineRule="auto"/>
        <w:tabs>
          <w:tab w:leader="none" w:pos="1500" w:val="left"/>
        </w:tabs>
        <w:numPr>
          <w:ilvl w:val="2"/>
          <w:numId w:val="95"/>
        </w:numPr>
        <w:rPr>
          <w:rFonts w:ascii="Arial" w:cs="Arial" w:eastAsia="Arial" w:hAnsi="Arial"/>
          <w:sz w:val="18"/>
          <w:szCs w:val="18"/>
          <w:color w:val="010000"/>
        </w:rPr>
      </w:pPr>
      <w:r>
        <w:rPr>
          <w:rFonts w:ascii="Arial" w:cs="Arial" w:eastAsia="Arial" w:hAnsi="Arial"/>
          <w:sz w:val="18"/>
          <w:szCs w:val="18"/>
          <w:color w:val="auto"/>
        </w:rPr>
        <w:t>any partnership (or any comparable foreign entity) (A) the sole general partner (or functional equivalent thereof) or the managing general partner of which is such Person or Subsidiary of such Person or (B) the only general partners (or functional equivalents thereof) of which are that Person or one or more Subsidiaries of that Person (or any combination thereof).</w:t>
      </w:r>
    </w:p>
    <w:p>
      <w:pPr>
        <w:spacing w:after="0" w:line="191" w:lineRule="exact"/>
        <w:rPr>
          <w:rFonts w:ascii="Arial" w:cs="Arial" w:eastAsia="Arial" w:hAnsi="Arial"/>
          <w:sz w:val="18"/>
          <w:szCs w:val="18"/>
          <w:color w:val="010000"/>
        </w:rPr>
      </w:pPr>
    </w:p>
    <w:p>
      <w:pPr>
        <w:ind w:left="740" w:hanging="556"/>
        <w:spacing w:after="0"/>
        <w:tabs>
          <w:tab w:leader="none" w:pos="740" w:val="left"/>
        </w:tabs>
        <w:numPr>
          <w:ilvl w:val="1"/>
          <w:numId w:val="95"/>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Substitute Award</w:t>
      </w:r>
      <w:r>
        <w:rPr>
          <w:rFonts w:ascii="Arial" w:cs="Arial" w:eastAsia="Arial" w:hAnsi="Arial"/>
          <w:sz w:val="18"/>
          <w:szCs w:val="18"/>
          <w:color w:val="auto"/>
        </w:rPr>
        <w:t>" has the meaning given such term in Section 5(e) of the Plan.</w:t>
      </w:r>
    </w:p>
    <w:p>
      <w:pPr>
        <w:spacing w:after="0" w:line="200" w:lineRule="exact"/>
        <w:rPr>
          <w:sz w:val="20"/>
          <w:szCs w:val="20"/>
          <w:color w:val="auto"/>
        </w:rPr>
      </w:pPr>
    </w:p>
    <w:p>
      <w:pPr>
        <w:spacing w:after="0" w:line="214"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40640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00"/>
          </w:cols>
          <w:pgMar w:left="980" w:top="355" w:right="719" w:bottom="1440" w:gutter="0" w:footer="0" w:header="0"/>
        </w:sectPr>
      </w:pPr>
    </w:p>
    <w:bookmarkStart w:id="58" w:name="page59"/>
    <w:bookmarkEnd w:id="58"/>
    <w:p>
      <w:pPr>
        <w:jc w:val="both"/>
        <w:ind w:left="652" w:right="60" w:firstLine="184"/>
        <w:spacing w:after="0" w:line="237" w:lineRule="auto"/>
        <w:tabs>
          <w:tab w:leader="none" w:pos="1353" w:val="left"/>
        </w:tabs>
        <w:numPr>
          <w:ilvl w:val="0"/>
          <w:numId w:val="96"/>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Sub-Plans</w:t>
      </w:r>
      <w:r>
        <w:rPr>
          <w:rFonts w:ascii="Arial" w:cs="Arial" w:eastAsia="Arial" w:hAnsi="Arial"/>
          <w:sz w:val="18"/>
          <w:szCs w:val="18"/>
          <w:color w:val="auto"/>
        </w:rPr>
        <w:t>" means any sub-plan to this Plan that has been adopted by the Board or the Committee for the purpose of permitting the offering of Awards to employees of certain Designated Foreign Subsidiaries or otherwise outside the United States of America, with each such sub-plan designed to comply with local laws applicable to offerings in such foreign jurisdictions. Although any Sub-Plan may be designated a separate and independent plan from the Plan in order to comply with applicable local laws, the Absolute Share Limit and the other limits specified in Section 5(b) shall apply in the aggregate to the Plan and any Sub-Plan adopted hereunder.</w:t>
      </w:r>
    </w:p>
    <w:p>
      <w:pPr>
        <w:spacing w:after="0" w:line="186" w:lineRule="exact"/>
        <w:rPr>
          <w:rFonts w:ascii="Arial" w:cs="Arial" w:eastAsia="Arial" w:hAnsi="Arial"/>
          <w:sz w:val="18"/>
          <w:szCs w:val="18"/>
          <w:color w:val="010000"/>
        </w:rPr>
      </w:pPr>
    </w:p>
    <w:p>
      <w:pPr>
        <w:ind w:left="1432" w:hanging="595"/>
        <w:spacing w:after="0"/>
        <w:tabs>
          <w:tab w:leader="none" w:pos="1432" w:val="left"/>
        </w:tabs>
        <w:numPr>
          <w:ilvl w:val="0"/>
          <w:numId w:val="96"/>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Termination</w:t>
      </w:r>
      <w:r>
        <w:rPr>
          <w:rFonts w:ascii="Arial" w:cs="Arial" w:eastAsia="Arial" w:hAnsi="Arial"/>
          <w:sz w:val="18"/>
          <w:szCs w:val="18"/>
          <w:color w:val="auto"/>
        </w:rPr>
        <w:t>" means the termination of a Participant's employment or service, as applicable, with the Service</w:t>
      </w:r>
    </w:p>
    <w:p>
      <w:pPr>
        <w:ind w:left="552"/>
        <w:spacing w:after="0"/>
        <w:rPr>
          <w:rFonts w:ascii="Arial" w:cs="Arial" w:eastAsia="Arial" w:hAnsi="Arial"/>
          <w:sz w:val="18"/>
          <w:szCs w:val="18"/>
          <w:color w:val="010000"/>
        </w:rPr>
      </w:pPr>
      <w:r>
        <w:rPr>
          <w:rFonts w:ascii="Arial" w:cs="Arial" w:eastAsia="Arial" w:hAnsi="Arial"/>
          <w:sz w:val="18"/>
          <w:szCs w:val="18"/>
          <w:color w:val="auto"/>
        </w:rPr>
        <w:t>Recipient.</w:t>
      </w:r>
    </w:p>
    <w:p>
      <w:pPr>
        <w:spacing w:after="0" w:line="176" w:lineRule="exact"/>
        <w:rPr>
          <w:sz w:val="20"/>
          <w:szCs w:val="20"/>
          <w:color w:val="auto"/>
        </w:rPr>
      </w:pPr>
    </w:p>
    <w:p>
      <w:pPr>
        <w:jc w:val="both"/>
        <w:ind w:left="552" w:right="20" w:hanging="552"/>
        <w:spacing w:after="0" w:line="244" w:lineRule="auto"/>
        <w:tabs>
          <w:tab w:leader="none" w:pos="552" w:val="left"/>
        </w:tabs>
        <w:numPr>
          <w:ilvl w:val="0"/>
          <w:numId w:val="97"/>
        </w:numPr>
        <w:rPr>
          <w:rFonts w:ascii="Arial" w:cs="Arial" w:eastAsia="Arial" w:hAnsi="Arial"/>
          <w:sz w:val="18"/>
          <w:szCs w:val="18"/>
          <w:color w:val="auto"/>
        </w:rPr>
      </w:pPr>
      <w:r>
        <w:rPr>
          <w:rFonts w:ascii="Arial" w:cs="Arial" w:eastAsia="Arial" w:hAnsi="Arial"/>
          <w:sz w:val="18"/>
          <w:szCs w:val="18"/>
          <w:b w:val="1"/>
          <w:bCs w:val="1"/>
          <w:color w:val="auto"/>
        </w:rPr>
        <w:t>Effective Date; Duration</w:t>
      </w:r>
      <w:r>
        <w:rPr>
          <w:rFonts w:ascii="Arial" w:cs="Arial" w:eastAsia="Arial" w:hAnsi="Arial"/>
          <w:sz w:val="18"/>
          <w:szCs w:val="18"/>
          <w:color w:val="auto"/>
        </w:rPr>
        <w:t>. The Plan became effective as of the Effective Date. The expiration date of the Plan shall be the tenth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anniversary of the Effective Date, subject to earlier termination by the Committee pursuant to Section 13(a); </w:t>
      </w:r>
      <w:r>
        <w:rPr>
          <w:rFonts w:ascii="Arial" w:cs="Arial" w:eastAsia="Arial" w:hAnsi="Arial"/>
          <w:sz w:val="18"/>
          <w:szCs w:val="18"/>
          <w:i w:val="1"/>
          <w:iCs w:val="1"/>
          <w:color w:val="auto"/>
        </w:rPr>
        <w:t>provided, however</w:t>
      </w:r>
      <w:r>
        <w:rPr>
          <w:rFonts w:ascii="Arial" w:cs="Arial" w:eastAsia="Arial" w:hAnsi="Arial"/>
          <w:sz w:val="18"/>
          <w:szCs w:val="18"/>
          <w:color w:val="auto"/>
        </w:rPr>
        <w:t>, that such expiration shall not affect Awards then outstanding, and the terms and conditions of the Plan shall continue to apply to such Awards; and provided further that on and after the Assumption Date no new Awards have been or shall be granted hereunder.</w:t>
      </w:r>
    </w:p>
    <w:p>
      <w:pPr>
        <w:spacing w:after="0" w:line="163" w:lineRule="exact"/>
        <w:rPr>
          <w:sz w:val="20"/>
          <w:szCs w:val="20"/>
          <w:color w:val="auto"/>
        </w:rPr>
      </w:pPr>
    </w:p>
    <w:p>
      <w:pPr>
        <w:ind w:left="552" w:hanging="552"/>
        <w:spacing w:after="0"/>
        <w:tabs>
          <w:tab w:leader="none" w:pos="552" w:val="left"/>
        </w:tabs>
        <w:numPr>
          <w:ilvl w:val="0"/>
          <w:numId w:val="98"/>
        </w:numPr>
        <w:rPr>
          <w:rFonts w:ascii="Arial" w:cs="Arial" w:eastAsia="Arial" w:hAnsi="Arial"/>
          <w:sz w:val="18"/>
          <w:szCs w:val="18"/>
          <w:color w:val="auto"/>
        </w:rPr>
      </w:pPr>
      <w:r>
        <w:rPr>
          <w:rFonts w:ascii="Arial" w:cs="Arial" w:eastAsia="Arial" w:hAnsi="Arial"/>
          <w:sz w:val="18"/>
          <w:szCs w:val="18"/>
          <w:b w:val="1"/>
          <w:bCs w:val="1"/>
          <w:color w:val="auto"/>
        </w:rPr>
        <w:t>Administration</w:t>
      </w:r>
      <w:r>
        <w:rPr>
          <w:rFonts w:ascii="Arial" w:cs="Arial" w:eastAsia="Arial" w:hAnsi="Arial"/>
          <w:sz w:val="18"/>
          <w:szCs w:val="18"/>
          <w:color w:val="auto"/>
        </w:rPr>
        <w:t>.</w:t>
      </w:r>
    </w:p>
    <w:p>
      <w:pPr>
        <w:spacing w:after="0" w:line="220" w:lineRule="exact"/>
        <w:rPr>
          <w:rFonts w:ascii="Arial" w:cs="Arial" w:eastAsia="Arial" w:hAnsi="Arial"/>
          <w:sz w:val="18"/>
          <w:szCs w:val="18"/>
          <w:color w:val="auto"/>
        </w:rPr>
      </w:pPr>
    </w:p>
    <w:p>
      <w:pPr>
        <w:jc w:val="both"/>
        <w:ind w:left="552" w:right="20" w:firstLine="285"/>
        <w:spacing w:after="0" w:line="237" w:lineRule="auto"/>
        <w:tabs>
          <w:tab w:leader="none" w:pos="1590" w:val="left"/>
        </w:tabs>
        <w:numPr>
          <w:ilvl w:val="2"/>
          <w:numId w:val="98"/>
        </w:numPr>
        <w:rPr>
          <w:rFonts w:ascii="Arial" w:cs="Arial" w:eastAsia="Arial" w:hAnsi="Arial"/>
          <w:sz w:val="18"/>
          <w:szCs w:val="18"/>
          <w:color w:val="010000"/>
        </w:rPr>
      </w:pPr>
      <w:r>
        <w:rPr>
          <w:rFonts w:ascii="Arial" w:cs="Arial" w:eastAsia="Arial" w:hAnsi="Arial"/>
          <w:sz w:val="18"/>
          <w:szCs w:val="18"/>
          <w:color w:val="auto"/>
        </w:rPr>
        <w:t>The Committee shall administer the Plan. To the extent required to comply with the provisions of Rule 16b-3 promulgated under the Exchange Act (if the Board is not acting as the Committee under the Plan) or necessary to obtain the exception for performance-based compensation under Section 162(m) of the Code, as applicable, it is intended that each member of the Committee shall, at the time he or she takes any action with respect to an Award under the Plan that is subject to Rule 16b-3 or Section 162(m) of the Code, as applicable, be an Eligible Director. However, the fact that a Committee member shall fail to qualify as an Eligible Director shall not invalidate any Award granted by the Committee that is otherwise validly granted under the Plan.</w:t>
      </w:r>
    </w:p>
    <w:p>
      <w:pPr>
        <w:spacing w:after="0" w:line="189" w:lineRule="exact"/>
        <w:rPr>
          <w:rFonts w:ascii="Arial" w:cs="Arial" w:eastAsia="Arial" w:hAnsi="Arial"/>
          <w:sz w:val="18"/>
          <w:szCs w:val="18"/>
          <w:color w:val="010000"/>
        </w:rPr>
      </w:pPr>
    </w:p>
    <w:p>
      <w:pPr>
        <w:jc w:val="both"/>
        <w:ind w:left="552" w:firstLine="285"/>
        <w:spacing w:after="0" w:line="235" w:lineRule="auto"/>
        <w:tabs>
          <w:tab w:leader="none" w:pos="1428" w:val="left"/>
        </w:tabs>
        <w:numPr>
          <w:ilvl w:val="2"/>
          <w:numId w:val="98"/>
        </w:numPr>
        <w:rPr>
          <w:rFonts w:ascii="Arial" w:cs="Arial" w:eastAsia="Arial" w:hAnsi="Arial"/>
          <w:sz w:val="18"/>
          <w:szCs w:val="18"/>
          <w:color w:val="010000"/>
        </w:rPr>
      </w:pPr>
      <w:r>
        <w:rPr>
          <w:rFonts w:ascii="Arial" w:cs="Arial" w:eastAsia="Arial" w:hAnsi="Arial"/>
          <w:sz w:val="18"/>
          <w:szCs w:val="18"/>
          <w:color w:val="auto"/>
        </w:rPr>
        <w:t>Subject to the provisions of the Plan and applicable law, the Committee shall have the sole and plenary authority, in addition to other express powers and authorizations conferred on the Committee by the Plan, to: (i) designate Participants; (ii) determine the type or types of Awards to be granted to a Participant; (iii) determine the number of shares of Common Stock to be covered by, or with respect to which payments, rights, or other matters are to be calculated in connection with, Awards; (iv) determine the terms and conditions of any Award; (v) determine whether, to what extent, and under what circumstances Awards may be settled in, or exercised for, cash, shares of Common Stock, other securities, other Awards or other property, or canceled, forfeited, or suspended and the method or methods by which Awards may be settled, exercised, canceled, forfeited, or suspended; (vi) determine whether, to what extent, and under what circumstances the delivery of cash, shares of Common Stock, other securities, other Awards or other property and other amounts payable with respect to an Award shall be deferred either automatically or at the election of the Participant or of the Committee; (vii) interpret, administer, reconcile any inconsistency in, correct any defect in and/or supply any omission in the Plan and any instrument or agreement relating to, or Award granted under, the Plan; (viii) establish, amend, suspend, or waive any rules and regulations and appoint such agents as the Committee shall deem appropriate for the proper administration of the Plan; (ix) make any other determination and take any other action that the Committee deems necessary or desirable for the administration of the Plan; and (x) adopt Sub-Plans.</w:t>
      </w:r>
    </w:p>
    <w:p>
      <w:pPr>
        <w:spacing w:after="0" w:line="200" w:lineRule="exact"/>
        <w:rPr>
          <w:rFonts w:ascii="Arial" w:cs="Arial" w:eastAsia="Arial" w:hAnsi="Arial"/>
          <w:sz w:val="18"/>
          <w:szCs w:val="18"/>
          <w:color w:val="010000"/>
        </w:rPr>
      </w:pPr>
    </w:p>
    <w:p>
      <w:pPr>
        <w:jc w:val="both"/>
        <w:ind w:left="552" w:firstLine="285"/>
        <w:spacing w:after="0" w:line="234" w:lineRule="auto"/>
        <w:tabs>
          <w:tab w:leader="none" w:pos="1377" w:val="left"/>
        </w:tabs>
        <w:numPr>
          <w:ilvl w:val="2"/>
          <w:numId w:val="98"/>
        </w:numPr>
        <w:rPr>
          <w:rFonts w:ascii="Arial" w:cs="Arial" w:eastAsia="Arial" w:hAnsi="Arial"/>
          <w:sz w:val="18"/>
          <w:szCs w:val="18"/>
          <w:color w:val="010000"/>
        </w:rPr>
      </w:pPr>
      <w:r>
        <w:rPr>
          <w:rFonts w:ascii="Arial" w:cs="Arial" w:eastAsia="Arial" w:hAnsi="Arial"/>
          <w:sz w:val="18"/>
          <w:szCs w:val="18"/>
          <w:color w:val="auto"/>
        </w:rPr>
        <w:t>Except to the extent prohibited by applicable law or the applicable rules and regulations of any securities exchange or inter-dealer quotation system on which the securities of the Company are listed or traded, the Committee may allocate all or any portion of its responsibilities and powers to any one or more of its members and may delegate all or any part of its responsibilities and powers to any person or persons selected by it. Any such allocation or delegation may be revoked by the Committee at any time. Without limiting the generality of the foregoing, the Committee may delegate to one or more officers of the Company or any Subsidiary, the authority to act on behalf of the Committee with respect to any matter, right, obligation, or election which is the responsibility of, or which is allocated to, the Committee herein, and which may be so delegated as a matter of law, except for grants of Awards to persons (i) who are Non-Employee Directors or otherwise are subject to Section 16 of the Exchange Act or</w:t>
      </w:r>
    </w:p>
    <w:p>
      <w:pPr>
        <w:spacing w:after="0" w:line="5" w:lineRule="exact"/>
        <w:rPr>
          <w:rFonts w:ascii="Arial" w:cs="Arial" w:eastAsia="Arial" w:hAnsi="Arial"/>
          <w:sz w:val="18"/>
          <w:szCs w:val="18"/>
          <w:color w:val="010000"/>
        </w:rPr>
      </w:pPr>
    </w:p>
    <w:p>
      <w:pPr>
        <w:ind w:left="812" w:hanging="250"/>
        <w:spacing w:after="0"/>
        <w:tabs>
          <w:tab w:leader="none" w:pos="812" w:val="left"/>
        </w:tabs>
        <w:numPr>
          <w:ilvl w:val="1"/>
          <w:numId w:val="99"/>
        </w:numPr>
        <w:rPr>
          <w:rFonts w:ascii="Arial" w:cs="Arial" w:eastAsia="Arial" w:hAnsi="Arial"/>
          <w:sz w:val="18"/>
          <w:szCs w:val="18"/>
          <w:color w:val="auto"/>
        </w:rPr>
      </w:pPr>
      <w:r>
        <w:rPr>
          <w:rFonts w:ascii="Arial" w:cs="Arial" w:eastAsia="Arial" w:hAnsi="Arial"/>
          <w:sz w:val="18"/>
          <w:szCs w:val="18"/>
          <w:color w:val="auto"/>
        </w:rPr>
        <w:t>who are, or who are reasonably expected to be, "covered employees" for purposes of Section 162(m) of the Code.</w:t>
      </w:r>
    </w:p>
    <w:p>
      <w:pPr>
        <w:spacing w:after="0" w:line="200" w:lineRule="exact"/>
        <w:rPr>
          <w:sz w:val="20"/>
          <w:szCs w:val="20"/>
          <w:color w:val="auto"/>
        </w:rPr>
      </w:pPr>
    </w:p>
    <w:p>
      <w:pPr>
        <w:spacing w:after="0" w:line="214" w:lineRule="exact"/>
        <w:rPr>
          <w:sz w:val="20"/>
          <w:szCs w:val="20"/>
          <w:color w:val="auto"/>
        </w:rPr>
      </w:pPr>
    </w:p>
    <w:p>
      <w:pPr>
        <w:jc w:val="center"/>
        <w:ind w:right="-311"/>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72"/>
          </w:cols>
          <w:pgMar w:left="328" w:top="355" w:right="699" w:bottom="1440" w:gutter="0" w:footer="0" w:header="0"/>
        </w:sectPr>
      </w:pPr>
    </w:p>
    <w:bookmarkStart w:id="59" w:name="page60"/>
    <w:bookmarkEnd w:id="59"/>
    <w:p>
      <w:pPr>
        <w:jc w:val="both"/>
        <w:ind w:left="552" w:firstLine="285"/>
        <w:spacing w:after="0" w:line="238" w:lineRule="auto"/>
        <w:tabs>
          <w:tab w:leader="none" w:pos="1401" w:val="left"/>
        </w:tabs>
        <w:numPr>
          <w:ilvl w:val="0"/>
          <w:numId w:val="100"/>
        </w:numPr>
        <w:rPr>
          <w:rFonts w:ascii="Arial" w:cs="Arial" w:eastAsia="Arial" w:hAnsi="Arial"/>
          <w:sz w:val="18"/>
          <w:szCs w:val="18"/>
          <w:color w:val="010000"/>
        </w:rPr>
      </w:pPr>
      <w:r>
        <w:rPr>
          <w:rFonts w:ascii="Arial" w:cs="Arial" w:eastAsia="Arial" w:hAnsi="Arial"/>
          <w:sz w:val="18"/>
          <w:szCs w:val="18"/>
          <w:color w:val="auto"/>
        </w:rPr>
        <w:t>Unless otherwise expressly provided in the Plan, all designations, determinations, interpretations, and other decisions under or with respect to the Plan or any Award or any documents evidencing Awards granted pursuant to the Plan shall be within the sole discretion of the Committee, may be made at any time and shall be final, conclusive and binding upon all persons or entities, including, without limitation, the Company, any of its Affiliates, any Participant, any holder or beneficiary of any Award, and any stockholder of the Company.</w:t>
      </w:r>
    </w:p>
    <w:p>
      <w:pPr>
        <w:spacing w:after="0" w:line="188" w:lineRule="exact"/>
        <w:rPr>
          <w:rFonts w:ascii="Arial" w:cs="Arial" w:eastAsia="Arial" w:hAnsi="Arial"/>
          <w:sz w:val="18"/>
          <w:szCs w:val="18"/>
          <w:color w:val="010000"/>
        </w:rPr>
      </w:pPr>
    </w:p>
    <w:p>
      <w:pPr>
        <w:jc w:val="both"/>
        <w:ind w:left="552" w:firstLine="285"/>
        <w:spacing w:after="0" w:line="235" w:lineRule="auto"/>
        <w:tabs>
          <w:tab w:leader="none" w:pos="1455" w:val="left"/>
        </w:tabs>
        <w:numPr>
          <w:ilvl w:val="0"/>
          <w:numId w:val="100"/>
        </w:numPr>
        <w:rPr>
          <w:rFonts w:ascii="Arial" w:cs="Arial" w:eastAsia="Arial" w:hAnsi="Arial"/>
          <w:sz w:val="18"/>
          <w:szCs w:val="18"/>
          <w:color w:val="010000"/>
        </w:rPr>
      </w:pPr>
      <w:r>
        <w:rPr>
          <w:rFonts w:ascii="Arial" w:cs="Arial" w:eastAsia="Arial" w:hAnsi="Arial"/>
          <w:sz w:val="18"/>
          <w:szCs w:val="18"/>
          <w:color w:val="auto"/>
        </w:rPr>
        <w:t>No member of the Board, the Committee or any employee or agent of the Company or any Subsidiary (each such person, an "</w:t>
      </w:r>
      <w:r>
        <w:rPr>
          <w:rFonts w:ascii="Arial" w:cs="Arial" w:eastAsia="Arial" w:hAnsi="Arial"/>
          <w:sz w:val="18"/>
          <w:szCs w:val="18"/>
          <w:u w:val="single" w:color="auto"/>
          <w:color w:val="auto"/>
        </w:rPr>
        <w:t>Indemnifiable Person</w:t>
      </w:r>
      <w:r>
        <w:rPr>
          <w:rFonts w:ascii="Arial" w:cs="Arial" w:eastAsia="Arial" w:hAnsi="Arial"/>
          <w:sz w:val="18"/>
          <w:szCs w:val="18"/>
          <w:color w:val="auto"/>
        </w:rPr>
        <w:t xml:space="preserve">") shall be liable for any action taken or omitted to be taken or any determination made with respect to the Plan or any Award hereunder (unless constituting fraud or a willful criminal act or omission). Each Indemnifiable Person shall be indemnified and held harmless by the Company against and from any loss, cost, liability, or expense (including attorneys' fees) that may be imposed upon or incurred by such Indemnifiable Person in connection with or resulting from any action, suit or proceeding to which such Indemnifiable Person may be a party or in which such Indemnifiable Person may be involved by reason of any action taken or omitted to be taken or determination made under the Plan or any Award Agreement and against and from any and all amounts paid by such Indemnifiable Person with the Company's approval, in settlement thereof, or paid by such Indemnifiable Person in satisfaction of any judgment in any such action, suit or proceeding against such Indemnifiable Person, and the Company shall advance to such Indemnifiable Person any such expenses promptly upon written request (which request shall include an undertaking by the Indemnifiable Person to repay the amount of such advance if it shall ultimately be determined, as provided below, that the Indemnifiable Person is not entitled to be indemnified); </w:t>
      </w:r>
      <w:r>
        <w:rPr>
          <w:rFonts w:ascii="Arial" w:cs="Arial" w:eastAsia="Arial" w:hAnsi="Arial"/>
          <w:sz w:val="18"/>
          <w:szCs w:val="18"/>
          <w:i w:val="1"/>
          <w:iCs w:val="1"/>
          <w:color w:val="auto"/>
        </w:rPr>
        <w:t>provided</w:t>
      </w:r>
      <w:r>
        <w:rPr>
          <w:rFonts w:ascii="Arial" w:cs="Arial" w:eastAsia="Arial" w:hAnsi="Arial"/>
          <w:sz w:val="18"/>
          <w:szCs w:val="18"/>
          <w:color w:val="auto"/>
        </w:rPr>
        <w:t>, that the Company shall have the right, at its own expense, to assume and defend any such action, suit or proceeding and once the Company gives notice of its intent to assume the defense, the Company shall have sole control over such defense with counsel of the Company's choice. The foregoing right of indemnification shall not be available to an Indemnifiable Person to the extent that a final judgment or other final adjudication (in either case not subject to further appeal) binding upon such Indemnifiable Person determines that the acts, omissions or determinations of such Indemnifiable Person giving rise to the indemnification claim resulted from such Indemnifiable Person's fraud or willful criminal act or omission or that such right of indemnification is otherwise prohibited by law or by the Company's or any Subsidiary's organizational documents. The foregoing right of indemnification shall not be exclusive of or otherwise supersede any other rights of indemnification to which such Indemnifiable Persons may be entitled under the Company's Certificate of Incorporation or Bylaws, as a matter of law, individual indemnification agreement or contract or otherwise, or any other power that the Company may have to indemnify such Indemnifiable Persons or hold them harmless.</w:t>
      </w:r>
    </w:p>
    <w:p>
      <w:pPr>
        <w:spacing w:after="0" w:line="198" w:lineRule="exact"/>
        <w:rPr>
          <w:rFonts w:ascii="Arial" w:cs="Arial" w:eastAsia="Arial" w:hAnsi="Arial"/>
          <w:sz w:val="18"/>
          <w:szCs w:val="18"/>
          <w:color w:val="010000"/>
        </w:rPr>
      </w:pPr>
    </w:p>
    <w:p>
      <w:pPr>
        <w:jc w:val="both"/>
        <w:ind w:left="552" w:firstLine="285"/>
        <w:spacing w:after="0" w:line="238" w:lineRule="auto"/>
        <w:tabs>
          <w:tab w:leader="none" w:pos="1428" w:val="left"/>
        </w:tabs>
        <w:numPr>
          <w:ilvl w:val="0"/>
          <w:numId w:val="100"/>
        </w:numPr>
        <w:rPr>
          <w:rFonts w:ascii="Arial" w:cs="Arial" w:eastAsia="Arial" w:hAnsi="Arial"/>
          <w:sz w:val="18"/>
          <w:szCs w:val="18"/>
          <w:color w:val="010000"/>
        </w:rPr>
      </w:pPr>
      <w:r>
        <w:rPr>
          <w:rFonts w:ascii="Arial" w:cs="Arial" w:eastAsia="Arial" w:hAnsi="Arial"/>
          <w:sz w:val="18"/>
          <w:szCs w:val="18"/>
          <w:color w:val="auto"/>
        </w:rPr>
        <w:t>Notwithstanding anything to the contrary contained in the Plan, the Board may, in its sole discretion, at any time and from time to time, grant Awards and administer the Plan with respect to such Awards. Any such actions by the Board shall be subject to the applicable rules of the NASDAQ or any other securities exchange or inter-dealer quotation system on which the Common Stock is listed or quoted. In any such case, the Board shall have all the authority granted to the Committee under the Plan.</w:t>
      </w:r>
    </w:p>
    <w:p>
      <w:pPr>
        <w:spacing w:after="0" w:line="167" w:lineRule="exact"/>
        <w:rPr>
          <w:sz w:val="20"/>
          <w:szCs w:val="20"/>
          <w:color w:val="auto"/>
        </w:rPr>
      </w:pPr>
    </w:p>
    <w:p>
      <w:pPr>
        <w:ind w:left="552" w:hanging="552"/>
        <w:spacing w:after="0"/>
        <w:tabs>
          <w:tab w:leader="none" w:pos="552" w:val="left"/>
        </w:tabs>
        <w:numPr>
          <w:ilvl w:val="0"/>
          <w:numId w:val="101"/>
        </w:numPr>
        <w:rPr>
          <w:rFonts w:ascii="Arial" w:cs="Arial" w:eastAsia="Arial" w:hAnsi="Arial"/>
          <w:sz w:val="18"/>
          <w:szCs w:val="18"/>
          <w:color w:val="auto"/>
        </w:rPr>
      </w:pPr>
      <w:r>
        <w:rPr>
          <w:rFonts w:ascii="Arial" w:cs="Arial" w:eastAsia="Arial" w:hAnsi="Arial"/>
          <w:sz w:val="18"/>
          <w:szCs w:val="18"/>
          <w:b w:val="1"/>
          <w:bCs w:val="1"/>
          <w:color w:val="auto"/>
        </w:rPr>
        <w:t>Grant of Awards; Shares Subject to the Plan; Limitations</w:t>
      </w:r>
      <w:r>
        <w:rPr>
          <w:rFonts w:ascii="Arial" w:cs="Arial" w:eastAsia="Arial" w:hAnsi="Arial"/>
          <w:sz w:val="18"/>
          <w:szCs w:val="18"/>
          <w:color w:val="auto"/>
        </w:rPr>
        <w:t>.</w:t>
      </w:r>
    </w:p>
    <w:p>
      <w:pPr>
        <w:spacing w:after="0" w:line="220" w:lineRule="exact"/>
        <w:rPr>
          <w:rFonts w:ascii="Arial" w:cs="Arial" w:eastAsia="Arial" w:hAnsi="Arial"/>
          <w:sz w:val="18"/>
          <w:szCs w:val="18"/>
          <w:color w:val="auto"/>
        </w:rPr>
      </w:pPr>
    </w:p>
    <w:p>
      <w:pPr>
        <w:ind w:left="1352" w:hanging="515"/>
        <w:spacing w:after="0"/>
        <w:tabs>
          <w:tab w:leader="none" w:pos="1352" w:val="left"/>
        </w:tabs>
        <w:numPr>
          <w:ilvl w:val="1"/>
          <w:numId w:val="101"/>
        </w:numPr>
        <w:rPr>
          <w:rFonts w:ascii="Arial" w:cs="Arial" w:eastAsia="Arial" w:hAnsi="Arial"/>
          <w:sz w:val="18"/>
          <w:szCs w:val="18"/>
          <w:color w:val="010000"/>
        </w:rPr>
      </w:pPr>
      <w:r>
        <w:rPr>
          <w:rFonts w:ascii="Arial" w:cs="Arial" w:eastAsia="Arial" w:hAnsi="Arial"/>
          <w:sz w:val="18"/>
          <w:szCs w:val="18"/>
          <w:color w:val="auto"/>
        </w:rPr>
        <w:t>The Committee may, from time to time, grant Awards to one or more Eligible Persons.</w:t>
      </w:r>
    </w:p>
    <w:p>
      <w:pPr>
        <w:spacing w:after="0" w:line="200" w:lineRule="exact"/>
        <w:rPr>
          <w:sz w:val="20"/>
          <w:szCs w:val="20"/>
          <w:color w:val="auto"/>
        </w:rPr>
      </w:pPr>
    </w:p>
    <w:p>
      <w:pPr>
        <w:spacing w:after="0" w:line="214" w:lineRule="exact"/>
        <w:rPr>
          <w:sz w:val="20"/>
          <w:szCs w:val="20"/>
          <w:color w:val="auto"/>
        </w:rPr>
      </w:pPr>
    </w:p>
    <w:p>
      <w:pPr>
        <w:jc w:val="center"/>
        <w:ind w:right="-311"/>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72"/>
          </w:cols>
          <w:pgMar w:left="328" w:top="355" w:right="699" w:bottom="1440" w:gutter="0" w:footer="0" w:header="0"/>
        </w:sectPr>
      </w:pPr>
    </w:p>
    <w:bookmarkStart w:id="60" w:name="page61"/>
    <w:bookmarkEnd w:id="60"/>
    <w:p>
      <w:pPr>
        <w:jc w:val="both"/>
        <w:ind w:firstLine="285"/>
        <w:spacing w:after="0" w:line="235" w:lineRule="auto"/>
        <w:tabs>
          <w:tab w:leader="none" w:pos="862" w:val="left"/>
        </w:tabs>
        <w:numPr>
          <w:ilvl w:val="0"/>
          <w:numId w:val="102"/>
        </w:numPr>
        <w:rPr>
          <w:rFonts w:ascii="Arial" w:cs="Arial" w:eastAsia="Arial" w:hAnsi="Arial"/>
          <w:sz w:val="18"/>
          <w:szCs w:val="18"/>
          <w:color w:val="010000"/>
        </w:rPr>
      </w:pPr>
      <w:r>
        <w:rPr>
          <w:rFonts w:ascii="Arial" w:cs="Arial" w:eastAsia="Arial" w:hAnsi="Arial"/>
          <w:sz w:val="18"/>
          <w:szCs w:val="18"/>
          <w:color w:val="auto"/>
        </w:rPr>
        <w:t>Awards granted under the Plan shall be subject to the following limitations and the proviso at the end of this Section 5(b): (i) subject to Section 12 of the Plan, no more than 3,200,000 shares of Common Stock, plus any shares of Common Stock subject to outstanding awards granted under the 2013 Stock Incentive Plan for Key Employees of PRA Health Sciences, Inc. and its Subsidiaries that, after the Effective Date, expire or are otherwise forfeited or terminated in accordance with their terms, in each case, without the delivery of shares of Common Stock in settlement thereof (the "</w:t>
      </w:r>
      <w:r>
        <w:rPr>
          <w:rFonts w:ascii="Arial" w:cs="Arial" w:eastAsia="Arial" w:hAnsi="Arial"/>
          <w:sz w:val="18"/>
          <w:szCs w:val="18"/>
          <w:u w:val="single" w:color="auto"/>
          <w:color w:val="auto"/>
        </w:rPr>
        <w:t>Absolute Share Limit</w:t>
      </w:r>
      <w:r>
        <w:rPr>
          <w:rFonts w:ascii="Arial" w:cs="Arial" w:eastAsia="Arial" w:hAnsi="Arial"/>
          <w:sz w:val="18"/>
          <w:szCs w:val="18"/>
          <w:color w:val="auto"/>
        </w:rPr>
        <w:t xml:space="preserve">"), shall be available for Awards under the Plan; (ii) subject to Section 12 of the Plan, grants of Options or SARs under the Plan in respect of no more than 1,000,000 shares of Common Stock may be made to any individual Participant during any single fiscal year of the Company (for this purpose, if a SAR is granted in tandem with an Option (such that the SAR expires with respect to the number of shares of Common Stock for which the Option is exercised), only the shares underlying the Option shall count against this limitation); (iii) subject to Section 12 of the Plan, no more than 3,200,000 shares of Common Stock may be issued in the aggregate pursuant to the exercise of Incentive Stock Options granted under the Plan; (iv) subject to Section 12 of the Plan, no more than 2,000,000 shares of Common Stock may be issued in respect of Performance Compensation Awards denominated in shares of Common Stock granted pursuant to Section 11 of the Plan to any individual Participant for a single fiscal year during a Performance Period (or with respect to each single fiscal year in the event a Performance Period extends beyond a single fiscal year), or in the event such share denominated Performance Compensation Award is paid in cash, other securities, other Awards or other property, no more than the Fair Market Value of such shares of Common Stock on the last day of the Performance Period to which such Award relates; (v) the maximum number of shares of Common Stock subject to Awards granted during a single fiscal year to any Non- Employee Director, taken together with any cash fees paid to such Non-Employee Director during the fiscal year, shall not exceed $500,000 in total value (calculating the value of any such Awards based on the grant date fair value of such Awards for financial reporting purposes); and (vi) the maximum amount that can be paid to any individual Participant for a single fiscal year during a Performance Period (or with respect to each single fiscal year in the event a Performance Period extends beyond a single fiscal year) pursuant to a Performance Compensation Award denominated in cash (described in Section 11(a) of the Plan) shall be $7,500,000 </w:t>
      </w:r>
      <w:r>
        <w:rPr>
          <w:rFonts w:ascii="Arial" w:cs="Arial" w:eastAsia="Arial" w:hAnsi="Arial"/>
          <w:sz w:val="18"/>
          <w:szCs w:val="18"/>
          <w:i w:val="1"/>
          <w:iCs w:val="1"/>
          <w:color w:val="auto"/>
        </w:rPr>
        <w:t>provided, however</w:t>
      </w:r>
      <w:r>
        <w:rPr>
          <w:rFonts w:ascii="Arial" w:cs="Arial" w:eastAsia="Arial" w:hAnsi="Arial"/>
          <w:sz w:val="18"/>
          <w:szCs w:val="18"/>
          <w:color w:val="auto"/>
        </w:rPr>
        <w:t>, that in all cases with respect to each of the foregoing limits in parts (i), (ii), (iii), (iv), (v) and (vi) the specified limits or values will be reduced by the amount of any PRA Health Sciences Inc. common stock that was issued in settlement of the respective outstanding awards under the Plan prior to the Assumption Date.</w:t>
      </w:r>
    </w:p>
    <w:p>
      <w:pPr>
        <w:spacing w:after="0" w:line="198" w:lineRule="exact"/>
        <w:rPr>
          <w:rFonts w:ascii="Arial" w:cs="Arial" w:eastAsia="Arial" w:hAnsi="Arial"/>
          <w:sz w:val="18"/>
          <w:szCs w:val="18"/>
          <w:color w:val="010000"/>
        </w:rPr>
      </w:pPr>
    </w:p>
    <w:p>
      <w:pPr>
        <w:jc w:val="both"/>
        <w:ind w:firstLine="285"/>
        <w:spacing w:after="0" w:line="236" w:lineRule="auto"/>
        <w:tabs>
          <w:tab w:leader="none" w:pos="825" w:val="left"/>
        </w:tabs>
        <w:numPr>
          <w:ilvl w:val="0"/>
          <w:numId w:val="102"/>
        </w:numPr>
        <w:rPr>
          <w:rFonts w:ascii="Arial" w:cs="Arial" w:eastAsia="Arial" w:hAnsi="Arial"/>
          <w:sz w:val="18"/>
          <w:szCs w:val="18"/>
          <w:color w:val="010000"/>
        </w:rPr>
      </w:pPr>
      <w:r>
        <w:rPr>
          <w:rFonts w:ascii="Arial" w:cs="Arial" w:eastAsia="Arial" w:hAnsi="Arial"/>
          <w:sz w:val="18"/>
          <w:szCs w:val="18"/>
          <w:color w:val="auto"/>
        </w:rPr>
        <w:t xml:space="preserve">Other than with respect to Substitute Awards, to the extent that an Award expires or is canceled, forfeited, terminated, settled in cash, or otherwise is settled without delivery to the Participant of the full number of shares of Common Stock to which the Award related, the undelivered shares will again be available for grant. Shares of Common Stock withheld in payment of the exercise price or taxes relating to an Award and shares equal to the number of shares surrendered in payment of any Exercise Price or Strike Price, or taxes relating to an Award, shall be deemed to constitute shares not issued to the Participant and shall be deemed to again be available for Awards under the Plan; </w:t>
      </w:r>
      <w:r>
        <w:rPr>
          <w:rFonts w:ascii="Arial" w:cs="Arial" w:eastAsia="Arial" w:hAnsi="Arial"/>
          <w:sz w:val="18"/>
          <w:szCs w:val="18"/>
          <w:i w:val="1"/>
          <w:iCs w:val="1"/>
          <w:color w:val="auto"/>
        </w:rPr>
        <w:t>provided, however</w:t>
      </w:r>
      <w:r>
        <w:rPr>
          <w:rFonts w:ascii="Arial" w:cs="Arial" w:eastAsia="Arial" w:hAnsi="Arial"/>
          <w:sz w:val="18"/>
          <w:szCs w:val="18"/>
          <w:color w:val="auto"/>
        </w:rPr>
        <w:t>, that such shares shall not become available for issuance hereunder if either: (i) the applicable shares are withheld or surrendered following the termination of the Plan; or (ii) at the time the applicable shares are withheld or surrendered, it would constitute a material revision of the Plan subject to stockholder approval under any then-applicable rules of the national securities exchange on which the Common Stock is listed.</w:t>
      </w:r>
    </w:p>
    <w:p>
      <w:pPr>
        <w:spacing w:after="0" w:line="193" w:lineRule="exact"/>
        <w:rPr>
          <w:rFonts w:ascii="Arial" w:cs="Arial" w:eastAsia="Arial" w:hAnsi="Arial"/>
          <w:sz w:val="18"/>
          <w:szCs w:val="18"/>
          <w:color w:val="010000"/>
        </w:rPr>
      </w:pPr>
    </w:p>
    <w:p>
      <w:pPr>
        <w:jc w:val="both"/>
        <w:ind w:firstLine="285"/>
        <w:spacing w:after="0"/>
        <w:tabs>
          <w:tab w:leader="none" w:pos="876" w:val="left"/>
        </w:tabs>
        <w:numPr>
          <w:ilvl w:val="0"/>
          <w:numId w:val="102"/>
        </w:numPr>
        <w:rPr>
          <w:rFonts w:ascii="Arial" w:cs="Arial" w:eastAsia="Arial" w:hAnsi="Arial"/>
          <w:sz w:val="18"/>
          <w:szCs w:val="18"/>
          <w:color w:val="010000"/>
        </w:rPr>
      </w:pPr>
      <w:r>
        <w:rPr>
          <w:rFonts w:ascii="Arial" w:cs="Arial" w:eastAsia="Arial" w:hAnsi="Arial"/>
          <w:sz w:val="18"/>
          <w:szCs w:val="18"/>
          <w:color w:val="auto"/>
        </w:rPr>
        <w:t>Shares of Common Stock issued by the Company in settlement of Awards may be authorized and unissued shares, shares held in the treasury of the Company, shares purchased on the open market or by private purchase or a combination of the foregoing.</w:t>
      </w:r>
    </w:p>
    <w:p>
      <w:pPr>
        <w:spacing w:after="0" w:line="189" w:lineRule="exact"/>
        <w:rPr>
          <w:rFonts w:ascii="Arial" w:cs="Arial" w:eastAsia="Arial" w:hAnsi="Arial"/>
          <w:sz w:val="18"/>
          <w:szCs w:val="18"/>
          <w:color w:val="010000"/>
        </w:rPr>
      </w:pPr>
    </w:p>
    <w:p>
      <w:pPr>
        <w:jc w:val="both"/>
        <w:ind w:firstLine="285"/>
        <w:spacing w:after="0" w:line="236" w:lineRule="auto"/>
        <w:tabs>
          <w:tab w:leader="none" w:pos="822" w:val="left"/>
        </w:tabs>
        <w:numPr>
          <w:ilvl w:val="0"/>
          <w:numId w:val="102"/>
        </w:numPr>
        <w:rPr>
          <w:rFonts w:ascii="Arial" w:cs="Arial" w:eastAsia="Arial" w:hAnsi="Arial"/>
          <w:sz w:val="18"/>
          <w:szCs w:val="18"/>
          <w:color w:val="010000"/>
        </w:rPr>
      </w:pPr>
      <w:r>
        <w:rPr>
          <w:rFonts w:ascii="Arial" w:cs="Arial" w:eastAsia="Arial" w:hAnsi="Arial"/>
          <w:sz w:val="18"/>
          <w:szCs w:val="18"/>
          <w:color w:val="auto"/>
        </w:rPr>
        <w:t>Awards may, in the sole discretion of the Committee, be granted under the Plan in assumption of, or in substitution for, outstanding awards previously granted by an entity directly or indirectly acquired by the Company or with which the Company combines ("</w:t>
      </w:r>
      <w:r>
        <w:rPr>
          <w:rFonts w:ascii="Arial" w:cs="Arial" w:eastAsia="Arial" w:hAnsi="Arial"/>
          <w:sz w:val="18"/>
          <w:szCs w:val="18"/>
          <w:u w:val="single" w:color="auto"/>
          <w:color w:val="auto"/>
        </w:rPr>
        <w:t>Substitute Awards</w:t>
      </w:r>
      <w:r>
        <w:rPr>
          <w:rFonts w:ascii="Arial" w:cs="Arial" w:eastAsia="Arial" w:hAnsi="Arial"/>
          <w:sz w:val="18"/>
          <w:szCs w:val="18"/>
          <w:color w:val="auto"/>
        </w:rPr>
        <w:t xml:space="preserve">"). Substitute Awards shall not be counted against the Absolute Share Limit; </w:t>
      </w:r>
      <w:r>
        <w:rPr>
          <w:rFonts w:ascii="Arial" w:cs="Arial" w:eastAsia="Arial" w:hAnsi="Arial"/>
          <w:sz w:val="18"/>
          <w:szCs w:val="18"/>
          <w:i w:val="1"/>
          <w:iCs w:val="1"/>
          <w:color w:val="auto"/>
        </w:rPr>
        <w:t>provided</w:t>
      </w:r>
      <w:r>
        <w:rPr>
          <w:rFonts w:ascii="Arial" w:cs="Arial" w:eastAsia="Arial" w:hAnsi="Arial"/>
          <w:sz w:val="18"/>
          <w:szCs w:val="18"/>
          <w:color w:val="auto"/>
        </w:rPr>
        <w:t>, that Substitute Awards issued in connection with the assumption of, or in substitution for, outstanding options intended to qualify as "incentive stock options" within the meaning of Section 422 of the Code shall be counted against the aggregate number of shares of Common Stock available for Awards of Incentive Stock Options under the Plan. Subject to applicable stock exchange requirements, available shares under a stockholder approved plan of an entity directly or indirectly acquired by the Company or with which the Company combines (as appropriately adjusted to reflect the acquisition or combination transaction) may be used for Awards under the Plan and shall not reduce the number of shares of Common Stock available for issuance under the Plan.</w:t>
      </w:r>
    </w:p>
    <w:p>
      <w:pPr>
        <w:spacing w:after="0" w:line="200" w:lineRule="exact"/>
        <w:rPr>
          <w:sz w:val="20"/>
          <w:szCs w:val="20"/>
          <w:color w:val="auto"/>
        </w:rPr>
      </w:pPr>
    </w:p>
    <w:p>
      <w:pPr>
        <w:spacing w:after="0" w:line="209"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40640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20"/>
          </w:cols>
          <w:pgMar w:left="880" w:top="355" w:right="699" w:bottom="1440" w:gutter="0" w:footer="0" w:header="0"/>
        </w:sectPr>
      </w:pPr>
    </w:p>
    <w:bookmarkStart w:id="61" w:name="page62"/>
    <w:bookmarkEnd w:id="61"/>
    <w:p>
      <w:pPr>
        <w:ind w:left="560" w:hanging="552"/>
        <w:spacing w:after="0"/>
        <w:tabs>
          <w:tab w:leader="none" w:pos="560" w:val="left"/>
        </w:tabs>
        <w:numPr>
          <w:ilvl w:val="0"/>
          <w:numId w:val="103"/>
        </w:numPr>
        <w:rPr>
          <w:rFonts w:ascii="Arial" w:cs="Arial" w:eastAsia="Arial" w:hAnsi="Arial"/>
          <w:sz w:val="18"/>
          <w:szCs w:val="18"/>
          <w:color w:val="auto"/>
        </w:rPr>
      </w:pPr>
      <w:r>
        <w:rPr>
          <w:rFonts w:ascii="Arial" w:cs="Arial" w:eastAsia="Arial" w:hAnsi="Arial"/>
          <w:sz w:val="18"/>
          <w:szCs w:val="18"/>
          <w:b w:val="1"/>
          <w:bCs w:val="1"/>
          <w:color w:val="auto"/>
        </w:rPr>
        <w:t>Eligibility</w:t>
      </w:r>
      <w:r>
        <w:rPr>
          <w:rFonts w:ascii="Arial" w:cs="Arial" w:eastAsia="Arial" w:hAnsi="Arial"/>
          <w:sz w:val="18"/>
          <w:szCs w:val="18"/>
          <w:color w:val="auto"/>
        </w:rPr>
        <w:t>. Participation in the Plan shall be limited to Eligible Persons.</w:t>
      </w:r>
    </w:p>
    <w:p>
      <w:pPr>
        <w:spacing w:after="0" w:line="19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7</w:t>
      </w:r>
      <w:r>
        <w:rPr>
          <w:rFonts w:ascii="Arial" w:cs="Arial" w:eastAsia="Arial" w:hAnsi="Arial"/>
          <w:sz w:val="18"/>
          <w:szCs w:val="18"/>
          <w:b w:val="1"/>
          <w:bCs w:val="1"/>
          <w:color w:val="auto"/>
        </w:rPr>
        <w:t>Options</w:t>
      </w:r>
      <w:r>
        <w:rPr>
          <w:rFonts w:ascii="Arial" w:cs="Arial" w:eastAsia="Arial" w:hAnsi="Arial"/>
          <w:sz w:val="18"/>
          <w:szCs w:val="18"/>
          <w:color w:val="auto"/>
        </w:rPr>
        <w:t>.</w:t>
      </w:r>
    </w:p>
    <w:p>
      <w:pPr>
        <w:spacing w:after="0" w:line="220" w:lineRule="exact"/>
        <w:rPr>
          <w:rFonts w:ascii="Arial" w:cs="Arial" w:eastAsia="Arial" w:hAnsi="Arial"/>
          <w:sz w:val="18"/>
          <w:szCs w:val="18"/>
          <w:color w:val="auto"/>
        </w:rPr>
      </w:pPr>
    </w:p>
    <w:p>
      <w:pPr>
        <w:jc w:val="both"/>
        <w:ind w:left="560" w:firstLine="285"/>
        <w:spacing w:after="0" w:line="235" w:lineRule="auto"/>
        <w:tabs>
          <w:tab w:leader="none" w:pos="1368" w:val="left"/>
        </w:tabs>
        <w:numPr>
          <w:ilvl w:val="1"/>
          <w:numId w:val="103"/>
        </w:numPr>
        <w:rPr>
          <w:rFonts w:ascii="Arial" w:cs="Arial" w:eastAsia="Arial" w:hAnsi="Arial"/>
          <w:sz w:val="18"/>
          <w:szCs w:val="18"/>
          <w:color w:val="010000"/>
        </w:rPr>
      </w:pPr>
      <w:r>
        <w:rPr>
          <w:rFonts w:ascii="Arial" w:cs="Arial" w:eastAsia="Arial" w:hAnsi="Arial"/>
          <w:sz w:val="18"/>
          <w:szCs w:val="18"/>
          <w:u w:val="single" w:color="auto"/>
          <w:color w:val="auto"/>
        </w:rPr>
        <w:t>General</w:t>
      </w:r>
      <w:r>
        <w:rPr>
          <w:rFonts w:ascii="Arial" w:cs="Arial" w:eastAsia="Arial" w:hAnsi="Arial"/>
          <w:sz w:val="18"/>
          <w:szCs w:val="18"/>
          <w:color w:val="auto"/>
        </w:rPr>
        <w:t xml:space="preserve">. Each Option granted under the Plan shall be evidenced by an Award Agreement, in written or electronic form, which agreement need not be the same for each Participant. Each Option so granted shall be subject to the conditions set forth in this Section 7, and to such other conditions not inconsistent with the Plan as may be reflected in the applicable Award Agreement. All Options granted under the Plan shall be Nonqualified Stock Options unless the applicable Award Agreement expressly states that the Option is intended to be an Incentive Stock Option. Incentive Stock Options shall be granted only to Eligible Persons who are employees of the Company and its Affiliates, and no Incentive Stock Option shall be granted to any Eligible Person who is ineligible to receive an Incentive Stock Option under the Code. No Option shall be treated as an Incentive Stock Option unless the Plan has been approved by the stockholders of the Company in a manner intended to comply with the stockholder approval requirements of Section 422(b)(1) of the Code,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Option intended to be an Incentive Stock Option shall not fail to be effective solely on account of a failure to obtain such approval, but rather such Option shall be treated as a Nonqualified Stock Option unless and until such approval is obtained. In the case of an Incentive Stock Option, the terms and conditions of such grant shall be subject to, and comply with, such rules as may be prescribed by Section 422 of the Code. If for any reason an Option intended to be an Incentive Stock Option (or any portion thereof) shall not qualify as an Incentive Stock Option, then, to the extent of such nonqualification, such Option or portion thereof shall be regarded as a Nonqualified Stock Option appropriately granted under the Plan.</w:t>
      </w:r>
    </w:p>
    <w:p>
      <w:pPr>
        <w:spacing w:after="0" w:line="199" w:lineRule="exact"/>
        <w:rPr>
          <w:rFonts w:ascii="Arial" w:cs="Arial" w:eastAsia="Arial" w:hAnsi="Arial"/>
          <w:sz w:val="18"/>
          <w:szCs w:val="18"/>
          <w:color w:val="010000"/>
        </w:rPr>
      </w:pPr>
    </w:p>
    <w:p>
      <w:pPr>
        <w:jc w:val="both"/>
        <w:ind w:left="560" w:firstLine="285"/>
        <w:spacing w:after="0" w:line="237" w:lineRule="auto"/>
        <w:tabs>
          <w:tab w:leader="none" w:pos="1436" w:val="left"/>
        </w:tabs>
        <w:numPr>
          <w:ilvl w:val="1"/>
          <w:numId w:val="103"/>
        </w:numPr>
        <w:rPr>
          <w:rFonts w:ascii="Arial" w:cs="Arial" w:eastAsia="Arial" w:hAnsi="Arial"/>
          <w:sz w:val="18"/>
          <w:szCs w:val="18"/>
          <w:color w:val="010000"/>
        </w:rPr>
      </w:pPr>
      <w:r>
        <w:rPr>
          <w:rFonts w:ascii="Arial" w:cs="Arial" w:eastAsia="Arial" w:hAnsi="Arial"/>
          <w:sz w:val="18"/>
          <w:szCs w:val="18"/>
          <w:u w:val="single" w:color="auto"/>
          <w:color w:val="auto"/>
        </w:rPr>
        <w:t>Exercise Price</w:t>
      </w:r>
      <w:r>
        <w:rPr>
          <w:rFonts w:ascii="Arial" w:cs="Arial" w:eastAsia="Arial" w:hAnsi="Arial"/>
          <w:sz w:val="18"/>
          <w:szCs w:val="18"/>
          <w:color w:val="auto"/>
        </w:rPr>
        <w:t>. Except as otherwise provided by the Committee in the case of Substitute Awards, the exercise price ("</w:t>
      </w:r>
      <w:r>
        <w:rPr>
          <w:rFonts w:ascii="Arial" w:cs="Arial" w:eastAsia="Arial" w:hAnsi="Arial"/>
          <w:sz w:val="18"/>
          <w:szCs w:val="18"/>
          <w:u w:val="single" w:color="auto"/>
          <w:color w:val="auto"/>
        </w:rPr>
        <w:t>Exercise Price</w:t>
      </w:r>
      <w:r>
        <w:rPr>
          <w:rFonts w:ascii="Arial" w:cs="Arial" w:eastAsia="Arial" w:hAnsi="Arial"/>
          <w:sz w:val="18"/>
          <w:szCs w:val="18"/>
          <w:color w:val="auto"/>
        </w:rPr>
        <w:t xml:space="preserve">") per share of Common Stock for each Option shall not be less than 100% of the Fair Market Value of such share (determined as of the Date of Grant); </w:t>
      </w:r>
      <w:r>
        <w:rPr>
          <w:rFonts w:ascii="Arial" w:cs="Arial" w:eastAsia="Arial" w:hAnsi="Arial"/>
          <w:sz w:val="18"/>
          <w:szCs w:val="18"/>
          <w:i w:val="1"/>
          <w:iCs w:val="1"/>
          <w:color w:val="auto"/>
        </w:rPr>
        <w:t>provided, however</w:t>
      </w:r>
      <w:r>
        <w:rPr>
          <w:rFonts w:ascii="Arial" w:cs="Arial" w:eastAsia="Arial" w:hAnsi="Arial"/>
          <w:sz w:val="18"/>
          <w:szCs w:val="18"/>
          <w:color w:val="auto"/>
        </w:rPr>
        <w:t>, that in the case of an Incentive Stock Option granted to an employee who, at the time of the grant of such Option, owns stock representing more than 10% of the voting power of all classes of stock of the Company or any Affiliate, the Exercise Price per share shall be no less than 110% of the Fair Market Value per share on the Date of Grant.</w:t>
      </w:r>
    </w:p>
    <w:p>
      <w:pPr>
        <w:spacing w:after="0" w:line="191" w:lineRule="exact"/>
        <w:rPr>
          <w:rFonts w:ascii="Arial" w:cs="Arial" w:eastAsia="Arial" w:hAnsi="Arial"/>
          <w:sz w:val="18"/>
          <w:szCs w:val="18"/>
          <w:color w:val="010000"/>
        </w:rPr>
      </w:pPr>
    </w:p>
    <w:p>
      <w:pPr>
        <w:ind w:left="1400" w:hanging="555"/>
        <w:spacing w:after="0"/>
        <w:tabs>
          <w:tab w:leader="none" w:pos="1400" w:val="left"/>
        </w:tabs>
        <w:numPr>
          <w:ilvl w:val="1"/>
          <w:numId w:val="103"/>
        </w:numPr>
        <w:rPr>
          <w:rFonts w:ascii="Arial" w:cs="Arial" w:eastAsia="Arial" w:hAnsi="Arial"/>
          <w:sz w:val="18"/>
          <w:szCs w:val="18"/>
          <w:color w:val="010000"/>
        </w:rPr>
      </w:pPr>
      <w:r>
        <w:rPr>
          <w:rFonts w:ascii="Arial" w:cs="Arial" w:eastAsia="Arial" w:hAnsi="Arial"/>
          <w:sz w:val="18"/>
          <w:szCs w:val="18"/>
          <w:u w:val="single" w:color="auto"/>
          <w:color w:val="auto"/>
        </w:rPr>
        <w:t>Vesting and Expiration; Termination</w:t>
      </w:r>
      <w:r>
        <w:rPr>
          <w:rFonts w:ascii="Arial" w:cs="Arial" w:eastAsia="Arial" w:hAnsi="Arial"/>
          <w:sz w:val="18"/>
          <w:szCs w:val="18"/>
          <w:color w:val="auto"/>
        </w:rPr>
        <w:t>.</w:t>
      </w:r>
    </w:p>
    <w:p>
      <w:pPr>
        <w:spacing w:after="0" w:line="198" w:lineRule="exact"/>
        <w:rPr>
          <w:rFonts w:ascii="Arial" w:cs="Arial" w:eastAsia="Arial" w:hAnsi="Arial"/>
          <w:sz w:val="18"/>
          <w:szCs w:val="18"/>
          <w:color w:val="010000"/>
        </w:rPr>
      </w:pPr>
    </w:p>
    <w:p>
      <w:pPr>
        <w:jc w:val="both"/>
        <w:ind w:left="740" w:right="80" w:firstLine="654"/>
        <w:spacing w:after="0" w:line="236" w:lineRule="auto"/>
        <w:tabs>
          <w:tab w:leader="none" w:pos="1938" w:val="left"/>
        </w:tabs>
        <w:numPr>
          <w:ilvl w:val="2"/>
          <w:numId w:val="103"/>
        </w:numPr>
        <w:rPr>
          <w:rFonts w:ascii="Arial" w:cs="Arial" w:eastAsia="Arial" w:hAnsi="Arial"/>
          <w:sz w:val="18"/>
          <w:szCs w:val="18"/>
          <w:color w:val="010000"/>
        </w:rPr>
      </w:pPr>
      <w:r>
        <w:rPr>
          <w:rFonts w:ascii="Arial" w:cs="Arial" w:eastAsia="Arial" w:hAnsi="Arial"/>
          <w:sz w:val="18"/>
          <w:szCs w:val="18"/>
          <w:color w:val="auto"/>
        </w:rPr>
        <w:t xml:space="preserve">Options shall vest and become exercisable in such manner and on such date or dates or upon such events as determined by the Committee;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notwithstanding any such vesting dates or events, the Committee may in its sole discretion accelerate the vesting of any Options at any time and for any reason. Options shall expire upon a date determined by the Committee, not to exceed ten (10) years from the Date of Grant (the "</w:t>
      </w:r>
      <w:r>
        <w:rPr>
          <w:rFonts w:ascii="Arial" w:cs="Arial" w:eastAsia="Arial" w:hAnsi="Arial"/>
          <w:sz w:val="18"/>
          <w:szCs w:val="18"/>
          <w:u w:val="single" w:color="auto"/>
          <w:color w:val="auto"/>
        </w:rPr>
        <w:t>Option Period</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that if the Option Period (other than in the case of an Incentive Stock Option) would expire at a time when trading in the shares of Common Stock is prohibited by the Company's insider trading policy (or Company- imposed "blackout period"), then the Option Period shall be automatically extended until the 30th day following the expiration of such prohibition. Notwithstanding the foregoing, in no event shall the Option Period exceed five (5) years from the Date of Grant in the case of an Incentive Stock Option granted to a Participant who on the Date of Grant owns stock representing more than 10% of the voting power of all classes of stock of the Company or any Affiliate.</w:t>
      </w:r>
    </w:p>
    <w:p>
      <w:pPr>
        <w:spacing w:after="0" w:line="192" w:lineRule="exact"/>
        <w:rPr>
          <w:rFonts w:ascii="Arial" w:cs="Arial" w:eastAsia="Arial" w:hAnsi="Arial"/>
          <w:sz w:val="18"/>
          <w:szCs w:val="18"/>
          <w:color w:val="010000"/>
        </w:rPr>
      </w:pPr>
    </w:p>
    <w:p>
      <w:pPr>
        <w:jc w:val="both"/>
        <w:ind w:left="740" w:right="80" w:firstLine="654"/>
        <w:spacing w:after="0" w:line="236" w:lineRule="auto"/>
        <w:tabs>
          <w:tab w:leader="none" w:pos="1938" w:val="left"/>
        </w:tabs>
        <w:numPr>
          <w:ilvl w:val="2"/>
          <w:numId w:val="103"/>
        </w:numPr>
        <w:rPr>
          <w:rFonts w:ascii="Arial" w:cs="Arial" w:eastAsia="Arial" w:hAnsi="Arial"/>
          <w:sz w:val="18"/>
          <w:szCs w:val="18"/>
          <w:color w:val="010000"/>
        </w:rPr>
      </w:pPr>
      <w:r>
        <w:rPr>
          <w:rFonts w:ascii="Arial" w:cs="Arial" w:eastAsia="Arial" w:hAnsi="Arial"/>
          <w:sz w:val="18"/>
          <w:szCs w:val="18"/>
          <w:color w:val="auto"/>
        </w:rPr>
        <w:t>Unless otherwise provided by the Committee, whether in an Award Agreement or otherwise, in the event of: (A) a Participant's Termination by the Service Recipient for Cause, all outstanding Options granted to such Participant shall immediately terminate and expire; (B) a Participant's Termination due to death or Disability, each outstanding unvested Option granted to such Participant shall immediately terminate and expire, and each outstanding vested Option shall remain exercisable for one year thereafter (but in no event beyond the expiration of the Option Period); and (C) a Participant's Termination for any other reason, each outstanding unvested Option granted to such Participant shall immediately terminate and expire, and each outstanding vested Option shall remain exercisable for ninety (90) days thereafter (but in no event beyond the expiration of the Option Period).</w:t>
      </w:r>
    </w:p>
    <w:p>
      <w:pPr>
        <w:spacing w:after="0" w:line="200" w:lineRule="exact"/>
        <w:rPr>
          <w:sz w:val="20"/>
          <w:szCs w:val="20"/>
          <w:color w:val="auto"/>
        </w:rPr>
      </w:pPr>
    </w:p>
    <w:p>
      <w:pPr>
        <w:spacing w:after="0" w:line="21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80"/>
          </w:cols>
          <w:pgMar w:left="320" w:top="333" w:right="699" w:bottom="1440" w:gutter="0" w:footer="0" w:header="0"/>
        </w:sectPr>
      </w:pPr>
    </w:p>
    <w:bookmarkStart w:id="62" w:name="page63"/>
    <w:bookmarkEnd w:id="62"/>
    <w:p>
      <w:pPr>
        <w:jc w:val="both"/>
        <w:ind w:left="552" w:firstLine="285"/>
        <w:spacing w:after="0" w:line="235" w:lineRule="auto"/>
        <w:tabs>
          <w:tab w:leader="none" w:pos="1360" w:val="left"/>
        </w:tabs>
        <w:numPr>
          <w:ilvl w:val="0"/>
          <w:numId w:val="104"/>
        </w:numPr>
        <w:rPr>
          <w:rFonts w:ascii="Arial" w:cs="Arial" w:eastAsia="Arial" w:hAnsi="Arial"/>
          <w:sz w:val="18"/>
          <w:szCs w:val="18"/>
          <w:color w:val="010000"/>
        </w:rPr>
      </w:pPr>
      <w:r>
        <w:rPr>
          <w:rFonts w:ascii="Arial" w:cs="Arial" w:eastAsia="Arial" w:hAnsi="Arial"/>
          <w:sz w:val="18"/>
          <w:szCs w:val="18"/>
          <w:u w:val="single" w:color="auto"/>
          <w:color w:val="auto"/>
        </w:rPr>
        <w:t>Method of Exercise and Form of Payment</w:t>
      </w:r>
      <w:r>
        <w:rPr>
          <w:rFonts w:ascii="Arial" w:cs="Arial" w:eastAsia="Arial" w:hAnsi="Arial"/>
          <w:sz w:val="18"/>
          <w:szCs w:val="18"/>
          <w:color w:val="auto"/>
        </w:rPr>
        <w:t xml:space="preserve">. No shares of Common Stock shall be issued pursuant to any exercise of an Option until payment in full of the Exercise Price therefor is received by the Company and the Participant has paid to the Company an amount equal to any Federal, state, local and non-U.S. income, employment and any other applicable taxes required to be withheld. Options which have become exercisable may be exercised by delivery of written or electronic notice of exercise to the Company (or telephonic instructions to the extent provided by the Committee) in accordance with the terms of the Option accompanied by payment of the Exercise Price. Subject to applicable law, the Exercise Price shall be payable: (i) in cash, check, cash equivalent and/or shares of Common Stock valued at the Fair Market Value at the time the Option is exercised (including, pursuant to procedures approved by the Committee, by means of attestation of ownership of a sufficient number of shares of Common Stock in lieu of actual issuance of such shares to the Company); </w:t>
      </w:r>
      <w:r>
        <w:rPr>
          <w:rFonts w:ascii="Arial" w:cs="Arial" w:eastAsia="Arial" w:hAnsi="Arial"/>
          <w:sz w:val="18"/>
          <w:szCs w:val="18"/>
          <w:i w:val="1"/>
          <w:iCs w:val="1"/>
          <w:color w:val="auto"/>
        </w:rPr>
        <w:t>provided</w:t>
      </w:r>
      <w:r>
        <w:rPr>
          <w:rFonts w:ascii="Arial" w:cs="Arial" w:eastAsia="Arial" w:hAnsi="Arial"/>
          <w:sz w:val="18"/>
          <w:szCs w:val="18"/>
          <w:color w:val="auto"/>
        </w:rPr>
        <w:t>, that such shares of Common Stock are not subject to any pledge or other security interest; or (ii) by such other method as the Committee may permit in its sole discretion, including, without limitation: (A) in other property having a fair market value on the date of exercise equal to the Exercise Price; (B) if there is a public market for the shares of Common Stock at such time, by means of a broker-assisted "cashless exercise" pursuant to which the Company is delivered (including telephonically to the extent permitted by the Committee) a copy of irrevocable instructions to a stockbroker to sell the shares of Common Stock otherwise issuable upon the exercise of the Option and to deliver promptly to the Company an amount equal to the Exercise Price; or (C) a "net exercise" procedure effected by withholding the minimum number of shares of Common Stock otherwise issuable in respect of an Option that are needed to pay the Exercise Price and all applicable required withholding and any other applicable taxes. Any fractional shares of Common Stock shall be settled in cash.</w:t>
      </w:r>
    </w:p>
    <w:p>
      <w:pPr>
        <w:spacing w:after="0" w:line="199" w:lineRule="exact"/>
        <w:rPr>
          <w:rFonts w:ascii="Arial" w:cs="Arial" w:eastAsia="Arial" w:hAnsi="Arial"/>
          <w:sz w:val="18"/>
          <w:szCs w:val="18"/>
          <w:color w:val="010000"/>
        </w:rPr>
      </w:pPr>
    </w:p>
    <w:p>
      <w:pPr>
        <w:jc w:val="both"/>
        <w:ind w:left="552" w:firstLine="285"/>
        <w:spacing w:after="0" w:line="236" w:lineRule="auto"/>
        <w:tabs>
          <w:tab w:leader="none" w:pos="1401" w:val="left"/>
        </w:tabs>
        <w:numPr>
          <w:ilvl w:val="0"/>
          <w:numId w:val="104"/>
        </w:numPr>
        <w:rPr>
          <w:rFonts w:ascii="Arial" w:cs="Arial" w:eastAsia="Arial" w:hAnsi="Arial"/>
          <w:sz w:val="18"/>
          <w:szCs w:val="18"/>
          <w:color w:val="010000"/>
        </w:rPr>
      </w:pPr>
      <w:r>
        <w:rPr>
          <w:rFonts w:ascii="Arial" w:cs="Arial" w:eastAsia="Arial" w:hAnsi="Arial"/>
          <w:sz w:val="18"/>
          <w:szCs w:val="18"/>
          <w:u w:val="single" w:color="auto"/>
          <w:color w:val="auto"/>
        </w:rPr>
        <w:t>Notification upon Disqualifying Disposition of an Incentive Stock Option</w:t>
      </w:r>
      <w:r>
        <w:rPr>
          <w:rFonts w:ascii="Arial" w:cs="Arial" w:eastAsia="Arial" w:hAnsi="Arial"/>
          <w:sz w:val="18"/>
          <w:szCs w:val="18"/>
          <w:color w:val="auto"/>
        </w:rPr>
        <w:t>. Each Participant awarded an Incentive Stock Option under the Plan shall notify the Company in writing immediately after the date he or she makes a disqualifying disposition of any Common Stock acquired pursuant to the exercise of such Incentive Stock Option. A disqualifying disposition is any disposition (including, without limitation, any sale) of such Common Stock before the later of (A) two years after the Date of Grant of the Incentive Stock Option or (B) one year after the date of exercise of the Incentive Stock Option. The Company may, if determined by the Committee and in accordance with procedures established by the Committee, retain possession, as agent for the applicable Participant, of any Common Stock acquired pursuant to the exercise of an Incentive Stock Option until the end of the period described in the preceding sentence, subject to complying with any instructions from such Participant as to the sale of such Common Stock.</w:t>
      </w:r>
    </w:p>
    <w:p>
      <w:pPr>
        <w:spacing w:after="0" w:line="193" w:lineRule="exact"/>
        <w:rPr>
          <w:rFonts w:ascii="Arial" w:cs="Arial" w:eastAsia="Arial" w:hAnsi="Arial"/>
          <w:sz w:val="18"/>
          <w:szCs w:val="18"/>
          <w:color w:val="010000"/>
        </w:rPr>
      </w:pPr>
    </w:p>
    <w:p>
      <w:pPr>
        <w:jc w:val="both"/>
        <w:ind w:left="552" w:firstLine="285"/>
        <w:spacing w:after="0" w:line="238" w:lineRule="auto"/>
        <w:tabs>
          <w:tab w:leader="none" w:pos="1401" w:val="left"/>
        </w:tabs>
        <w:numPr>
          <w:ilvl w:val="0"/>
          <w:numId w:val="104"/>
        </w:numPr>
        <w:rPr>
          <w:rFonts w:ascii="Arial" w:cs="Arial" w:eastAsia="Arial" w:hAnsi="Arial"/>
          <w:sz w:val="18"/>
          <w:szCs w:val="18"/>
          <w:color w:val="010000"/>
        </w:rPr>
      </w:pPr>
      <w:r>
        <w:rPr>
          <w:rFonts w:ascii="Arial" w:cs="Arial" w:eastAsia="Arial" w:hAnsi="Arial"/>
          <w:sz w:val="18"/>
          <w:szCs w:val="18"/>
          <w:u w:val="single" w:color="auto"/>
          <w:color w:val="auto"/>
        </w:rPr>
        <w:t>Compliance With Laws, etc</w:t>
      </w:r>
      <w:r>
        <w:rPr>
          <w:rFonts w:ascii="Arial" w:cs="Arial" w:eastAsia="Arial" w:hAnsi="Arial"/>
          <w:sz w:val="18"/>
          <w:szCs w:val="18"/>
          <w:color w:val="auto"/>
        </w:rPr>
        <w:t>. Notwithstanding the foregoing, in no event shall a Participant be permitted to exercise an Option in a manner which the Committee determines would violate the Sarbanes-Oxley Act of 2002, as it may be amended from time to time, or any other applicable law or the applicable rules and regulations of the Securities and Exchange Commission or the applicable rules and regulations of any securities exchange or inter-dealer quotation system on which the securities of the Company are listed or traded.</w:t>
      </w:r>
    </w:p>
    <w:p>
      <w:pPr>
        <w:spacing w:after="0" w:line="167" w:lineRule="exact"/>
        <w:rPr>
          <w:sz w:val="20"/>
          <w:szCs w:val="20"/>
          <w:color w:val="auto"/>
        </w:rPr>
      </w:pPr>
    </w:p>
    <w:p>
      <w:pPr>
        <w:ind w:left="552" w:hanging="552"/>
        <w:spacing w:after="0"/>
        <w:tabs>
          <w:tab w:leader="none" w:pos="552" w:val="left"/>
        </w:tabs>
        <w:numPr>
          <w:ilvl w:val="0"/>
          <w:numId w:val="105"/>
        </w:numPr>
        <w:rPr>
          <w:rFonts w:ascii="Arial" w:cs="Arial" w:eastAsia="Arial" w:hAnsi="Arial"/>
          <w:sz w:val="18"/>
          <w:szCs w:val="18"/>
          <w:color w:val="auto"/>
        </w:rPr>
      </w:pPr>
      <w:r>
        <w:rPr>
          <w:rFonts w:ascii="Arial" w:cs="Arial" w:eastAsia="Arial" w:hAnsi="Arial"/>
          <w:sz w:val="18"/>
          <w:szCs w:val="18"/>
          <w:b w:val="1"/>
          <w:bCs w:val="1"/>
          <w:color w:val="auto"/>
        </w:rPr>
        <w:t>Stock Appreciation Rights</w:t>
      </w:r>
      <w:r>
        <w:rPr>
          <w:rFonts w:ascii="Arial" w:cs="Arial" w:eastAsia="Arial" w:hAnsi="Arial"/>
          <w:sz w:val="18"/>
          <w:szCs w:val="18"/>
          <w:color w:val="auto"/>
        </w:rPr>
        <w:t>.</w:t>
      </w:r>
    </w:p>
    <w:p>
      <w:pPr>
        <w:spacing w:after="0" w:line="220" w:lineRule="exact"/>
        <w:rPr>
          <w:rFonts w:ascii="Arial" w:cs="Arial" w:eastAsia="Arial" w:hAnsi="Arial"/>
          <w:sz w:val="18"/>
          <w:szCs w:val="18"/>
          <w:color w:val="auto"/>
        </w:rPr>
      </w:pPr>
    </w:p>
    <w:p>
      <w:pPr>
        <w:jc w:val="both"/>
        <w:ind w:left="552" w:right="20" w:firstLine="267"/>
        <w:spacing w:after="0" w:line="238" w:lineRule="auto"/>
        <w:tabs>
          <w:tab w:leader="none" w:pos="1329" w:val="left"/>
        </w:tabs>
        <w:numPr>
          <w:ilvl w:val="1"/>
          <w:numId w:val="105"/>
        </w:numPr>
        <w:rPr>
          <w:rFonts w:ascii="Arial" w:cs="Arial" w:eastAsia="Arial" w:hAnsi="Arial"/>
          <w:sz w:val="18"/>
          <w:szCs w:val="18"/>
          <w:color w:val="010000"/>
        </w:rPr>
      </w:pPr>
      <w:r>
        <w:rPr>
          <w:rFonts w:ascii="Arial" w:cs="Arial" w:eastAsia="Arial" w:hAnsi="Arial"/>
          <w:sz w:val="18"/>
          <w:szCs w:val="18"/>
          <w:u w:val="single" w:color="auto"/>
          <w:color w:val="auto"/>
        </w:rPr>
        <w:t>General</w:t>
      </w:r>
      <w:r>
        <w:rPr>
          <w:rFonts w:ascii="Arial" w:cs="Arial" w:eastAsia="Arial" w:hAnsi="Arial"/>
          <w:sz w:val="18"/>
          <w:szCs w:val="18"/>
          <w:color w:val="auto"/>
        </w:rPr>
        <w:t>. Each SAR granted under the Plan shall be evidenced by an Award Agreement. Each SAR so granted shall be subject to the conditions set forth in this Section 8, and to such other conditions not inconsistent with the Plan as may be reflected in the applicable Award Agreement. Any Option granted under the Plan may include tandem SARs. The Committee also may award SARs to Eligible Persons independent of any Option.</w:t>
      </w:r>
    </w:p>
    <w:p>
      <w:pPr>
        <w:spacing w:after="0" w:line="200" w:lineRule="exact"/>
        <w:rPr>
          <w:sz w:val="20"/>
          <w:szCs w:val="20"/>
          <w:color w:val="auto"/>
        </w:rPr>
      </w:pPr>
    </w:p>
    <w:p>
      <w:pPr>
        <w:spacing w:after="0" w:line="207" w:lineRule="exact"/>
        <w:rPr>
          <w:sz w:val="20"/>
          <w:szCs w:val="20"/>
          <w:color w:val="auto"/>
        </w:rPr>
      </w:pPr>
    </w:p>
    <w:p>
      <w:pPr>
        <w:jc w:val="center"/>
        <w:ind w:right="-311"/>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72"/>
          </w:cols>
          <w:pgMar w:left="328" w:top="355" w:right="699" w:bottom="1440" w:gutter="0" w:footer="0" w:header="0"/>
        </w:sectPr>
      </w:pPr>
    </w:p>
    <w:bookmarkStart w:id="63" w:name="page64"/>
    <w:bookmarkEnd w:id="63"/>
    <w:p>
      <w:pPr>
        <w:jc w:val="both"/>
        <w:ind w:left="552" w:firstLine="267"/>
        <w:spacing w:after="0" w:line="238" w:lineRule="auto"/>
        <w:tabs>
          <w:tab w:leader="none" w:pos="1383" w:val="left"/>
        </w:tabs>
        <w:numPr>
          <w:ilvl w:val="0"/>
          <w:numId w:val="106"/>
        </w:numPr>
        <w:rPr>
          <w:rFonts w:ascii="Arial" w:cs="Arial" w:eastAsia="Arial" w:hAnsi="Arial"/>
          <w:sz w:val="18"/>
          <w:szCs w:val="18"/>
          <w:color w:val="010000"/>
        </w:rPr>
      </w:pPr>
      <w:r>
        <w:rPr>
          <w:rFonts w:ascii="Arial" w:cs="Arial" w:eastAsia="Arial" w:hAnsi="Arial"/>
          <w:sz w:val="18"/>
          <w:szCs w:val="18"/>
          <w:u w:val="single" w:color="auto"/>
          <w:color w:val="auto"/>
        </w:rPr>
        <w:t>Strike Price</w:t>
      </w:r>
      <w:r>
        <w:rPr>
          <w:rFonts w:ascii="Arial" w:cs="Arial" w:eastAsia="Arial" w:hAnsi="Arial"/>
          <w:sz w:val="18"/>
          <w:szCs w:val="18"/>
          <w:color w:val="auto"/>
        </w:rPr>
        <w:t>. Except as otherwise provided by the Committee in the case of Substitute Awards, the strike price ("</w:t>
      </w:r>
      <w:r>
        <w:rPr>
          <w:rFonts w:ascii="Arial" w:cs="Arial" w:eastAsia="Arial" w:hAnsi="Arial"/>
          <w:sz w:val="18"/>
          <w:szCs w:val="18"/>
          <w:u w:val="single" w:color="auto"/>
          <w:color w:val="auto"/>
        </w:rPr>
        <w:t>Strike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Price</w:t>
      </w:r>
      <w:r>
        <w:rPr>
          <w:rFonts w:ascii="Arial" w:cs="Arial" w:eastAsia="Arial" w:hAnsi="Arial"/>
          <w:sz w:val="18"/>
          <w:szCs w:val="18"/>
          <w:color w:val="auto"/>
        </w:rPr>
        <w:t>") per share of Common Stock for each SAR shall not be less than 100% of the Fair Market Value of such share (determined as of the Date of Grant). Notwithstanding the foregoing, a SAR granted in tandem with (or in substitution for) an Option previously granted shall have a Strike Price equal to the Exercise Price of the corresponding Option.</w:t>
      </w:r>
    </w:p>
    <w:p>
      <w:pPr>
        <w:spacing w:after="0" w:line="191" w:lineRule="exact"/>
        <w:rPr>
          <w:rFonts w:ascii="Arial" w:cs="Arial" w:eastAsia="Arial" w:hAnsi="Arial"/>
          <w:sz w:val="18"/>
          <w:szCs w:val="18"/>
          <w:color w:val="010000"/>
        </w:rPr>
      </w:pPr>
    </w:p>
    <w:p>
      <w:pPr>
        <w:ind w:left="1372" w:hanging="562"/>
        <w:spacing w:after="0"/>
        <w:tabs>
          <w:tab w:leader="none" w:pos="1372" w:val="left"/>
        </w:tabs>
        <w:numPr>
          <w:ilvl w:val="0"/>
          <w:numId w:val="106"/>
        </w:numPr>
        <w:rPr>
          <w:rFonts w:ascii="Arial" w:cs="Arial" w:eastAsia="Arial" w:hAnsi="Arial"/>
          <w:sz w:val="18"/>
          <w:szCs w:val="18"/>
          <w:color w:val="010000"/>
        </w:rPr>
      </w:pPr>
      <w:r>
        <w:rPr>
          <w:rFonts w:ascii="Arial" w:cs="Arial" w:eastAsia="Arial" w:hAnsi="Arial"/>
          <w:sz w:val="18"/>
          <w:szCs w:val="18"/>
          <w:u w:val="single" w:color="auto"/>
          <w:color w:val="auto"/>
        </w:rPr>
        <w:t>Vesting and Expiration; Termination</w:t>
      </w:r>
      <w:r>
        <w:rPr>
          <w:rFonts w:ascii="Arial" w:cs="Arial" w:eastAsia="Arial" w:hAnsi="Arial"/>
          <w:sz w:val="18"/>
          <w:szCs w:val="18"/>
          <w:color w:val="auto"/>
        </w:rPr>
        <w:t>.</w:t>
      </w:r>
    </w:p>
    <w:p>
      <w:pPr>
        <w:spacing w:after="0" w:line="198" w:lineRule="exact"/>
        <w:rPr>
          <w:rFonts w:ascii="Arial" w:cs="Arial" w:eastAsia="Arial" w:hAnsi="Arial"/>
          <w:sz w:val="18"/>
          <w:szCs w:val="18"/>
          <w:color w:val="010000"/>
        </w:rPr>
      </w:pPr>
    </w:p>
    <w:p>
      <w:pPr>
        <w:jc w:val="both"/>
        <w:ind w:left="732" w:right="140" w:firstLine="654"/>
        <w:spacing w:after="0" w:line="236" w:lineRule="auto"/>
        <w:tabs>
          <w:tab w:leader="none" w:pos="1930" w:val="left"/>
        </w:tabs>
        <w:numPr>
          <w:ilvl w:val="1"/>
          <w:numId w:val="106"/>
        </w:numPr>
        <w:rPr>
          <w:rFonts w:ascii="Arial" w:cs="Arial" w:eastAsia="Arial" w:hAnsi="Arial"/>
          <w:sz w:val="18"/>
          <w:szCs w:val="18"/>
          <w:color w:val="010000"/>
        </w:rPr>
      </w:pPr>
      <w:r>
        <w:rPr>
          <w:rFonts w:ascii="Arial" w:cs="Arial" w:eastAsia="Arial" w:hAnsi="Arial"/>
          <w:sz w:val="18"/>
          <w:szCs w:val="18"/>
          <w:color w:val="auto"/>
        </w:rPr>
        <w:t xml:space="preserve">A SAR granted in connection with an Option shall become exercisable and shall expire according to the same vesting schedule and expiration provisions as the corresponding Option. A SAR granted independent of an Option shall vest and become exercisable in such manner and on such date or dates or upon such events as determined by the Committee;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notwithstanding any such vesting dates or events, the Committee may, in its sole discretion,</w:t>
      </w:r>
      <w:r>
        <w:rPr>
          <w:rFonts w:ascii="Arial" w:cs="Arial" w:eastAsia="Arial" w:hAnsi="Arial"/>
          <w:sz w:val="18"/>
          <w:szCs w:val="18"/>
          <w:i w:val="1"/>
          <w:iCs w:val="1"/>
          <w:color w:val="auto"/>
        </w:rPr>
        <w:t xml:space="preserve"> </w:t>
      </w:r>
      <w:r>
        <w:rPr>
          <w:rFonts w:ascii="Arial" w:cs="Arial" w:eastAsia="Arial" w:hAnsi="Arial"/>
          <w:sz w:val="18"/>
          <w:szCs w:val="18"/>
          <w:color w:val="auto"/>
        </w:rPr>
        <w:t>accelerate the vesting of any SAR at any time and for any reason. SARs shall expire upon a date determined by the Committee, not to exceed ten (10) years from the Date of Grant (the "</w:t>
      </w:r>
      <w:r>
        <w:rPr>
          <w:rFonts w:ascii="Arial" w:cs="Arial" w:eastAsia="Arial" w:hAnsi="Arial"/>
          <w:sz w:val="18"/>
          <w:szCs w:val="18"/>
          <w:u w:val="single" w:color="auto"/>
          <w:color w:val="auto"/>
        </w:rPr>
        <w:t>SAR Period</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that if the SAR Period would expire at a time when trading in the shares of Common Stock is prohibited by the Company's insider trading policy (or Company- imposed "blackout period"), then the SAR Period shall be automatically extended until the 30th day following the expiration of such prohibition.</w:t>
      </w:r>
    </w:p>
    <w:p>
      <w:pPr>
        <w:spacing w:after="0" w:line="193" w:lineRule="exact"/>
        <w:rPr>
          <w:rFonts w:ascii="Arial" w:cs="Arial" w:eastAsia="Arial" w:hAnsi="Arial"/>
          <w:sz w:val="18"/>
          <w:szCs w:val="18"/>
          <w:color w:val="010000"/>
        </w:rPr>
      </w:pPr>
    </w:p>
    <w:p>
      <w:pPr>
        <w:jc w:val="both"/>
        <w:ind w:left="732" w:right="140" w:firstLine="654"/>
        <w:spacing w:after="0" w:line="236" w:lineRule="auto"/>
        <w:tabs>
          <w:tab w:leader="none" w:pos="1930" w:val="left"/>
        </w:tabs>
        <w:numPr>
          <w:ilvl w:val="1"/>
          <w:numId w:val="106"/>
        </w:numPr>
        <w:rPr>
          <w:rFonts w:ascii="Arial" w:cs="Arial" w:eastAsia="Arial" w:hAnsi="Arial"/>
          <w:sz w:val="18"/>
          <w:szCs w:val="18"/>
          <w:color w:val="010000"/>
        </w:rPr>
      </w:pPr>
      <w:r>
        <w:rPr>
          <w:rFonts w:ascii="Arial" w:cs="Arial" w:eastAsia="Arial" w:hAnsi="Arial"/>
          <w:sz w:val="18"/>
          <w:szCs w:val="18"/>
          <w:color w:val="auto"/>
        </w:rPr>
        <w:t>Unless otherwise provided by the Committee, whether in an Award Agreement or otherwise, in the event of: (A) a Participant's Termination by the Service Recipient for Cause, all outstanding SARs granted to such Participant shall immediately terminate and expire; (B) a Participant's Termination due to death or Disability, each outstanding unvested SAR granted to such Participant shall immediately terminate and expire, and each outstanding vested SAR shall remain exercisable for one (1) year thereafter (but in no event beyond the expiration of the SAR Period); and (C) a Participant's Termination for any other reason, each outstanding unvested SAR granted to such Participant shall immediately terminate and expire, and each outstanding vested SAR shall remain exercisable for ninety (90) days thereafter (but in no event beyond the expiration of the SAR Period).</w:t>
      </w:r>
    </w:p>
    <w:p>
      <w:pPr>
        <w:spacing w:after="0" w:line="194" w:lineRule="exact"/>
        <w:rPr>
          <w:rFonts w:ascii="Arial" w:cs="Arial" w:eastAsia="Arial" w:hAnsi="Arial"/>
          <w:sz w:val="18"/>
          <w:szCs w:val="18"/>
          <w:color w:val="010000"/>
        </w:rPr>
      </w:pPr>
    </w:p>
    <w:p>
      <w:pPr>
        <w:jc w:val="both"/>
        <w:ind w:left="652" w:right="40" w:firstLine="167"/>
        <w:spacing w:after="0"/>
        <w:tabs>
          <w:tab w:leader="none" w:pos="1370" w:val="left"/>
        </w:tabs>
        <w:numPr>
          <w:ilvl w:val="0"/>
          <w:numId w:val="106"/>
        </w:numPr>
        <w:rPr>
          <w:rFonts w:ascii="Arial" w:cs="Arial" w:eastAsia="Arial" w:hAnsi="Arial"/>
          <w:sz w:val="18"/>
          <w:szCs w:val="18"/>
          <w:color w:val="010000"/>
        </w:rPr>
      </w:pPr>
      <w:r>
        <w:rPr>
          <w:rFonts w:ascii="Arial" w:cs="Arial" w:eastAsia="Arial" w:hAnsi="Arial"/>
          <w:sz w:val="18"/>
          <w:szCs w:val="18"/>
          <w:u w:val="single" w:color="auto"/>
          <w:color w:val="auto"/>
        </w:rPr>
        <w:t>Method of Exercise</w:t>
      </w:r>
      <w:r>
        <w:rPr>
          <w:rFonts w:ascii="Arial" w:cs="Arial" w:eastAsia="Arial" w:hAnsi="Arial"/>
          <w:sz w:val="18"/>
          <w:szCs w:val="18"/>
          <w:color w:val="auto"/>
        </w:rPr>
        <w:t>. SARs which have become exercisable may be exercised by delivery of written or electronic notice of exercise to the Company in accordance with the terms of the Award, specifying the number of SARs to be exercised and the date on which such SARs were awarded.</w:t>
      </w:r>
    </w:p>
    <w:p>
      <w:pPr>
        <w:spacing w:after="0" w:line="189" w:lineRule="exact"/>
        <w:rPr>
          <w:rFonts w:ascii="Arial" w:cs="Arial" w:eastAsia="Arial" w:hAnsi="Arial"/>
          <w:sz w:val="18"/>
          <w:szCs w:val="18"/>
          <w:color w:val="010000"/>
        </w:rPr>
      </w:pPr>
    </w:p>
    <w:p>
      <w:pPr>
        <w:jc w:val="both"/>
        <w:ind w:left="552" w:right="20" w:firstLine="267"/>
        <w:spacing w:after="0" w:line="237" w:lineRule="auto"/>
        <w:tabs>
          <w:tab w:leader="none" w:pos="1424" w:val="left"/>
        </w:tabs>
        <w:numPr>
          <w:ilvl w:val="0"/>
          <w:numId w:val="106"/>
        </w:numPr>
        <w:rPr>
          <w:rFonts w:ascii="Arial" w:cs="Arial" w:eastAsia="Arial" w:hAnsi="Arial"/>
          <w:sz w:val="18"/>
          <w:szCs w:val="18"/>
          <w:color w:val="010000"/>
        </w:rPr>
      </w:pPr>
      <w:r>
        <w:rPr>
          <w:rFonts w:ascii="Arial" w:cs="Arial" w:eastAsia="Arial" w:hAnsi="Arial"/>
          <w:sz w:val="18"/>
          <w:szCs w:val="18"/>
          <w:u w:val="single" w:color="auto"/>
          <w:color w:val="auto"/>
        </w:rPr>
        <w:t>Payment</w:t>
      </w:r>
      <w:r>
        <w:rPr>
          <w:rFonts w:ascii="Arial" w:cs="Arial" w:eastAsia="Arial" w:hAnsi="Arial"/>
          <w:sz w:val="18"/>
          <w:szCs w:val="18"/>
          <w:color w:val="auto"/>
        </w:rPr>
        <w:t>. Upon the exercise of a SAR, the Company shall pay to the Participant an amount equal to the number of shares subject to the SAR that is being exercised multiplied by the excess of the Fair Market Value of one (1) share of Common Stock on the exercise date over the Strike Price, less an amount equal to any Federal, state, local and non-U.S. income, employment and any other applicable taxes required to be withheld. The Company shall pay such amount in cash, in shares of Common Stock valued at Fair Market Value, or any combination thereof, as determined by the Committee. Any fractional shares of Common Stock shall be settled in cash.</w:t>
      </w:r>
    </w:p>
    <w:p>
      <w:pPr>
        <w:spacing w:after="0" w:line="169" w:lineRule="exact"/>
        <w:rPr>
          <w:sz w:val="20"/>
          <w:szCs w:val="20"/>
          <w:color w:val="auto"/>
        </w:rPr>
      </w:pPr>
    </w:p>
    <w:p>
      <w:pPr>
        <w:ind w:left="552" w:hanging="552"/>
        <w:spacing w:after="0"/>
        <w:tabs>
          <w:tab w:leader="none" w:pos="552" w:val="left"/>
        </w:tabs>
        <w:numPr>
          <w:ilvl w:val="0"/>
          <w:numId w:val="107"/>
        </w:numPr>
        <w:rPr>
          <w:rFonts w:ascii="Arial" w:cs="Arial" w:eastAsia="Arial" w:hAnsi="Arial"/>
          <w:sz w:val="18"/>
          <w:szCs w:val="18"/>
          <w:color w:val="auto"/>
        </w:rPr>
      </w:pPr>
      <w:r>
        <w:rPr>
          <w:rFonts w:ascii="Arial" w:cs="Arial" w:eastAsia="Arial" w:hAnsi="Arial"/>
          <w:sz w:val="18"/>
          <w:szCs w:val="18"/>
          <w:b w:val="1"/>
          <w:bCs w:val="1"/>
          <w:color w:val="auto"/>
        </w:rPr>
        <w:t>Restricted Stock and Restricted Stock Units</w:t>
      </w:r>
      <w:r>
        <w:rPr>
          <w:rFonts w:ascii="Arial" w:cs="Arial" w:eastAsia="Arial" w:hAnsi="Arial"/>
          <w:sz w:val="18"/>
          <w:szCs w:val="18"/>
          <w:color w:val="auto"/>
        </w:rPr>
        <w:t>.</w:t>
      </w:r>
    </w:p>
    <w:p>
      <w:pPr>
        <w:spacing w:after="0" w:line="220" w:lineRule="exact"/>
        <w:rPr>
          <w:rFonts w:ascii="Arial" w:cs="Arial" w:eastAsia="Arial" w:hAnsi="Arial"/>
          <w:sz w:val="18"/>
          <w:szCs w:val="18"/>
          <w:color w:val="auto"/>
        </w:rPr>
      </w:pPr>
    </w:p>
    <w:p>
      <w:pPr>
        <w:jc w:val="both"/>
        <w:ind w:left="552" w:right="40" w:firstLine="267"/>
        <w:spacing w:after="0"/>
        <w:tabs>
          <w:tab w:leader="none" w:pos="1370" w:val="left"/>
        </w:tabs>
        <w:numPr>
          <w:ilvl w:val="1"/>
          <w:numId w:val="107"/>
        </w:numPr>
        <w:rPr>
          <w:rFonts w:ascii="Arial" w:cs="Arial" w:eastAsia="Arial" w:hAnsi="Arial"/>
          <w:sz w:val="18"/>
          <w:szCs w:val="18"/>
          <w:color w:val="010000"/>
        </w:rPr>
      </w:pPr>
      <w:r>
        <w:rPr>
          <w:rFonts w:ascii="Arial" w:cs="Arial" w:eastAsia="Arial" w:hAnsi="Arial"/>
          <w:sz w:val="18"/>
          <w:szCs w:val="18"/>
          <w:u w:val="single" w:color="auto"/>
          <w:color w:val="auto"/>
        </w:rPr>
        <w:t>General</w:t>
      </w:r>
      <w:r>
        <w:rPr>
          <w:rFonts w:ascii="Arial" w:cs="Arial" w:eastAsia="Arial" w:hAnsi="Arial"/>
          <w:sz w:val="18"/>
          <w:szCs w:val="18"/>
          <w:color w:val="auto"/>
        </w:rPr>
        <w:t>. Each grant of Restricted Stock and Restricted Stock Units shall be evidenced by an Award Agreement. Each Restricted Stock and Restricted Stock Unit so granted shall be subject to the conditions set forth in this Section 9, and to such other conditions not inconsistent with the Plan as may be reflected in the applicable Award Agreement.</w:t>
      </w:r>
    </w:p>
    <w:p>
      <w:pPr>
        <w:spacing w:after="0" w:line="200" w:lineRule="exact"/>
        <w:rPr>
          <w:sz w:val="20"/>
          <w:szCs w:val="20"/>
          <w:color w:val="auto"/>
        </w:rPr>
      </w:pPr>
    </w:p>
    <w:p>
      <w:pPr>
        <w:spacing w:after="0" w:line="205" w:lineRule="exact"/>
        <w:rPr>
          <w:sz w:val="20"/>
          <w:szCs w:val="20"/>
          <w:color w:val="auto"/>
        </w:rPr>
      </w:pPr>
    </w:p>
    <w:p>
      <w:pPr>
        <w:jc w:val="center"/>
        <w:ind w:right="-251"/>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32"/>
          </w:cols>
          <w:pgMar w:left="328" w:top="355" w:right="639" w:bottom="1440" w:gutter="0" w:footer="0" w:header="0"/>
        </w:sectPr>
      </w:pPr>
    </w:p>
    <w:bookmarkStart w:id="64" w:name="page65"/>
    <w:bookmarkEnd w:id="64"/>
    <w:p>
      <w:pPr>
        <w:jc w:val="both"/>
        <w:ind w:right="20" w:firstLine="267"/>
        <w:spacing w:after="0" w:line="235" w:lineRule="auto"/>
        <w:tabs>
          <w:tab w:leader="none" w:pos="818" w:val="left"/>
        </w:tabs>
        <w:numPr>
          <w:ilvl w:val="0"/>
          <w:numId w:val="108"/>
        </w:numPr>
        <w:rPr>
          <w:rFonts w:ascii="Arial" w:cs="Arial" w:eastAsia="Arial" w:hAnsi="Arial"/>
          <w:sz w:val="18"/>
          <w:szCs w:val="18"/>
          <w:color w:val="010000"/>
        </w:rPr>
      </w:pPr>
      <w:r>
        <w:rPr>
          <w:rFonts w:ascii="Arial" w:cs="Arial" w:eastAsia="Arial" w:hAnsi="Arial"/>
          <w:sz w:val="18"/>
          <w:szCs w:val="18"/>
          <w:u w:val="single" w:color="auto"/>
          <w:color w:val="auto"/>
        </w:rPr>
        <w:t>Stock Certificates and Book-Entry; Escrow or Similar Arrangement</w:t>
      </w:r>
      <w:r>
        <w:rPr>
          <w:rFonts w:ascii="Arial" w:cs="Arial" w:eastAsia="Arial" w:hAnsi="Arial"/>
          <w:sz w:val="18"/>
          <w:szCs w:val="18"/>
          <w:color w:val="auto"/>
        </w:rPr>
        <w:t xml:space="preserve">. Upon the grant of Restricted Stock, the Committee shall cause a stock certificate registered in the name of the Participant to be issued or shall cause share(s) of Common Stock to be registered in the name of the Participant and held in book-entry form subject to the Company's directions and, if the Committee determines that the Restricted Stock shall be held by the Company or in escrow rather than issued to the Participant pending the release of the applicable restrictions, the Committee may require the Participant to additionally execute and deliver to the Company (i) an escrow agreement satisfactory to the Committee, if applicable and (ii) the appropriate stock power (endorsed in blank) with respect to the Restricted Stock covered by such agreement. If a Participant shall fail to execute and deliver (in a manner permitted under Section 14(a) of the Plan or as otherwise determined by the Committee) an agreement evidencing an Award of Restricted Stock and, if applicable, an escrow agreement and blank stock power within the amount of time specified by the Committee, the Award shall be null and void. Subject to the restrictions set forth in this Section 9 and the applicable Award Agreement, the Participant generally shall have the rights and privileges of a stockholder as to such Restricted Stock, including, without limitation, the right to vote such Restricted Stock; </w:t>
      </w:r>
      <w:r>
        <w:rPr>
          <w:rFonts w:ascii="Arial" w:cs="Arial" w:eastAsia="Arial" w:hAnsi="Arial"/>
          <w:sz w:val="18"/>
          <w:szCs w:val="18"/>
          <w:i w:val="1"/>
          <w:iCs w:val="1"/>
          <w:color w:val="auto"/>
        </w:rPr>
        <w:t>provided</w:t>
      </w:r>
      <w:r>
        <w:rPr>
          <w:rFonts w:ascii="Arial" w:cs="Arial" w:eastAsia="Arial" w:hAnsi="Arial"/>
          <w:sz w:val="18"/>
          <w:szCs w:val="18"/>
          <w:color w:val="auto"/>
        </w:rPr>
        <w:t>, that if the lapsing of restrictions with respect to any grant of Restricted Stock is contingent on satisfaction of performance conditions (other than, or in addition to, the passage of time), any dividends payable on such shares of Restricted Stock shall be held by the Company and delivered (without interest) to the Participant within fifteen (15) days following the date on which the restrictions on such Restricted Stock lapse (and the right to any such accumulated dividends shall be forfeited upon the forfeiture of the Restricted Stock to which such dividends relate). To the extent shares of Restricted Stock are forfeited, any stock certificates issued to the Participant evidencing such shares shall be returned to the Company, and all rights of the Participant to such shares and as a stockholder with respect thereto shall terminate without further obligation on the part of the Company.</w:t>
      </w:r>
    </w:p>
    <w:p>
      <w:pPr>
        <w:spacing w:after="0" w:line="199" w:lineRule="exact"/>
        <w:rPr>
          <w:rFonts w:ascii="Arial" w:cs="Arial" w:eastAsia="Arial" w:hAnsi="Arial"/>
          <w:sz w:val="18"/>
          <w:szCs w:val="18"/>
          <w:color w:val="010000"/>
        </w:rPr>
      </w:pPr>
    </w:p>
    <w:p>
      <w:pPr>
        <w:ind w:left="820" w:hanging="562"/>
        <w:spacing w:after="0"/>
        <w:tabs>
          <w:tab w:leader="none" w:pos="820" w:val="left"/>
        </w:tabs>
        <w:numPr>
          <w:ilvl w:val="0"/>
          <w:numId w:val="108"/>
        </w:numPr>
        <w:rPr>
          <w:rFonts w:ascii="Arial" w:cs="Arial" w:eastAsia="Arial" w:hAnsi="Arial"/>
          <w:sz w:val="18"/>
          <w:szCs w:val="18"/>
          <w:color w:val="010000"/>
        </w:rPr>
      </w:pPr>
      <w:r>
        <w:rPr>
          <w:rFonts w:ascii="Arial" w:cs="Arial" w:eastAsia="Arial" w:hAnsi="Arial"/>
          <w:sz w:val="18"/>
          <w:szCs w:val="18"/>
          <w:u w:val="single" w:color="auto"/>
          <w:color w:val="auto"/>
        </w:rPr>
        <w:t>Vesting; Termination</w:t>
      </w:r>
      <w:r>
        <w:rPr>
          <w:rFonts w:ascii="Arial" w:cs="Arial" w:eastAsia="Arial" w:hAnsi="Arial"/>
          <w:sz w:val="18"/>
          <w:szCs w:val="18"/>
          <w:color w:val="auto"/>
        </w:rPr>
        <w:t>.</w:t>
      </w:r>
    </w:p>
    <w:p>
      <w:pPr>
        <w:spacing w:after="0" w:line="198" w:lineRule="exact"/>
        <w:rPr>
          <w:rFonts w:ascii="Arial" w:cs="Arial" w:eastAsia="Arial" w:hAnsi="Arial"/>
          <w:sz w:val="18"/>
          <w:szCs w:val="18"/>
          <w:color w:val="010000"/>
        </w:rPr>
      </w:pPr>
    </w:p>
    <w:p>
      <w:pPr>
        <w:jc w:val="both"/>
        <w:ind w:left="180" w:right="80" w:firstLine="654"/>
        <w:spacing w:after="0" w:line="238" w:lineRule="auto"/>
        <w:tabs>
          <w:tab w:leader="none" w:pos="1351" w:val="left"/>
        </w:tabs>
        <w:numPr>
          <w:ilvl w:val="1"/>
          <w:numId w:val="108"/>
        </w:numPr>
        <w:rPr>
          <w:rFonts w:ascii="Arial" w:cs="Arial" w:eastAsia="Arial" w:hAnsi="Arial"/>
          <w:sz w:val="18"/>
          <w:szCs w:val="18"/>
          <w:color w:val="010000"/>
        </w:rPr>
      </w:pPr>
      <w:r>
        <w:rPr>
          <w:rFonts w:ascii="Arial" w:cs="Arial" w:eastAsia="Arial" w:hAnsi="Arial"/>
          <w:sz w:val="18"/>
          <w:szCs w:val="18"/>
          <w:color w:val="auto"/>
        </w:rPr>
        <w:t xml:space="preserve">Restricted Stock and Restricted Stock Units shall vest, and any applicable Restricted Period shall lapse, in such manner and on such date or dates or upon such event or events as determined by the Committee;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notwithstanding any such dates or events, the Committee may, in its sole discretion, accelerate the vesting of any Restricted Stock or Restricted Stock Unit or the lapsing of any applicable Restricted Period at any time and for any reason.</w:t>
      </w:r>
    </w:p>
    <w:p>
      <w:pPr>
        <w:spacing w:after="0" w:line="191" w:lineRule="exact"/>
        <w:rPr>
          <w:rFonts w:ascii="Arial" w:cs="Arial" w:eastAsia="Arial" w:hAnsi="Arial"/>
          <w:sz w:val="18"/>
          <w:szCs w:val="18"/>
          <w:color w:val="010000"/>
        </w:rPr>
      </w:pPr>
    </w:p>
    <w:p>
      <w:pPr>
        <w:jc w:val="both"/>
        <w:ind w:left="180" w:right="40" w:firstLine="654"/>
        <w:spacing w:after="0" w:line="238" w:lineRule="auto"/>
        <w:tabs>
          <w:tab w:leader="none" w:pos="1459" w:val="left"/>
        </w:tabs>
        <w:numPr>
          <w:ilvl w:val="1"/>
          <w:numId w:val="108"/>
        </w:numPr>
        <w:rPr>
          <w:rFonts w:ascii="Arial" w:cs="Arial" w:eastAsia="Arial" w:hAnsi="Arial"/>
          <w:sz w:val="18"/>
          <w:szCs w:val="18"/>
          <w:color w:val="010000"/>
        </w:rPr>
      </w:pPr>
      <w:r>
        <w:rPr>
          <w:rFonts w:ascii="Arial" w:cs="Arial" w:eastAsia="Arial" w:hAnsi="Arial"/>
          <w:sz w:val="18"/>
          <w:szCs w:val="18"/>
          <w:color w:val="auto"/>
        </w:rPr>
        <w:t>Unless otherwise provided by the Committee, whether in an Award Agreement or otherwise, in the event of a Participant's Termination for any reason prior to the time that such Participant's Restricted Stock or Restricted Stock Units, as applicable, have vested, (x) all vesting with respect to such Participant's Restricted Stock or Restricted Stock Units shall cease and (y) unvested shares of Restricted Stock and unvested Restricted Stock Units, as applicable, shall be forfeited to the Company by the Participant for no consideration as of the date of such Termination.</w:t>
      </w:r>
    </w:p>
    <w:p>
      <w:pPr>
        <w:spacing w:after="0" w:line="188" w:lineRule="exact"/>
        <w:rPr>
          <w:rFonts w:ascii="Arial" w:cs="Arial" w:eastAsia="Arial" w:hAnsi="Arial"/>
          <w:sz w:val="18"/>
          <w:szCs w:val="18"/>
          <w:color w:val="010000"/>
        </w:rPr>
      </w:pPr>
    </w:p>
    <w:p>
      <w:pPr>
        <w:ind w:left="820" w:hanging="562"/>
        <w:spacing w:after="0"/>
        <w:tabs>
          <w:tab w:leader="none" w:pos="820" w:val="left"/>
        </w:tabs>
        <w:numPr>
          <w:ilvl w:val="0"/>
          <w:numId w:val="108"/>
        </w:numPr>
        <w:rPr>
          <w:rFonts w:ascii="Arial" w:cs="Arial" w:eastAsia="Arial" w:hAnsi="Arial"/>
          <w:sz w:val="18"/>
          <w:szCs w:val="18"/>
          <w:color w:val="010000"/>
        </w:rPr>
      </w:pPr>
      <w:r>
        <w:rPr>
          <w:rFonts w:ascii="Arial" w:cs="Arial" w:eastAsia="Arial" w:hAnsi="Arial"/>
          <w:sz w:val="18"/>
          <w:szCs w:val="18"/>
          <w:u w:val="single" w:color="auto"/>
          <w:color w:val="auto"/>
        </w:rPr>
        <w:t>Issuance of Restricted Stock and Settlement of Restricted Stock Units</w:t>
      </w:r>
      <w:r>
        <w:rPr>
          <w:rFonts w:ascii="Arial" w:cs="Arial" w:eastAsia="Arial" w:hAnsi="Arial"/>
          <w:sz w:val="18"/>
          <w:szCs w:val="18"/>
          <w:color w:val="auto"/>
        </w:rPr>
        <w:t>.</w:t>
      </w:r>
    </w:p>
    <w:p>
      <w:pPr>
        <w:spacing w:after="0" w:line="198" w:lineRule="exact"/>
        <w:rPr>
          <w:rFonts w:ascii="Arial" w:cs="Arial" w:eastAsia="Arial" w:hAnsi="Arial"/>
          <w:sz w:val="18"/>
          <w:szCs w:val="18"/>
          <w:color w:val="010000"/>
        </w:rPr>
      </w:pPr>
    </w:p>
    <w:p>
      <w:pPr>
        <w:jc w:val="both"/>
        <w:ind w:left="180" w:firstLine="654"/>
        <w:spacing w:after="0" w:line="236" w:lineRule="auto"/>
        <w:tabs>
          <w:tab w:leader="none" w:pos="1419" w:val="left"/>
        </w:tabs>
        <w:numPr>
          <w:ilvl w:val="1"/>
          <w:numId w:val="108"/>
        </w:numPr>
        <w:rPr>
          <w:rFonts w:ascii="Arial" w:cs="Arial" w:eastAsia="Arial" w:hAnsi="Arial"/>
          <w:sz w:val="18"/>
          <w:szCs w:val="18"/>
          <w:color w:val="010000"/>
        </w:rPr>
      </w:pPr>
      <w:r>
        <w:rPr>
          <w:rFonts w:ascii="Arial" w:cs="Arial" w:eastAsia="Arial" w:hAnsi="Arial"/>
          <w:sz w:val="18"/>
          <w:szCs w:val="18"/>
          <w:color w:val="auto"/>
        </w:rPr>
        <w:t>Upon the expiration of the Restricted Period with respect to any shares of Restricted Stock, the restrictions set forth in the applicable Award Agreement shall be of no further force or effect with respect to such shares, except as set forth in the applicable Award Agreement. If an escrow arrangement is used, upon such expiration, the Company shall issue to the Participant, or his or her beneficiary, without charge, the stock certificate (or, if applicable, a notice evidencing a book-entry notation) evidencing the shares of Restricted Stock which have not then been forfeited and with respect to which the Restricted Period has expired (rounded down to the nearest full share). Dividends, if any, that may have been withheld by the Committee and attributable to any particular share of Restricted Stock shall be distributed to the Participant in cash or, at the sole discretion of the Committee, in shares of Common Stock having a Fair Market Value (on the date of distribution) equal to the amount of such dividends, upon the release of restrictions on such share and, if such share is forfeited, the Participant shall have no right to such dividends.</w:t>
      </w:r>
    </w:p>
    <w:p>
      <w:pPr>
        <w:spacing w:after="0" w:line="200" w:lineRule="exact"/>
        <w:rPr>
          <w:sz w:val="20"/>
          <w:szCs w:val="20"/>
          <w:color w:val="auto"/>
        </w:rPr>
      </w:pPr>
    </w:p>
    <w:p>
      <w:pPr>
        <w:spacing w:after="0" w:line="208"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40640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80"/>
          </w:cols>
          <w:pgMar w:left="880" w:top="355" w:right="639" w:bottom="1440" w:gutter="0" w:footer="0" w:header="0"/>
        </w:sectPr>
      </w:pPr>
    </w:p>
    <w:bookmarkStart w:id="65" w:name="page66"/>
    <w:bookmarkEnd w:id="65"/>
    <w:p>
      <w:pPr>
        <w:jc w:val="both"/>
        <w:ind w:left="740" w:right="300" w:firstLine="654"/>
        <w:spacing w:after="0" w:line="235" w:lineRule="auto"/>
        <w:tabs>
          <w:tab w:leader="none" w:pos="2032" w:val="left"/>
        </w:tabs>
        <w:numPr>
          <w:ilvl w:val="1"/>
          <w:numId w:val="109"/>
        </w:numPr>
        <w:rPr>
          <w:rFonts w:ascii="Arial" w:cs="Arial" w:eastAsia="Arial" w:hAnsi="Arial"/>
          <w:sz w:val="18"/>
          <w:szCs w:val="18"/>
          <w:color w:val="010000"/>
        </w:rPr>
      </w:pPr>
      <w:r>
        <w:rPr>
          <w:rFonts w:ascii="Arial" w:cs="Arial" w:eastAsia="Arial" w:hAnsi="Arial"/>
          <w:sz w:val="18"/>
          <w:szCs w:val="18"/>
          <w:color w:val="auto"/>
        </w:rPr>
        <w:t xml:space="preserve">Unless otherwise provided by the Committee in an Award Agreement or otherwise, upon the expiration of the Restricted Period with respect to any outstanding Restricted Stock Units, the Company shall issue to the Participant or his or her beneficiary, without charge, one (1)share of Common Stock (or other securities or other property, as applicable) for each such outstanding Restricted Stock Unit;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Committee may, in its sole discretion, elect to (i) pay cash or part cash and part shares of Common Stock in lieu of issuing only shares of Common Stock in respect of such Restricted Stock Units; or (ii) defer the issuance of shares of Common Stock (or cash or part shares of Common Stock and part cash, as the case may be) beyond the expiration of the Restricted Period if such extension would not cause adverse tax consequences under Section 409A of the Code. If a cash payment is made in lieu of issuing shares of Common Stock, the amount of such payment shall be equal to the Fair Market Value of the Common Stock as of the date on which the Restricted Period lapsed with respect to such Restricted Stock Units. To the extent provided in an Award Agreement, the holder of outstanding Restricted Stock Units shall be entitled to be credited with dividend equivalent payments (upon the payment by the Company of dividends on shares of Common Stock) either in cash or, at the sole discretion of the Committee, in shares of Common Stock having a Fair Market Value equal to the amount of such dividends (and interest may, at the sole discretion of the Committee, be credited on the amount of cash dividend equivalents at a rate and subject to such terms as determined by the Committee), which accumulated dividend equivalents (and interest thereon, if applicable) shall be payable at the same time as the underlying Restricted Stock Units are settled following the release of restrictions on such Restricted Stock Units, and, if such Restricted Stock Units are forfeited, the Participant shall have no right to such dividend equivalent payments.</w:t>
      </w:r>
    </w:p>
    <w:p>
      <w:pPr>
        <w:spacing w:after="0" w:line="199" w:lineRule="exact"/>
        <w:rPr>
          <w:rFonts w:ascii="Arial" w:cs="Arial" w:eastAsia="Arial" w:hAnsi="Arial"/>
          <w:sz w:val="18"/>
          <w:szCs w:val="18"/>
          <w:color w:val="010000"/>
        </w:rPr>
      </w:pPr>
    </w:p>
    <w:p>
      <w:pPr>
        <w:jc w:val="both"/>
        <w:ind w:left="560" w:right="420" w:firstLine="267"/>
        <w:spacing w:after="0"/>
        <w:tabs>
          <w:tab w:leader="none" w:pos="1418" w:val="left"/>
        </w:tabs>
        <w:numPr>
          <w:ilvl w:val="0"/>
          <w:numId w:val="110"/>
        </w:numPr>
        <w:rPr>
          <w:rFonts w:ascii="Arial" w:cs="Arial" w:eastAsia="Arial" w:hAnsi="Arial"/>
          <w:sz w:val="18"/>
          <w:szCs w:val="18"/>
          <w:color w:val="010000"/>
        </w:rPr>
      </w:pPr>
      <w:r>
        <w:rPr>
          <w:rFonts w:ascii="Arial" w:cs="Arial" w:eastAsia="Arial" w:hAnsi="Arial"/>
          <w:sz w:val="18"/>
          <w:szCs w:val="18"/>
          <w:u w:val="single" w:color="auto"/>
          <w:color w:val="auto"/>
        </w:rPr>
        <w:t>Legends on Restricted Stock</w:t>
      </w:r>
      <w:r>
        <w:rPr>
          <w:rFonts w:ascii="Arial" w:cs="Arial" w:eastAsia="Arial" w:hAnsi="Arial"/>
          <w:sz w:val="18"/>
          <w:szCs w:val="18"/>
          <w:color w:val="auto"/>
        </w:rPr>
        <w:t>. Each certificate, if any, representing Restricted Stock awarded under the Plan, if any, shall bear a legend substantially in the form of the following, in addition to any other information the Company deems appropriate, until the lapse of all restrictions with respect to such shares of Common Stock:</w:t>
      </w:r>
    </w:p>
    <w:p>
      <w:pPr>
        <w:spacing w:after="0" w:line="189" w:lineRule="exact"/>
        <w:rPr>
          <w:sz w:val="20"/>
          <w:szCs w:val="20"/>
          <w:color w:val="auto"/>
        </w:rPr>
      </w:pPr>
    </w:p>
    <w:p>
      <w:pPr>
        <w:jc w:val="both"/>
        <w:ind w:left="560"/>
        <w:spacing w:after="0" w:line="238" w:lineRule="auto"/>
        <w:rPr>
          <w:sz w:val="20"/>
          <w:szCs w:val="20"/>
          <w:color w:val="auto"/>
        </w:rPr>
      </w:pPr>
      <w:r>
        <w:rPr>
          <w:rFonts w:ascii="Arial" w:cs="Arial" w:eastAsia="Arial" w:hAnsi="Arial"/>
          <w:sz w:val="18"/>
          <w:szCs w:val="18"/>
          <w:color w:val="auto"/>
        </w:rPr>
        <w:t>TRANSFER OF THIS CERTIFICATE AND THE SHARES REPRESENTED HEREBY IS RESTRICTED PURSUANT TO THE TERMS OF THE PRA HEALTH SCIENCES, INC. 2014 OMNIBUS INCENTIVE PLAN AND A RESTRICTED STOCK AWARD AGREEMENT BETWEEN PRA HEALTH SCIENCES, INC. AND PARTICIPANT. A COPY OF SUCH PLAN AND AWARD AGREEMENT IS ON FILE AT THE PRINCIPAL EXECUTIVE OFFICES OF PRA HEALTH SCIENCES, INC.</w:t>
      </w:r>
    </w:p>
    <w:p>
      <w:pPr>
        <w:spacing w:after="0" w:line="169" w:lineRule="exact"/>
        <w:rPr>
          <w:sz w:val="20"/>
          <w:szCs w:val="20"/>
          <w:color w:val="auto"/>
        </w:rPr>
      </w:pPr>
    </w:p>
    <w:p>
      <w:pPr>
        <w:jc w:val="both"/>
        <w:ind w:left="640" w:right="400" w:hanging="632"/>
        <w:spacing w:after="0" w:line="242" w:lineRule="auto"/>
        <w:tabs>
          <w:tab w:leader="none" w:pos="640" w:val="left"/>
        </w:tabs>
        <w:numPr>
          <w:ilvl w:val="0"/>
          <w:numId w:val="111"/>
        </w:numPr>
        <w:rPr>
          <w:rFonts w:ascii="Arial" w:cs="Arial" w:eastAsia="Arial" w:hAnsi="Arial"/>
          <w:sz w:val="18"/>
          <w:szCs w:val="18"/>
          <w:color w:val="auto"/>
        </w:rPr>
      </w:pPr>
      <w:r>
        <w:rPr>
          <w:rFonts w:ascii="Arial" w:cs="Arial" w:eastAsia="Arial" w:hAnsi="Arial"/>
          <w:sz w:val="18"/>
          <w:szCs w:val="18"/>
          <w:b w:val="1"/>
          <w:bCs w:val="1"/>
          <w:color w:val="auto"/>
        </w:rPr>
        <w:t>Other Stock-Based Awards</w:t>
      </w:r>
      <w:r>
        <w:rPr>
          <w:rFonts w:ascii="Arial" w:cs="Arial" w:eastAsia="Arial" w:hAnsi="Arial"/>
          <w:sz w:val="18"/>
          <w:szCs w:val="18"/>
          <w:color w:val="auto"/>
        </w:rPr>
        <w:t>. The Committee may issue unrestricted Common Stock, rights to receive grants of Awards at a</w:t>
      </w:r>
      <w:r>
        <w:rPr>
          <w:rFonts w:ascii="Arial" w:cs="Arial" w:eastAsia="Arial" w:hAnsi="Arial"/>
          <w:sz w:val="18"/>
          <w:szCs w:val="18"/>
          <w:b w:val="1"/>
          <w:bCs w:val="1"/>
          <w:color w:val="auto"/>
        </w:rPr>
        <w:t xml:space="preserve"> </w:t>
      </w:r>
      <w:r>
        <w:rPr>
          <w:rFonts w:ascii="Arial" w:cs="Arial" w:eastAsia="Arial" w:hAnsi="Arial"/>
          <w:sz w:val="18"/>
          <w:szCs w:val="18"/>
          <w:color w:val="auto"/>
        </w:rPr>
        <w:t>future date, or other Awards denominated in Common Stock (including, without limitation, performance shares or performance units), under the Plan to Eligible Persons, alone or in tandem with other Awards, in such amounts as the Committee shall from time to time in its sole discretion determine. Each Other Stock-Based Award granted under the Plan shall be evidenced by an Award Agreement. Each Other Stock- Based Award so granted shall be subject to such conditions not inconsistent with the Plan as may be reflected in the applicable Award Agreement, including, without limitation, those set forth in Section 14(c) of the Plan.</w:t>
      </w:r>
    </w:p>
    <w:p>
      <w:pPr>
        <w:spacing w:after="0" w:line="165" w:lineRule="exact"/>
        <w:rPr>
          <w:rFonts w:ascii="Arial" w:cs="Arial" w:eastAsia="Arial" w:hAnsi="Arial"/>
          <w:sz w:val="18"/>
          <w:szCs w:val="18"/>
          <w:color w:val="auto"/>
        </w:rPr>
      </w:pPr>
    </w:p>
    <w:p>
      <w:pPr>
        <w:ind w:left="560" w:hanging="552"/>
        <w:spacing w:after="0"/>
        <w:tabs>
          <w:tab w:leader="none" w:pos="560" w:val="left"/>
        </w:tabs>
        <w:numPr>
          <w:ilvl w:val="0"/>
          <w:numId w:val="111"/>
        </w:numPr>
        <w:rPr>
          <w:rFonts w:ascii="Arial" w:cs="Arial" w:eastAsia="Arial" w:hAnsi="Arial"/>
          <w:sz w:val="18"/>
          <w:szCs w:val="18"/>
          <w:color w:val="auto"/>
        </w:rPr>
      </w:pPr>
      <w:r>
        <w:rPr>
          <w:rFonts w:ascii="Arial" w:cs="Arial" w:eastAsia="Arial" w:hAnsi="Arial"/>
          <w:sz w:val="18"/>
          <w:szCs w:val="18"/>
          <w:b w:val="1"/>
          <w:bCs w:val="1"/>
          <w:color w:val="auto"/>
        </w:rPr>
        <w:t>Performance Compensation Awards</w:t>
      </w:r>
      <w:r>
        <w:rPr>
          <w:rFonts w:ascii="Arial" w:cs="Arial" w:eastAsia="Arial" w:hAnsi="Arial"/>
          <w:sz w:val="18"/>
          <w:szCs w:val="18"/>
          <w:color w:val="auto"/>
        </w:rPr>
        <w:t>.</w:t>
      </w:r>
    </w:p>
    <w:p>
      <w:pPr>
        <w:spacing w:after="0" w:line="220" w:lineRule="exact"/>
        <w:rPr>
          <w:rFonts w:ascii="Arial" w:cs="Arial" w:eastAsia="Arial" w:hAnsi="Arial"/>
          <w:sz w:val="18"/>
          <w:szCs w:val="18"/>
          <w:color w:val="auto"/>
        </w:rPr>
      </w:pPr>
    </w:p>
    <w:p>
      <w:pPr>
        <w:jc w:val="both"/>
        <w:ind w:left="560" w:right="420" w:firstLine="267"/>
        <w:spacing w:after="0" w:line="236" w:lineRule="auto"/>
        <w:tabs>
          <w:tab w:leader="none" w:pos="1351" w:val="left"/>
        </w:tabs>
        <w:numPr>
          <w:ilvl w:val="1"/>
          <w:numId w:val="111"/>
        </w:numPr>
        <w:rPr>
          <w:rFonts w:ascii="Arial" w:cs="Arial" w:eastAsia="Arial" w:hAnsi="Arial"/>
          <w:sz w:val="18"/>
          <w:szCs w:val="18"/>
          <w:color w:val="010000"/>
        </w:rPr>
      </w:pPr>
      <w:r>
        <w:rPr>
          <w:rFonts w:ascii="Arial" w:cs="Arial" w:eastAsia="Arial" w:hAnsi="Arial"/>
          <w:sz w:val="18"/>
          <w:szCs w:val="18"/>
          <w:u w:val="single" w:color="auto"/>
          <w:color w:val="auto"/>
        </w:rPr>
        <w:t>General</w:t>
      </w:r>
      <w:r>
        <w:rPr>
          <w:rFonts w:ascii="Arial" w:cs="Arial" w:eastAsia="Arial" w:hAnsi="Arial"/>
          <w:sz w:val="18"/>
          <w:szCs w:val="18"/>
          <w:color w:val="auto"/>
        </w:rPr>
        <w:t>. The Committee shall have the authority, at or before the time of grant of any Award, to designate such Award as a Performance Compensation Award intended to qualify as "performance-based compensation" under Section 162(m) of the Code. The Committee shall also have the authority to make an award of a cash bonus to any Participant and designate such Award as a Performance Compensation Award intended to qualify as "performance-based compensation" under Section 162(m) of the Code. Notwithstanding anything in the Plan to the contrary, if the Company determines that a Participant who has been granted an Award designated as a Performance Compensation Award is not (or is no longer) a "covered employee" (within the meaning of Section 162(m) of the Code), the terms and conditions of such Award may be modified without regard to any restrictions or limitations set forth in this Section 11 (but subject otherwise to the provisions of Section 13 of the Plan).</w:t>
      </w:r>
    </w:p>
    <w:p>
      <w:pPr>
        <w:spacing w:after="0" w:line="194" w:lineRule="exact"/>
        <w:rPr>
          <w:rFonts w:ascii="Arial" w:cs="Arial" w:eastAsia="Arial" w:hAnsi="Arial"/>
          <w:sz w:val="18"/>
          <w:szCs w:val="18"/>
          <w:color w:val="010000"/>
        </w:rPr>
      </w:pPr>
    </w:p>
    <w:p>
      <w:pPr>
        <w:jc w:val="both"/>
        <w:ind w:left="560" w:right="320" w:firstLine="267"/>
        <w:spacing w:after="0" w:line="237" w:lineRule="auto"/>
        <w:tabs>
          <w:tab w:leader="none" w:pos="1391" w:val="left"/>
        </w:tabs>
        <w:numPr>
          <w:ilvl w:val="1"/>
          <w:numId w:val="111"/>
        </w:numPr>
        <w:rPr>
          <w:rFonts w:ascii="Arial" w:cs="Arial" w:eastAsia="Arial" w:hAnsi="Arial"/>
          <w:sz w:val="18"/>
          <w:szCs w:val="18"/>
          <w:color w:val="010000"/>
        </w:rPr>
      </w:pPr>
      <w:r>
        <w:rPr>
          <w:rFonts w:ascii="Arial" w:cs="Arial" w:eastAsia="Arial" w:hAnsi="Arial"/>
          <w:sz w:val="18"/>
          <w:szCs w:val="18"/>
          <w:u w:val="single" w:color="auto"/>
          <w:color w:val="auto"/>
        </w:rPr>
        <w:t>Discretion of Committee with Respect to Performance Compensation Awards</w:t>
      </w:r>
      <w:r>
        <w:rPr>
          <w:rFonts w:ascii="Arial" w:cs="Arial" w:eastAsia="Arial" w:hAnsi="Arial"/>
          <w:sz w:val="18"/>
          <w:szCs w:val="18"/>
          <w:color w:val="auto"/>
        </w:rPr>
        <w:t>. With regard to a particular Performance Period, the Committee shall have sole discretion to select the length of such Performance Period, the type(s) of Performance Compensation Awards to be issued, the Performance Criteria that will be used to establish the Performance Goal(s), the kind(s) and/or level(s) of the Performance Goal(s) that is (are) to apply and the Performance Formula(e). Within the first ninety (90) days of a Performance Period (or, within any other maximum period allowed under Section 162(m) of the Code), the Committee shall, with regard to the Performance Compensation Awards to be issued for such Performance Period, exercise its discretion with respect to each of the matters enumerated in the immediately preceding sentence and record the same in writing.</w:t>
      </w:r>
    </w:p>
    <w:p>
      <w:pPr>
        <w:spacing w:after="0" w:line="200" w:lineRule="exact"/>
        <w:rPr>
          <w:sz w:val="20"/>
          <w:szCs w:val="20"/>
          <w:color w:val="auto"/>
        </w:rPr>
      </w:pPr>
    </w:p>
    <w:p>
      <w:pPr>
        <w:spacing w:after="0" w:line="20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66" w:name="page67"/>
    <w:bookmarkEnd w:id="66"/>
    <w:p>
      <w:pPr>
        <w:jc w:val="both"/>
        <w:ind w:firstLine="267"/>
        <w:spacing w:after="0" w:line="234" w:lineRule="auto"/>
        <w:tabs>
          <w:tab w:leader="none" w:pos="780" w:val="left"/>
        </w:tabs>
        <w:numPr>
          <w:ilvl w:val="1"/>
          <w:numId w:val="112"/>
        </w:numPr>
        <w:rPr>
          <w:rFonts w:ascii="Arial" w:cs="Arial" w:eastAsia="Arial" w:hAnsi="Arial"/>
          <w:sz w:val="18"/>
          <w:szCs w:val="18"/>
          <w:color w:val="010000"/>
        </w:rPr>
      </w:pPr>
      <w:r>
        <w:rPr>
          <w:rFonts w:ascii="Arial" w:cs="Arial" w:eastAsia="Arial" w:hAnsi="Arial"/>
          <w:sz w:val="18"/>
          <w:szCs w:val="18"/>
          <w:u w:val="single" w:color="auto"/>
          <w:color w:val="auto"/>
        </w:rPr>
        <w:t>Performance Criteria</w:t>
      </w:r>
      <w:r>
        <w:rPr>
          <w:rFonts w:ascii="Arial" w:cs="Arial" w:eastAsia="Arial" w:hAnsi="Arial"/>
          <w:sz w:val="18"/>
          <w:szCs w:val="18"/>
          <w:color w:val="auto"/>
        </w:rPr>
        <w:t>. The Performance Criteria that will be used to establish the Performance Goal(s) may be based on the attainment of specific levels of performance of the Company (and/or one or more Affiliates, divisions or operational and/or business units, product lines, brands, business segments, administrative departments, or any combination of the foregoing) and shall be limited to the following, which may be determined in accordance with generally accepted accounting principles ("</w:t>
      </w:r>
      <w:r>
        <w:rPr>
          <w:rFonts w:ascii="Arial" w:cs="Arial" w:eastAsia="Arial" w:hAnsi="Arial"/>
          <w:sz w:val="18"/>
          <w:szCs w:val="18"/>
          <w:u w:val="single" w:color="auto"/>
          <w:color w:val="auto"/>
        </w:rPr>
        <w:t>GAAP</w:t>
      </w:r>
      <w:r>
        <w:rPr>
          <w:rFonts w:ascii="Arial" w:cs="Arial" w:eastAsia="Arial" w:hAnsi="Arial"/>
          <w:sz w:val="18"/>
          <w:szCs w:val="18"/>
          <w:color w:val="auto"/>
        </w:rPr>
        <w:t>") or on a non-GAAP basis: (i) net earnings, net income (before or after taxes) or consolidated net income; (ii) basic or diluted earnings per share (before or after taxes); (iii) net revenue or net revenue growth; (iv) gross revenue or gross revenue growth, gross profit or gross profit growth; (v) net operating profit (before or after taxes); (vi) return measures (including, but not limited to, return on investment, assets, capital, employed capital, invested capital, equity, or sales); (vii) cash flow measures (including, but not limited to, operating cash flow, free cash flow, or cash flow return on capital), which may but are not required to be measured on a per share basis; (viii) earnings before or after interest, taxes, depreciation and/or amortization (including EBIT and EBITDA);</w:t>
      </w:r>
    </w:p>
    <w:p>
      <w:pPr>
        <w:spacing w:after="0" w:line="6" w:lineRule="exact"/>
        <w:rPr>
          <w:rFonts w:ascii="Arial" w:cs="Arial" w:eastAsia="Arial" w:hAnsi="Arial"/>
          <w:sz w:val="18"/>
          <w:szCs w:val="18"/>
          <w:color w:val="010000"/>
        </w:rPr>
      </w:pPr>
    </w:p>
    <w:p>
      <w:pPr>
        <w:jc w:val="both"/>
        <w:ind w:firstLine="10"/>
        <w:spacing w:after="0" w:line="234" w:lineRule="auto"/>
        <w:tabs>
          <w:tab w:leader="none" w:pos="304" w:val="left"/>
        </w:tabs>
        <w:numPr>
          <w:ilvl w:val="0"/>
          <w:numId w:val="113"/>
        </w:numPr>
        <w:rPr>
          <w:rFonts w:ascii="Arial" w:cs="Arial" w:eastAsia="Arial" w:hAnsi="Arial"/>
          <w:sz w:val="18"/>
          <w:szCs w:val="18"/>
          <w:color w:val="auto"/>
        </w:rPr>
      </w:pPr>
      <w:r>
        <w:rPr>
          <w:rFonts w:ascii="Arial" w:cs="Arial" w:eastAsia="Arial" w:hAnsi="Arial"/>
          <w:sz w:val="18"/>
          <w:szCs w:val="18"/>
          <w:color w:val="auto"/>
        </w:rPr>
        <w:t>gross or net operating margins; (x) productivity ratios; (xi) share price (including, but not limited to, growth measures and total stockholder return); (xii) expense targets or cost reduction goals, general and administrative expense savings; (xiii) operating efficiency; (xiv) objective measures of customer/client satisfaction; (xv) working capital targets; (xvi) measures of economic value added or other 'value creation' metrics; (xvii) enterprise value; (xviii) sales; (xix) stockholder return; (xx) customer/client retention;</w:t>
      </w:r>
    </w:p>
    <w:p>
      <w:pPr>
        <w:spacing w:after="0" w:line="2" w:lineRule="exact"/>
        <w:rPr>
          <w:rFonts w:ascii="Arial" w:cs="Arial" w:eastAsia="Arial" w:hAnsi="Arial"/>
          <w:sz w:val="18"/>
          <w:szCs w:val="18"/>
          <w:color w:val="auto"/>
        </w:rPr>
      </w:pPr>
    </w:p>
    <w:p>
      <w:pPr>
        <w:jc w:val="both"/>
        <w:ind w:firstLine="10"/>
        <w:spacing w:after="0" w:line="235" w:lineRule="auto"/>
        <w:tabs>
          <w:tab w:leader="none" w:pos="404" w:val="left"/>
        </w:tabs>
        <w:numPr>
          <w:ilvl w:val="0"/>
          <w:numId w:val="114"/>
        </w:numPr>
        <w:rPr>
          <w:rFonts w:ascii="Arial" w:cs="Arial" w:eastAsia="Arial" w:hAnsi="Arial"/>
          <w:sz w:val="18"/>
          <w:szCs w:val="18"/>
          <w:color w:val="auto"/>
        </w:rPr>
      </w:pPr>
      <w:r>
        <w:rPr>
          <w:rFonts w:ascii="Arial" w:cs="Arial" w:eastAsia="Arial" w:hAnsi="Arial"/>
          <w:sz w:val="18"/>
          <w:szCs w:val="18"/>
          <w:color w:val="auto"/>
        </w:rPr>
        <w:t>competitive market metrics; (xxii) employee retention; (xxiii) objective measures of personal targets, goals or completion of projects (including but not limited to succession and hiring projects, completion of specific acquisitions, dispositions, reorganizations or other corporate transactions or capital-raising transactions, expansions of specific business operations and meeting divisional or project budgets); (xxiv) comparisons of continuing operations to other operations; (xxv) market share; (xxvi) cost of capital, debt leverage year-end cash position or book value; (xxvii) strategic objectives; or (xxviii) any combination of the foregoing. Any one or more of the Performance Criteria may be stated as a percentage of another Performance Criteria, or used on an absolute or relative basis to measure the performance of the Company and/or one or more Affiliates as a whole or any divisions or operational and/or business units, product lines, brands, business segments, administrative departments of the Company and/or one or more Affiliates or any combination thereof, as the Committee may deem appropriate, or any of the above Performance Criteria may be compared to the performance of a selected group of comparison companies, or a published or special index that the Committee, in its sole discretion, deems appropriate, or as compared to various stock market indices. The Committee also has the authority to provide for accelerated vesting of any Award based on the achievement of Performance Goals pursuant to the Performance Criteria specified in this paragraph. To the extent required under Section 162(m) of the Code, the Committee shall, within the first ninety (90) days of a Performance Period (or, within any other maximum period allowed under Section 162(m) of the Code), define in an objective fashion the manner of calculating the Performance Criteria it selects to use for such Performance Period.</w:t>
      </w:r>
    </w:p>
    <w:p>
      <w:pPr>
        <w:spacing w:after="0" w:line="199" w:lineRule="exact"/>
        <w:rPr>
          <w:rFonts w:ascii="Arial" w:cs="Arial" w:eastAsia="Arial" w:hAnsi="Arial"/>
          <w:sz w:val="18"/>
          <w:szCs w:val="18"/>
          <w:color w:val="auto"/>
        </w:rPr>
      </w:pPr>
    </w:p>
    <w:p>
      <w:pPr>
        <w:jc w:val="both"/>
        <w:ind w:firstLine="267"/>
        <w:spacing w:after="0" w:line="234" w:lineRule="auto"/>
        <w:tabs>
          <w:tab w:leader="none" w:pos="791" w:val="left"/>
        </w:tabs>
        <w:numPr>
          <w:ilvl w:val="1"/>
          <w:numId w:val="114"/>
        </w:numPr>
        <w:rPr>
          <w:rFonts w:ascii="Arial" w:cs="Arial" w:eastAsia="Arial" w:hAnsi="Arial"/>
          <w:sz w:val="18"/>
          <w:szCs w:val="18"/>
          <w:color w:val="010000"/>
        </w:rPr>
      </w:pPr>
      <w:r>
        <w:rPr>
          <w:rFonts w:ascii="Arial" w:cs="Arial" w:eastAsia="Arial" w:hAnsi="Arial"/>
          <w:sz w:val="18"/>
          <w:szCs w:val="18"/>
          <w:u w:val="single" w:color="auto"/>
          <w:color w:val="auto"/>
        </w:rPr>
        <w:t>Modification of Performance Goal(s)</w:t>
      </w:r>
      <w:r>
        <w:rPr>
          <w:rFonts w:ascii="Arial" w:cs="Arial" w:eastAsia="Arial" w:hAnsi="Arial"/>
          <w:sz w:val="18"/>
          <w:szCs w:val="18"/>
          <w:color w:val="auto"/>
        </w:rPr>
        <w:t>. In the event that applicable tax and/or securities laws change to permit Committee discretion to alter the governing Performance Criteria without obtaining stockholder approval of such alterations, the Committee shall have sole discretion to make such alterations without obtaining stockholder approval. Unless otherwise determined by the Committee at the time a Performance Compensation Award is granted, the Committee shall, during the first ninety (90) days of a Performance Period (or, within any other maximum period allowed under Section 162(m) of the Code), or at any time thereafter to the extent the exercise of such authority at such time would not cause the Performance Compensation Awards granted to any Participant for such Performance Period to fail to qualify as "performance-based compensation" under Section 162(m) of the Code, specify adjustments or modifications to be made to the calculation of a Performance Goal for such Performance Period, based on and in order to appropriately reflect the following events: (i) asset write-downs; (ii) litigation or claim judgments or settlements; (iii) the effect of changes in tax laws, accounting principles, or other laws or regulatory rules affecting reported results; (iv) any reorganization and restructuring programs; (v) extraordinary nonrecurring items as described in Accounting Standards Codification Topic 225-20 (or any successor pronouncement thereto) and/or in management's discussion and analysis of financial condition and results of operations appearing in the Company's annual report to stockholders for the applicable year;</w:t>
      </w:r>
    </w:p>
    <w:p>
      <w:pPr>
        <w:spacing w:after="0" w:line="8" w:lineRule="exact"/>
        <w:rPr>
          <w:rFonts w:ascii="Arial" w:cs="Arial" w:eastAsia="Arial" w:hAnsi="Arial"/>
          <w:sz w:val="18"/>
          <w:szCs w:val="18"/>
          <w:color w:val="010000"/>
        </w:rPr>
      </w:pPr>
    </w:p>
    <w:p>
      <w:pPr>
        <w:jc w:val="both"/>
        <w:ind w:firstLine="10"/>
        <w:spacing w:after="0"/>
        <w:tabs>
          <w:tab w:leader="none" w:pos="33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acquisitions or divestitures; (vii) any other specific, unusual or nonrecurring events, or objectively determinable category thereof; (viii) foreign exchange gains and losses; (ix) discontinued operations and nonrecurring charges; and (x) a change in the Company's fiscal year.</w:t>
      </w:r>
    </w:p>
    <w:p>
      <w:pPr>
        <w:spacing w:after="0" w:line="200" w:lineRule="exact"/>
        <w:rPr>
          <w:sz w:val="20"/>
          <w:szCs w:val="20"/>
          <w:color w:val="auto"/>
        </w:rPr>
      </w:pPr>
    </w:p>
    <w:p>
      <w:pPr>
        <w:spacing w:after="0" w:line="205"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40640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60"/>
          </w:cols>
          <w:pgMar w:left="880" w:top="355" w:right="659" w:bottom="1440" w:gutter="0" w:footer="0" w:header="0"/>
        </w:sectPr>
      </w:pPr>
    </w:p>
    <w:bookmarkStart w:id="67" w:name="page68"/>
    <w:bookmarkEnd w:id="67"/>
    <w:p>
      <w:pPr>
        <w:ind w:left="1340" w:hanging="513"/>
        <w:spacing w:after="0"/>
        <w:tabs>
          <w:tab w:leader="none" w:pos="1340" w:val="left"/>
        </w:tabs>
        <w:numPr>
          <w:ilvl w:val="0"/>
          <w:numId w:val="116"/>
        </w:numPr>
        <w:rPr>
          <w:rFonts w:ascii="Arial" w:cs="Arial" w:eastAsia="Arial" w:hAnsi="Arial"/>
          <w:sz w:val="18"/>
          <w:szCs w:val="18"/>
          <w:color w:val="010000"/>
        </w:rPr>
      </w:pPr>
      <w:r>
        <w:rPr>
          <w:rFonts w:ascii="Arial" w:cs="Arial" w:eastAsia="Arial" w:hAnsi="Arial"/>
          <w:sz w:val="18"/>
          <w:szCs w:val="18"/>
          <w:u w:val="single" w:color="auto"/>
          <w:color w:val="auto"/>
        </w:rPr>
        <w:t>Payment of Performance Compensation Awards</w:t>
      </w:r>
      <w:r>
        <w:rPr>
          <w:rFonts w:ascii="Arial" w:cs="Arial" w:eastAsia="Arial" w:hAnsi="Arial"/>
          <w:sz w:val="18"/>
          <w:szCs w:val="18"/>
          <w:color w:val="auto"/>
        </w:rPr>
        <w:t>.</w:t>
      </w:r>
    </w:p>
    <w:p>
      <w:pPr>
        <w:spacing w:after="0" w:line="198" w:lineRule="exact"/>
        <w:rPr>
          <w:rFonts w:ascii="Arial" w:cs="Arial" w:eastAsia="Arial" w:hAnsi="Arial"/>
          <w:sz w:val="18"/>
          <w:szCs w:val="18"/>
          <w:color w:val="010000"/>
        </w:rPr>
      </w:pPr>
    </w:p>
    <w:p>
      <w:pPr>
        <w:jc w:val="both"/>
        <w:ind w:left="740" w:right="320" w:firstLine="654"/>
        <w:spacing w:after="0"/>
        <w:tabs>
          <w:tab w:leader="none" w:pos="1992" w:val="left"/>
        </w:tabs>
        <w:numPr>
          <w:ilvl w:val="1"/>
          <w:numId w:val="116"/>
        </w:numPr>
        <w:rPr>
          <w:rFonts w:ascii="Arial" w:cs="Arial" w:eastAsia="Arial" w:hAnsi="Arial"/>
          <w:sz w:val="18"/>
          <w:szCs w:val="18"/>
          <w:color w:val="010000"/>
        </w:rPr>
      </w:pPr>
      <w:r>
        <w:rPr>
          <w:rFonts w:ascii="Arial" w:cs="Arial" w:eastAsia="Arial" w:hAnsi="Arial"/>
          <w:sz w:val="18"/>
          <w:szCs w:val="18"/>
          <w:u w:val="single" w:color="auto"/>
          <w:color w:val="auto"/>
        </w:rPr>
        <w:t>Condition to Receipt of Payment</w:t>
      </w:r>
      <w:r>
        <w:rPr>
          <w:rFonts w:ascii="Arial" w:cs="Arial" w:eastAsia="Arial" w:hAnsi="Arial"/>
          <w:sz w:val="18"/>
          <w:szCs w:val="18"/>
          <w:color w:val="auto"/>
        </w:rPr>
        <w:t>. Unless otherwise provided in the applicable Award agreement, a Participant must be employed by the Company on the last day of a Performance Period to be eligible for payment in respect of a Performance Compensation Award for such Performance Period.</w:t>
      </w:r>
    </w:p>
    <w:p>
      <w:pPr>
        <w:spacing w:after="0" w:line="189" w:lineRule="exact"/>
        <w:rPr>
          <w:rFonts w:ascii="Arial" w:cs="Arial" w:eastAsia="Arial" w:hAnsi="Arial"/>
          <w:sz w:val="18"/>
          <w:szCs w:val="18"/>
          <w:color w:val="010000"/>
        </w:rPr>
      </w:pPr>
    </w:p>
    <w:p>
      <w:pPr>
        <w:jc w:val="both"/>
        <w:ind w:left="740" w:right="320" w:firstLine="654"/>
        <w:spacing w:after="0" w:line="238" w:lineRule="auto"/>
        <w:tabs>
          <w:tab w:leader="none" w:pos="1888" w:val="left"/>
        </w:tabs>
        <w:numPr>
          <w:ilvl w:val="1"/>
          <w:numId w:val="116"/>
        </w:numPr>
        <w:rPr>
          <w:rFonts w:ascii="Arial" w:cs="Arial" w:eastAsia="Arial" w:hAnsi="Arial"/>
          <w:sz w:val="18"/>
          <w:szCs w:val="18"/>
          <w:color w:val="010000"/>
        </w:rPr>
      </w:pPr>
      <w:r>
        <w:rPr>
          <w:rFonts w:ascii="Arial" w:cs="Arial" w:eastAsia="Arial" w:hAnsi="Arial"/>
          <w:sz w:val="18"/>
          <w:szCs w:val="18"/>
          <w:u w:val="single" w:color="auto"/>
          <w:color w:val="auto"/>
        </w:rPr>
        <w:t>Limitation</w:t>
      </w:r>
      <w:r>
        <w:rPr>
          <w:rFonts w:ascii="Arial" w:cs="Arial" w:eastAsia="Arial" w:hAnsi="Arial"/>
          <w:sz w:val="18"/>
          <w:szCs w:val="18"/>
          <w:color w:val="auto"/>
        </w:rPr>
        <w:t>. Unless otherwise provided in the applicable Award agreement, a Participant shall be eligible to receive payment in respect of a Performance Compensation Award only to the extent that: (A) the Performance Goals for such period are achieved; and (B) all or some of the portion of such Participant's Performance Compensation Award has been earned for the Performance Period based on the application of the Performance Formula to such achieved Performance Goals.</w:t>
      </w:r>
    </w:p>
    <w:p>
      <w:pPr>
        <w:spacing w:after="0" w:line="191" w:lineRule="exact"/>
        <w:rPr>
          <w:rFonts w:ascii="Arial" w:cs="Arial" w:eastAsia="Arial" w:hAnsi="Arial"/>
          <w:sz w:val="18"/>
          <w:szCs w:val="18"/>
          <w:color w:val="010000"/>
        </w:rPr>
      </w:pPr>
    </w:p>
    <w:p>
      <w:pPr>
        <w:jc w:val="both"/>
        <w:ind w:left="740" w:right="320" w:firstLine="654"/>
        <w:spacing w:after="0" w:line="238" w:lineRule="auto"/>
        <w:tabs>
          <w:tab w:leader="none" w:pos="1941" w:val="left"/>
        </w:tabs>
        <w:numPr>
          <w:ilvl w:val="1"/>
          <w:numId w:val="116"/>
        </w:numPr>
        <w:rPr>
          <w:rFonts w:ascii="Arial" w:cs="Arial" w:eastAsia="Arial" w:hAnsi="Arial"/>
          <w:sz w:val="18"/>
          <w:szCs w:val="18"/>
          <w:color w:val="010000"/>
        </w:rPr>
      </w:pPr>
      <w:r>
        <w:rPr>
          <w:rFonts w:ascii="Arial" w:cs="Arial" w:eastAsia="Arial" w:hAnsi="Arial"/>
          <w:sz w:val="18"/>
          <w:szCs w:val="18"/>
          <w:u w:val="single" w:color="auto"/>
          <w:color w:val="auto"/>
        </w:rPr>
        <w:t>Certification</w:t>
      </w:r>
      <w:r>
        <w:rPr>
          <w:rFonts w:ascii="Arial" w:cs="Arial" w:eastAsia="Arial" w:hAnsi="Arial"/>
          <w:sz w:val="18"/>
          <w:szCs w:val="18"/>
          <w:color w:val="auto"/>
        </w:rPr>
        <w:t>. Following the completion of a Performance Period, the Committee shall review and certify in writing whether, and to what extent, the Performance Goals for the Performance Period have been achieved and, if so, calculate and certify in writing that amount of the Performance Compensation Awards earned for the period based upon the Performance Formula. The Committee shall then determine the amount of each Participant's Performance Compensation Award actually payable for the Performance Period and, in so doing, may apply Negative Discretion.</w:t>
      </w:r>
    </w:p>
    <w:p>
      <w:pPr>
        <w:spacing w:after="0" w:line="188" w:lineRule="exact"/>
        <w:rPr>
          <w:rFonts w:ascii="Arial" w:cs="Arial" w:eastAsia="Arial" w:hAnsi="Arial"/>
          <w:sz w:val="18"/>
          <w:szCs w:val="18"/>
          <w:color w:val="010000"/>
        </w:rPr>
      </w:pPr>
    </w:p>
    <w:p>
      <w:pPr>
        <w:jc w:val="both"/>
        <w:ind w:left="740" w:right="320" w:firstLine="654"/>
        <w:spacing w:after="0" w:line="237" w:lineRule="auto"/>
        <w:tabs>
          <w:tab w:leader="none" w:pos="2167" w:val="left"/>
        </w:tabs>
        <w:numPr>
          <w:ilvl w:val="1"/>
          <w:numId w:val="116"/>
        </w:numPr>
        <w:rPr>
          <w:rFonts w:ascii="Arial" w:cs="Arial" w:eastAsia="Arial" w:hAnsi="Arial"/>
          <w:sz w:val="18"/>
          <w:szCs w:val="18"/>
          <w:color w:val="010000"/>
        </w:rPr>
      </w:pPr>
      <w:r>
        <w:rPr>
          <w:rFonts w:ascii="Arial" w:cs="Arial" w:eastAsia="Arial" w:hAnsi="Arial"/>
          <w:sz w:val="18"/>
          <w:szCs w:val="18"/>
          <w:u w:val="single" w:color="auto"/>
          <w:color w:val="auto"/>
        </w:rPr>
        <w:t>Use of Negative Discretion</w:t>
      </w:r>
      <w:r>
        <w:rPr>
          <w:rFonts w:ascii="Arial" w:cs="Arial" w:eastAsia="Arial" w:hAnsi="Arial"/>
          <w:sz w:val="18"/>
          <w:szCs w:val="18"/>
          <w:color w:val="auto"/>
        </w:rPr>
        <w:t>. In determining the actual amount of an individual Participant's Performance Compensation Award for a Performance Period, the Committee may reduce or eliminate the amount of the Performance Compensation Award earned under the Performance Formula in the Performance Period through the use of Negative Discretion. Unless otherwise provided in the applicable Award Agreement, the Committee shall not have the discretion to: (A) grant or provide payment in respect of Performance Compensation Awards for a Performance Period if the Performance Goals for such Performance Period have not been attained; or (B) increase a Performance Compensation Award above the applicable limitations set forth in Section 5 of the Plan.</w:t>
      </w:r>
    </w:p>
    <w:p>
      <w:pPr>
        <w:spacing w:after="0" w:line="189" w:lineRule="exact"/>
        <w:rPr>
          <w:rFonts w:ascii="Arial" w:cs="Arial" w:eastAsia="Arial" w:hAnsi="Arial"/>
          <w:sz w:val="18"/>
          <w:szCs w:val="18"/>
          <w:color w:val="010000"/>
        </w:rPr>
      </w:pPr>
    </w:p>
    <w:p>
      <w:pPr>
        <w:jc w:val="both"/>
        <w:ind w:left="560" w:right="320" w:firstLine="267"/>
        <w:spacing w:after="0" w:line="236" w:lineRule="auto"/>
        <w:tabs>
          <w:tab w:leader="none" w:pos="1351" w:val="left"/>
        </w:tabs>
        <w:numPr>
          <w:ilvl w:val="0"/>
          <w:numId w:val="116"/>
        </w:numPr>
        <w:rPr>
          <w:rFonts w:ascii="Arial" w:cs="Arial" w:eastAsia="Arial" w:hAnsi="Arial"/>
          <w:sz w:val="18"/>
          <w:szCs w:val="18"/>
          <w:color w:val="010000"/>
        </w:rPr>
      </w:pPr>
      <w:r>
        <w:rPr>
          <w:rFonts w:ascii="Arial" w:cs="Arial" w:eastAsia="Arial" w:hAnsi="Arial"/>
          <w:sz w:val="18"/>
          <w:szCs w:val="18"/>
          <w:u w:val="single" w:color="auto"/>
          <w:color w:val="auto"/>
        </w:rPr>
        <w:t>Timing of Award Payments</w:t>
      </w:r>
      <w:r>
        <w:rPr>
          <w:rFonts w:ascii="Arial" w:cs="Arial" w:eastAsia="Arial" w:hAnsi="Arial"/>
          <w:sz w:val="18"/>
          <w:szCs w:val="18"/>
          <w:color w:val="auto"/>
        </w:rPr>
        <w:t>. Unless otherwise provided in the applicable Award Agreement, Performance Compensation Awards granted for a Performance Period shall be paid to Participants as soon as administratively practicable following completion of the certifications required by this Section 11. Any Performance Compensation Award that has been deferred shall not (between the date as of which the Award is deferred and the payment date) increase (i) with respect to a Performance Compensation Award that is payable in cash, by a measuring factor for each fiscal year greater than a reasonable rate of interest set by the Committee or (ii) with respect to a Performance Compensation Award that is payable in shares of Common Stock, by an amount greater than the appreciation of a share of Common Stock from the date such Award is deferred to the payment date. Any Performance Compensation Award that is deferred and is otherwise payable in shares of Common Stock shall be credited (during the period between the date as of which the Award is deferred and the payment date) with dividend equivalents (in a manner consistent with the methodology set forth in the last sentence of Section 9(d)(ii) of the Plan).</w:t>
      </w:r>
    </w:p>
    <w:p>
      <w:pPr>
        <w:spacing w:after="0" w:line="170" w:lineRule="exact"/>
        <w:rPr>
          <w:sz w:val="20"/>
          <w:szCs w:val="20"/>
          <w:color w:val="auto"/>
        </w:rPr>
      </w:pPr>
    </w:p>
    <w:p>
      <w:pPr>
        <w:jc w:val="both"/>
        <w:ind w:left="560" w:hanging="552"/>
        <w:spacing w:after="0" w:line="238" w:lineRule="auto"/>
        <w:tabs>
          <w:tab w:leader="none" w:pos="560" w:val="left"/>
        </w:tabs>
        <w:numPr>
          <w:ilvl w:val="0"/>
          <w:numId w:val="117"/>
        </w:numPr>
        <w:rPr>
          <w:rFonts w:ascii="Arial" w:cs="Arial" w:eastAsia="Arial" w:hAnsi="Arial"/>
          <w:sz w:val="18"/>
          <w:szCs w:val="18"/>
          <w:color w:val="auto"/>
        </w:rPr>
      </w:pPr>
      <w:r>
        <w:rPr>
          <w:rFonts w:ascii="Arial" w:cs="Arial" w:eastAsia="Arial" w:hAnsi="Arial"/>
          <w:sz w:val="18"/>
          <w:szCs w:val="18"/>
          <w:b w:val="1"/>
          <w:bCs w:val="1"/>
          <w:color w:val="auto"/>
        </w:rPr>
        <w:t>Changes in Capital Structure and Similar Events</w:t>
      </w:r>
      <w:r>
        <w:rPr>
          <w:rFonts w:ascii="Arial" w:cs="Arial" w:eastAsia="Arial" w:hAnsi="Arial"/>
          <w:sz w:val="18"/>
          <w:szCs w:val="18"/>
          <w:color w:val="auto"/>
        </w:rPr>
        <w:t>. In the event of (a) any dividend (other than regular cash dividends)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distribution (whether in the form of cash, shares of Common Stock, other securities or other property), recapitalization, stock split, reverse stock split, reorganization, merger, consolidation, split-up, split-off, spin-off, combination, repurchase or exchange of shares of Common Stock or other securities of the Company, issuance of warrants or other rights to acquire shares of Common Stock or other securities of the Company, or other similar corporate transaction or event (including, without limitation, a Change in Control) that affects the shares of Common Stock, or (b) unusual or nonrecurring events (including, without limitation, a Change in Control) affecting the Company, any Affiliate, or the financial statements of the Company or any Affiliate, or changes in applicable rules, rulings, regulations or other requirements of any governmental body or securities exchange or inter-dealer quotation system, accounting principles or law, such that in either case an adjustment is determined by the Committee in its sole discretion to be necessary or appropriate, then the Committee shall make any such adjustments in such manner as it may deem equitable, including, without limitation, any or all of the following:</w:t>
      </w:r>
    </w:p>
    <w:p>
      <w:pPr>
        <w:spacing w:after="0" w:line="200" w:lineRule="exact"/>
        <w:rPr>
          <w:sz w:val="20"/>
          <w:szCs w:val="20"/>
          <w:color w:val="auto"/>
        </w:rPr>
      </w:pPr>
    </w:p>
    <w:p>
      <w:pPr>
        <w:spacing w:after="0" w:line="21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68" w:name="page69"/>
    <w:bookmarkEnd w:id="68"/>
    <w:p>
      <w:pPr>
        <w:jc w:val="both"/>
        <w:ind w:left="160" w:firstLine="726"/>
        <w:spacing w:after="0" w:line="236" w:lineRule="auto"/>
        <w:tabs>
          <w:tab w:leader="none" w:pos="1539"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adjusting any or all of (A) the Absolute Share Limit, or any other limit applicable under the Plan with respect to the number of Awards which may be granted hereunder; (B) the number of shares of Common Stock or other securities of the Company (or number and kind of other securities or other property) which may be issued in respect of Awards or with respect to which Awards may be granted under the Plan (including, without limitation, adjusting any or all of the limitations under Section 5 of the Plan); and (C) the terms of any outstanding Award, including, without limitation, (1) the number of shares of Common Stock or other securities of the Company (or number and kind of other securities or other property) subject to outstanding Awards or to which outstanding Awards relate; (2) the Exercise Price or Strike Price with respect to any Award (provided that in no event shall the per share price of an award be reduced to an amount that is lower than the nominal value of a share); or (3) any applicable performance measures (including, without limitation, Performance Criteria and Performance Goals);</w:t>
      </w:r>
    </w:p>
    <w:p>
      <w:pPr>
        <w:spacing w:after="0" w:line="193" w:lineRule="exact"/>
        <w:rPr>
          <w:rFonts w:ascii="Arial" w:cs="Arial" w:eastAsia="Arial" w:hAnsi="Arial"/>
          <w:sz w:val="18"/>
          <w:szCs w:val="18"/>
          <w:color w:val="auto"/>
        </w:rPr>
      </w:pPr>
    </w:p>
    <w:p>
      <w:pPr>
        <w:jc w:val="both"/>
        <w:ind w:left="160" w:firstLine="726"/>
        <w:spacing w:after="0" w:line="238" w:lineRule="auto"/>
        <w:tabs>
          <w:tab w:leader="none" w:pos="1732" w:val="left"/>
        </w:tabs>
        <w:numPr>
          <w:ilvl w:val="0"/>
          <w:numId w:val="118"/>
        </w:numPr>
        <w:rPr>
          <w:rFonts w:ascii="Arial" w:cs="Arial" w:eastAsia="Arial" w:hAnsi="Arial"/>
          <w:sz w:val="18"/>
          <w:szCs w:val="18"/>
          <w:color w:val="auto"/>
        </w:rPr>
      </w:pPr>
      <w:r>
        <w:rPr>
          <w:rFonts w:ascii="Arial" w:cs="Arial" w:eastAsia="Arial" w:hAnsi="Arial"/>
          <w:sz w:val="18"/>
          <w:szCs w:val="18"/>
          <w:color w:val="auto"/>
        </w:rPr>
        <w:t>providing for a substitution or assumption of Awards (or awards of an acquiring company), accelerating the exercisability of, lapse of restrictions on, or termination of, Awards or providing for a period of time (which shall not be required to be more than ten (10) days) for Participants to exercise outstanding Awards prior to the occurrence of such event (and any such Award not so exercised shall terminate upon the occurrence of such event); and</w:t>
      </w:r>
    </w:p>
    <w:p>
      <w:pPr>
        <w:spacing w:after="0" w:line="191" w:lineRule="exact"/>
        <w:rPr>
          <w:rFonts w:ascii="Arial" w:cs="Arial" w:eastAsia="Arial" w:hAnsi="Arial"/>
          <w:sz w:val="18"/>
          <w:szCs w:val="18"/>
          <w:color w:val="auto"/>
        </w:rPr>
      </w:pPr>
    </w:p>
    <w:p>
      <w:pPr>
        <w:jc w:val="both"/>
        <w:ind w:left="160" w:firstLine="726"/>
        <w:spacing w:after="0" w:line="236" w:lineRule="auto"/>
        <w:tabs>
          <w:tab w:leader="none" w:pos="1627" w:val="left"/>
        </w:tabs>
        <w:numPr>
          <w:ilvl w:val="0"/>
          <w:numId w:val="118"/>
        </w:numPr>
        <w:rPr>
          <w:rFonts w:ascii="Arial" w:cs="Arial" w:eastAsia="Arial" w:hAnsi="Arial"/>
          <w:sz w:val="18"/>
          <w:szCs w:val="18"/>
          <w:color w:val="auto"/>
        </w:rPr>
      </w:pPr>
      <w:r>
        <w:rPr>
          <w:rFonts w:ascii="Arial" w:cs="Arial" w:eastAsia="Arial" w:hAnsi="Arial"/>
          <w:sz w:val="18"/>
          <w:szCs w:val="18"/>
          <w:color w:val="auto"/>
        </w:rPr>
        <w:t>cancelling any one or more outstanding Awards and causing to be paid to the holders holding vested Awards (including any Awards that would vest as a result of the occurrence of such event but for such cancellation) the value of such Awards, if any, as determined by the Committee (which, if applicable, may be based upon the price per share of Common Stock received or to be received by other stockholders of the Company in such event), including, without limitation, in the case of an outstanding Option or SAR, a cash payment in an amount equal to the excess, if any, of the Fair Market Value (as of a date specified by the Committee) of the shares of Common Stock subject to such Option or SAR over the aggregate Exercise Price or Strike Price of such Option or SAR, respectively (it being understood that, in such event, any Option or SAR having a per share Exercise Price or Strike Price equal to, or in excess of, the Fair Market Value of a share of Common Stock subject thereto may be cancelled and terminated without any payment or consideration therefor);</w:t>
      </w:r>
    </w:p>
    <w:p>
      <w:pPr>
        <w:spacing w:after="0" w:line="17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i w:val="1"/>
          <w:iCs w:val="1"/>
          <w:color w:val="auto"/>
        </w:rPr>
        <w:t xml:space="preserve">provided, however,. </w:t>
      </w:r>
      <w:r>
        <w:rPr>
          <w:rFonts w:ascii="Arial" w:cs="Arial" w:eastAsia="Arial" w:hAnsi="Arial"/>
          <w:sz w:val="18"/>
          <w:szCs w:val="18"/>
          <w:color w:val="auto"/>
        </w:rPr>
        <w:t>that in the case of any "equity restructuring" (within the meaning of the Financial Accounting Standards Board</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Standards Codification Topic 718 (or any successor pronouncement thereto)), the Committee shall make an equitable or proportionate adjustment to outstanding Awards to reflect such equity restructuring. Any adjustment in Incentive Stock Options under this Section 12 (other than any cancellation of Incentive Stock Options) shall be made only to the extent not constituting a "modification" within the meaning of Section 424(h)(3) of the Code, and any adjustments under this Section 12 shall be made in a manner which does not adversely affect the exemption provided pursuant to Rule 16b-3 under the Exchange Act. Any such adjustment shall be conclusive and binding for all purposes Payments holders pursuant to clause (iii) above shall be made in cash or, in the sole discretion of the Committee, in the form of such other consideration necessary for a Participant to receive property, cash, or securities (or combination thereof) as such Participant would have been entitled to receive upon the occurrence of the transaction if the Participant had been, immediately prior to such transaction, the holder of the number of shares of Common Stock covered by the Award at such time (less any applicable Exercise Price or Strike Price). In addition, prior to any payment or adjustment contemplated under this Section 12, the Committee may require a Participant to (A) represent and warrant as to the unencumbered title to his or her Awards; (B) bear such Participant's pro rata share of any post-closing indemnity obligations, and be subject to the same post-closing purchase price adjustments, escrow terms, offset rights, holdback terms, and similar conditions as the other holders of Common Stock and (C) deliver customary transfer documentation as reasonably determined by the Committee.</w:t>
      </w:r>
    </w:p>
    <w:p>
      <w:pPr>
        <w:spacing w:after="0" w:line="200" w:lineRule="exact"/>
        <w:rPr>
          <w:sz w:val="20"/>
          <w:szCs w:val="20"/>
          <w:color w:val="auto"/>
        </w:rPr>
      </w:pPr>
    </w:p>
    <w:p>
      <w:pPr>
        <w:spacing w:after="0" w:line="208"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40640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60"/>
          </w:cols>
          <w:pgMar w:left="900" w:top="355" w:right="339" w:bottom="1440" w:gutter="0" w:footer="0" w:header="0"/>
        </w:sectPr>
      </w:pPr>
    </w:p>
    <w:bookmarkStart w:id="69" w:name="page70"/>
    <w:bookmarkEnd w:id="69"/>
    <w:p>
      <w:pPr>
        <w:ind w:left="552" w:hanging="552"/>
        <w:spacing w:after="0"/>
        <w:tabs>
          <w:tab w:leader="none" w:pos="552" w:val="left"/>
        </w:tabs>
        <w:numPr>
          <w:ilvl w:val="0"/>
          <w:numId w:val="119"/>
        </w:numPr>
        <w:rPr>
          <w:rFonts w:ascii="Arial" w:cs="Arial" w:eastAsia="Arial" w:hAnsi="Arial"/>
          <w:sz w:val="18"/>
          <w:szCs w:val="18"/>
          <w:color w:val="auto"/>
        </w:rPr>
      </w:pPr>
      <w:r>
        <w:rPr>
          <w:rFonts w:ascii="Arial" w:cs="Arial" w:eastAsia="Arial" w:hAnsi="Arial"/>
          <w:sz w:val="18"/>
          <w:szCs w:val="18"/>
          <w:b w:val="1"/>
          <w:bCs w:val="1"/>
          <w:color w:val="auto"/>
        </w:rPr>
        <w:t>Amendments and Termination</w:t>
      </w:r>
      <w:r>
        <w:rPr>
          <w:rFonts w:ascii="Arial" w:cs="Arial" w:eastAsia="Arial" w:hAnsi="Arial"/>
          <w:sz w:val="18"/>
          <w:szCs w:val="18"/>
          <w:color w:val="auto"/>
        </w:rPr>
        <w:t>.</w:t>
      </w:r>
    </w:p>
    <w:p>
      <w:pPr>
        <w:spacing w:after="0" w:line="220" w:lineRule="exact"/>
        <w:rPr>
          <w:rFonts w:ascii="Arial" w:cs="Arial" w:eastAsia="Arial" w:hAnsi="Arial"/>
          <w:sz w:val="18"/>
          <w:szCs w:val="18"/>
          <w:color w:val="auto"/>
        </w:rPr>
      </w:pPr>
    </w:p>
    <w:p>
      <w:pPr>
        <w:jc w:val="both"/>
        <w:ind w:left="552" w:firstLine="285"/>
        <w:spacing w:after="0" w:line="236" w:lineRule="auto"/>
        <w:tabs>
          <w:tab w:leader="none" w:pos="1401" w:val="left"/>
        </w:tabs>
        <w:numPr>
          <w:ilvl w:val="2"/>
          <w:numId w:val="119"/>
        </w:numPr>
        <w:rPr>
          <w:rFonts w:ascii="Arial" w:cs="Arial" w:eastAsia="Arial" w:hAnsi="Arial"/>
          <w:sz w:val="18"/>
          <w:szCs w:val="18"/>
          <w:color w:val="010000"/>
        </w:rPr>
      </w:pPr>
      <w:r>
        <w:rPr>
          <w:rFonts w:ascii="Arial" w:cs="Arial" w:eastAsia="Arial" w:hAnsi="Arial"/>
          <w:sz w:val="18"/>
          <w:szCs w:val="18"/>
          <w:u w:val="single" w:color="auto"/>
          <w:color w:val="auto"/>
        </w:rPr>
        <w:t>Amendment and Termination of the Plan</w:t>
      </w:r>
      <w:r>
        <w:rPr>
          <w:rFonts w:ascii="Arial" w:cs="Arial" w:eastAsia="Arial" w:hAnsi="Arial"/>
          <w:sz w:val="18"/>
          <w:szCs w:val="18"/>
          <w:color w:val="auto"/>
        </w:rPr>
        <w:t xml:space="preserve">. The Board may amend, alter, suspend, discontinue, or terminate the Plan or any portion thereof at any time;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such amendment, alteration, suspension, discontinuation or termination shall be made without stockholder approval if: (i) such approval is necessary to comply with any regulatory requirement applicable to the Plan (including, without limitation, as necessary to comply with any rules or regulations of any securities exchange or inter-dealer quotation system on which the securities of the Company may be listed or quoted) or for changes in GAAP to new accounting standards; (ii) it would materially increase the number of securities which may be issued under the Plan (except for increases pursuant to Section 5 or 12 of the Plan) or (iii) it would materially modify the requirements for participation in the Plan;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that any such amendment, alteration, suspension, discontinuance or termination that would materially and adversely affect</w:t>
      </w:r>
      <w:r>
        <w:rPr>
          <w:rFonts w:ascii="Arial" w:cs="Arial" w:eastAsia="Arial" w:hAnsi="Arial"/>
          <w:sz w:val="18"/>
          <w:szCs w:val="18"/>
          <w:i w:val="1"/>
          <w:iCs w:val="1"/>
          <w:color w:val="auto"/>
        </w:rPr>
        <w:t xml:space="preserve"> </w:t>
      </w:r>
      <w:r>
        <w:rPr>
          <w:rFonts w:ascii="Arial" w:cs="Arial" w:eastAsia="Arial" w:hAnsi="Arial"/>
          <w:sz w:val="18"/>
          <w:szCs w:val="18"/>
          <w:color w:val="auto"/>
        </w:rPr>
        <w:t>the rights of any Participant or any holder or beneficiary of any Award theretofore granted shall not to that extent be effective without the consent of the affected Participant, holder or beneficiary. Notwithstanding the foregoing, no amendment shall be made to the last proviso of Section 13(b) of the Plan without stockholder approval.</w:t>
      </w:r>
    </w:p>
    <w:p>
      <w:pPr>
        <w:spacing w:after="0" w:line="191" w:lineRule="exact"/>
        <w:rPr>
          <w:rFonts w:ascii="Arial" w:cs="Arial" w:eastAsia="Arial" w:hAnsi="Arial"/>
          <w:sz w:val="18"/>
          <w:szCs w:val="18"/>
          <w:color w:val="010000"/>
        </w:rPr>
      </w:pPr>
    </w:p>
    <w:p>
      <w:pPr>
        <w:jc w:val="both"/>
        <w:ind w:left="552" w:firstLine="285"/>
        <w:spacing w:after="0" w:line="236" w:lineRule="auto"/>
        <w:tabs>
          <w:tab w:leader="none" w:pos="1347" w:val="left"/>
        </w:tabs>
        <w:numPr>
          <w:ilvl w:val="2"/>
          <w:numId w:val="119"/>
        </w:numPr>
        <w:rPr>
          <w:rFonts w:ascii="Arial" w:cs="Arial" w:eastAsia="Arial" w:hAnsi="Arial"/>
          <w:sz w:val="18"/>
          <w:szCs w:val="18"/>
          <w:color w:val="010000"/>
        </w:rPr>
      </w:pPr>
      <w:r>
        <w:rPr>
          <w:rFonts w:ascii="Arial" w:cs="Arial" w:eastAsia="Arial" w:hAnsi="Arial"/>
          <w:sz w:val="18"/>
          <w:szCs w:val="18"/>
          <w:u w:val="single" w:color="auto"/>
          <w:color w:val="auto"/>
        </w:rPr>
        <w:t>Amendment of Award Agreements</w:t>
      </w:r>
      <w:r>
        <w:rPr>
          <w:rFonts w:ascii="Arial" w:cs="Arial" w:eastAsia="Arial" w:hAnsi="Arial"/>
          <w:sz w:val="18"/>
          <w:szCs w:val="18"/>
          <w:color w:val="auto"/>
        </w:rPr>
        <w:t xml:space="preserve">. The Committee may, to the extent consistent with the terms of any applicable Award Agreement, waive any conditions or rights under, amend any terms of, or alter, suspend, discontinue, cancel or terminate, any Award theretofore granted or the associated Award Agreement, prospectively or retroactively (including after a Participant's Termination);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waiver, amendment, alteration, suspension, discontinuance, cancellation or termination that would materially and adversely affect the rights of any Participant with respect to any Award theretofore granted shall not to that extent be effective without the consent of the affected Participant; </w:t>
      </w:r>
      <w:r>
        <w:rPr>
          <w:rFonts w:ascii="Arial" w:cs="Arial" w:eastAsia="Arial" w:hAnsi="Arial"/>
          <w:sz w:val="18"/>
          <w:szCs w:val="18"/>
          <w:i w:val="1"/>
          <w:iCs w:val="1"/>
          <w:color w:val="auto"/>
        </w:rPr>
        <w:t>provided, further</w:t>
      </w:r>
      <w:r>
        <w:rPr>
          <w:rFonts w:ascii="Arial" w:cs="Arial" w:eastAsia="Arial" w:hAnsi="Arial"/>
          <w:sz w:val="18"/>
          <w:szCs w:val="18"/>
          <w:color w:val="auto"/>
        </w:rPr>
        <w:t>, that without stockholder approval, except as otherwise permitted under Section 12 of the Plan, (i) no amendment or modification may reduce the Exercise Price of any Option or the Strike Price of any SAR; (ii) the Committee may not cancel any outstanding Option or SAR and replace it with a new Option or SAR (with a lower Exercise Price or Strike Price, as the case may be) or other Award or cash payment that is greater than the intrinsic value (if any) of the cancelled Option or SAR and (iii) the Committee may not take any other action which is considered a "repricing" for purposes of the stockholder approval rules of any securities exchange or inter-dealer quotation system on which the securities of the Company are listed or quoted.</w:t>
      </w:r>
    </w:p>
    <w:p>
      <w:pPr>
        <w:spacing w:after="0" w:line="168" w:lineRule="exact"/>
        <w:rPr>
          <w:rFonts w:ascii="Arial" w:cs="Arial" w:eastAsia="Arial" w:hAnsi="Arial"/>
          <w:sz w:val="18"/>
          <w:szCs w:val="18"/>
          <w:color w:val="010000"/>
        </w:rPr>
      </w:pPr>
    </w:p>
    <w:p>
      <w:pPr>
        <w:ind w:left="552" w:hanging="552"/>
        <w:spacing w:after="0"/>
        <w:tabs>
          <w:tab w:leader="none" w:pos="552" w:val="left"/>
        </w:tabs>
        <w:numPr>
          <w:ilvl w:val="0"/>
          <w:numId w:val="119"/>
        </w:numPr>
        <w:rPr>
          <w:rFonts w:ascii="Arial" w:cs="Arial" w:eastAsia="Arial" w:hAnsi="Arial"/>
          <w:sz w:val="18"/>
          <w:szCs w:val="18"/>
          <w:color w:val="auto"/>
        </w:rPr>
      </w:pPr>
      <w:r>
        <w:rPr>
          <w:rFonts w:ascii="Arial" w:cs="Arial" w:eastAsia="Arial" w:hAnsi="Arial"/>
          <w:sz w:val="18"/>
          <w:szCs w:val="18"/>
          <w:b w:val="1"/>
          <w:bCs w:val="1"/>
          <w:color w:val="auto"/>
        </w:rPr>
        <w:t>General</w:t>
      </w:r>
      <w:r>
        <w:rPr>
          <w:rFonts w:ascii="Arial" w:cs="Arial" w:eastAsia="Arial" w:hAnsi="Arial"/>
          <w:sz w:val="18"/>
          <w:szCs w:val="18"/>
          <w:color w:val="auto"/>
        </w:rPr>
        <w:t>.</w:t>
      </w:r>
    </w:p>
    <w:p>
      <w:pPr>
        <w:spacing w:after="0" w:line="220" w:lineRule="exact"/>
        <w:rPr>
          <w:rFonts w:ascii="Arial" w:cs="Arial" w:eastAsia="Arial" w:hAnsi="Arial"/>
          <w:sz w:val="18"/>
          <w:szCs w:val="18"/>
          <w:color w:val="auto"/>
        </w:rPr>
      </w:pPr>
    </w:p>
    <w:p>
      <w:pPr>
        <w:jc w:val="both"/>
        <w:ind w:left="552" w:firstLine="267"/>
        <w:spacing w:after="0" w:line="237" w:lineRule="auto"/>
        <w:tabs>
          <w:tab w:leader="none" w:pos="1343" w:val="left"/>
        </w:tabs>
        <w:numPr>
          <w:ilvl w:val="1"/>
          <w:numId w:val="119"/>
        </w:numPr>
        <w:rPr>
          <w:rFonts w:ascii="Arial" w:cs="Arial" w:eastAsia="Arial" w:hAnsi="Arial"/>
          <w:sz w:val="18"/>
          <w:szCs w:val="18"/>
          <w:color w:val="010000"/>
        </w:rPr>
      </w:pPr>
      <w:r>
        <w:rPr>
          <w:rFonts w:ascii="Arial" w:cs="Arial" w:eastAsia="Arial" w:hAnsi="Arial"/>
          <w:sz w:val="18"/>
          <w:szCs w:val="18"/>
          <w:u w:val="single" w:color="auto"/>
          <w:color w:val="auto"/>
        </w:rPr>
        <w:t>Award Agreements</w:t>
      </w:r>
      <w:r>
        <w:rPr>
          <w:rFonts w:ascii="Arial" w:cs="Arial" w:eastAsia="Arial" w:hAnsi="Arial"/>
          <w:sz w:val="18"/>
          <w:szCs w:val="18"/>
          <w:color w:val="auto"/>
        </w:rPr>
        <w:t>. Each Award under the Plan shall be evidenced by an Award Agreement, which shall be delivered to the Participant and shall specify the terms and conditions of the Award and any rules applicable thereto, including, without limitation, the effect on such Award of the death, Disability or Termination of a Participant, or of such other events as may be determined by the Committee. For purposes of the Plan, an Award Agreement may be in any such form (written or electronic) as determined by the Committee (including, without limitation, a Board or Committee resolution, an employment agreement, a notice, a certificate or a letter) evidencing the Award. The Committee need not require an Award Agreement to be signed by the Participant or a duly authorized representative of the Company.</w:t>
      </w:r>
    </w:p>
    <w:p>
      <w:pPr>
        <w:spacing w:after="0" w:line="189" w:lineRule="exact"/>
        <w:rPr>
          <w:rFonts w:ascii="Arial" w:cs="Arial" w:eastAsia="Arial" w:hAnsi="Arial"/>
          <w:sz w:val="18"/>
          <w:szCs w:val="18"/>
          <w:color w:val="010000"/>
        </w:rPr>
      </w:pPr>
    </w:p>
    <w:p>
      <w:pPr>
        <w:ind w:left="1372" w:hanging="562"/>
        <w:spacing w:after="0"/>
        <w:tabs>
          <w:tab w:leader="none" w:pos="1372" w:val="left"/>
        </w:tabs>
        <w:numPr>
          <w:ilvl w:val="1"/>
          <w:numId w:val="119"/>
        </w:numPr>
        <w:rPr>
          <w:rFonts w:ascii="Arial" w:cs="Arial" w:eastAsia="Arial" w:hAnsi="Arial"/>
          <w:sz w:val="18"/>
          <w:szCs w:val="18"/>
          <w:color w:val="010000"/>
        </w:rPr>
      </w:pPr>
      <w:r>
        <w:rPr>
          <w:rFonts w:ascii="Arial" w:cs="Arial" w:eastAsia="Arial" w:hAnsi="Arial"/>
          <w:sz w:val="18"/>
          <w:szCs w:val="18"/>
          <w:u w:val="single" w:color="auto"/>
          <w:color w:val="auto"/>
        </w:rPr>
        <w:t>Nontransferability</w:t>
      </w:r>
      <w:r>
        <w:rPr>
          <w:rFonts w:ascii="Arial" w:cs="Arial" w:eastAsia="Arial" w:hAnsi="Arial"/>
          <w:sz w:val="18"/>
          <w:szCs w:val="18"/>
          <w:color w:val="auto"/>
        </w:rPr>
        <w:t>.</w:t>
      </w:r>
    </w:p>
    <w:p>
      <w:pPr>
        <w:spacing w:after="0" w:line="198" w:lineRule="exact"/>
        <w:rPr>
          <w:rFonts w:ascii="Arial" w:cs="Arial" w:eastAsia="Arial" w:hAnsi="Arial"/>
          <w:sz w:val="18"/>
          <w:szCs w:val="18"/>
          <w:color w:val="010000"/>
        </w:rPr>
      </w:pPr>
    </w:p>
    <w:p>
      <w:pPr>
        <w:jc w:val="both"/>
        <w:ind w:left="732" w:right="40" w:firstLine="654"/>
        <w:spacing w:after="0" w:line="237" w:lineRule="auto"/>
        <w:tabs>
          <w:tab w:leader="none" w:pos="1984" w:val="left"/>
        </w:tabs>
        <w:numPr>
          <w:ilvl w:val="3"/>
          <w:numId w:val="119"/>
        </w:numPr>
        <w:rPr>
          <w:rFonts w:ascii="Arial" w:cs="Arial" w:eastAsia="Arial" w:hAnsi="Arial"/>
          <w:sz w:val="18"/>
          <w:szCs w:val="18"/>
          <w:color w:val="010000"/>
        </w:rPr>
      </w:pPr>
      <w:r>
        <w:rPr>
          <w:rFonts w:ascii="Arial" w:cs="Arial" w:eastAsia="Arial" w:hAnsi="Arial"/>
          <w:sz w:val="18"/>
          <w:szCs w:val="18"/>
          <w:color w:val="auto"/>
        </w:rPr>
        <w:t xml:space="preserve">Each Award shall be exercisable only by a Participant during the Participant's lifetime, or, if permissible under applicable law, by the Participant's legal guardian or representative. No Award may be assigned, alienated, pledged, attached, sold or otherwise transferred or encumbered by a Participant (including, without limitation, except as may be prohibited by applicable law, pursuant to a domestic relations order) other than by will or by the laws of descent and distribution and any such purported assignment, alienation, pledge, attachment, sale, transfer or encumbrance shall be void and unenforceable against the Company or an Affiliate; </w:t>
      </w:r>
      <w:r>
        <w:rPr>
          <w:rFonts w:ascii="Arial" w:cs="Arial" w:eastAsia="Arial" w:hAnsi="Arial"/>
          <w:sz w:val="18"/>
          <w:szCs w:val="18"/>
          <w:i w:val="1"/>
          <w:iCs w:val="1"/>
          <w:color w:val="auto"/>
        </w:rPr>
        <w:t>provided</w:t>
      </w:r>
      <w:r>
        <w:rPr>
          <w:rFonts w:ascii="Arial" w:cs="Arial" w:eastAsia="Arial" w:hAnsi="Arial"/>
          <w:sz w:val="18"/>
          <w:szCs w:val="18"/>
          <w:color w:val="auto"/>
        </w:rPr>
        <w:t>, that the designation of a beneficiary shall not constitute an assignment, alienation, pledge, attachment, sale, transfer or encumbrance.</w:t>
      </w:r>
    </w:p>
    <w:p>
      <w:pPr>
        <w:spacing w:after="0" w:line="200" w:lineRule="exact"/>
        <w:rPr>
          <w:sz w:val="20"/>
          <w:szCs w:val="20"/>
          <w:color w:val="auto"/>
        </w:rPr>
      </w:pPr>
    </w:p>
    <w:p>
      <w:pPr>
        <w:spacing w:after="0" w:line="205" w:lineRule="exact"/>
        <w:rPr>
          <w:sz w:val="20"/>
          <w:szCs w:val="20"/>
          <w:color w:val="auto"/>
        </w:rPr>
      </w:pPr>
    </w:p>
    <w:p>
      <w:pPr>
        <w:jc w:val="center"/>
        <w:ind w:right="-231"/>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32"/>
          </w:cols>
          <w:pgMar w:left="328" w:top="333" w:right="639" w:bottom="1440" w:gutter="0" w:footer="0" w:header="0"/>
        </w:sectPr>
      </w:pPr>
    </w:p>
    <w:bookmarkStart w:id="70" w:name="page71"/>
    <w:bookmarkEnd w:id="70"/>
    <w:p>
      <w:pPr>
        <w:jc w:val="both"/>
        <w:ind w:left="80" w:right="40" w:firstLine="654"/>
        <w:spacing w:after="0" w:line="234" w:lineRule="auto"/>
        <w:tabs>
          <w:tab w:leader="none" w:pos="1386" w:val="left"/>
        </w:tabs>
        <w:numPr>
          <w:ilvl w:val="2"/>
          <w:numId w:val="120"/>
        </w:numPr>
        <w:rPr>
          <w:rFonts w:ascii="Arial" w:cs="Arial" w:eastAsia="Arial" w:hAnsi="Arial"/>
          <w:sz w:val="18"/>
          <w:szCs w:val="18"/>
          <w:color w:val="010000"/>
        </w:rPr>
      </w:pPr>
      <w:r>
        <w:rPr>
          <w:rFonts w:ascii="Arial" w:cs="Arial" w:eastAsia="Arial" w:hAnsi="Arial"/>
          <w:sz w:val="18"/>
          <w:szCs w:val="18"/>
          <w:color w:val="auto"/>
        </w:rPr>
        <w:t>Notwithstanding the foregoing, the Committee may, in its sole discretion, permit Awards (other than Incentive Stock Options) to be transferred by a Participant, without consideration, subject to such rules as the Committee may adopt consistent with any applicable Award Agreement to preserve the purposes of the Plan, to: (A) any person who is a "family member" of the Participant, as such term is used in the instructions to Form S-8 under the Securities Act or any successor form of registration statement promulgated by the Securities and Exchange Commission (collectively, the "</w:t>
      </w:r>
      <w:r>
        <w:rPr>
          <w:rFonts w:ascii="Arial" w:cs="Arial" w:eastAsia="Arial" w:hAnsi="Arial"/>
          <w:sz w:val="18"/>
          <w:szCs w:val="18"/>
          <w:u w:val="single" w:color="auto"/>
          <w:color w:val="auto"/>
        </w:rPr>
        <w:t>Immediate Family</w:t>
      </w:r>
      <w:r>
        <w:rPr>
          <w:rFonts w:ascii="Arial" w:cs="Arial" w:eastAsia="Arial" w:hAnsi="Arial"/>
          <w:sz w:val="18"/>
          <w:szCs w:val="18"/>
          <w:color w:val="auto"/>
        </w:rPr>
        <w:t xml:space="preserve"> </w:t>
      </w:r>
      <w:r>
        <w:rPr>
          <w:rFonts w:ascii="Arial" w:cs="Arial" w:eastAsia="Arial" w:hAnsi="Arial"/>
          <w:sz w:val="18"/>
          <w:szCs w:val="18"/>
          <w:u w:val="single" w:color="auto"/>
          <w:color w:val="auto"/>
        </w:rPr>
        <w:t>Members</w:t>
      </w:r>
      <w:r>
        <w:rPr>
          <w:rFonts w:ascii="Arial" w:cs="Arial" w:eastAsia="Arial" w:hAnsi="Arial"/>
          <w:sz w:val="18"/>
          <w:szCs w:val="18"/>
          <w:color w:val="auto"/>
        </w:rPr>
        <w:t>"); (B) a trust solely for the benefit of the Participant and his or her Immediate Family Members; (C) a partnership or limited liability company whose only partners or stockholders are the Participant and his or her Immediate Family Members; or</w:t>
      </w:r>
    </w:p>
    <w:p>
      <w:pPr>
        <w:spacing w:after="0" w:line="4" w:lineRule="exact"/>
        <w:rPr>
          <w:rFonts w:ascii="Arial" w:cs="Arial" w:eastAsia="Arial" w:hAnsi="Arial"/>
          <w:sz w:val="18"/>
          <w:szCs w:val="18"/>
          <w:color w:val="010000"/>
        </w:rPr>
      </w:pPr>
    </w:p>
    <w:p>
      <w:pPr>
        <w:jc w:val="both"/>
        <w:ind w:left="80" w:right="20" w:firstLine="6"/>
        <w:spacing w:after="0" w:line="238" w:lineRule="auto"/>
        <w:tabs>
          <w:tab w:leader="none" w:pos="40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 beneficiary to whom donations are eligible to be treated as "charitable contributions" for federal income tax purposes (each transferee described in clauses (A), (B), (C) and (D) above is hereinafter referred to as a "</w:t>
      </w:r>
      <w:r>
        <w:rPr>
          <w:rFonts w:ascii="Arial" w:cs="Arial" w:eastAsia="Arial" w:hAnsi="Arial"/>
          <w:sz w:val="18"/>
          <w:szCs w:val="18"/>
          <w:u w:val="single" w:color="auto"/>
          <w:color w:val="auto"/>
        </w:rPr>
        <w:t>Permitted Transferee</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that the Participant gives the Committee advance written notice describing the terms and conditions of the proposed</w:t>
      </w:r>
      <w:r>
        <w:rPr>
          <w:rFonts w:ascii="Arial" w:cs="Arial" w:eastAsia="Arial" w:hAnsi="Arial"/>
          <w:sz w:val="18"/>
          <w:szCs w:val="18"/>
          <w:i w:val="1"/>
          <w:iCs w:val="1"/>
          <w:color w:val="auto"/>
        </w:rPr>
        <w:t xml:space="preserve"> </w:t>
      </w:r>
      <w:r>
        <w:rPr>
          <w:rFonts w:ascii="Arial" w:cs="Arial" w:eastAsia="Arial" w:hAnsi="Arial"/>
          <w:sz w:val="18"/>
          <w:szCs w:val="18"/>
          <w:color w:val="auto"/>
        </w:rPr>
        <w:t>transfer and the Committee notifies the Participant in writing that such a transfer would comply with the requirements of the Plan.</w:t>
      </w:r>
    </w:p>
    <w:p>
      <w:pPr>
        <w:spacing w:after="0" w:line="188" w:lineRule="exact"/>
        <w:rPr>
          <w:rFonts w:ascii="Arial" w:cs="Arial" w:eastAsia="Arial" w:hAnsi="Arial"/>
          <w:sz w:val="18"/>
          <w:szCs w:val="18"/>
          <w:color w:val="auto"/>
        </w:rPr>
      </w:pPr>
    </w:p>
    <w:p>
      <w:pPr>
        <w:jc w:val="both"/>
        <w:ind w:left="80" w:right="40" w:firstLine="654"/>
        <w:spacing w:after="0" w:line="236" w:lineRule="auto"/>
        <w:tabs>
          <w:tab w:leader="none" w:pos="1385" w:val="left"/>
        </w:tabs>
        <w:numPr>
          <w:ilvl w:val="2"/>
          <w:numId w:val="121"/>
        </w:numPr>
        <w:rPr>
          <w:rFonts w:ascii="Arial" w:cs="Arial" w:eastAsia="Arial" w:hAnsi="Arial"/>
          <w:sz w:val="18"/>
          <w:szCs w:val="18"/>
          <w:color w:val="010000"/>
        </w:rPr>
      </w:pPr>
      <w:r>
        <w:rPr>
          <w:rFonts w:ascii="Arial" w:cs="Arial" w:eastAsia="Arial" w:hAnsi="Arial"/>
          <w:sz w:val="18"/>
          <w:szCs w:val="18"/>
          <w:color w:val="auto"/>
        </w:rPr>
        <w:t>The terms of any Award transferred in accordance with the immediately preceding sentence shall apply to the Permitted Transferee and any reference in the Plan, or in any applicable Award Agreement, to a Participant shall be deemed to refer to the Permitted Transferee, except that: (A) Permitted Transferees shall not be entitled to transfer any Award, other than by will or the laws of descent and distribution; (B) Permitted Transferees shall not be entitled to exercise any transferred Option unless there shall be in effect a registration statement on an appropriate form covering the shares of Common Stock to be acquired pursuant to the exercise of such Option if the Committee determines, consistent with any applicable Award Agreement, that such a registration statement is necessary or appropriate; (C) the Committee or the Company shall not be required to provide any notice to a Permitted Transferee, whether or not such notice is or would otherwise have been required to be given to the Participant under the Plan or otherwise; and (D) the consequences of the Termination of the Participant under the terms of the Plan and the applicable Award Agreement shall continue to be applied with respect to the Participant, including, without limitation, that an Option shall be exercisable by the Permitted Transferee only to the extent, and for the periods, specified in the Plan and the applicable Award Agreement.</w:t>
      </w:r>
    </w:p>
    <w:p>
      <w:pPr>
        <w:spacing w:after="0" w:line="190" w:lineRule="exact"/>
        <w:rPr>
          <w:rFonts w:ascii="Arial" w:cs="Arial" w:eastAsia="Arial" w:hAnsi="Arial"/>
          <w:sz w:val="18"/>
          <w:szCs w:val="18"/>
          <w:color w:val="010000"/>
        </w:rPr>
      </w:pPr>
    </w:p>
    <w:p>
      <w:pPr>
        <w:jc w:val="both"/>
        <w:ind w:right="20" w:firstLine="167"/>
        <w:spacing w:after="0" w:line="236" w:lineRule="auto"/>
        <w:tabs>
          <w:tab w:leader="none" w:pos="815" w:val="left"/>
        </w:tabs>
        <w:numPr>
          <w:ilvl w:val="1"/>
          <w:numId w:val="121"/>
        </w:numPr>
        <w:rPr>
          <w:rFonts w:ascii="Arial" w:cs="Arial" w:eastAsia="Arial" w:hAnsi="Arial"/>
          <w:sz w:val="18"/>
          <w:szCs w:val="18"/>
          <w:color w:val="010000"/>
        </w:rPr>
      </w:pPr>
      <w:r>
        <w:rPr>
          <w:rFonts w:ascii="Arial" w:cs="Arial" w:eastAsia="Arial" w:hAnsi="Arial"/>
          <w:sz w:val="18"/>
          <w:szCs w:val="18"/>
          <w:u w:val="single" w:color="auto"/>
          <w:color w:val="auto"/>
        </w:rPr>
        <w:t>Dividends and Dividend Equivalents</w:t>
      </w:r>
      <w:r>
        <w:rPr>
          <w:rFonts w:ascii="Arial" w:cs="Arial" w:eastAsia="Arial" w:hAnsi="Arial"/>
          <w:sz w:val="18"/>
          <w:szCs w:val="18"/>
          <w:color w:val="auto"/>
        </w:rPr>
        <w:t xml:space="preserve">. The Committee, in its sole discretion, may provide a Participant as part of an Award with dividends, dividend equivalents, or similar payments in respect of Awards, payable in cash, shares of Common Stock, other securities, other Awards or other property, on a current or deferred basis, on such terms and conditions as may be determined by the Committee in its sole discretion, including, without limitation, payment directly to the Participant, withholding of such amounts by the Company subject to vesting of the Award or reinvestment in additional shares of Common Stock, Restricted Stock or other Awards; </w:t>
      </w:r>
      <w:r>
        <w:rPr>
          <w:rFonts w:ascii="Arial" w:cs="Arial" w:eastAsia="Arial" w:hAnsi="Arial"/>
          <w:sz w:val="18"/>
          <w:szCs w:val="18"/>
          <w:i w:val="1"/>
          <w:iCs w:val="1"/>
          <w:color w:val="auto"/>
        </w:rPr>
        <w:t>provided</w:t>
      </w:r>
      <w:r>
        <w:rPr>
          <w:rFonts w:ascii="Arial" w:cs="Arial" w:eastAsia="Arial" w:hAnsi="Arial"/>
          <w:sz w:val="18"/>
          <w:szCs w:val="18"/>
          <w:color w:val="auto"/>
        </w:rPr>
        <w:t>, that no dividends, dividend equivalents or other similar payments shall be payable in respect of outstanding (i) Options or SARs; or (ii) unearned Performance Compensation Awards or other unearned Awards subject to performance conditions (other than, or in addition to, the passage of time) (although dividends, dividend equivalents or other similar payments may be accumulated in respect of unearned Awards and paid within fifteen (15) days after such Awards are earned and become payable or distributable).</w:t>
      </w:r>
    </w:p>
    <w:p>
      <w:pPr>
        <w:spacing w:after="0" w:line="192" w:lineRule="exact"/>
        <w:rPr>
          <w:rFonts w:ascii="Arial" w:cs="Arial" w:eastAsia="Arial" w:hAnsi="Arial"/>
          <w:sz w:val="18"/>
          <w:szCs w:val="18"/>
          <w:color w:val="010000"/>
        </w:rPr>
      </w:pPr>
    </w:p>
    <w:p>
      <w:pPr>
        <w:ind w:left="800" w:hanging="642"/>
        <w:spacing w:after="0"/>
        <w:tabs>
          <w:tab w:leader="none" w:pos="800" w:val="left"/>
        </w:tabs>
        <w:numPr>
          <w:ilvl w:val="1"/>
          <w:numId w:val="121"/>
        </w:numPr>
        <w:rPr>
          <w:rFonts w:ascii="Arial" w:cs="Arial" w:eastAsia="Arial" w:hAnsi="Arial"/>
          <w:sz w:val="18"/>
          <w:szCs w:val="18"/>
          <w:color w:val="010000"/>
        </w:rPr>
      </w:pPr>
      <w:r>
        <w:rPr>
          <w:rFonts w:ascii="Arial" w:cs="Arial" w:eastAsia="Arial" w:hAnsi="Arial"/>
          <w:sz w:val="18"/>
          <w:szCs w:val="18"/>
          <w:u w:val="single" w:color="auto"/>
          <w:color w:val="auto"/>
        </w:rPr>
        <w:t>Tax Withholding</w:t>
      </w:r>
      <w:r>
        <w:rPr>
          <w:rFonts w:ascii="Arial" w:cs="Arial" w:eastAsia="Arial" w:hAnsi="Arial"/>
          <w:sz w:val="18"/>
          <w:szCs w:val="18"/>
          <w:color w:val="auto"/>
        </w:rPr>
        <w:t>.</w:t>
      </w:r>
    </w:p>
    <w:p>
      <w:pPr>
        <w:spacing w:after="0" w:line="198" w:lineRule="exact"/>
        <w:rPr>
          <w:rFonts w:ascii="Arial" w:cs="Arial" w:eastAsia="Arial" w:hAnsi="Arial"/>
          <w:sz w:val="18"/>
          <w:szCs w:val="18"/>
          <w:color w:val="010000"/>
        </w:rPr>
      </w:pPr>
    </w:p>
    <w:p>
      <w:pPr>
        <w:jc w:val="both"/>
        <w:ind w:left="80" w:firstLine="654"/>
        <w:spacing w:after="0" w:line="237" w:lineRule="auto"/>
        <w:tabs>
          <w:tab w:leader="none" w:pos="1386" w:val="left"/>
        </w:tabs>
        <w:numPr>
          <w:ilvl w:val="2"/>
          <w:numId w:val="122"/>
        </w:numPr>
        <w:rPr>
          <w:rFonts w:ascii="Arial" w:cs="Arial" w:eastAsia="Arial" w:hAnsi="Arial"/>
          <w:sz w:val="18"/>
          <w:szCs w:val="18"/>
          <w:color w:val="010000"/>
        </w:rPr>
      </w:pPr>
      <w:r>
        <w:rPr>
          <w:rFonts w:ascii="Arial" w:cs="Arial" w:eastAsia="Arial" w:hAnsi="Arial"/>
          <w:sz w:val="18"/>
          <w:szCs w:val="18"/>
          <w:color w:val="auto"/>
        </w:rPr>
        <w:t>A Participant shall be required to pay to the Company or any Affiliate, and the Company or any Affiliate shall have the right and is hereby authorized to withhold, from any cash, shares of Common Stock, other securities or other property issuable or deliverable under any Award or from any compensation or other amounts owing to a Participant, the amount (in cash, shares of Common Stock, other securities or other property) of any required withholding or any other applicable taxes in respect of an Award, its exercise, or any payment or transfer under an Award or under the Plan and to take such other action as may be necessary in the opinion of the Committee or the Company to satisfy all obligations for the payment of such withholding or any other applicable taxes.</w:t>
      </w:r>
    </w:p>
    <w:p>
      <w:pPr>
        <w:spacing w:after="0" w:line="189" w:lineRule="exact"/>
        <w:rPr>
          <w:sz w:val="20"/>
          <w:szCs w:val="20"/>
          <w:color w:val="auto"/>
        </w:rPr>
      </w:pPr>
    </w:p>
    <w:p>
      <w:pPr>
        <w:jc w:val="both"/>
        <w:ind w:left="80" w:right="20" w:firstLine="654"/>
        <w:spacing w:after="0" w:line="237" w:lineRule="auto"/>
        <w:tabs>
          <w:tab w:leader="none" w:pos="1345" w:val="left"/>
        </w:tabs>
        <w:numPr>
          <w:ilvl w:val="0"/>
          <w:numId w:val="123"/>
        </w:numPr>
        <w:rPr>
          <w:rFonts w:ascii="Arial" w:cs="Arial" w:eastAsia="Arial" w:hAnsi="Arial"/>
          <w:sz w:val="18"/>
          <w:szCs w:val="18"/>
          <w:color w:val="010000"/>
        </w:rPr>
      </w:pPr>
      <w:r>
        <w:rPr>
          <w:rFonts w:ascii="Arial" w:cs="Arial" w:eastAsia="Arial" w:hAnsi="Arial"/>
          <w:sz w:val="18"/>
          <w:szCs w:val="18"/>
          <w:color w:val="auto"/>
        </w:rPr>
        <w:t>Without limiting the generality of clause (i) above, the Committee may, in its sole discretion, permit a Participant to satisfy, in whole or in part, the foregoing withholding liability by (A) the delivery of shares of Common Stock (which are not subject to any pledge or other security interest) owned by the Participant having a Fair Market Value equal to such withholding liability or (B) having the Company withhold from the number of shares of Common Stock otherwise issuable or deliverable pursuant to the exercise or settlement of the Award a number of shares with a Fair Market Value equal to such withholding liability, provided that with respect to shares withheld pursuant to clause (B), the number of such shares may not have a Fair Market Value greater than the minimum required statutory withholding liability.</w:t>
      </w:r>
    </w:p>
    <w:p>
      <w:pPr>
        <w:spacing w:after="0" w:line="200" w:lineRule="exact"/>
        <w:rPr>
          <w:sz w:val="20"/>
          <w:szCs w:val="20"/>
          <w:color w:val="auto"/>
        </w:rPr>
      </w:pPr>
    </w:p>
    <w:p>
      <w:pPr>
        <w:spacing w:after="0" w:line="205"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40640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80"/>
          </w:cols>
          <w:pgMar w:left="980" w:top="355" w:right="639" w:bottom="1440" w:gutter="0" w:footer="0" w:header="0"/>
        </w:sectPr>
      </w:pPr>
    </w:p>
    <w:bookmarkStart w:id="71" w:name="page72"/>
    <w:bookmarkEnd w:id="71"/>
    <w:p>
      <w:pPr>
        <w:jc w:val="both"/>
        <w:ind w:firstLine="167"/>
        <w:spacing w:after="0" w:line="235" w:lineRule="auto"/>
        <w:tabs>
          <w:tab w:leader="none" w:pos="785" w:val="left"/>
        </w:tabs>
        <w:numPr>
          <w:ilvl w:val="0"/>
          <w:numId w:val="124"/>
        </w:numPr>
        <w:rPr>
          <w:rFonts w:ascii="Arial" w:cs="Arial" w:eastAsia="Arial" w:hAnsi="Arial"/>
          <w:sz w:val="18"/>
          <w:szCs w:val="18"/>
          <w:color w:val="010000"/>
        </w:rPr>
      </w:pPr>
      <w:r>
        <w:rPr>
          <w:rFonts w:ascii="Arial" w:cs="Arial" w:eastAsia="Arial" w:hAnsi="Arial"/>
          <w:sz w:val="18"/>
          <w:szCs w:val="18"/>
          <w:u w:val="single" w:color="auto"/>
          <w:color w:val="auto"/>
        </w:rPr>
        <w:t>No Claim to Awards; No Rights to Continued Employment; Waiver</w:t>
      </w:r>
      <w:r>
        <w:rPr>
          <w:rFonts w:ascii="Arial" w:cs="Arial" w:eastAsia="Arial" w:hAnsi="Arial"/>
          <w:sz w:val="18"/>
          <w:szCs w:val="18"/>
          <w:color w:val="auto"/>
        </w:rPr>
        <w:t>. No employee of the Company or any Affiliate, or other person, shall have any claim or right to be granted an Award under the Plan or, having been selected for the grant of an Award, to be selected for a grant of any other Award. There is no obligation for uniformity of treatment of Participants or holders or beneficiaries of Awards. The terms and conditions of Awards and the Committee's determinations and interpretations with respect thereto need not be the same with respect to each Participant and may be made selectively among Participants, whether or not such Participants are similarly situated. Neither the Plan nor any action taken hereunder shall be construed as giving any Participant any right to be retained in the employ or service of the Company or any Affiliate, nor shall it be construed as giving any Participant any rights to continued service on the Board. The Company or any of its Affiliates may at any time dismiss a Participant from employment or discontinue any consulting relationship, free from any liability or any claim under the Plan, unless otherwise expressly provided in the Plan or any Award Agreement. By accepting an Award under the Plan, a Participant shall thereby be deemed to have waived any claim to continued exercise or vesting of an Award or to damages or severance entitlement related to non-continuation of the Award beyond the period provided under the Plan or any Award Agreement, except to the extent of any provision to the contrary in any written employment contract or other agreement between the Company and its Affiliates and the Participant, whether any such agreement is executed before, on or after the Date of Grant.</w:t>
      </w:r>
    </w:p>
    <w:p>
      <w:pPr>
        <w:spacing w:after="0" w:line="200" w:lineRule="exact"/>
        <w:rPr>
          <w:rFonts w:ascii="Arial" w:cs="Arial" w:eastAsia="Arial" w:hAnsi="Arial"/>
          <w:sz w:val="18"/>
          <w:szCs w:val="18"/>
          <w:color w:val="010000"/>
        </w:rPr>
      </w:pPr>
    </w:p>
    <w:p>
      <w:pPr>
        <w:jc w:val="both"/>
        <w:ind w:right="200" w:firstLine="167"/>
        <w:spacing w:after="0" w:line="238" w:lineRule="auto"/>
        <w:tabs>
          <w:tab w:leader="none" w:pos="691" w:val="left"/>
        </w:tabs>
        <w:numPr>
          <w:ilvl w:val="0"/>
          <w:numId w:val="124"/>
        </w:numPr>
        <w:rPr>
          <w:rFonts w:ascii="Arial" w:cs="Arial" w:eastAsia="Arial" w:hAnsi="Arial"/>
          <w:sz w:val="18"/>
          <w:szCs w:val="18"/>
          <w:color w:val="010000"/>
        </w:rPr>
      </w:pPr>
      <w:r>
        <w:rPr>
          <w:rFonts w:ascii="Arial" w:cs="Arial" w:eastAsia="Arial" w:hAnsi="Arial"/>
          <w:sz w:val="18"/>
          <w:szCs w:val="18"/>
          <w:u w:val="single" w:color="auto"/>
          <w:color w:val="auto"/>
        </w:rPr>
        <w:t>International Participants</w:t>
      </w:r>
      <w:r>
        <w:rPr>
          <w:rFonts w:ascii="Arial" w:cs="Arial" w:eastAsia="Arial" w:hAnsi="Arial"/>
          <w:sz w:val="18"/>
          <w:szCs w:val="18"/>
          <w:color w:val="auto"/>
        </w:rPr>
        <w:t>. With respect to Participants who reside or work outside of the United States of America and who are not (and who are not expected to be) "covered employees" within the meaning of Section 162(m) of the Code, the Committee may, in its sole discretion, amend the terms of the Plan and create or amend Sub-Plans or amend outstanding Awards with respect to such Participants in order to conform such terms with the requirements of local law or to obtain more favorable tax or other treatment for a Participant, the Company or its Affiliates.</w:t>
      </w:r>
    </w:p>
    <w:p>
      <w:pPr>
        <w:spacing w:after="0" w:line="188" w:lineRule="exact"/>
        <w:rPr>
          <w:rFonts w:ascii="Arial" w:cs="Arial" w:eastAsia="Arial" w:hAnsi="Arial"/>
          <w:sz w:val="18"/>
          <w:szCs w:val="18"/>
          <w:color w:val="010000"/>
        </w:rPr>
      </w:pPr>
    </w:p>
    <w:p>
      <w:pPr>
        <w:jc w:val="both"/>
        <w:ind w:firstLine="167"/>
        <w:spacing w:after="0" w:line="236" w:lineRule="auto"/>
        <w:tabs>
          <w:tab w:leader="none" w:pos="772" w:val="left"/>
        </w:tabs>
        <w:numPr>
          <w:ilvl w:val="0"/>
          <w:numId w:val="124"/>
        </w:numPr>
        <w:rPr>
          <w:rFonts w:ascii="Arial" w:cs="Arial" w:eastAsia="Arial" w:hAnsi="Arial"/>
          <w:sz w:val="18"/>
          <w:szCs w:val="18"/>
          <w:color w:val="010000"/>
        </w:rPr>
      </w:pPr>
      <w:r>
        <w:rPr>
          <w:rFonts w:ascii="Arial" w:cs="Arial" w:eastAsia="Arial" w:hAnsi="Arial"/>
          <w:sz w:val="18"/>
          <w:szCs w:val="18"/>
          <w:u w:val="single" w:color="auto"/>
          <w:color w:val="auto"/>
        </w:rPr>
        <w:t>Designation and Change of Beneficiary</w:t>
      </w:r>
      <w:r>
        <w:rPr>
          <w:rFonts w:ascii="Arial" w:cs="Arial" w:eastAsia="Arial" w:hAnsi="Arial"/>
          <w:sz w:val="18"/>
          <w:szCs w:val="18"/>
          <w:color w:val="auto"/>
        </w:rPr>
        <w:t xml:space="preserve">. Each Participant may file with the Committee a written designation of one or more persons as the beneficiary(ies) who shall be entitled to receive the amounts payable with respect to an Award, if any, due under the Plan upon his or her death. A Participant may, from time to time, revoke or change his or her beneficiary designation without the consent of any prior beneficiary by filing a new designation with the Committee. The last such designation received by the Committee shall be controlling; </w:t>
      </w:r>
      <w:r>
        <w:rPr>
          <w:rFonts w:ascii="Arial" w:cs="Arial" w:eastAsia="Arial" w:hAnsi="Arial"/>
          <w:sz w:val="18"/>
          <w:szCs w:val="18"/>
          <w:i w:val="1"/>
          <w:iCs w:val="1"/>
          <w:color w:val="auto"/>
        </w:rPr>
        <w:t>provided, however</w:t>
      </w:r>
      <w:r>
        <w:rPr>
          <w:rFonts w:ascii="Arial" w:cs="Arial" w:eastAsia="Arial" w:hAnsi="Arial"/>
          <w:sz w:val="18"/>
          <w:szCs w:val="18"/>
          <w:color w:val="auto"/>
        </w:rPr>
        <w:t>, that no designation, or change or revocation thereof, shall be effective unless received by the Committee prior to the Participant's death, and in no event shall it be effective as of a date prior to such receipt. If no beneficiary designation is filed by a Participant, the beneficiary shall be deemed to be his or her spouse or, if the Participant is unmarried at the time of death, his or her estate.</w:t>
      </w:r>
    </w:p>
    <w:p>
      <w:pPr>
        <w:spacing w:after="0" w:line="194" w:lineRule="exact"/>
        <w:rPr>
          <w:rFonts w:ascii="Arial" w:cs="Arial" w:eastAsia="Arial" w:hAnsi="Arial"/>
          <w:sz w:val="18"/>
          <w:szCs w:val="18"/>
          <w:color w:val="010000"/>
        </w:rPr>
      </w:pPr>
    </w:p>
    <w:p>
      <w:pPr>
        <w:jc w:val="both"/>
        <w:ind w:firstLine="167"/>
        <w:spacing w:after="0" w:line="236" w:lineRule="auto"/>
        <w:tabs>
          <w:tab w:leader="none" w:pos="758" w:val="left"/>
        </w:tabs>
        <w:numPr>
          <w:ilvl w:val="0"/>
          <w:numId w:val="124"/>
        </w:numPr>
        <w:rPr>
          <w:rFonts w:ascii="Arial" w:cs="Arial" w:eastAsia="Arial" w:hAnsi="Arial"/>
          <w:sz w:val="18"/>
          <w:szCs w:val="18"/>
          <w:color w:val="010000"/>
        </w:rPr>
      </w:pPr>
      <w:r>
        <w:rPr>
          <w:rFonts w:ascii="Arial" w:cs="Arial" w:eastAsia="Arial" w:hAnsi="Arial"/>
          <w:sz w:val="18"/>
          <w:szCs w:val="18"/>
          <w:u w:val="single" w:color="auto"/>
          <w:color w:val="auto"/>
        </w:rPr>
        <w:t>Termination</w:t>
      </w:r>
      <w:r>
        <w:rPr>
          <w:rFonts w:ascii="Arial" w:cs="Arial" w:eastAsia="Arial" w:hAnsi="Arial"/>
          <w:sz w:val="18"/>
          <w:szCs w:val="18"/>
          <w:color w:val="auto"/>
        </w:rPr>
        <w:t>. Except as otherwise provided in an Award Agreement, unless determined otherwise by the Committee at any point following such event: (i) neither a temporary absence from employment or service due to illness, vacation or leave of absence (including, without limitation, a call to active duty for military service through a Reserve or National Guard unit) nor a transfer from employment or service with one Service Recipient to employment or service with another Service Recipient (or vice-versa) shall be considered a Termination; and (ii) if a Participant undergoes a Termination of employment, but such Participant continues to provide services to the Company and its Affiliates in a non-employee capacity, such change in status shall not be considered a Termination for purposes of the Plan. Further, unless otherwise determined by the Committee, in the event that any Service Recipient ceases to be an Affiliate of the Company (by reason of sale, divestiture, spin-off or other similar transaction), unless a Participant's employment or service is transferred to another entity that would constitute a Service Recipient immediately following such transaction, such Participant shall be deemed to have suffered a Termination hereunder as of the date of the consummation of such transaction.</w:t>
      </w:r>
    </w:p>
    <w:p>
      <w:pPr>
        <w:spacing w:after="0" w:line="200" w:lineRule="exact"/>
        <w:rPr>
          <w:sz w:val="20"/>
          <w:szCs w:val="20"/>
          <w:color w:val="auto"/>
        </w:rPr>
      </w:pPr>
    </w:p>
    <w:p>
      <w:pPr>
        <w:spacing w:after="0" w:line="207"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40640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80"/>
          </w:cols>
          <w:pgMar w:left="980" w:top="355" w:right="639" w:bottom="1440" w:gutter="0" w:footer="0" w:header="0"/>
        </w:sectPr>
      </w:pPr>
    </w:p>
    <w:bookmarkStart w:id="72" w:name="page73"/>
    <w:bookmarkEnd w:id="72"/>
    <w:p>
      <w:pPr>
        <w:jc w:val="both"/>
        <w:ind w:right="340" w:firstLine="167"/>
        <w:spacing w:after="0"/>
        <w:tabs>
          <w:tab w:leader="none" w:pos="865" w:val="left"/>
        </w:tabs>
        <w:numPr>
          <w:ilvl w:val="0"/>
          <w:numId w:val="125"/>
        </w:numPr>
        <w:rPr>
          <w:rFonts w:ascii="Arial" w:cs="Arial" w:eastAsia="Arial" w:hAnsi="Arial"/>
          <w:sz w:val="18"/>
          <w:szCs w:val="18"/>
          <w:color w:val="010000"/>
        </w:rPr>
      </w:pPr>
      <w:r>
        <w:rPr>
          <w:rFonts w:ascii="Arial" w:cs="Arial" w:eastAsia="Arial" w:hAnsi="Arial"/>
          <w:sz w:val="18"/>
          <w:szCs w:val="18"/>
          <w:u w:val="single" w:color="auto"/>
          <w:color w:val="auto"/>
        </w:rPr>
        <w:t>No Rights as a Stockholder</w:t>
      </w:r>
      <w:r>
        <w:rPr>
          <w:rFonts w:ascii="Arial" w:cs="Arial" w:eastAsia="Arial" w:hAnsi="Arial"/>
          <w:sz w:val="18"/>
          <w:szCs w:val="18"/>
          <w:color w:val="auto"/>
        </w:rPr>
        <w:t>. Except as otherwise specifically provided in the Plan or any Award Agreement, no person shall be entitled to the privileges of ownership in respect of shares of Common Stock which are subject to Awards hereunder until such shares have been issued or delivered to such person.</w:t>
      </w:r>
    </w:p>
    <w:p>
      <w:pPr>
        <w:spacing w:after="0" w:line="189" w:lineRule="exact"/>
        <w:rPr>
          <w:rFonts w:ascii="Arial" w:cs="Arial" w:eastAsia="Arial" w:hAnsi="Arial"/>
          <w:sz w:val="18"/>
          <w:szCs w:val="18"/>
          <w:color w:val="010000"/>
        </w:rPr>
      </w:pPr>
    </w:p>
    <w:p>
      <w:pPr>
        <w:ind w:left="720" w:hanging="553"/>
        <w:spacing w:after="0"/>
        <w:tabs>
          <w:tab w:leader="none" w:pos="720" w:val="left"/>
        </w:tabs>
        <w:numPr>
          <w:ilvl w:val="0"/>
          <w:numId w:val="125"/>
        </w:numPr>
        <w:rPr>
          <w:rFonts w:ascii="Arial" w:cs="Arial" w:eastAsia="Arial" w:hAnsi="Arial"/>
          <w:sz w:val="18"/>
          <w:szCs w:val="18"/>
          <w:color w:val="010000"/>
        </w:rPr>
      </w:pPr>
      <w:r>
        <w:rPr>
          <w:rFonts w:ascii="Arial" w:cs="Arial" w:eastAsia="Arial" w:hAnsi="Arial"/>
          <w:sz w:val="18"/>
          <w:szCs w:val="18"/>
          <w:u w:val="single" w:color="auto"/>
          <w:color w:val="auto"/>
        </w:rPr>
        <w:t>Government and Other Regulations</w:t>
      </w:r>
      <w:r>
        <w:rPr>
          <w:rFonts w:ascii="Arial" w:cs="Arial" w:eastAsia="Arial" w:hAnsi="Arial"/>
          <w:sz w:val="18"/>
          <w:szCs w:val="18"/>
          <w:color w:val="auto"/>
        </w:rPr>
        <w:t>.</w:t>
      </w:r>
    </w:p>
    <w:p>
      <w:pPr>
        <w:spacing w:after="0" w:line="198" w:lineRule="exact"/>
        <w:rPr>
          <w:rFonts w:ascii="Arial" w:cs="Arial" w:eastAsia="Arial" w:hAnsi="Arial"/>
          <w:sz w:val="18"/>
          <w:szCs w:val="18"/>
          <w:color w:val="010000"/>
        </w:rPr>
      </w:pPr>
    </w:p>
    <w:p>
      <w:pPr>
        <w:jc w:val="both"/>
        <w:ind w:left="80" w:firstLine="654"/>
        <w:spacing w:after="0" w:line="235" w:lineRule="auto"/>
        <w:tabs>
          <w:tab w:leader="none" w:pos="1426" w:val="left"/>
        </w:tabs>
        <w:numPr>
          <w:ilvl w:val="1"/>
          <w:numId w:val="125"/>
        </w:numPr>
        <w:rPr>
          <w:rFonts w:ascii="Arial" w:cs="Arial" w:eastAsia="Arial" w:hAnsi="Arial"/>
          <w:sz w:val="18"/>
          <w:szCs w:val="18"/>
          <w:color w:val="010000"/>
        </w:rPr>
      </w:pPr>
      <w:r>
        <w:rPr>
          <w:rFonts w:ascii="Arial" w:cs="Arial" w:eastAsia="Arial" w:hAnsi="Arial"/>
          <w:sz w:val="18"/>
          <w:szCs w:val="18"/>
          <w:color w:val="auto"/>
        </w:rPr>
        <w:t>The obligation of the Company to settle Awards in shares of Common Stock or other consideration shall be subject to all applicable laws, rules, and regulations, and to such approvals by governmental agencies as may be required. Notwithstanding any terms or conditions of any Award to the contrary, the Company shall be under no obligation to offer to sell or to sell, and shall be prohibited from offering to sell or selling, any shares of Common Stock pursuant to an Award unless such shares have been properly registered for sale pursuant to the Securities Act with the Securities and Exchange Commission or unless the Company has received an opinion of counsel (if the Company has requested such an opinion), satisfactory to the Company, that such shares may be offered or sold without such registration pursuant to an available exemption therefrom and the terms and conditions of such exemption have been fully complied with. The Company shall be under no obligation to register for sale under the Securities Act any of the shares of Common Stock to be offered or sold under the Plan. The Committee shall have the authority to provide that all shares of Common Stock or other securities of the Company or any Affiliate issued under the Plan shall be subject to such stop transfer orders and other restrictions as the Committee may deem advisable under the Plan, the applicable Award Agreement, the Federal securities laws, or the rules, regulations and other requirements of the Securities and Exchange Commission, any securities exchange or inter-dealer quotation system on which the securities of the Company are listed or quoted and any other applicable Federal, state, local or non-U.S. laws, rules, regulations and other requirements, and, without limiting the generality of Section 9 of the Plan, the Committee may cause a legend or legends to be put on certificates representing shares of Common Stock or other securities of the Company or any Affiliate issued under the Plan to make appropriate reference to such restrictions or may cause such Common Stock or other securities of the Company or any Affiliate issued under the Plan in book-entry form to be held subject to the Company's instructions or subject to appropriate stop-transfer orders. Notwithstanding any provision in the Plan to the contrary, the Committee reserves the right to add any additional terms or provisions to any Award granted under the Plan that it, in its sole discretion, deems necessary or advisable in order that such Award complies with the legal requirements of any governmental entity to whose jurisdiction the Award is subject.</w:t>
      </w:r>
    </w:p>
    <w:p>
      <w:pPr>
        <w:spacing w:after="0" w:line="198" w:lineRule="exact"/>
        <w:rPr>
          <w:rFonts w:ascii="Arial" w:cs="Arial" w:eastAsia="Arial" w:hAnsi="Arial"/>
          <w:sz w:val="18"/>
          <w:szCs w:val="18"/>
          <w:color w:val="010000"/>
        </w:rPr>
      </w:pPr>
    </w:p>
    <w:p>
      <w:pPr>
        <w:jc w:val="both"/>
        <w:ind w:left="80" w:right="40" w:firstLine="654"/>
        <w:spacing w:after="0" w:line="236" w:lineRule="auto"/>
        <w:tabs>
          <w:tab w:leader="none" w:pos="1385" w:val="left"/>
        </w:tabs>
        <w:numPr>
          <w:ilvl w:val="1"/>
          <w:numId w:val="125"/>
        </w:numPr>
        <w:rPr>
          <w:rFonts w:ascii="Arial" w:cs="Arial" w:eastAsia="Arial" w:hAnsi="Arial"/>
          <w:sz w:val="18"/>
          <w:szCs w:val="18"/>
          <w:color w:val="010000"/>
        </w:rPr>
      </w:pPr>
      <w:r>
        <w:rPr>
          <w:rFonts w:ascii="Arial" w:cs="Arial" w:eastAsia="Arial" w:hAnsi="Arial"/>
          <w:sz w:val="18"/>
          <w:szCs w:val="18"/>
          <w:color w:val="auto"/>
        </w:rPr>
        <w:t>The Committee may cancel an Award or any portion thereof if it determines, in its sole discretion, that legal or contractual restrictions and/or blockage and/or other market considerations would make the Company's acquisition of shares of Common Stock from the public markets, the Company's issuance of Common Stock to the Participant, the Participant's acquisition of Common Stock from the Company and/or the Participant's sale of Common Stock to the public markets, illegal, impracticable or inadvisable. If the Committee determines to cancel all or any portion of an Award in accordance with the foregoing, the Company shall pay to the Participant an amount equal to the excess of (A) the aggregate Fair Market Value of the shares of Common Stock subject to such Award or portion thereof canceled (determined as of the applicable exercise date, or the date that the shares would have been vested or issued, as applicable), over (B) the aggregate Exercise Price or Strike Price (in the case of an Option or SAR, respectively) or any amount payable as a condition of issuance of shares of Common Stock (in the case of any other Award). Such amount shall be delivered to the Participant as soon as practicable following the cancellation of such Award or portion thereof.</w:t>
      </w:r>
    </w:p>
    <w:p>
      <w:pPr>
        <w:spacing w:after="0" w:line="200" w:lineRule="exact"/>
        <w:rPr>
          <w:sz w:val="20"/>
          <w:szCs w:val="20"/>
          <w:color w:val="auto"/>
        </w:rPr>
      </w:pPr>
    </w:p>
    <w:p>
      <w:pPr>
        <w:spacing w:after="0" w:line="207"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40640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00"/>
          </w:cols>
          <w:pgMar w:left="980" w:top="355" w:right="619" w:bottom="1440" w:gutter="0" w:footer="0" w:header="0"/>
        </w:sectPr>
      </w:pPr>
    </w:p>
    <w:bookmarkStart w:id="73" w:name="page74"/>
    <w:bookmarkEnd w:id="73"/>
    <w:p>
      <w:pPr>
        <w:jc w:val="both"/>
        <w:ind w:firstLine="167"/>
        <w:spacing w:after="0" w:line="237" w:lineRule="auto"/>
        <w:tabs>
          <w:tab w:leader="none" w:pos="680" w:val="left"/>
        </w:tabs>
        <w:numPr>
          <w:ilvl w:val="0"/>
          <w:numId w:val="126"/>
        </w:numPr>
        <w:rPr>
          <w:rFonts w:ascii="Arial" w:cs="Arial" w:eastAsia="Arial" w:hAnsi="Arial"/>
          <w:sz w:val="18"/>
          <w:szCs w:val="18"/>
          <w:color w:val="010000"/>
        </w:rPr>
      </w:pPr>
      <w:r>
        <w:rPr>
          <w:rFonts w:ascii="Arial" w:cs="Arial" w:eastAsia="Arial" w:hAnsi="Arial"/>
          <w:sz w:val="18"/>
          <w:szCs w:val="18"/>
          <w:u w:val="single" w:color="auto"/>
          <w:color w:val="auto"/>
        </w:rPr>
        <w:t>No Section 83(b) Elections Without Consent of Company</w:t>
      </w:r>
      <w:r>
        <w:rPr>
          <w:rFonts w:ascii="Arial" w:cs="Arial" w:eastAsia="Arial" w:hAnsi="Arial"/>
          <w:sz w:val="18"/>
          <w:szCs w:val="18"/>
          <w:color w:val="auto"/>
        </w:rPr>
        <w:t>. No election under Section 83(b) of the Code or under a similar provision of law may be made unless expressly permitted by the terms of the applicable Award Agreement or by action of the Committee in writing prior to the making of such election. If a Participant, in connection with the acquisition of shares of Common Stock under the Plan or otherwise, is expressly permitted to make such election and the Participant makes the election, the Participant shall notify the Company of such election within ten (10) days of filing notice of the election with the Internal Revenue Service or other governmental authority, in addition to any filing and notification required pursuant to Section 83(b) of the Code or other applicable provision.</w:t>
      </w:r>
    </w:p>
    <w:p>
      <w:pPr>
        <w:spacing w:after="0" w:line="189" w:lineRule="exact"/>
        <w:rPr>
          <w:rFonts w:ascii="Arial" w:cs="Arial" w:eastAsia="Arial" w:hAnsi="Arial"/>
          <w:sz w:val="18"/>
          <w:szCs w:val="18"/>
          <w:color w:val="010000"/>
        </w:rPr>
      </w:pPr>
    </w:p>
    <w:p>
      <w:pPr>
        <w:jc w:val="both"/>
        <w:ind w:firstLine="167"/>
        <w:spacing w:after="0" w:line="237" w:lineRule="auto"/>
        <w:tabs>
          <w:tab w:leader="none" w:pos="842" w:val="left"/>
        </w:tabs>
        <w:numPr>
          <w:ilvl w:val="0"/>
          <w:numId w:val="126"/>
        </w:numPr>
        <w:rPr>
          <w:rFonts w:ascii="Arial" w:cs="Arial" w:eastAsia="Arial" w:hAnsi="Arial"/>
          <w:sz w:val="18"/>
          <w:szCs w:val="18"/>
          <w:color w:val="010000"/>
        </w:rPr>
      </w:pPr>
      <w:r>
        <w:rPr>
          <w:rFonts w:ascii="Arial" w:cs="Arial" w:eastAsia="Arial" w:hAnsi="Arial"/>
          <w:sz w:val="18"/>
          <w:szCs w:val="18"/>
          <w:u w:val="single" w:color="auto"/>
          <w:color w:val="auto"/>
        </w:rPr>
        <w:t>Payments to Persons Other Than Participants</w:t>
      </w:r>
      <w:r>
        <w:rPr>
          <w:rFonts w:ascii="Arial" w:cs="Arial" w:eastAsia="Arial" w:hAnsi="Arial"/>
          <w:sz w:val="18"/>
          <w:szCs w:val="18"/>
          <w:color w:val="auto"/>
        </w:rPr>
        <w:t>. If the Committee shall find that any person to whom any amount is payable under the Plan is unable to care for his or her affairs because of illness or accident, or is a minor, or has died, then any payment due to such person or his or her estate (unless a prior claim therefor has been made by a duly appointed legal representative) may, if the Committee so directs the Company, be paid to his or her spouse, child, relative, an institution maintaining or having custody of such person, or any other person deemed by the Committee to be a proper recipient on behalf of such person otherwise entitled to payment. Any such payment shall be a complete discharge of the liability of the Committee and the Company therefor.</w:t>
      </w:r>
    </w:p>
    <w:p>
      <w:pPr>
        <w:spacing w:after="0" w:line="189" w:lineRule="exact"/>
        <w:rPr>
          <w:rFonts w:ascii="Arial" w:cs="Arial" w:eastAsia="Arial" w:hAnsi="Arial"/>
          <w:sz w:val="18"/>
          <w:szCs w:val="18"/>
          <w:color w:val="010000"/>
        </w:rPr>
      </w:pPr>
    </w:p>
    <w:p>
      <w:pPr>
        <w:jc w:val="both"/>
        <w:ind w:right="140" w:firstLine="167"/>
        <w:spacing w:after="0" w:line="238" w:lineRule="auto"/>
        <w:tabs>
          <w:tab w:leader="none" w:pos="812" w:val="left"/>
        </w:tabs>
        <w:numPr>
          <w:ilvl w:val="0"/>
          <w:numId w:val="126"/>
        </w:numPr>
        <w:rPr>
          <w:rFonts w:ascii="Arial" w:cs="Arial" w:eastAsia="Arial" w:hAnsi="Arial"/>
          <w:sz w:val="18"/>
          <w:szCs w:val="18"/>
          <w:color w:val="010000"/>
        </w:rPr>
      </w:pPr>
      <w:r>
        <w:rPr>
          <w:rFonts w:ascii="Arial" w:cs="Arial" w:eastAsia="Arial" w:hAnsi="Arial"/>
          <w:sz w:val="18"/>
          <w:szCs w:val="18"/>
          <w:u w:val="single" w:color="auto"/>
          <w:color w:val="auto"/>
        </w:rPr>
        <w:t>Nonexclusivity of the Plan</w:t>
      </w:r>
      <w:r>
        <w:rPr>
          <w:rFonts w:ascii="Arial" w:cs="Arial" w:eastAsia="Arial" w:hAnsi="Arial"/>
          <w:sz w:val="18"/>
          <w:szCs w:val="18"/>
          <w:color w:val="auto"/>
        </w:rPr>
        <w:t>. Neither the adoption of this Plan by the Board nor the submission of this Plan to the stockholders of the Company for approval shall be construed as creating any limitations on the power of the Board to adopt such other incentive arrangements as it may deem desirable, including, without limitation, the granting of stock options otherwise than under this Plan, and such arrangements may be either applicable generally or only in specific cases.</w:t>
      </w:r>
    </w:p>
    <w:p>
      <w:pPr>
        <w:spacing w:after="0" w:line="191" w:lineRule="exact"/>
        <w:rPr>
          <w:rFonts w:ascii="Arial" w:cs="Arial" w:eastAsia="Arial" w:hAnsi="Arial"/>
          <w:sz w:val="18"/>
          <w:szCs w:val="18"/>
          <w:color w:val="010000"/>
        </w:rPr>
      </w:pPr>
    </w:p>
    <w:p>
      <w:pPr>
        <w:jc w:val="both"/>
        <w:ind w:firstLine="167"/>
        <w:spacing w:after="0" w:line="236" w:lineRule="auto"/>
        <w:tabs>
          <w:tab w:leader="none" w:pos="691" w:val="left"/>
        </w:tabs>
        <w:numPr>
          <w:ilvl w:val="0"/>
          <w:numId w:val="126"/>
        </w:numPr>
        <w:rPr>
          <w:rFonts w:ascii="Arial" w:cs="Arial" w:eastAsia="Arial" w:hAnsi="Arial"/>
          <w:sz w:val="18"/>
          <w:szCs w:val="18"/>
          <w:color w:val="010000"/>
        </w:rPr>
      </w:pPr>
      <w:r>
        <w:rPr>
          <w:rFonts w:ascii="Arial" w:cs="Arial" w:eastAsia="Arial" w:hAnsi="Arial"/>
          <w:sz w:val="18"/>
          <w:szCs w:val="18"/>
          <w:u w:val="single" w:color="auto"/>
          <w:color w:val="auto"/>
        </w:rPr>
        <w:t>No Trust or Fund Created</w:t>
      </w:r>
      <w:r>
        <w:rPr>
          <w:rFonts w:ascii="Arial" w:cs="Arial" w:eastAsia="Arial" w:hAnsi="Arial"/>
          <w:sz w:val="18"/>
          <w:szCs w:val="18"/>
          <w:color w:val="auto"/>
        </w:rPr>
        <w:t>. Neither the Plan nor any Award shall create or be construed to create a trust or separate fund of any kind or a fiduciary relationship between the Company or any Affiliate, on the one hand, and a Participant or other person or entity, on the other hand. No provision of the Plan or any Award shall require the Company, for the purpose of satisfying any obligations under the Plan, to purchase assets or place any assets in a trust or other entity to which contributions are made or otherwise to segregate any assets, nor shall the Company maintain separate bank accounts, books, records or other evidence of the existence of a segregated or separately maintained or administered fund for such purposes. Participants shall have no rights under the Plan other than as unsecured general creditors of the Company, except that insofar as they may have become entitled to payment of additional compensation by performance of services, they shall have the same rights as other employees under general law.</w:t>
      </w:r>
    </w:p>
    <w:p>
      <w:pPr>
        <w:spacing w:after="0" w:line="193" w:lineRule="exact"/>
        <w:rPr>
          <w:rFonts w:ascii="Arial" w:cs="Arial" w:eastAsia="Arial" w:hAnsi="Arial"/>
          <w:sz w:val="18"/>
          <w:szCs w:val="18"/>
          <w:color w:val="010000"/>
        </w:rPr>
      </w:pPr>
    </w:p>
    <w:p>
      <w:pPr>
        <w:jc w:val="both"/>
        <w:ind w:right="140" w:firstLine="167"/>
        <w:spacing w:after="0" w:line="238" w:lineRule="auto"/>
        <w:tabs>
          <w:tab w:leader="none" w:pos="691" w:val="left"/>
        </w:tabs>
        <w:numPr>
          <w:ilvl w:val="0"/>
          <w:numId w:val="126"/>
        </w:numPr>
        <w:rPr>
          <w:rFonts w:ascii="Arial" w:cs="Arial" w:eastAsia="Arial" w:hAnsi="Arial"/>
          <w:sz w:val="18"/>
          <w:szCs w:val="18"/>
          <w:color w:val="010000"/>
        </w:rPr>
      </w:pPr>
      <w:r>
        <w:rPr>
          <w:rFonts w:ascii="Arial" w:cs="Arial" w:eastAsia="Arial" w:hAnsi="Arial"/>
          <w:sz w:val="18"/>
          <w:szCs w:val="18"/>
          <w:u w:val="single" w:color="auto"/>
          <w:color w:val="auto"/>
        </w:rPr>
        <w:t>Reliance on Reports</w:t>
      </w:r>
      <w:r>
        <w:rPr>
          <w:rFonts w:ascii="Arial" w:cs="Arial" w:eastAsia="Arial" w:hAnsi="Arial"/>
          <w:sz w:val="18"/>
          <w:szCs w:val="18"/>
          <w:color w:val="auto"/>
        </w:rPr>
        <w:t>. Each member of the Committee and each member of the Board shall be fully justified in acting or failing to act, as the case may be, and shall not be liable for having so acted or failed to act in good faith, in reliance upon any report made by the independent public accountant of the Company and its Affiliates and/or any other information furnished in connection with the Plan by any agent of the Company or the Committee or the Board, other than himself.</w:t>
      </w:r>
    </w:p>
    <w:p>
      <w:pPr>
        <w:spacing w:after="0" w:line="191" w:lineRule="exact"/>
        <w:rPr>
          <w:rFonts w:ascii="Arial" w:cs="Arial" w:eastAsia="Arial" w:hAnsi="Arial"/>
          <w:sz w:val="18"/>
          <w:szCs w:val="18"/>
          <w:color w:val="010000"/>
        </w:rPr>
      </w:pPr>
    </w:p>
    <w:p>
      <w:pPr>
        <w:jc w:val="both"/>
        <w:ind w:right="240" w:firstLine="167"/>
        <w:spacing w:after="0"/>
        <w:tabs>
          <w:tab w:leader="none" w:pos="758" w:val="left"/>
        </w:tabs>
        <w:numPr>
          <w:ilvl w:val="0"/>
          <w:numId w:val="126"/>
        </w:numPr>
        <w:rPr>
          <w:rFonts w:ascii="Arial" w:cs="Arial" w:eastAsia="Arial" w:hAnsi="Arial"/>
          <w:sz w:val="18"/>
          <w:szCs w:val="18"/>
          <w:color w:val="010000"/>
        </w:rPr>
      </w:pPr>
      <w:r>
        <w:rPr>
          <w:rFonts w:ascii="Arial" w:cs="Arial" w:eastAsia="Arial" w:hAnsi="Arial"/>
          <w:sz w:val="18"/>
          <w:szCs w:val="18"/>
          <w:u w:val="single" w:color="auto"/>
          <w:color w:val="auto"/>
        </w:rPr>
        <w:t>Relationship to Other Benefits</w:t>
      </w:r>
      <w:r>
        <w:rPr>
          <w:rFonts w:ascii="Arial" w:cs="Arial" w:eastAsia="Arial" w:hAnsi="Arial"/>
          <w:sz w:val="18"/>
          <w:szCs w:val="18"/>
          <w:color w:val="auto"/>
        </w:rPr>
        <w:t>. No payment under the Plan shall be taken into account in determining any benefits under any pension, retirement, profit sharing, group insurance or other benefit plan of the Company except as otherwise specifically provided in such other plan or as required by applicable law.</w:t>
      </w:r>
    </w:p>
    <w:p>
      <w:pPr>
        <w:spacing w:after="0" w:line="189" w:lineRule="exact"/>
        <w:rPr>
          <w:rFonts w:ascii="Arial" w:cs="Arial" w:eastAsia="Arial" w:hAnsi="Arial"/>
          <w:sz w:val="18"/>
          <w:szCs w:val="18"/>
          <w:color w:val="010000"/>
        </w:rPr>
      </w:pPr>
    </w:p>
    <w:p>
      <w:pPr>
        <w:jc w:val="both"/>
        <w:ind w:right="380" w:firstLine="167"/>
        <w:spacing w:after="0"/>
        <w:tabs>
          <w:tab w:leader="none" w:pos="731" w:val="left"/>
        </w:tabs>
        <w:numPr>
          <w:ilvl w:val="0"/>
          <w:numId w:val="126"/>
        </w:numPr>
        <w:rPr>
          <w:rFonts w:ascii="Arial" w:cs="Arial" w:eastAsia="Arial" w:hAnsi="Arial"/>
          <w:sz w:val="18"/>
          <w:szCs w:val="18"/>
          <w:color w:val="010000"/>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Plan shall be governed by and construed in accordance with the internal laws of the State of Delaware applicable to contracts made and performed wholly within the State of Delaware, without giving effect to the conflict of laws provisions thereof.</w:t>
      </w:r>
    </w:p>
    <w:p>
      <w:pPr>
        <w:spacing w:after="0" w:line="189" w:lineRule="exact"/>
        <w:rPr>
          <w:rFonts w:ascii="Arial" w:cs="Arial" w:eastAsia="Arial" w:hAnsi="Arial"/>
          <w:sz w:val="18"/>
          <w:szCs w:val="18"/>
          <w:color w:val="010000"/>
        </w:rPr>
      </w:pPr>
    </w:p>
    <w:p>
      <w:pPr>
        <w:jc w:val="both"/>
        <w:ind w:right="60" w:firstLine="167"/>
        <w:spacing w:after="0" w:line="237" w:lineRule="auto"/>
        <w:tabs>
          <w:tab w:leader="none" w:pos="755" w:val="left"/>
        </w:tabs>
        <w:numPr>
          <w:ilvl w:val="0"/>
          <w:numId w:val="126"/>
        </w:numPr>
        <w:rPr>
          <w:rFonts w:ascii="Arial" w:cs="Arial" w:eastAsia="Arial" w:hAnsi="Arial"/>
          <w:sz w:val="18"/>
          <w:szCs w:val="18"/>
          <w:color w:val="010000"/>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the Plan or any Award or Award Agreement is or becomes or is deemed to be invalid, illegal, or unenforceable in any jurisdiction or as to any person or entity or Award, or would disqualify the Plan or any Award under any law deemed applicable by the Committee, such provision shall be construed or deemed amended to conform to the applicable laws, or if it cannot be construed or deemed amended without, in the determination of the Committee, materially altering the intent of the Plan or the Award, such provision shall be construed or deemed stricken as to such jurisdiction, person or entity or Award and the remainder of the Plan and any such Award shall remain in full force and effect.</w:t>
      </w:r>
    </w:p>
    <w:p>
      <w:pPr>
        <w:spacing w:after="0" w:line="200" w:lineRule="exact"/>
        <w:rPr>
          <w:sz w:val="20"/>
          <w:szCs w:val="20"/>
          <w:color w:val="auto"/>
        </w:rPr>
      </w:pPr>
    </w:p>
    <w:p>
      <w:pPr>
        <w:spacing w:after="0" w:line="207"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40640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80"/>
          </w:cols>
          <w:pgMar w:left="980" w:top="355" w:right="639" w:bottom="1440" w:gutter="0" w:footer="0" w:header="0"/>
        </w:sectPr>
      </w:pPr>
    </w:p>
    <w:bookmarkStart w:id="74" w:name="page75"/>
    <w:bookmarkEnd w:id="74"/>
    <w:p>
      <w:pPr>
        <w:jc w:val="both"/>
        <w:ind w:right="40" w:firstLine="167"/>
        <w:spacing w:after="0"/>
        <w:tabs>
          <w:tab w:leader="none" w:pos="960" w:val="left"/>
        </w:tabs>
        <w:numPr>
          <w:ilvl w:val="0"/>
          <w:numId w:val="127"/>
        </w:numPr>
        <w:rPr>
          <w:rFonts w:ascii="Arial" w:cs="Arial" w:eastAsia="Arial" w:hAnsi="Arial"/>
          <w:sz w:val="18"/>
          <w:szCs w:val="18"/>
          <w:color w:val="010000"/>
        </w:rPr>
      </w:pPr>
      <w:r>
        <w:rPr>
          <w:rFonts w:ascii="Arial" w:cs="Arial" w:eastAsia="Arial" w:hAnsi="Arial"/>
          <w:sz w:val="18"/>
          <w:szCs w:val="18"/>
          <w:u w:val="single" w:color="auto"/>
          <w:color w:val="auto"/>
        </w:rPr>
        <w:t>Obligations Binding on Successors</w:t>
      </w:r>
      <w:r>
        <w:rPr>
          <w:rFonts w:ascii="Arial" w:cs="Arial" w:eastAsia="Arial" w:hAnsi="Arial"/>
          <w:sz w:val="18"/>
          <w:szCs w:val="18"/>
          <w:color w:val="auto"/>
        </w:rPr>
        <w:t>. The obligations of the Company under the Plan shall be binding upon any successor corporation or organization resulting from the merger, consolidation or other reorganization of the Company, or upon any successor corporation or organization succeeding to substantially all of the assets and business of the Company.</w:t>
      </w:r>
    </w:p>
    <w:p>
      <w:pPr>
        <w:spacing w:after="0" w:line="189" w:lineRule="exact"/>
        <w:rPr>
          <w:rFonts w:ascii="Arial" w:cs="Arial" w:eastAsia="Arial" w:hAnsi="Arial"/>
          <w:sz w:val="18"/>
          <w:szCs w:val="18"/>
          <w:color w:val="010000"/>
        </w:rPr>
      </w:pPr>
    </w:p>
    <w:p>
      <w:pPr>
        <w:ind w:left="800" w:hanging="642"/>
        <w:spacing w:after="0"/>
        <w:tabs>
          <w:tab w:leader="none" w:pos="800" w:val="left"/>
        </w:tabs>
        <w:numPr>
          <w:ilvl w:val="0"/>
          <w:numId w:val="127"/>
        </w:numPr>
        <w:rPr>
          <w:rFonts w:ascii="Arial" w:cs="Arial" w:eastAsia="Arial" w:hAnsi="Arial"/>
          <w:sz w:val="18"/>
          <w:szCs w:val="18"/>
          <w:color w:val="010000"/>
        </w:rPr>
      </w:pPr>
      <w:r>
        <w:rPr>
          <w:rFonts w:ascii="Arial" w:cs="Arial" w:eastAsia="Arial" w:hAnsi="Arial"/>
          <w:sz w:val="18"/>
          <w:szCs w:val="18"/>
          <w:u w:val="single" w:color="auto"/>
          <w:color w:val="auto"/>
        </w:rPr>
        <w:t>409A of the Code</w:t>
      </w:r>
      <w:r>
        <w:rPr>
          <w:rFonts w:ascii="Arial" w:cs="Arial" w:eastAsia="Arial" w:hAnsi="Arial"/>
          <w:sz w:val="18"/>
          <w:szCs w:val="18"/>
          <w:color w:val="auto"/>
        </w:rPr>
        <w:t>.</w:t>
      </w:r>
    </w:p>
    <w:p>
      <w:pPr>
        <w:spacing w:after="0" w:line="198" w:lineRule="exact"/>
        <w:rPr>
          <w:rFonts w:ascii="Arial" w:cs="Arial" w:eastAsia="Arial" w:hAnsi="Arial"/>
          <w:sz w:val="18"/>
          <w:szCs w:val="18"/>
          <w:color w:val="010000"/>
        </w:rPr>
      </w:pPr>
    </w:p>
    <w:p>
      <w:pPr>
        <w:jc w:val="both"/>
        <w:ind w:left="80" w:right="20" w:firstLine="654"/>
        <w:spacing w:after="0" w:line="236" w:lineRule="auto"/>
        <w:tabs>
          <w:tab w:leader="none" w:pos="1359" w:val="left"/>
        </w:tabs>
        <w:numPr>
          <w:ilvl w:val="1"/>
          <w:numId w:val="127"/>
        </w:numPr>
        <w:rPr>
          <w:rFonts w:ascii="Arial" w:cs="Arial" w:eastAsia="Arial" w:hAnsi="Arial"/>
          <w:sz w:val="18"/>
          <w:szCs w:val="18"/>
          <w:color w:val="010000"/>
        </w:rPr>
      </w:pPr>
      <w:r>
        <w:rPr>
          <w:rFonts w:ascii="Arial" w:cs="Arial" w:eastAsia="Arial" w:hAnsi="Arial"/>
          <w:sz w:val="18"/>
          <w:szCs w:val="18"/>
          <w:color w:val="auto"/>
        </w:rPr>
        <w:t>Notwithstanding any provision of the Plan to the contrary, it is intended that the provisions of this Plan comply with Section 409A of the Code, and all provisions of this Plan shall be construed and interpreted in a manner consistent with the requirements for avoiding taxes or penalties under Section 409A of the Code. Each Participant is solely responsible and liable for the satisfaction of all taxes and penalties that may be imposed on or in respect of such Participant in connection with this Plan (including any taxes and penalties under Section 409A of the Code), and neither the Company nor any Affiliate shall have any obligation to indemnify or otherwise hold such Participant (or any beneficiary) harmless from any or all of such taxes or penalties. With respect to any Award that is considered "deferred compensation" subject to Section 409A of the Code, references in the Plan to "termination of employment" (and substantially similar phrases) shall mean "separation from service" within the meaning of Section 409A of the Code. For purposes of Section 409A of the Code, each of the payments that may be made in respect of any Award granted under the Plan is designated as separate payments.</w:t>
      </w:r>
    </w:p>
    <w:p>
      <w:pPr>
        <w:spacing w:after="0" w:line="192" w:lineRule="exact"/>
        <w:rPr>
          <w:rFonts w:ascii="Arial" w:cs="Arial" w:eastAsia="Arial" w:hAnsi="Arial"/>
          <w:sz w:val="18"/>
          <w:szCs w:val="18"/>
          <w:color w:val="010000"/>
        </w:rPr>
      </w:pPr>
    </w:p>
    <w:p>
      <w:pPr>
        <w:jc w:val="both"/>
        <w:ind w:left="80" w:right="40" w:firstLine="654"/>
        <w:spacing w:after="0" w:line="237" w:lineRule="auto"/>
        <w:tabs>
          <w:tab w:leader="none" w:pos="1534" w:val="left"/>
        </w:tabs>
        <w:numPr>
          <w:ilvl w:val="1"/>
          <w:numId w:val="127"/>
        </w:numPr>
        <w:rPr>
          <w:rFonts w:ascii="Arial" w:cs="Arial" w:eastAsia="Arial" w:hAnsi="Arial"/>
          <w:sz w:val="18"/>
          <w:szCs w:val="18"/>
          <w:color w:val="010000"/>
        </w:rPr>
      </w:pPr>
      <w:r>
        <w:rPr>
          <w:rFonts w:ascii="Arial" w:cs="Arial" w:eastAsia="Arial" w:hAnsi="Arial"/>
          <w:sz w:val="18"/>
          <w:szCs w:val="18"/>
          <w:color w:val="auto"/>
        </w:rPr>
        <w:t>Notwithstanding anything in the Plan to the contrary, if a Participant is a "specified employee" within the meaning of Section 409A(a)(2)(B)(i) of the Code, no payments in respect of any Awards that are "deferred compensation" subject to Section 409A of the Code and which would otherwise be payable upon the Participant's "separation from service" (as defined in Section 409A of the Code) shall be made to such Participant prior to the date that is six months after the date of such Participant's "separation from service" or, if earlier, the Participant's date of death. Following any applicable six month delay, all such delayed payments will be paid in a single lump sum on the earliest date permitted under Section 409A of the Code that is also a business day.</w:t>
      </w:r>
    </w:p>
    <w:p>
      <w:pPr>
        <w:spacing w:after="0" w:line="189" w:lineRule="exact"/>
        <w:rPr>
          <w:rFonts w:ascii="Arial" w:cs="Arial" w:eastAsia="Arial" w:hAnsi="Arial"/>
          <w:sz w:val="18"/>
          <w:szCs w:val="18"/>
          <w:color w:val="010000"/>
        </w:rPr>
      </w:pPr>
    </w:p>
    <w:p>
      <w:pPr>
        <w:jc w:val="both"/>
        <w:ind w:left="80" w:right="200" w:firstLine="654"/>
        <w:spacing w:after="0" w:line="236" w:lineRule="auto"/>
        <w:tabs>
          <w:tab w:leader="none" w:pos="1328" w:val="left"/>
        </w:tabs>
        <w:numPr>
          <w:ilvl w:val="1"/>
          <w:numId w:val="127"/>
        </w:numPr>
        <w:rPr>
          <w:rFonts w:ascii="Arial" w:cs="Arial" w:eastAsia="Arial" w:hAnsi="Arial"/>
          <w:sz w:val="18"/>
          <w:szCs w:val="18"/>
          <w:color w:val="010000"/>
        </w:rPr>
      </w:pPr>
      <w:r>
        <w:rPr>
          <w:rFonts w:ascii="Arial" w:cs="Arial" w:eastAsia="Arial" w:hAnsi="Arial"/>
          <w:sz w:val="18"/>
          <w:szCs w:val="18"/>
          <w:color w:val="auto"/>
        </w:rPr>
        <w:t xml:space="preserve">Unless otherwise provided by the Committee in an Award Agreement or otherwise, in the event that the timing of payments in respect of any Award (that would otherwise be considered "deferred compensation" subject to Section 409A of the Code) would be accelerated upon the occurrence of (A) a Change in Control, no such acceleration shall be permitted unless the event giving rise to the Change in Control </w:t>
      </w:r>
      <w:r>
        <w:rPr>
          <w:rFonts w:ascii="Arial" w:cs="Arial" w:eastAsia="Arial" w:hAnsi="Arial"/>
          <w:sz w:val="18"/>
          <w:szCs w:val="18"/>
          <w:color w:val="010000"/>
        </w:rPr>
        <w:t>(ii)</w:t>
      </w:r>
      <w:r>
        <w:rPr>
          <w:rFonts w:ascii="Arial" w:cs="Arial" w:eastAsia="Arial" w:hAnsi="Arial"/>
          <w:sz w:val="18"/>
          <w:szCs w:val="18"/>
          <w:color w:val="auto"/>
        </w:rPr>
        <w:t xml:space="preserve"> satisfies the definition of a change in the ownership or effective control of a corporation, or a change in the ownership of a substantial portion of the assets of a corporation pursuant to Section 409A of the Code and any Treasury Regulations promulgated thereunder or (B) a Disability, no such acceleration shall be permitted unless the Disability also satisfies the definition of "Disability" pursuant to Section 409A of the Code and any Treasury Regulations promulgated thereunder.</w:t>
      </w:r>
    </w:p>
    <w:p>
      <w:pPr>
        <w:spacing w:after="0" w:line="194" w:lineRule="exact"/>
        <w:rPr>
          <w:rFonts w:ascii="Arial" w:cs="Arial" w:eastAsia="Arial" w:hAnsi="Arial"/>
          <w:sz w:val="18"/>
          <w:szCs w:val="18"/>
          <w:color w:val="010000"/>
        </w:rPr>
      </w:pPr>
    </w:p>
    <w:p>
      <w:pPr>
        <w:jc w:val="both"/>
        <w:ind w:firstLine="167"/>
        <w:spacing w:after="0" w:line="236" w:lineRule="auto"/>
        <w:tabs>
          <w:tab w:leader="none" w:pos="731" w:val="left"/>
        </w:tabs>
        <w:numPr>
          <w:ilvl w:val="0"/>
          <w:numId w:val="127"/>
        </w:numPr>
        <w:rPr>
          <w:rFonts w:ascii="Arial" w:cs="Arial" w:eastAsia="Arial" w:hAnsi="Arial"/>
          <w:sz w:val="18"/>
          <w:szCs w:val="18"/>
          <w:color w:val="010000"/>
        </w:rPr>
      </w:pPr>
      <w:r>
        <w:rPr>
          <w:rFonts w:ascii="Arial" w:cs="Arial" w:eastAsia="Arial" w:hAnsi="Arial"/>
          <w:sz w:val="18"/>
          <w:szCs w:val="18"/>
          <w:u w:val="single" w:color="auto"/>
          <w:color w:val="auto"/>
        </w:rPr>
        <w:t>Clawback/Forfeiture</w:t>
      </w:r>
      <w:r>
        <w:rPr>
          <w:rFonts w:ascii="Arial" w:cs="Arial" w:eastAsia="Arial" w:hAnsi="Arial"/>
          <w:sz w:val="18"/>
          <w:szCs w:val="18"/>
          <w:color w:val="auto"/>
        </w:rPr>
        <w:t>. Notwithstanding anything to the contrary contained herein, an Award Agreement may provide that the Committee may, in its sole discretion, cancel such Award if the Participant has engaged in or engages in any Detrimental Activity. The Committee may also provide in an Award Agreement that if the Participant otherwise has engaged in or engages in any Detrimental Activity, the Participant will forfeit any gain realized on the vesting or exercise of such Award, and must repay the gain to the Company. The Committee may also provide in an Award Agreement that if the Participant receives any amount in excess of what the Participant should have received under the terms of the Award for any reason (including, without limitation, by reason of a financial restatement, mistake in calculations or other administrative error), then the Participant shall be required to repay any such excess amount to the Company. Without limiting the foregoing, all Awards shall be subject to reduction, cancellation, forfeiture or recoupment to the extent necessary to comply with applicable law.</w:t>
      </w:r>
    </w:p>
    <w:p>
      <w:pPr>
        <w:spacing w:after="0" w:line="200" w:lineRule="exact"/>
        <w:rPr>
          <w:sz w:val="20"/>
          <w:szCs w:val="20"/>
          <w:color w:val="auto"/>
        </w:rPr>
      </w:pPr>
    </w:p>
    <w:p>
      <w:pPr>
        <w:spacing w:after="0" w:line="209"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40640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80"/>
          </w:cols>
          <w:pgMar w:left="980" w:top="355" w:right="639" w:bottom="1440" w:gutter="0" w:footer="0" w:header="0"/>
        </w:sectPr>
      </w:pPr>
    </w:p>
    <w:bookmarkStart w:id="75" w:name="page76"/>
    <w:bookmarkEnd w:id="75"/>
    <w:p>
      <w:pPr>
        <w:jc w:val="both"/>
        <w:ind w:right="20" w:firstLine="167"/>
        <w:spacing w:after="0" w:line="236" w:lineRule="auto"/>
        <w:tabs>
          <w:tab w:leader="none" w:pos="771" w:val="left"/>
        </w:tabs>
        <w:numPr>
          <w:ilvl w:val="0"/>
          <w:numId w:val="128"/>
        </w:numPr>
        <w:rPr>
          <w:rFonts w:ascii="Arial" w:cs="Arial" w:eastAsia="Arial" w:hAnsi="Arial"/>
          <w:sz w:val="18"/>
          <w:szCs w:val="18"/>
          <w:color w:val="010000"/>
        </w:rPr>
      </w:pPr>
      <w:r>
        <w:rPr>
          <w:rFonts w:ascii="Arial" w:cs="Arial" w:eastAsia="Arial" w:hAnsi="Arial"/>
          <w:sz w:val="18"/>
          <w:szCs w:val="18"/>
          <w:u w:val="single" w:color="auto"/>
          <w:color w:val="auto"/>
        </w:rPr>
        <w:t>Right of Offset</w:t>
      </w:r>
      <w:r>
        <w:rPr>
          <w:rFonts w:ascii="Arial" w:cs="Arial" w:eastAsia="Arial" w:hAnsi="Arial"/>
          <w:sz w:val="18"/>
          <w:szCs w:val="18"/>
          <w:color w:val="auto"/>
        </w:rPr>
        <w:t>. The Company will have the right to offset against its obligation to deliver shares of Common Stock (or other property or cash) under the Plan or any Award Agreement any outstanding amounts (including, without limitation, travel and entertainment or advance account balances, loans, repayment obligations under any Awards, or amounts repayable to the Company pursuant to tax equalization, housing, automobile or other employee programs) that the Participant then owes to the Company or an Affiliate, as applicable, and any amounts the Committee otherwise deems appropriate pursuant to any tax equalization policy or agreement. Notwithstanding the foregoing, if an Award is "deferred compensation" subject to Section 409A of the Code, the Committee will have no right to offset against its obligation to deliver shares of Common Stock (or other property or cash) under the Plan or any Award Agreement if such offset could subject the Participant to the additional tax imposed under Section 409A of the Code in respect of an outstanding Award.</w:t>
      </w:r>
    </w:p>
    <w:p>
      <w:pPr>
        <w:spacing w:after="0" w:line="193" w:lineRule="exact"/>
        <w:rPr>
          <w:rFonts w:ascii="Arial" w:cs="Arial" w:eastAsia="Arial" w:hAnsi="Arial"/>
          <w:sz w:val="18"/>
          <w:szCs w:val="18"/>
          <w:color w:val="010000"/>
        </w:rPr>
      </w:pPr>
    </w:p>
    <w:p>
      <w:pPr>
        <w:jc w:val="both"/>
        <w:ind w:firstLine="167"/>
        <w:spacing w:after="0" w:line="238" w:lineRule="auto"/>
        <w:tabs>
          <w:tab w:leader="none" w:pos="761" w:val="left"/>
        </w:tabs>
        <w:numPr>
          <w:ilvl w:val="0"/>
          <w:numId w:val="128"/>
        </w:numPr>
        <w:rPr>
          <w:rFonts w:ascii="Arial" w:cs="Arial" w:eastAsia="Arial" w:hAnsi="Arial"/>
          <w:sz w:val="18"/>
          <w:szCs w:val="18"/>
          <w:color w:val="010000"/>
        </w:rPr>
      </w:pPr>
      <w:r>
        <w:rPr>
          <w:rFonts w:ascii="Arial" w:cs="Arial" w:eastAsia="Arial" w:hAnsi="Arial"/>
          <w:sz w:val="18"/>
          <w:szCs w:val="18"/>
          <w:u w:val="single" w:color="auto"/>
          <w:color w:val="auto"/>
        </w:rPr>
        <w:t>Expenses; Gender; Titles and Headings</w:t>
      </w:r>
      <w:r>
        <w:rPr>
          <w:rFonts w:ascii="Arial" w:cs="Arial" w:eastAsia="Arial" w:hAnsi="Arial"/>
          <w:sz w:val="18"/>
          <w:szCs w:val="18"/>
          <w:color w:val="auto"/>
        </w:rPr>
        <w:t>. The expenses of administering the Plan shall be borne by the Company and its Affiliates. Masculine pronouns and other words of masculine gender shall refer to both men and women. The titles and headings of the sections in the Plan are for convenience of reference only, and in the event of any conflict, the text of the Plan, rather than such titles or headings, shall control.</w:t>
      </w:r>
    </w:p>
    <w:p>
      <w:pPr>
        <w:spacing w:after="0" w:line="191" w:lineRule="exact"/>
        <w:rPr>
          <w:sz w:val="20"/>
          <w:szCs w:val="20"/>
          <w:color w:val="auto"/>
        </w:rPr>
      </w:pPr>
    </w:p>
    <w:p>
      <w:pPr>
        <w:jc w:val="both"/>
        <w:ind w:firstLine="167"/>
        <w:spacing w:after="0" w:line="238" w:lineRule="auto"/>
        <w:tabs>
          <w:tab w:leader="none" w:pos="691" w:val="left"/>
        </w:tabs>
        <w:numPr>
          <w:ilvl w:val="0"/>
          <w:numId w:val="129"/>
        </w:numPr>
        <w:rPr>
          <w:rFonts w:ascii="Arial" w:cs="Arial" w:eastAsia="Arial" w:hAnsi="Arial"/>
          <w:sz w:val="18"/>
          <w:szCs w:val="18"/>
          <w:color w:val="010000"/>
        </w:rPr>
      </w:pPr>
      <w:r>
        <w:rPr>
          <w:rFonts w:ascii="Arial" w:cs="Arial" w:eastAsia="Arial" w:hAnsi="Arial"/>
          <w:sz w:val="18"/>
          <w:szCs w:val="18"/>
          <w:u w:val="single" w:color="auto"/>
          <w:color w:val="auto"/>
        </w:rPr>
        <w:t>Compliance</w:t>
      </w:r>
      <w:r>
        <w:rPr>
          <w:rFonts w:ascii="Arial" w:cs="Arial" w:eastAsia="Arial" w:hAnsi="Arial"/>
          <w:sz w:val="18"/>
          <w:szCs w:val="18"/>
          <w:color w:val="auto"/>
        </w:rPr>
        <w:t>. Notwithstanding any other provision of this Plan, (a) the Company shall not be obliged to issue any Shares pursuant to an Award unless at least the nominal value of each such newly issued Share has been fully paid in advance in accordance with applicable law (which requirement may mean the holder of an award is obliged to make such payment) and (b) the Company shall not be obliged to issue or deliver any Shares in satisfaction of Awards until all legal and regulatory requirements associated with such issue or delivery have been complied with to the satisfaction of the Committee.</w:t>
      </w:r>
    </w:p>
    <w:p>
      <w:pPr>
        <w:spacing w:after="0" w:line="189"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168910</wp:posOffset>
            </wp:positionV>
            <wp:extent cx="713232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6">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0220"/>
          </w:cols>
          <w:pgMar w:left="980" w:top="355" w:right="699" w:bottom="1440" w:gutter="0" w:footer="0" w:header="0"/>
        </w:sectPr>
      </w:pPr>
    </w:p>
    <w:bookmarkStart w:id="76" w:name="page77"/>
    <w:bookmarkEnd w:id="76"/>
    <w:p>
      <w:pPr>
        <w:ind w:left="100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276860</wp:posOffset>
            </wp:positionH>
            <wp:positionV relativeFrom="page">
              <wp:posOffset>88900</wp:posOffset>
            </wp:positionV>
            <wp:extent cx="6883400" cy="431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7">
                      <a:extLst>
                        <a:ext uri="{28A0092B-C50C-407E-A947-70E740481C1C}"/>
                      </a:extLst>
                    </a:blip>
                    <a:srcRect/>
                    <a:stretch>
                      <a:fillRect/>
                    </a:stretch>
                  </pic:blipFill>
                  <pic:spPr bwMode="auto">
                    <a:xfrm>
                      <a:off x="0" y="0"/>
                      <a:ext cx="6883400" cy="43180"/>
                    </a:xfrm>
                    <a:prstGeom prst="rect">
                      <a:avLst/>
                    </a:prstGeom>
                    <a:noFill/>
                  </pic:spPr>
                </pic:pic>
              </a:graphicData>
            </a:graphic>
          </wp:anchor>
        </w:drawing>
        <w:t>Exhibit 4.4</w:t>
      </w:r>
    </w:p>
    <w:p>
      <w:pPr>
        <w:spacing w:after="0" w:line="27"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2013 STOCK INCENTIVE PLAN FOR KEY EMPLOYEES OF</w:t>
      </w:r>
    </w:p>
    <w:p>
      <w:pPr>
        <w:spacing w:after="0" w:line="9"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PRA HEALTH SCIENCES, INC. AND ITS SUBSIDIARIES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(Formerly known as the 2013 Stock Incentive Plan For Key Employees of PRA Global Holdings, Inc. and its Subsidiaries)</w:t>
      </w:r>
    </w:p>
    <w:p>
      <w:pPr>
        <w:spacing w:after="0" w:line="225" w:lineRule="exact"/>
        <w:rPr>
          <w:sz w:val="20"/>
          <w:szCs w:val="20"/>
          <w:color w:val="auto"/>
        </w:rPr>
      </w:pPr>
    </w:p>
    <w:p>
      <w:pPr>
        <w:ind w:left="560" w:hanging="552"/>
        <w:spacing w:after="0"/>
        <w:tabs>
          <w:tab w:leader="none" w:pos="560"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Purpose of Plan</w:t>
      </w:r>
    </w:p>
    <w:p>
      <w:pPr>
        <w:spacing w:after="0" w:line="225" w:lineRule="exact"/>
        <w:rPr>
          <w:rFonts w:ascii="Arial" w:cs="Arial" w:eastAsia="Arial" w:hAnsi="Arial"/>
          <w:sz w:val="18"/>
          <w:szCs w:val="18"/>
          <w:color w:val="auto"/>
        </w:rPr>
      </w:pPr>
    </w:p>
    <w:p>
      <w:pPr>
        <w:jc w:val="both"/>
        <w:ind w:left="560"/>
        <w:spacing w:after="0" w:line="279" w:lineRule="auto"/>
        <w:rPr>
          <w:rFonts w:ascii="Arial" w:cs="Arial" w:eastAsia="Arial" w:hAnsi="Arial"/>
          <w:sz w:val="18"/>
          <w:szCs w:val="18"/>
          <w:color w:val="auto"/>
        </w:rPr>
      </w:pPr>
      <w:r>
        <w:rPr>
          <w:rFonts w:ascii="Arial" w:cs="Arial" w:eastAsia="Arial" w:hAnsi="Arial"/>
          <w:sz w:val="17"/>
          <w:szCs w:val="17"/>
          <w:color w:val="auto"/>
        </w:rPr>
        <w:t>The Plan, which was initially adopted by PRA Health Sciences, Inc., was amended and restated in its current form in connection with the transaction entered into by ICON plc (the "Company"), ICON US Holdings Inc., Indigo Merger Sub, Inc. and PRA Health Sciences, Inc., pursuant to which PRA Health Sciences, Inc. became a Subsidiary of the Company, a public limited company incorporated in Ireland, and the Plan, together with all awards granted thereunder, was assumed by the Company with effect from 1July 2021 (the "Assumption Date").</w:t>
      </w:r>
    </w:p>
    <w:p>
      <w:pPr>
        <w:spacing w:after="0" w:line="171"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The 2013 Stock Incentive Plan for Key Employees of PRA Health Sciences, Inc. and its Subsidiaries (the "</w:t>
      </w:r>
      <w:r>
        <w:rPr>
          <w:rFonts w:ascii="Arial" w:cs="Arial" w:eastAsia="Arial" w:hAnsi="Arial"/>
          <w:sz w:val="18"/>
          <w:szCs w:val="18"/>
          <w:u w:val="single" w:color="auto"/>
          <w:color w:val="auto"/>
        </w:rPr>
        <w:t>Plan</w:t>
      </w:r>
      <w:r>
        <w:rPr>
          <w:rFonts w:ascii="Arial" w:cs="Arial" w:eastAsia="Arial" w:hAnsi="Arial"/>
          <w:sz w:val="18"/>
          <w:szCs w:val="18"/>
          <w:color w:val="auto"/>
        </w:rPr>
        <w:t>") is designed:</w:t>
      </w:r>
    </w:p>
    <w:p>
      <w:pPr>
        <w:spacing w:after="0" w:line="225" w:lineRule="exact"/>
        <w:rPr>
          <w:rFonts w:ascii="Arial" w:cs="Arial" w:eastAsia="Arial" w:hAnsi="Arial"/>
          <w:sz w:val="18"/>
          <w:szCs w:val="18"/>
          <w:color w:val="auto"/>
        </w:rPr>
      </w:pPr>
    </w:p>
    <w:p>
      <w:pPr>
        <w:jc w:val="both"/>
        <w:ind w:left="560" w:right="300" w:firstLine="204"/>
        <w:spacing w:after="0" w:line="263" w:lineRule="auto"/>
        <w:tabs>
          <w:tab w:leader="none" w:pos="1309" w:val="left"/>
        </w:tabs>
        <w:numPr>
          <w:ilvl w:val="1"/>
          <w:numId w:val="130"/>
        </w:numPr>
        <w:rPr>
          <w:rFonts w:ascii="Arial" w:cs="Arial" w:eastAsia="Arial" w:hAnsi="Arial"/>
          <w:sz w:val="18"/>
          <w:szCs w:val="18"/>
          <w:color w:val="auto"/>
        </w:rPr>
      </w:pPr>
      <w:r>
        <w:rPr>
          <w:rFonts w:ascii="Arial" w:cs="Arial" w:eastAsia="Arial" w:hAnsi="Arial"/>
          <w:sz w:val="18"/>
          <w:szCs w:val="18"/>
          <w:color w:val="auto"/>
        </w:rPr>
        <w:t>to promote the long term financial interests and growth of the Company and its Subsidiaries by attracting and retaining management and other personnel and key service providers with the training, experience and ability to enable them to make a substantial contribution to the success of the business;</w:t>
      </w:r>
    </w:p>
    <w:p>
      <w:pPr>
        <w:spacing w:after="0" w:line="183" w:lineRule="exact"/>
        <w:rPr>
          <w:rFonts w:ascii="Arial" w:cs="Arial" w:eastAsia="Arial" w:hAnsi="Arial"/>
          <w:sz w:val="18"/>
          <w:szCs w:val="18"/>
          <w:color w:val="auto"/>
        </w:rPr>
      </w:pPr>
    </w:p>
    <w:p>
      <w:pPr>
        <w:ind w:left="1280" w:hanging="516"/>
        <w:spacing w:after="0"/>
        <w:tabs>
          <w:tab w:leader="none" w:pos="128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to motivate management personnel by means of growth-related incentives to achieve long range goals; and</w:t>
      </w:r>
    </w:p>
    <w:p>
      <w:pPr>
        <w:spacing w:after="0" w:line="225" w:lineRule="exact"/>
        <w:rPr>
          <w:rFonts w:ascii="Arial" w:cs="Arial" w:eastAsia="Arial" w:hAnsi="Arial"/>
          <w:sz w:val="18"/>
          <w:szCs w:val="18"/>
          <w:color w:val="auto"/>
        </w:rPr>
      </w:pPr>
    </w:p>
    <w:p>
      <w:pPr>
        <w:ind w:left="560" w:right="280" w:firstLine="204"/>
        <w:spacing w:after="0" w:line="277" w:lineRule="auto"/>
        <w:tabs>
          <w:tab w:leader="none" w:pos="1282" w:val="left"/>
        </w:tabs>
        <w:numPr>
          <w:ilvl w:val="1"/>
          <w:numId w:val="130"/>
        </w:numPr>
        <w:rPr>
          <w:rFonts w:ascii="Arial" w:cs="Arial" w:eastAsia="Arial" w:hAnsi="Arial"/>
          <w:sz w:val="18"/>
          <w:szCs w:val="18"/>
          <w:color w:val="auto"/>
        </w:rPr>
      </w:pPr>
      <w:r>
        <w:rPr>
          <w:rFonts w:ascii="Arial" w:cs="Arial" w:eastAsia="Arial" w:hAnsi="Arial"/>
          <w:sz w:val="18"/>
          <w:szCs w:val="18"/>
          <w:color w:val="auto"/>
        </w:rPr>
        <w:t>to further the alignment of interests of participants with those of the stockholders of the Company through opportunities for increased stock, or stock-based ownership in the Company.</w:t>
      </w:r>
    </w:p>
    <w:p>
      <w:pPr>
        <w:spacing w:after="0" w:line="170" w:lineRule="exact"/>
        <w:rPr>
          <w:sz w:val="20"/>
          <w:szCs w:val="20"/>
          <w:color w:val="auto"/>
        </w:rPr>
      </w:pPr>
    </w:p>
    <w:p>
      <w:pPr>
        <w:ind w:left="560" w:hanging="552"/>
        <w:spacing w:after="0"/>
        <w:tabs>
          <w:tab w:leader="none" w:pos="560"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Definitions</w:t>
      </w:r>
    </w:p>
    <w:p>
      <w:pPr>
        <w:spacing w:after="0" w:line="225" w:lineRule="exact"/>
        <w:rPr>
          <w:rFonts w:ascii="Arial" w:cs="Arial" w:eastAsia="Arial" w:hAnsi="Arial"/>
          <w:sz w:val="18"/>
          <w:szCs w:val="18"/>
          <w:color w:val="auto"/>
        </w:rPr>
      </w:pPr>
    </w:p>
    <w:p>
      <w:pPr>
        <w:ind w:left="560"/>
        <w:spacing w:after="0" w:line="277" w:lineRule="auto"/>
        <w:rPr>
          <w:rFonts w:ascii="Arial" w:cs="Arial" w:eastAsia="Arial" w:hAnsi="Arial"/>
          <w:sz w:val="18"/>
          <w:szCs w:val="18"/>
          <w:color w:val="auto"/>
        </w:rPr>
      </w:pPr>
      <w:r>
        <w:rPr>
          <w:rFonts w:ascii="Arial" w:cs="Arial" w:eastAsia="Arial" w:hAnsi="Arial"/>
          <w:sz w:val="18"/>
          <w:szCs w:val="18"/>
          <w:color w:val="auto"/>
        </w:rPr>
        <w:t>As used in the Plan, the following words shall have the following meanings. Any capitalized terms used herein but not otherwise defined shall have the meanings set forth in the Management Stockholder's Agreement:</w:t>
      </w:r>
    </w:p>
    <w:p>
      <w:pPr>
        <w:spacing w:after="0" w:line="170" w:lineRule="exact"/>
        <w:rPr>
          <w:sz w:val="20"/>
          <w:szCs w:val="20"/>
          <w:color w:val="auto"/>
        </w:rPr>
      </w:pPr>
    </w:p>
    <w:p>
      <w:pPr>
        <w:ind w:left="560" w:right="720" w:firstLine="204"/>
        <w:spacing w:after="0" w:line="277" w:lineRule="auto"/>
        <w:tabs>
          <w:tab w:leader="none" w:pos="1404" w:val="left"/>
        </w:tabs>
        <w:numPr>
          <w:ilvl w:val="0"/>
          <w:numId w:val="1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any entity directly or indirectly controlling, controlled by or under common control with such Person.</w:t>
      </w:r>
    </w:p>
    <w:p>
      <w:pPr>
        <w:spacing w:after="0" w:line="170" w:lineRule="exact"/>
        <w:rPr>
          <w:rFonts w:ascii="Arial" w:cs="Arial" w:eastAsia="Arial" w:hAnsi="Arial"/>
          <w:sz w:val="18"/>
          <w:szCs w:val="18"/>
          <w:color w:val="auto"/>
        </w:rPr>
      </w:pPr>
    </w:p>
    <w:p>
      <w:pPr>
        <w:ind w:left="560" w:right="440" w:firstLine="204"/>
        <w:spacing w:after="0" w:line="277" w:lineRule="auto"/>
        <w:tabs>
          <w:tab w:leader="none" w:pos="1292" w:val="left"/>
        </w:tabs>
        <w:numPr>
          <w:ilvl w:val="0"/>
          <w:numId w:val="1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 (or any committee thereof delegated the authority to act in its place pursuant to the terms of this Plan).</w:t>
      </w:r>
    </w:p>
    <w:p>
      <w:pPr>
        <w:spacing w:after="0" w:line="170" w:lineRule="exact"/>
        <w:rPr>
          <w:rFonts w:ascii="Arial" w:cs="Arial" w:eastAsia="Arial" w:hAnsi="Arial"/>
          <w:sz w:val="18"/>
          <w:szCs w:val="18"/>
          <w:color w:val="auto"/>
        </w:rPr>
      </w:pPr>
    </w:p>
    <w:p>
      <w:pPr>
        <w:jc w:val="both"/>
        <w:ind w:left="560" w:right="280" w:firstLine="204"/>
        <w:spacing w:after="0" w:line="257" w:lineRule="auto"/>
        <w:tabs>
          <w:tab w:leader="none" w:pos="1363" w:val="left"/>
        </w:tabs>
        <w:numPr>
          <w:ilvl w:val="0"/>
          <w:numId w:val="1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 (i) the sale of all or substantially all (i.e., at least 80%) of the assets (in one transaction or a series of related transactions) of the Company to any person (or group of persons acting in concert) or (ii) a merger, recapitalization or other sale (in one transaction or a series of related transactions) of the Company to a person (or group of persons acting in concert) of Common Stock that results in any person (or group of persons acting in concert) owning more than 50% of Common Stock (or the equity securities of any resulting company after a merger).</w:t>
      </w:r>
    </w:p>
    <w:p>
      <w:pPr>
        <w:spacing w:after="0" w:line="187" w:lineRule="exact"/>
        <w:rPr>
          <w:rFonts w:ascii="Arial" w:cs="Arial" w:eastAsia="Arial" w:hAnsi="Arial"/>
          <w:sz w:val="18"/>
          <w:szCs w:val="18"/>
          <w:color w:val="auto"/>
        </w:rPr>
      </w:pPr>
    </w:p>
    <w:p>
      <w:pPr>
        <w:ind w:left="1420" w:hanging="656"/>
        <w:spacing w:after="0"/>
        <w:tabs>
          <w:tab w:leader="none" w:pos="142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United States Internal Revenue Code of 1986, as amended.</w:t>
      </w:r>
    </w:p>
    <w:p>
      <w:pPr>
        <w:spacing w:after="0" w:line="225" w:lineRule="exact"/>
        <w:rPr>
          <w:rFonts w:ascii="Arial" w:cs="Arial" w:eastAsia="Arial" w:hAnsi="Arial"/>
          <w:sz w:val="18"/>
          <w:szCs w:val="18"/>
          <w:color w:val="auto"/>
        </w:rPr>
      </w:pPr>
    </w:p>
    <w:p>
      <w:pPr>
        <w:ind w:left="1280" w:hanging="516"/>
        <w:spacing w:after="0"/>
        <w:tabs>
          <w:tab w:leader="none" w:pos="12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the Compensation Committee of the Board (or, if no such committee is appointed,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460375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89" w:right="339" w:bottom="1440" w:gutter="0" w:footer="0" w:header="0"/>
        </w:sectPr>
      </w:pPr>
    </w:p>
    <w:bookmarkStart w:id="77" w:name="page78"/>
    <w:bookmarkEnd w:id="77"/>
    <w:p>
      <w:pPr>
        <w:ind w:left="-90" w:firstLine="104"/>
        <w:spacing w:after="0" w:line="277" w:lineRule="auto"/>
        <w:tabs>
          <w:tab w:leader="none" w:pos="58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or "</w:t>
      </w:r>
      <w:r>
        <w:rPr>
          <w:rFonts w:ascii="Arial" w:cs="Arial" w:eastAsia="Arial" w:hAnsi="Arial"/>
          <w:sz w:val="18"/>
          <w:szCs w:val="18"/>
          <w:u w:val="single" w:color="auto"/>
          <w:color w:val="auto"/>
        </w:rPr>
        <w:t>Shares</w:t>
      </w:r>
      <w:r>
        <w:rPr>
          <w:rFonts w:ascii="Arial" w:cs="Arial" w:eastAsia="Arial" w:hAnsi="Arial"/>
          <w:sz w:val="18"/>
          <w:szCs w:val="18"/>
          <w:color w:val="auto"/>
        </w:rPr>
        <w:t>" means ordinary shares in the capital of the Company (or ordinary shares as represented by American Depository Shares and as evidenced by American Depository Receipts).</w:t>
      </w:r>
    </w:p>
    <w:p>
      <w:pPr>
        <w:spacing w:after="0" w:line="170" w:lineRule="exact"/>
        <w:rPr>
          <w:rFonts w:ascii="Arial" w:cs="Arial" w:eastAsia="Arial" w:hAnsi="Arial"/>
          <w:sz w:val="18"/>
          <w:szCs w:val="18"/>
          <w:color w:val="auto"/>
        </w:rPr>
      </w:pPr>
    </w:p>
    <w:p>
      <w:pPr>
        <w:jc w:val="both"/>
        <w:ind w:left="-90" w:right="80" w:firstLine="104"/>
        <w:spacing w:after="0" w:line="263" w:lineRule="auto"/>
        <w:tabs>
          <w:tab w:leader="none" w:pos="556" w:val="left"/>
        </w:tabs>
        <w:numPr>
          <w:ilvl w:val="1"/>
          <w:numId w:val="1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Employee</w:t>
      </w:r>
      <w:r>
        <w:rPr>
          <w:rFonts w:ascii="Arial" w:cs="Arial" w:eastAsia="Arial" w:hAnsi="Arial"/>
          <w:sz w:val="18"/>
          <w:szCs w:val="18"/>
          <w:color w:val="auto"/>
        </w:rPr>
        <w:t>" means a person, including an officer, in the regular employment of the Company or any other Service Recipient who, in the opinion of the Committee, is, or is expected to have involvement in the management, growth or protection of some part or all of the business of the Company or any other Service Recipient.</w:t>
      </w:r>
    </w:p>
    <w:p>
      <w:pPr>
        <w:spacing w:after="0" w:line="183" w:lineRule="exact"/>
        <w:rPr>
          <w:rFonts w:ascii="Arial" w:cs="Arial" w:eastAsia="Arial" w:hAnsi="Arial"/>
          <w:sz w:val="18"/>
          <w:szCs w:val="18"/>
          <w:color w:val="auto"/>
        </w:rPr>
      </w:pPr>
    </w:p>
    <w:p>
      <w:pPr>
        <w:ind w:left="530" w:hanging="516"/>
        <w:spacing w:after="0"/>
        <w:tabs>
          <w:tab w:leader="none" w:pos="53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 (or any successor section thereto).</w:t>
      </w:r>
    </w:p>
    <w:p>
      <w:pPr>
        <w:spacing w:after="0" w:line="225" w:lineRule="exact"/>
        <w:rPr>
          <w:rFonts w:ascii="Arial" w:cs="Arial" w:eastAsia="Arial" w:hAnsi="Arial"/>
          <w:sz w:val="18"/>
          <w:szCs w:val="18"/>
          <w:color w:val="auto"/>
        </w:rPr>
      </w:pPr>
    </w:p>
    <w:p>
      <w:pPr>
        <w:ind w:left="-90" w:right="300" w:firstLine="104"/>
        <w:spacing w:after="0" w:line="277" w:lineRule="auto"/>
        <w:tabs>
          <w:tab w:leader="none" w:pos="529" w:val="left"/>
        </w:tabs>
        <w:numPr>
          <w:ilvl w:val="1"/>
          <w:numId w:val="1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means the fair market value of the Common Stock on any given date, as determined reasonably and in good faith by the Board or any duly authorized committee thereof.</w:t>
      </w:r>
    </w:p>
    <w:p>
      <w:pPr>
        <w:spacing w:after="0" w:line="170" w:lineRule="exact"/>
        <w:rPr>
          <w:rFonts w:ascii="Arial" w:cs="Arial" w:eastAsia="Arial" w:hAnsi="Arial"/>
          <w:sz w:val="18"/>
          <w:szCs w:val="18"/>
          <w:color w:val="auto"/>
        </w:rPr>
      </w:pPr>
    </w:p>
    <w:p>
      <w:pPr>
        <w:ind w:left="-90" w:right="40" w:firstLine="104"/>
        <w:spacing w:after="0" w:line="277" w:lineRule="auto"/>
        <w:tabs>
          <w:tab w:leader="none" w:pos="502" w:val="left"/>
        </w:tabs>
        <w:numPr>
          <w:ilvl w:val="1"/>
          <w:numId w:val="1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Grant</w:t>
      </w:r>
      <w:r>
        <w:rPr>
          <w:rFonts w:ascii="Arial" w:cs="Arial" w:eastAsia="Arial" w:hAnsi="Arial"/>
          <w:sz w:val="18"/>
          <w:szCs w:val="18"/>
          <w:color w:val="auto"/>
        </w:rPr>
        <w:t>" means an award made to a Participant pursuant to the Plan and described in Section 5, including, without limitation, an award of a Stock Option or Other Stock-Based Award.</w:t>
      </w:r>
    </w:p>
    <w:p>
      <w:pPr>
        <w:spacing w:after="0" w:line="170" w:lineRule="exact"/>
        <w:rPr>
          <w:rFonts w:ascii="Arial" w:cs="Arial" w:eastAsia="Arial" w:hAnsi="Arial"/>
          <w:sz w:val="18"/>
          <w:szCs w:val="18"/>
          <w:color w:val="auto"/>
        </w:rPr>
      </w:pPr>
    </w:p>
    <w:p>
      <w:pPr>
        <w:ind w:left="-90" w:right="120" w:firstLine="104"/>
        <w:spacing w:after="0" w:line="277" w:lineRule="auto"/>
        <w:tabs>
          <w:tab w:leader="none" w:pos="542" w:val="left"/>
        </w:tabs>
        <w:numPr>
          <w:ilvl w:val="1"/>
          <w:numId w:val="1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Grant Agreement</w:t>
      </w:r>
      <w:r>
        <w:rPr>
          <w:rFonts w:ascii="Arial" w:cs="Arial" w:eastAsia="Arial" w:hAnsi="Arial"/>
          <w:sz w:val="18"/>
          <w:szCs w:val="18"/>
          <w:color w:val="auto"/>
        </w:rPr>
        <w:t>" means an agreement between the Company and a Participant that sets forth the terms, conditions and limitations applicable to a Grant.</w:t>
      </w:r>
    </w:p>
    <w:p>
      <w:pPr>
        <w:spacing w:after="0" w:line="170" w:lineRule="exact"/>
        <w:rPr>
          <w:rFonts w:ascii="Arial" w:cs="Arial" w:eastAsia="Arial" w:hAnsi="Arial"/>
          <w:sz w:val="18"/>
          <w:szCs w:val="18"/>
          <w:color w:val="auto"/>
        </w:rPr>
      </w:pPr>
    </w:p>
    <w:p>
      <w:pPr>
        <w:ind w:left="490" w:hanging="476"/>
        <w:spacing w:after="0"/>
        <w:tabs>
          <w:tab w:leader="none" w:pos="49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Group</w:t>
      </w:r>
      <w:r>
        <w:rPr>
          <w:rFonts w:ascii="Arial" w:cs="Arial" w:eastAsia="Arial" w:hAnsi="Arial"/>
          <w:sz w:val="18"/>
          <w:szCs w:val="18"/>
          <w:color w:val="auto"/>
        </w:rPr>
        <w:t>" means "group", as such term is used for purposes of Section 13(d) or 14(d) of the Exchange Act.</w:t>
      </w:r>
    </w:p>
    <w:p>
      <w:pPr>
        <w:spacing w:after="0" w:line="225" w:lineRule="exact"/>
        <w:rPr>
          <w:rFonts w:ascii="Arial" w:cs="Arial" w:eastAsia="Arial" w:hAnsi="Arial"/>
          <w:sz w:val="18"/>
          <w:szCs w:val="18"/>
          <w:color w:val="auto"/>
        </w:rPr>
      </w:pPr>
    </w:p>
    <w:p>
      <w:pPr>
        <w:ind w:left="-90" w:right="380" w:firstLine="104"/>
        <w:spacing w:after="0" w:line="277" w:lineRule="auto"/>
        <w:tabs>
          <w:tab w:leader="none" w:pos="619" w:val="left"/>
        </w:tabs>
        <w:numPr>
          <w:ilvl w:val="1"/>
          <w:numId w:val="133"/>
        </w:numPr>
        <w:rPr>
          <w:rFonts w:ascii="Arial" w:cs="Arial" w:eastAsia="Arial" w:hAnsi="Arial"/>
          <w:sz w:val="18"/>
          <w:szCs w:val="18"/>
          <w:color w:val="auto"/>
        </w:rPr>
      </w:pPr>
      <w:r>
        <w:rPr>
          <w:rFonts w:ascii="Arial" w:cs="Arial" w:eastAsia="Arial" w:hAnsi="Arial"/>
          <w:sz w:val="18"/>
          <w:szCs w:val="18"/>
          <w:u w:val="single" w:color="auto"/>
          <w:color w:val="auto"/>
        </w:rPr>
        <w:t>"Management Stockholder's Agreement</w:t>
      </w:r>
      <w:r>
        <w:rPr>
          <w:rFonts w:ascii="Arial" w:cs="Arial" w:eastAsia="Arial" w:hAnsi="Arial"/>
          <w:sz w:val="18"/>
          <w:szCs w:val="18"/>
          <w:color w:val="auto"/>
        </w:rPr>
        <w:t>" shall mean that certain Management Stockholder's Agreement between the applicable Participant and the Company.</w:t>
      </w:r>
    </w:p>
    <w:p>
      <w:pPr>
        <w:spacing w:after="0" w:line="170" w:lineRule="exact"/>
        <w:rPr>
          <w:rFonts w:ascii="Arial" w:cs="Arial" w:eastAsia="Arial" w:hAnsi="Arial"/>
          <w:sz w:val="18"/>
          <w:szCs w:val="18"/>
          <w:color w:val="auto"/>
        </w:rPr>
      </w:pPr>
    </w:p>
    <w:p>
      <w:pPr>
        <w:ind w:left="-90" w:right="20" w:firstLine="104"/>
        <w:spacing w:after="0" w:line="277" w:lineRule="auto"/>
        <w:tabs>
          <w:tab w:leader="none" w:pos="596" w:val="left"/>
        </w:tabs>
        <w:numPr>
          <w:ilvl w:val="1"/>
          <w:numId w:val="1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Relevant Agreement</w:t>
      </w:r>
      <w:r>
        <w:rPr>
          <w:rFonts w:ascii="Arial" w:cs="Arial" w:eastAsia="Arial" w:hAnsi="Arial"/>
          <w:sz w:val="18"/>
          <w:szCs w:val="18"/>
          <w:color w:val="auto"/>
        </w:rPr>
        <w:t>" shall mean any of the following types of arrangements entered into whether before or after the date of Grant between the Company and/or a Service Recipient and the relevant Participant:</w:t>
      </w:r>
    </w:p>
    <w:p>
      <w:pPr>
        <w:spacing w:after="0" w:line="170" w:lineRule="exact"/>
        <w:rPr>
          <w:rFonts w:ascii="Arial" w:cs="Arial" w:eastAsia="Arial" w:hAnsi="Arial"/>
          <w:sz w:val="18"/>
          <w:szCs w:val="18"/>
          <w:color w:val="auto"/>
        </w:rPr>
      </w:pPr>
    </w:p>
    <w:p>
      <w:pPr>
        <w:ind w:left="650" w:hanging="650"/>
        <w:spacing w:after="0"/>
        <w:tabs>
          <w:tab w:leader="none" w:pos="65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contract of employment;</w:t>
      </w:r>
    </w:p>
    <w:p>
      <w:pPr>
        <w:spacing w:after="0" w:line="225" w:lineRule="exact"/>
        <w:rPr>
          <w:rFonts w:ascii="Arial" w:cs="Arial" w:eastAsia="Arial" w:hAnsi="Arial"/>
          <w:sz w:val="18"/>
          <w:szCs w:val="18"/>
          <w:color w:val="auto"/>
        </w:rPr>
      </w:pPr>
    </w:p>
    <w:p>
      <w:pPr>
        <w:ind w:left="650" w:hanging="650"/>
        <w:spacing w:after="0"/>
        <w:tabs>
          <w:tab w:leader="none" w:pos="65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consultancy agreement;</w:t>
      </w:r>
    </w:p>
    <w:p>
      <w:pPr>
        <w:spacing w:after="0" w:line="225" w:lineRule="exact"/>
        <w:rPr>
          <w:rFonts w:ascii="Arial" w:cs="Arial" w:eastAsia="Arial" w:hAnsi="Arial"/>
          <w:sz w:val="18"/>
          <w:szCs w:val="18"/>
          <w:color w:val="auto"/>
        </w:rPr>
      </w:pPr>
    </w:p>
    <w:p>
      <w:pPr>
        <w:ind w:left="650" w:hanging="650"/>
        <w:spacing w:after="0"/>
        <w:tabs>
          <w:tab w:leader="none" w:pos="65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service agreement; or</w:t>
      </w:r>
    </w:p>
    <w:p>
      <w:pPr>
        <w:spacing w:after="0" w:line="225" w:lineRule="exact"/>
        <w:rPr>
          <w:sz w:val="20"/>
          <w:szCs w:val="20"/>
          <w:color w:val="auto"/>
        </w:rPr>
      </w:pPr>
    </w:p>
    <w:p>
      <w:pPr>
        <w:ind w:left="650" w:hanging="636"/>
        <w:spacing w:after="0"/>
        <w:tabs>
          <w:tab w:leader="none" w:pos="65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any other agreement or offer letter for the provision of services by the Participant to the Company or a Service Recipient.</w:t>
      </w:r>
    </w:p>
    <w:p>
      <w:pPr>
        <w:spacing w:after="0" w:line="237" w:lineRule="exact"/>
        <w:rPr>
          <w:sz w:val="20"/>
          <w:szCs w:val="20"/>
          <w:color w:val="auto"/>
        </w:rPr>
      </w:pPr>
    </w:p>
    <w:p>
      <w:pPr>
        <w:ind w:left="710" w:hanging="696"/>
        <w:spacing w:after="0"/>
        <w:tabs>
          <w:tab w:leader="none" w:pos="71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Stock-Based Award</w:t>
      </w:r>
      <w:r>
        <w:rPr>
          <w:rFonts w:ascii="Arial" w:cs="Arial" w:eastAsia="Arial" w:hAnsi="Arial"/>
          <w:sz w:val="18"/>
          <w:szCs w:val="18"/>
          <w:color w:val="auto"/>
        </w:rPr>
        <w:t>" means any award described in Section 5(b) below.</w:t>
      </w:r>
    </w:p>
    <w:p>
      <w:pPr>
        <w:spacing w:after="0" w:line="225" w:lineRule="exact"/>
        <w:rPr>
          <w:rFonts w:ascii="Arial" w:cs="Arial" w:eastAsia="Arial" w:hAnsi="Arial"/>
          <w:sz w:val="18"/>
          <w:szCs w:val="18"/>
          <w:color w:val="auto"/>
        </w:rPr>
      </w:pPr>
    </w:p>
    <w:p>
      <w:pPr>
        <w:ind w:left="-90" w:firstLine="104"/>
        <w:spacing w:after="0" w:line="308" w:lineRule="auto"/>
        <w:tabs>
          <w:tab w:leader="none" w:pos="569" w:val="left"/>
        </w:tabs>
        <w:numPr>
          <w:ilvl w:val="0"/>
          <w:numId w:val="13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Participant</w:t>
      </w:r>
      <w:r>
        <w:rPr>
          <w:rFonts w:ascii="Arial" w:cs="Arial" w:eastAsia="Arial" w:hAnsi="Arial"/>
          <w:sz w:val="17"/>
          <w:szCs w:val="17"/>
          <w:color w:val="auto"/>
        </w:rPr>
        <w:t>" means an Employee, non-employee member of the Board, consultant or other person having a service relationship with the Company or any other Service Recipient, to whom one or more Grants have been made and remain outstanding.</w:t>
      </w:r>
    </w:p>
    <w:p>
      <w:pPr>
        <w:spacing w:after="0" w:line="146" w:lineRule="exact"/>
        <w:rPr>
          <w:rFonts w:ascii="Arial" w:cs="Arial" w:eastAsia="Arial" w:hAnsi="Arial"/>
          <w:sz w:val="17"/>
          <w:szCs w:val="17"/>
          <w:color w:val="auto"/>
        </w:rPr>
      </w:pPr>
    </w:p>
    <w:p>
      <w:pPr>
        <w:ind w:left="530" w:hanging="516"/>
        <w:spacing w:after="0"/>
        <w:tabs>
          <w:tab w:leader="none" w:pos="53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"person", as such term is used for purposes of Section 13(d) or 14(d) of the Exchange Act.</w:t>
      </w:r>
    </w:p>
    <w:p>
      <w:pPr>
        <w:spacing w:after="0" w:line="225" w:lineRule="exact"/>
        <w:rPr>
          <w:rFonts w:ascii="Arial" w:cs="Arial" w:eastAsia="Arial" w:hAnsi="Arial"/>
          <w:sz w:val="18"/>
          <w:szCs w:val="18"/>
          <w:color w:val="auto"/>
        </w:rPr>
      </w:pPr>
    </w:p>
    <w:p>
      <w:pPr>
        <w:jc w:val="both"/>
        <w:ind w:left="-90" w:firstLine="104"/>
        <w:spacing w:after="0" w:line="259" w:lineRule="auto"/>
        <w:tabs>
          <w:tab w:leader="none" w:pos="607" w:val="left"/>
        </w:tabs>
        <w:numPr>
          <w:ilvl w:val="0"/>
          <w:numId w:val="1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Service Recipient</w:t>
      </w:r>
      <w:r>
        <w:rPr>
          <w:rFonts w:ascii="Arial" w:cs="Arial" w:eastAsia="Arial" w:hAnsi="Arial"/>
          <w:sz w:val="18"/>
          <w:szCs w:val="18"/>
          <w:color w:val="auto"/>
        </w:rPr>
        <w:t>" shall mean, the Company, any Subsidiary of the Company, or any Affiliate of the Company (including for the avoidance of any doubt, any of their branches) that satisfies the definition of "service recipient" within the meaning of Treasury Regulation Section 1.409A-1(g) (or any successor regulation), with respect to which the person is a "service provider" within the meaning of Treasury Regulation Section 1.409A-1(f) (or any successor regulation).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-470535</wp:posOffset>
            </wp:positionH>
            <wp:positionV relativeFrom="paragraph">
              <wp:posOffset>427355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10"/>
          </w:cols>
          <w:pgMar w:left="1070" w:top="341" w:right="619" w:bottom="1440" w:gutter="0" w:footer="0" w:header="0"/>
        </w:sectPr>
      </w:pPr>
    </w:p>
    <w:bookmarkStart w:id="78" w:name="page79"/>
    <w:bookmarkEnd w:id="78"/>
    <w:p>
      <w:pPr>
        <w:jc w:val="both"/>
        <w:ind w:left="552" w:right="280" w:firstLine="204"/>
        <w:spacing w:after="0" w:line="279" w:lineRule="auto"/>
        <w:tabs>
          <w:tab w:leader="none" w:pos="1251" w:val="left"/>
        </w:tabs>
        <w:numPr>
          <w:ilvl w:val="0"/>
          <w:numId w:val="13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means any corporation or other entity in an unbroken chain of corporations or other entities beginning with the Company if each of the corporations or other entities, or group of commonly controlled corporations or other entities, other than the last corporation or other entity in the unbroken chain then owns stock or other equity interests possessing 50% or more of the total combined voting power of all classes of stock or other equity interests in one of the other corporations or other entities in such chain.</w:t>
      </w:r>
    </w:p>
    <w:p>
      <w:pPr>
        <w:spacing w:after="0" w:line="171" w:lineRule="exact"/>
        <w:rPr>
          <w:sz w:val="20"/>
          <w:szCs w:val="20"/>
          <w:color w:val="auto"/>
        </w:rPr>
      </w:pPr>
    </w:p>
    <w:p>
      <w:pPr>
        <w:ind w:left="552" w:hanging="552"/>
        <w:spacing w:after="0"/>
        <w:tabs>
          <w:tab w:leader="none" w:pos="552"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Administration of Plan</w:t>
      </w:r>
    </w:p>
    <w:p>
      <w:pPr>
        <w:spacing w:after="0" w:line="225" w:lineRule="exact"/>
        <w:rPr>
          <w:rFonts w:ascii="Arial" w:cs="Arial" w:eastAsia="Arial" w:hAnsi="Arial"/>
          <w:sz w:val="18"/>
          <w:szCs w:val="18"/>
          <w:color w:val="auto"/>
        </w:rPr>
      </w:pPr>
    </w:p>
    <w:p>
      <w:pPr>
        <w:jc w:val="both"/>
        <w:ind w:left="552" w:right="300" w:firstLine="204"/>
        <w:spacing w:after="0" w:line="257" w:lineRule="auto"/>
        <w:tabs>
          <w:tab w:leader="none" w:pos="1302" w:val="left"/>
        </w:tabs>
        <w:numPr>
          <w:ilvl w:val="1"/>
          <w:numId w:val="137"/>
        </w:numPr>
        <w:rPr>
          <w:rFonts w:ascii="Arial" w:cs="Arial" w:eastAsia="Arial" w:hAnsi="Arial"/>
          <w:sz w:val="18"/>
          <w:szCs w:val="18"/>
          <w:color w:val="auto"/>
        </w:rPr>
      </w:pPr>
      <w:r>
        <w:rPr>
          <w:rFonts w:ascii="Arial" w:cs="Arial" w:eastAsia="Arial" w:hAnsi="Arial"/>
          <w:sz w:val="18"/>
          <w:szCs w:val="18"/>
          <w:color w:val="auto"/>
        </w:rPr>
        <w:t>The Plan shall be administered by the Committee. The Committee may adopt its own rules of procedure, and action of a majority of the members of the Committee taken at a meeting, or action taken without a meeting by unanimous written consent, shall constitute action by the Committee. The Committee shall have the power and authority to administer, construe and interpret the Plan, to make rules for carrying it out and to make changes in such rules. Any such interpretations, rules, and administration shall be consistent with the basic purposes of the Plan.</w:t>
      </w:r>
    </w:p>
    <w:p>
      <w:pPr>
        <w:spacing w:after="0" w:line="187" w:lineRule="exact"/>
        <w:rPr>
          <w:rFonts w:ascii="Arial" w:cs="Arial" w:eastAsia="Arial" w:hAnsi="Arial"/>
          <w:sz w:val="18"/>
          <w:szCs w:val="18"/>
          <w:color w:val="auto"/>
        </w:rPr>
      </w:pPr>
    </w:p>
    <w:p>
      <w:pPr>
        <w:jc w:val="both"/>
        <w:ind w:left="552" w:right="280" w:firstLine="204"/>
        <w:spacing w:after="0" w:line="296" w:lineRule="auto"/>
        <w:tabs>
          <w:tab w:leader="none" w:pos="1331" w:val="left"/>
        </w:tabs>
        <w:numPr>
          <w:ilvl w:val="1"/>
          <w:numId w:val="137"/>
        </w:numPr>
        <w:rPr>
          <w:rFonts w:ascii="Arial" w:cs="Arial" w:eastAsia="Arial" w:hAnsi="Arial"/>
          <w:sz w:val="16"/>
          <w:szCs w:val="16"/>
          <w:color w:val="auto"/>
        </w:rPr>
      </w:pPr>
      <w:r>
        <w:rPr>
          <w:rFonts w:ascii="Arial" w:cs="Arial" w:eastAsia="Arial" w:hAnsi="Arial"/>
          <w:sz w:val="16"/>
          <w:szCs w:val="16"/>
          <w:color w:val="auto"/>
        </w:rPr>
        <w:t>The Board may delegate to the Committee, or such other committee of the Board as it may in its discretion and in accordance with applicable law select, any of its duties and authorities hereunder. The Committee may further delegate to the Chief Executive Officer and to other senior officers (if any) of the Company, any Subsidiary of the Company or any Affiliate of the Company its duties under the Plan, subject to applicable law and such conditions and limitations as the Committee shall prescribe, except that only the Committee may designate and make Grants to Participants. Notwithstanding the foregoing, the Board retains all rights to take all actions as it may have also delegated hereunder.</w:t>
      </w:r>
    </w:p>
    <w:p>
      <w:pPr>
        <w:spacing w:after="0" w:line="161" w:lineRule="exact"/>
        <w:rPr>
          <w:rFonts w:ascii="Arial" w:cs="Arial" w:eastAsia="Arial" w:hAnsi="Arial"/>
          <w:sz w:val="16"/>
          <w:szCs w:val="16"/>
          <w:color w:val="auto"/>
        </w:rPr>
      </w:pPr>
    </w:p>
    <w:p>
      <w:pPr>
        <w:jc w:val="both"/>
        <w:ind w:left="552" w:right="280" w:firstLine="204"/>
        <w:spacing w:after="0" w:line="272" w:lineRule="auto"/>
        <w:tabs>
          <w:tab w:leader="none" w:pos="1328" w:val="left"/>
        </w:tabs>
        <w:numPr>
          <w:ilvl w:val="1"/>
          <w:numId w:val="137"/>
        </w:numPr>
        <w:rPr>
          <w:rFonts w:ascii="Arial" w:cs="Arial" w:eastAsia="Arial" w:hAnsi="Arial"/>
          <w:sz w:val="17"/>
          <w:szCs w:val="17"/>
          <w:color w:val="auto"/>
        </w:rPr>
      </w:pPr>
      <w:r>
        <w:rPr>
          <w:rFonts w:ascii="Arial" w:cs="Arial" w:eastAsia="Arial" w:hAnsi="Arial"/>
          <w:sz w:val="17"/>
          <w:szCs w:val="17"/>
          <w:color w:val="auto"/>
        </w:rPr>
        <w:t>The Committee may employ counsel, consultants, accountants, appraisers, brokers or other persons. The Committee, the Company, and the officers and directors/managers of the Company shall be entitled to rely upon the advice, opinions or valuations of any such persons. All actions taken and all interpretations and determinations made by the Committee in good faith shall be final and binding upon all Participants, the Company and all other interested persons. No member of the Committee, nor employee or representative of the Company shall be personally liable for any action, determination or interpretation made in good faith with respect to the Plan or the Grants, and all such members of the Committee, employees and representatives shall be fully protected and indemnified to the greatest extent permitted by applicable law by the Company with respect to any such action, determination or interpretation.</w:t>
      </w:r>
    </w:p>
    <w:p>
      <w:pPr>
        <w:spacing w:after="0" w:line="177" w:lineRule="exact"/>
        <w:rPr>
          <w:sz w:val="20"/>
          <w:szCs w:val="20"/>
          <w:color w:val="auto"/>
        </w:rPr>
      </w:pPr>
    </w:p>
    <w:p>
      <w:pPr>
        <w:ind w:left="552" w:hanging="552"/>
        <w:spacing w:after="0"/>
        <w:tabs>
          <w:tab w:leader="none" w:pos="552"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Eligibility</w:t>
      </w:r>
    </w:p>
    <w:p>
      <w:pPr>
        <w:spacing w:after="0" w:line="225" w:lineRule="exact"/>
        <w:rPr>
          <w:sz w:val="20"/>
          <w:szCs w:val="20"/>
          <w:color w:val="auto"/>
        </w:rPr>
      </w:pPr>
    </w:p>
    <w:p>
      <w:pPr>
        <w:jc w:val="both"/>
        <w:ind w:left="552"/>
        <w:spacing w:after="0" w:line="259" w:lineRule="auto"/>
        <w:rPr>
          <w:sz w:val="20"/>
          <w:szCs w:val="20"/>
          <w:color w:val="auto"/>
        </w:rPr>
      </w:pPr>
      <w:r>
        <w:rPr>
          <w:rFonts w:ascii="Arial" w:cs="Arial" w:eastAsia="Arial" w:hAnsi="Arial"/>
          <w:sz w:val="18"/>
          <w:szCs w:val="18"/>
          <w:color w:val="auto"/>
        </w:rPr>
        <w:t>The Committee may from time to time make Grants under the Plan to such Employees, or other persons having a relationship with the Company or any other Service Recipient, and in such form and having such terms, conditions and limitations as the Committee may determine. The terms, conditions and limitations of each Grant under the Plan shall be set forth in a Grant Agreement, in a form approved by the Committee, consistent, however, with the terms of the Plan.</w:t>
      </w:r>
    </w:p>
    <w:p>
      <w:pPr>
        <w:spacing w:after="0" w:line="187" w:lineRule="exact"/>
        <w:rPr>
          <w:sz w:val="20"/>
          <w:szCs w:val="20"/>
          <w:color w:val="auto"/>
        </w:rPr>
      </w:pPr>
    </w:p>
    <w:p>
      <w:pPr>
        <w:ind w:left="552" w:hanging="552"/>
        <w:spacing w:after="0"/>
        <w:tabs>
          <w:tab w:leader="none" w:pos="552"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Grants</w:t>
      </w:r>
    </w:p>
    <w:p>
      <w:pPr>
        <w:spacing w:after="0" w:line="225" w:lineRule="exact"/>
        <w:rPr>
          <w:rFonts w:ascii="Arial" w:cs="Arial" w:eastAsia="Arial" w:hAnsi="Arial"/>
          <w:sz w:val="18"/>
          <w:szCs w:val="18"/>
          <w:color w:val="auto"/>
        </w:rPr>
      </w:pPr>
    </w:p>
    <w:p>
      <w:pPr>
        <w:ind w:left="552"/>
        <w:spacing w:after="0" w:line="277" w:lineRule="auto"/>
        <w:rPr>
          <w:rFonts w:ascii="Arial" w:cs="Arial" w:eastAsia="Arial" w:hAnsi="Arial"/>
          <w:sz w:val="18"/>
          <w:szCs w:val="18"/>
          <w:color w:val="auto"/>
        </w:rPr>
      </w:pPr>
      <w:r>
        <w:rPr>
          <w:rFonts w:ascii="Arial" w:cs="Arial" w:eastAsia="Arial" w:hAnsi="Arial"/>
          <w:sz w:val="18"/>
          <w:szCs w:val="18"/>
          <w:color w:val="auto"/>
        </w:rPr>
        <w:t>From time to time, the Committee will determine the forms and amounts of Grants for Participants. Such Grants may take the following forms in the Committee's sole discretion:</w:t>
      </w:r>
    </w:p>
    <w:p>
      <w:pPr>
        <w:spacing w:after="0" w:line="170" w:lineRule="exact"/>
        <w:rPr>
          <w:rFonts w:ascii="Arial" w:cs="Arial" w:eastAsia="Arial" w:hAnsi="Arial"/>
          <w:sz w:val="18"/>
          <w:szCs w:val="18"/>
          <w:color w:val="auto"/>
        </w:rPr>
      </w:pPr>
    </w:p>
    <w:p>
      <w:pPr>
        <w:jc w:val="both"/>
        <w:ind w:left="552" w:right="280" w:firstLine="204"/>
        <w:spacing w:after="0" w:line="287" w:lineRule="auto"/>
        <w:tabs>
          <w:tab w:leader="none" w:pos="1355" w:val="left"/>
        </w:tabs>
        <w:numPr>
          <w:ilvl w:val="1"/>
          <w:numId w:val="139"/>
        </w:numPr>
        <w:rPr>
          <w:rFonts w:ascii="Arial" w:cs="Arial" w:eastAsia="Arial" w:hAnsi="Arial"/>
          <w:sz w:val="16"/>
          <w:szCs w:val="16"/>
          <w:color w:val="auto"/>
        </w:rPr>
      </w:pPr>
      <w:r>
        <w:rPr>
          <w:rFonts w:ascii="Arial" w:cs="Arial" w:eastAsia="Arial" w:hAnsi="Arial"/>
          <w:sz w:val="16"/>
          <w:szCs w:val="16"/>
          <w:u w:val="single" w:color="auto"/>
          <w:color w:val="auto"/>
        </w:rPr>
        <w:t>Stock Options</w:t>
      </w:r>
      <w:r>
        <w:rPr>
          <w:rFonts w:ascii="Arial" w:cs="Arial" w:eastAsia="Arial" w:hAnsi="Arial"/>
          <w:sz w:val="16"/>
          <w:szCs w:val="16"/>
          <w:color w:val="auto"/>
        </w:rPr>
        <w:t xml:space="preserve"> – These are options to purchase/subscribe for Common Stock ("</w:t>
      </w:r>
      <w:r>
        <w:rPr>
          <w:rFonts w:ascii="Arial" w:cs="Arial" w:eastAsia="Arial" w:hAnsi="Arial"/>
          <w:sz w:val="16"/>
          <w:szCs w:val="16"/>
          <w:u w:val="single" w:color="auto"/>
          <w:color w:val="auto"/>
        </w:rPr>
        <w:t>Stock Options</w:t>
      </w:r>
      <w:r>
        <w:rPr>
          <w:rFonts w:ascii="Arial" w:cs="Arial" w:eastAsia="Arial" w:hAnsi="Arial"/>
          <w:sz w:val="16"/>
          <w:szCs w:val="16"/>
          <w:color w:val="auto"/>
        </w:rPr>
        <w:t>"). At the time of Grant of the Stock Options, the Committee shall determine, and shall include in the Grant Agreement, the option exercise period, the option exercise price, vesting requirements, and such other terms, conditions or restrictions on the grant or exercise of the option as the Committee deems appropriate including, without limitation, the right to receive dividend equivalent payments on vested options. Notwithstanding the foregoing, the exercise price per Share of a Stock Option shall in no event be less than the Fair Market Value on the date the Stock Option is granted (subject to later adjustment pursuant to Section 8 hereof). In addition to other restrictions contained in the Plan, a Stock Option granted under this Section 5(a) may not be exercised more than 10 years after the date it is granted. Payment of the Stock Option exercise price shall be made (i) in cash, (ii) with the consent of the Committee, in Shares (any such Shares valued at Fair Market Value on the date of exercise) that the Participant has held for such period of time as may be required by the Company's accountants, (iii) with the consent of the Committee, through the withholding of Shares (any such Shares valued at Fair Market Value on the date of exercise) otherwise issuable upon the exercise of the Stock Option in a manner that is compliant with applicable law, or (iv) with the consent of the Committee, a combination of the foregoing methods, in each such case in accordance with the terms of the Plan, the Grant Agreement and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415925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341" w:right="339" w:bottom="1440" w:gutter="0" w:footer="0" w:header="0"/>
        </w:sectPr>
      </w:pPr>
    </w:p>
    <w:bookmarkStart w:id="79" w:name="page80"/>
    <w:bookmarkEnd w:id="79"/>
    <w:p>
      <w:pPr>
        <w:jc w:val="both"/>
        <w:ind w:left="552" w:firstLine="204"/>
        <w:spacing w:after="0" w:line="290" w:lineRule="auto"/>
        <w:tabs>
          <w:tab w:leader="none" w:pos="1284" w:val="left"/>
        </w:tabs>
        <w:numPr>
          <w:ilvl w:val="0"/>
          <w:numId w:val="140"/>
        </w:numPr>
        <w:rPr>
          <w:rFonts w:ascii="Arial" w:cs="Arial" w:eastAsia="Arial" w:hAnsi="Arial"/>
          <w:sz w:val="16"/>
          <w:szCs w:val="16"/>
          <w:color w:val="auto"/>
        </w:rPr>
      </w:pPr>
      <w:r>
        <w:rPr>
          <w:rFonts w:ascii="Arial" w:cs="Arial" w:eastAsia="Arial" w:hAnsi="Arial"/>
          <w:sz w:val="16"/>
          <w:szCs w:val="16"/>
          <w:u w:val="single" w:color="auto"/>
          <w:color w:val="auto"/>
        </w:rPr>
        <w:t>Other Stock-Based Awards</w:t>
      </w:r>
      <w:r>
        <w:rPr>
          <w:rFonts w:ascii="Arial" w:cs="Arial" w:eastAsia="Arial" w:hAnsi="Arial"/>
          <w:sz w:val="16"/>
          <w:szCs w:val="16"/>
          <w:color w:val="auto"/>
        </w:rPr>
        <w:t xml:space="preserve"> – To the extent permitted by applicable law, the Committee may grant or sell awards of Shares, awards of restricted Shares and/or awards that are valued in whole or in part by reference to, or are otherwise based on the Fair Market Value of, Shares (including, without limitation, restricted stock units, stock appreciation rights, and dividend equivalent rights). At the time of Grant of the Stock Options, such "Other Stock-Based Awards" shall be in such form, and dependent on such conditions, as the Committee may determine, including, without limitation, the right to receive or vest with respect to, one or more Shares (or the equivalent cash value of such Shares) upon the completion of a specified period of service, the occurrence of an event and/or the attainment of performance objectives; whether such Other Stock-Based Awards shall be settled in cash, Shares or a combination of cash and Shares; and all other terms and conditions of such awards. Other Stock-Based Awards may be granted alone or in addition to any other Grants under the Plan.</w:t>
      </w:r>
    </w:p>
    <w:p>
      <w:pPr>
        <w:spacing w:after="0" w:line="165" w:lineRule="exact"/>
        <w:rPr>
          <w:sz w:val="20"/>
          <w:szCs w:val="20"/>
          <w:color w:val="auto"/>
        </w:rPr>
      </w:pPr>
    </w:p>
    <w:p>
      <w:pPr>
        <w:ind w:left="552" w:hanging="552"/>
        <w:spacing w:after="0"/>
        <w:tabs>
          <w:tab w:leader="none" w:pos="552"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Limitations and Conditions</w:t>
      </w:r>
    </w:p>
    <w:p>
      <w:pPr>
        <w:spacing w:after="0" w:line="225" w:lineRule="exact"/>
        <w:rPr>
          <w:rFonts w:ascii="Arial" w:cs="Arial" w:eastAsia="Arial" w:hAnsi="Arial"/>
          <w:sz w:val="18"/>
          <w:szCs w:val="18"/>
          <w:color w:val="auto"/>
        </w:rPr>
      </w:pPr>
    </w:p>
    <w:p>
      <w:pPr>
        <w:jc w:val="both"/>
        <w:ind w:left="552" w:right="80" w:firstLine="204"/>
        <w:spacing w:after="0" w:line="257" w:lineRule="auto"/>
        <w:tabs>
          <w:tab w:leader="none" w:pos="1339" w:val="left"/>
        </w:tabs>
        <w:numPr>
          <w:ilvl w:val="1"/>
          <w:numId w:val="141"/>
        </w:numPr>
        <w:rPr>
          <w:rFonts w:ascii="Arial" w:cs="Arial" w:eastAsia="Arial" w:hAnsi="Arial"/>
          <w:sz w:val="18"/>
          <w:szCs w:val="18"/>
          <w:color w:val="auto"/>
        </w:rPr>
      </w:pPr>
      <w:r>
        <w:rPr>
          <w:rFonts w:ascii="Arial" w:cs="Arial" w:eastAsia="Arial" w:hAnsi="Arial"/>
          <w:sz w:val="18"/>
          <w:szCs w:val="18"/>
          <w:color w:val="auto"/>
        </w:rPr>
        <w:t>The number of Shares available for Grants under this Plan (plus any PRA Health Sciences, Inc. common stock that was issued in settlement of outstanding awards under the Plan prior to its assumption by the Company) is intended to be 13,562,209, subject to adjustment as provided for in Sections 8 and 9, unless restricted by applicable law. Shares related to Grants that are forfeited, terminated, canceled, expire unexercised, withheld to satisfy tax withholding obligations, or are repurchased by the Company shall immediately become available for new Grants.</w:t>
      </w:r>
    </w:p>
    <w:p>
      <w:pPr>
        <w:spacing w:after="0" w:line="187" w:lineRule="exact"/>
        <w:rPr>
          <w:rFonts w:ascii="Arial" w:cs="Arial" w:eastAsia="Arial" w:hAnsi="Arial"/>
          <w:sz w:val="18"/>
          <w:szCs w:val="18"/>
          <w:color w:val="auto"/>
        </w:rPr>
      </w:pPr>
    </w:p>
    <w:p>
      <w:pPr>
        <w:ind w:left="552" w:firstLine="204"/>
        <w:spacing w:after="0" w:line="277" w:lineRule="auto"/>
        <w:tabs>
          <w:tab w:leader="none" w:pos="1482" w:val="left"/>
        </w:tabs>
        <w:numPr>
          <w:ilvl w:val="1"/>
          <w:numId w:val="141"/>
        </w:numPr>
        <w:rPr>
          <w:rFonts w:ascii="Arial" w:cs="Arial" w:eastAsia="Arial" w:hAnsi="Arial"/>
          <w:sz w:val="18"/>
          <w:szCs w:val="18"/>
          <w:color w:val="auto"/>
        </w:rPr>
      </w:pPr>
      <w:r>
        <w:rPr>
          <w:rFonts w:ascii="Arial" w:cs="Arial" w:eastAsia="Arial" w:hAnsi="Arial"/>
          <w:sz w:val="18"/>
          <w:szCs w:val="18"/>
          <w:color w:val="auto"/>
        </w:rPr>
        <w:t>Nothing contained herein shall affect the right of the Company or any other Service Recipient to terminate any Participant's employment or other service relationship at any time or for any reason.</w:t>
      </w:r>
    </w:p>
    <w:p>
      <w:pPr>
        <w:spacing w:after="0" w:line="170" w:lineRule="exact"/>
        <w:rPr>
          <w:rFonts w:ascii="Arial" w:cs="Arial" w:eastAsia="Arial" w:hAnsi="Arial"/>
          <w:sz w:val="18"/>
          <w:szCs w:val="18"/>
          <w:color w:val="auto"/>
        </w:rPr>
      </w:pPr>
    </w:p>
    <w:p>
      <w:pPr>
        <w:jc w:val="both"/>
        <w:ind w:left="552" w:right="20" w:firstLine="204"/>
        <w:spacing w:after="0" w:line="259" w:lineRule="auto"/>
        <w:tabs>
          <w:tab w:leader="none" w:pos="1342" w:val="left"/>
        </w:tabs>
        <w:numPr>
          <w:ilvl w:val="1"/>
          <w:numId w:val="141"/>
        </w:numPr>
        <w:rPr>
          <w:rFonts w:ascii="Arial" w:cs="Arial" w:eastAsia="Arial" w:hAnsi="Arial"/>
          <w:sz w:val="18"/>
          <w:szCs w:val="18"/>
          <w:color w:val="auto"/>
        </w:rPr>
      </w:pPr>
      <w:r>
        <w:rPr>
          <w:rFonts w:ascii="Arial" w:cs="Arial" w:eastAsia="Arial" w:hAnsi="Arial"/>
          <w:sz w:val="18"/>
          <w:szCs w:val="18"/>
          <w:color w:val="auto"/>
        </w:rPr>
        <w:t>Other than as specifically provided in the Management Stockholder's Agreement, no benefit under the Plan shall be subject in any manner to anticipation, alienation, sale, transfer, assignment, pledge, encumbrance, or charge, and any attempt to do so shall be void. No such benefit shall, prior to receipt thereof by the Participant, be in any manner liable for or subject to the debts, contracts, liabilities, engagements, or torts of the Participant.</w:t>
      </w:r>
    </w:p>
    <w:p>
      <w:pPr>
        <w:spacing w:after="0" w:line="186" w:lineRule="exact"/>
        <w:rPr>
          <w:rFonts w:ascii="Arial" w:cs="Arial" w:eastAsia="Arial" w:hAnsi="Arial"/>
          <w:sz w:val="18"/>
          <w:szCs w:val="18"/>
          <w:color w:val="auto"/>
        </w:rPr>
      </w:pPr>
    </w:p>
    <w:p>
      <w:pPr>
        <w:jc w:val="both"/>
        <w:ind w:left="552" w:firstLine="204"/>
        <w:spacing w:after="0" w:line="311" w:lineRule="auto"/>
        <w:tabs>
          <w:tab w:leader="none" w:pos="1321" w:val="left"/>
        </w:tabs>
        <w:numPr>
          <w:ilvl w:val="1"/>
          <w:numId w:val="141"/>
        </w:numPr>
        <w:rPr>
          <w:rFonts w:ascii="Arial" w:cs="Arial" w:eastAsia="Arial" w:hAnsi="Arial"/>
          <w:sz w:val="16"/>
          <w:szCs w:val="16"/>
          <w:color w:val="auto"/>
        </w:rPr>
      </w:pPr>
      <w:r>
        <w:rPr>
          <w:rFonts w:ascii="Arial" w:cs="Arial" w:eastAsia="Arial" w:hAnsi="Arial"/>
          <w:sz w:val="16"/>
          <w:szCs w:val="16"/>
          <w:color w:val="auto"/>
        </w:rPr>
        <w:t>Participants shall not be, and shall not have any of the rights or privileges of, stockholders of the Company in respect of any Shares purchasable in connection with any Grant unless and until (i) such Shares (in case of an issuance of new Shares) have been issued by the Company and (ii) such Participants and their ownership of such Shares have been entered into the register of registered shares of the Company.</w:t>
      </w:r>
    </w:p>
    <w:p>
      <w:pPr>
        <w:spacing w:after="0" w:line="148" w:lineRule="exact"/>
        <w:rPr>
          <w:rFonts w:ascii="Arial" w:cs="Arial" w:eastAsia="Arial" w:hAnsi="Arial"/>
          <w:sz w:val="16"/>
          <w:szCs w:val="16"/>
          <w:color w:val="auto"/>
        </w:rPr>
      </w:pPr>
    </w:p>
    <w:p>
      <w:pPr>
        <w:ind w:left="552" w:right="660" w:firstLine="204"/>
        <w:spacing w:after="0" w:line="277" w:lineRule="auto"/>
        <w:tabs>
          <w:tab w:leader="none" w:pos="1361" w:val="left"/>
        </w:tabs>
        <w:numPr>
          <w:ilvl w:val="1"/>
          <w:numId w:val="141"/>
        </w:numPr>
        <w:rPr>
          <w:rFonts w:ascii="Arial" w:cs="Arial" w:eastAsia="Arial" w:hAnsi="Arial"/>
          <w:sz w:val="18"/>
          <w:szCs w:val="18"/>
          <w:color w:val="auto"/>
        </w:rPr>
      </w:pPr>
      <w:r>
        <w:rPr>
          <w:rFonts w:ascii="Arial" w:cs="Arial" w:eastAsia="Arial" w:hAnsi="Arial"/>
          <w:sz w:val="18"/>
          <w:szCs w:val="18"/>
          <w:color w:val="auto"/>
        </w:rPr>
        <w:t>No election as to benefits or exercise of any Grant may be made during a Participant's lifetime by anyone other than the Participant except by a legal representative appointed for or by the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417195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52"/>
          </w:cols>
          <w:pgMar w:left="328" w:top="341" w:right="619" w:bottom="1440" w:gutter="0" w:footer="0" w:header="0"/>
        </w:sectPr>
      </w:pPr>
    </w:p>
    <w:bookmarkStart w:id="80" w:name="page81"/>
    <w:bookmarkEnd w:id="80"/>
    <w:p>
      <w:pPr>
        <w:jc w:val="both"/>
        <w:ind w:left="552" w:right="280" w:firstLine="204"/>
        <w:spacing w:after="0" w:line="257" w:lineRule="auto"/>
        <w:tabs>
          <w:tab w:leader="none" w:pos="1318"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Absent express provisions to the contrary, any Grant under this Plan shall not be deemed compensation for purposes of computing benefits or contributions under any retirement or severance plan of the Company or other Service Recipient and shall not affect any benefits under any other benefit plan of any kind now or subsequently in effect under which the availability or amount of benefits is related to level of compensation. This Plan is not a "Retirement Plan" or "Welfare Plan" under the Employee Retirement Income Security Act of 1974, as amended.</w:t>
      </w:r>
    </w:p>
    <w:p>
      <w:pPr>
        <w:spacing w:after="0" w:line="187" w:lineRule="exact"/>
        <w:rPr>
          <w:rFonts w:ascii="Arial" w:cs="Arial" w:eastAsia="Arial" w:hAnsi="Arial"/>
          <w:sz w:val="18"/>
          <w:szCs w:val="18"/>
          <w:color w:val="auto"/>
        </w:rPr>
      </w:pPr>
    </w:p>
    <w:p>
      <w:pPr>
        <w:jc w:val="both"/>
        <w:ind w:left="552" w:right="280" w:firstLine="204"/>
        <w:spacing w:after="0" w:line="271" w:lineRule="auto"/>
        <w:tabs>
          <w:tab w:leader="none" w:pos="1317" w:val="left"/>
        </w:tabs>
        <w:numPr>
          <w:ilvl w:val="0"/>
          <w:numId w:val="142"/>
        </w:numPr>
        <w:rPr>
          <w:rFonts w:ascii="Arial" w:cs="Arial" w:eastAsia="Arial" w:hAnsi="Arial"/>
          <w:sz w:val="17"/>
          <w:szCs w:val="17"/>
          <w:color w:val="auto"/>
        </w:rPr>
      </w:pPr>
      <w:r>
        <w:rPr>
          <w:rFonts w:ascii="Arial" w:cs="Arial" w:eastAsia="Arial" w:hAnsi="Arial"/>
          <w:sz w:val="17"/>
          <w:szCs w:val="17"/>
          <w:color w:val="auto"/>
        </w:rPr>
        <w:t>A Grant under this Plan does not form part of the Participant's entitlement (if any) to remuneration, payment or receipt of any other benefits pursuant to any Other Relevant Agreement he or she may have with the Company or a Service Recipient nor does the existence of any Other Relevant Agreement between any person and the Company or a Service Recipient give such person any right or entitlement to have any Grant under this Plan nor any expectation to such Grant. The rights and obligations of a Participant under the terms of his or her Other Relevant Agreement (if any) with the Company or a Service Recipient shall not be affected by any Grant hereunder. The rights granted to a Participant (who is also a party to any Other Relevant (Agreement) upon a Grant hereunder shall not afford such Participant any rights or additional rights to compensation or damages in consequence of the loss or termination of his or her office or employment with or his or her provision of services to the Company or a Service Recipient for any reason whatsoever.</w:t>
      </w:r>
    </w:p>
    <w:p>
      <w:pPr>
        <w:spacing w:after="0" w:line="178" w:lineRule="exact"/>
        <w:rPr>
          <w:rFonts w:ascii="Arial" w:cs="Arial" w:eastAsia="Arial" w:hAnsi="Arial"/>
          <w:sz w:val="17"/>
          <w:szCs w:val="17"/>
          <w:color w:val="auto"/>
        </w:rPr>
      </w:pPr>
    </w:p>
    <w:p>
      <w:pPr>
        <w:jc w:val="both"/>
        <w:ind w:left="552" w:right="300" w:firstLine="204"/>
        <w:spacing w:after="0" w:line="311" w:lineRule="auto"/>
        <w:tabs>
          <w:tab w:leader="none" w:pos="1267" w:val="left"/>
        </w:tabs>
        <w:numPr>
          <w:ilvl w:val="0"/>
          <w:numId w:val="142"/>
        </w:numPr>
        <w:rPr>
          <w:rFonts w:ascii="Arial" w:cs="Arial" w:eastAsia="Arial" w:hAnsi="Arial"/>
          <w:sz w:val="16"/>
          <w:szCs w:val="16"/>
          <w:color w:val="auto"/>
        </w:rPr>
      </w:pPr>
      <w:r>
        <w:rPr>
          <w:rFonts w:ascii="Arial" w:cs="Arial" w:eastAsia="Arial" w:hAnsi="Arial"/>
          <w:sz w:val="16"/>
          <w:szCs w:val="16"/>
          <w:color w:val="auto"/>
        </w:rPr>
        <w:t>A Participant shall not be entitled to any compensation or damages for any loss or potential loss which he or she may suffer by reason of being or becoming unable to exercise an Option under the Plan in consequence of the loss or termination of his or her Other Relevant Agreement with the Company or a Service Recipient for any reason (including, without limitation, any breach of contract by the Participant).</w:t>
      </w:r>
    </w:p>
    <w:p>
      <w:pPr>
        <w:spacing w:after="0" w:line="148" w:lineRule="exact"/>
        <w:rPr>
          <w:rFonts w:ascii="Arial" w:cs="Arial" w:eastAsia="Arial" w:hAnsi="Arial"/>
          <w:sz w:val="16"/>
          <w:szCs w:val="16"/>
          <w:color w:val="auto"/>
        </w:rPr>
      </w:pPr>
    </w:p>
    <w:p>
      <w:pPr>
        <w:jc w:val="both"/>
        <w:ind w:left="552" w:right="280" w:firstLine="204"/>
        <w:spacing w:after="0" w:line="263" w:lineRule="auto"/>
        <w:tabs>
          <w:tab w:leader="none" w:pos="1369" w:val="left"/>
        </w:tabs>
        <w:numPr>
          <w:ilvl w:val="0"/>
          <w:numId w:val="142"/>
        </w:numPr>
        <w:rPr>
          <w:rFonts w:ascii="Arial" w:cs="Arial" w:eastAsia="Arial" w:hAnsi="Arial"/>
          <w:sz w:val="18"/>
          <w:szCs w:val="18"/>
          <w:color w:val="auto"/>
        </w:rPr>
      </w:pPr>
      <w:r>
        <w:rPr>
          <w:rFonts w:ascii="Arial" w:cs="Arial" w:eastAsia="Arial" w:hAnsi="Arial"/>
          <w:sz w:val="18"/>
          <w:szCs w:val="18"/>
          <w:color w:val="auto"/>
        </w:rPr>
        <w:t>Unless the Committee determines otherwise, no benefit or promise under the Plan shall be secured by any specific assets of the Company or any other Service Recipient, nor shall any assets of the Company or any other Service Recipient be designated as attributable or allocated to the satisfaction of the Company's obligations under the Plan.</w:t>
      </w:r>
    </w:p>
    <w:p>
      <w:pPr>
        <w:spacing w:after="0" w:line="184" w:lineRule="exact"/>
        <w:rPr>
          <w:sz w:val="20"/>
          <w:szCs w:val="20"/>
          <w:color w:val="auto"/>
        </w:rPr>
      </w:pPr>
    </w:p>
    <w:p>
      <w:pPr>
        <w:ind w:left="552" w:hanging="552"/>
        <w:spacing w:after="0"/>
        <w:tabs>
          <w:tab w:leader="none" w:pos="552"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Transfers and Leaves of Absence</w:t>
      </w:r>
    </w:p>
    <w:p>
      <w:pPr>
        <w:spacing w:after="0" w:line="225" w:lineRule="exact"/>
        <w:rPr>
          <w:sz w:val="20"/>
          <w:szCs w:val="20"/>
          <w:color w:val="auto"/>
        </w:rPr>
      </w:pPr>
    </w:p>
    <w:p>
      <w:pPr>
        <w:jc w:val="both"/>
        <w:ind w:left="552"/>
        <w:spacing w:after="0" w:line="259" w:lineRule="auto"/>
        <w:rPr>
          <w:sz w:val="20"/>
          <w:szCs w:val="20"/>
          <w:color w:val="auto"/>
        </w:rPr>
      </w:pPr>
      <w:r>
        <w:rPr>
          <w:rFonts w:ascii="Arial" w:cs="Arial" w:eastAsia="Arial" w:hAnsi="Arial"/>
          <w:sz w:val="18"/>
          <w:szCs w:val="18"/>
          <w:color w:val="auto"/>
        </w:rPr>
        <w:t>For purposes of the Plan, unless the Committee determines otherwise: (a) a transfer of a Participant's employment without an intervening period of separation among the Company and any other Service Recipient shall not be deemed a termination of employment, and (b) a Participant who is granted in writing a leave of absence or who is entitled to a statutory leave of absence shall be deemed to have remained in the employ of the Company (and other Service Recipient) during such leave of absence.</w:t>
      </w:r>
    </w:p>
    <w:p>
      <w:pPr>
        <w:spacing w:after="0" w:line="187" w:lineRule="exact"/>
        <w:rPr>
          <w:sz w:val="20"/>
          <w:szCs w:val="20"/>
          <w:color w:val="auto"/>
        </w:rPr>
      </w:pPr>
    </w:p>
    <w:p>
      <w:pPr>
        <w:ind w:left="552" w:hanging="552"/>
        <w:spacing w:after="0"/>
        <w:tabs>
          <w:tab w:leader="none" w:pos="552"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Adjustments</w:t>
      </w:r>
    </w:p>
    <w:p>
      <w:pPr>
        <w:spacing w:after="0" w:line="225" w:lineRule="exact"/>
        <w:rPr>
          <w:rFonts w:ascii="Arial" w:cs="Arial" w:eastAsia="Arial" w:hAnsi="Arial"/>
          <w:sz w:val="18"/>
          <w:szCs w:val="18"/>
          <w:color w:val="auto"/>
        </w:rPr>
      </w:pPr>
    </w:p>
    <w:p>
      <w:pPr>
        <w:jc w:val="both"/>
        <w:ind w:left="552"/>
        <w:spacing w:after="0" w:line="296" w:lineRule="auto"/>
        <w:rPr>
          <w:rFonts w:ascii="Arial" w:cs="Arial" w:eastAsia="Arial" w:hAnsi="Arial"/>
          <w:sz w:val="18"/>
          <w:szCs w:val="18"/>
          <w:color w:val="auto"/>
        </w:rPr>
      </w:pPr>
      <w:r>
        <w:rPr>
          <w:rFonts w:ascii="Arial" w:cs="Arial" w:eastAsia="Arial" w:hAnsi="Arial"/>
          <w:sz w:val="16"/>
          <w:szCs w:val="16"/>
          <w:color w:val="auto"/>
        </w:rPr>
        <w:t>In the event of any stock split, spin-off, share combination, reclassification, change of the legal form, recapitalization, liquidation, dissolution, reorganization, merger, Change in Control, payment of a dividend (other than a cash dividend paid as part of a regular dividend program) or other similar transaction or occurrence which affects the equity securities of the Company or the value thereof, the Committee shall (i) adjust the number and kind of shares subject to the Plan and available for or covered by Grants, (ii) adjust the share prices related to outstanding Grants (provided that in no event shall the per share price of an award be reduced to an amount that is lower than the nominal value of a share), and/or</w:t>
      </w:r>
    </w:p>
    <w:p>
      <w:pPr>
        <w:spacing w:after="0" w:line="161" w:lineRule="exact"/>
        <w:rPr>
          <w:rFonts w:ascii="Arial" w:cs="Arial" w:eastAsia="Arial" w:hAnsi="Arial"/>
          <w:sz w:val="18"/>
          <w:szCs w:val="18"/>
          <w:color w:val="auto"/>
        </w:rPr>
      </w:pPr>
    </w:p>
    <w:p>
      <w:pPr>
        <w:jc w:val="both"/>
        <w:ind w:left="552"/>
        <w:spacing w:after="0" w:line="257" w:lineRule="auto"/>
        <w:rPr>
          <w:rFonts w:ascii="Arial" w:cs="Arial" w:eastAsia="Arial" w:hAnsi="Arial"/>
          <w:sz w:val="18"/>
          <w:szCs w:val="18"/>
          <w:color w:val="auto"/>
        </w:rPr>
      </w:pPr>
      <w:r>
        <w:rPr>
          <w:rFonts w:ascii="Arial" w:cs="Arial" w:eastAsia="Arial" w:hAnsi="Arial"/>
          <w:sz w:val="18"/>
          <w:szCs w:val="18"/>
          <w:color w:val="auto"/>
        </w:rPr>
        <w:t>take such other action (including, without limitation providing for payment of a cash amount to holders of outstanding Grants and adjusting performance targets), in each case as it deems reasonably necessary to address, on an equitable basis and subject to applicable law, the effect of the applicable corporate event on the Plan and any outstanding Grants, without adverse tax consequences under Section 409A of the Code. Any such adjustment made or action taken by the Committee in accordance with the preceding sentence shall be final and binding upon holders of Options and upon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428625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341" w:right="339" w:bottom="1440" w:gutter="0" w:footer="0" w:header="0"/>
        </w:sectPr>
      </w:pPr>
    </w:p>
    <w:bookmarkStart w:id="81" w:name="page82"/>
    <w:bookmarkEnd w:id="81"/>
    <w:p>
      <w:pPr>
        <w:ind w:left="552" w:hanging="552"/>
        <w:spacing w:after="0"/>
        <w:tabs>
          <w:tab w:leader="none" w:pos="552" w:val="left"/>
        </w:tabs>
        <w:numPr>
          <w:ilvl w:val="0"/>
          <w:numId w:val="145"/>
        </w:numPr>
        <w:rPr>
          <w:rFonts w:ascii="Arial" w:cs="Arial" w:eastAsia="Arial" w:hAnsi="Arial"/>
          <w:sz w:val="18"/>
          <w:szCs w:val="18"/>
          <w:color w:val="auto"/>
        </w:rPr>
      </w:pPr>
      <w:r>
        <w:rPr>
          <w:rFonts w:ascii="Arial" w:cs="Arial" w:eastAsia="Arial" w:hAnsi="Arial"/>
          <w:sz w:val="18"/>
          <w:szCs w:val="18"/>
          <w:u w:val="single" w:color="auto"/>
          <w:color w:val="auto"/>
        </w:rPr>
        <w:t>Change in Control</w:t>
      </w:r>
    </w:p>
    <w:p>
      <w:pPr>
        <w:spacing w:after="0" w:line="225" w:lineRule="exact"/>
        <w:rPr>
          <w:rFonts w:ascii="Arial" w:cs="Arial" w:eastAsia="Arial" w:hAnsi="Arial"/>
          <w:sz w:val="18"/>
          <w:szCs w:val="18"/>
          <w:color w:val="auto"/>
        </w:rPr>
      </w:pPr>
    </w:p>
    <w:p>
      <w:pPr>
        <w:jc w:val="both"/>
        <w:ind w:left="552"/>
        <w:spacing w:after="0" w:line="268" w:lineRule="auto"/>
        <w:rPr>
          <w:rFonts w:ascii="Arial" w:cs="Arial" w:eastAsia="Arial" w:hAnsi="Arial"/>
          <w:sz w:val="18"/>
          <w:szCs w:val="18"/>
          <w:color w:val="auto"/>
        </w:rPr>
      </w:pPr>
      <w:r>
        <w:rPr>
          <w:rFonts w:ascii="Arial" w:cs="Arial" w:eastAsia="Arial" w:hAnsi="Arial"/>
          <w:sz w:val="17"/>
          <w:szCs w:val="17"/>
          <w:color w:val="auto"/>
        </w:rPr>
        <w:t>In the event of a Change in Control: (a) if determined by the Committee in the applicable Grant Agreement or otherwise determined by the Committee in its sole discretion, any outstanding Grants then held by Participants which are unexercisable or otherwise unvested or subject to lapse restrictions may automatically be deemed exercisable or otherwise vested or no longer subject to lapse restrictions, as the case may be, as of immediately prior to such Change in Control and (b) the Committee may, to the extent determined by the Committee to be permitted under Section 409A of the Code, but shall not be obligated to: (i) cancel such awards for Fair Market Value which for these purposes shall equal the excess, if any, of the value of the consideration to be paid in the Change in Control transaction to holders of the same number of Shares subject to such Stock Options (or, if no consideration is paid in any such transaction, the Fair Market Value of the Shares subject to such Stock Options) over the aggregate option price of such Stock Options (and for the avoidance of doubt, any Stock Options having an exercise price equal to or greater than the consideration to be paid in the Change in Control may be cancelled without payment in respect thereof); (ii) provide for the issuance of substitute awards that will preserve in no less favorable a manner the otherwise applicable terms of any affected Grants previously granted hereunder, as determined by the Committee in its sole discretion; or (iii) provide that for a period of at least ten Business Days prior to the Change in Control, any Stock Options shall be exercisable as to all Shares subject thereto (where, for the avoidance of doubt, Participant shall have the ability to request that such shares be withheld to satisfy the payment of the exercise price of such Stock Options and/or to satisfy any tax withholding obligations that the Participant may incur as a result of such exercise) and that upon the occurrence of the Change in Control, such Stock Options shall terminate and be of no further force and effect.</w:t>
      </w:r>
    </w:p>
    <w:p>
      <w:pPr>
        <w:spacing w:after="0" w:line="182" w:lineRule="exact"/>
        <w:rPr>
          <w:sz w:val="20"/>
          <w:szCs w:val="20"/>
          <w:color w:val="auto"/>
        </w:rPr>
      </w:pPr>
    </w:p>
    <w:p>
      <w:pPr>
        <w:ind w:left="552" w:hanging="552"/>
        <w:spacing w:after="0"/>
        <w:tabs>
          <w:tab w:leader="none" w:pos="552"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Amendment and Termination</w:t>
      </w:r>
    </w:p>
    <w:p>
      <w:pPr>
        <w:spacing w:after="0" w:line="225" w:lineRule="exact"/>
        <w:rPr>
          <w:rFonts w:ascii="Arial" w:cs="Arial" w:eastAsia="Arial" w:hAnsi="Arial"/>
          <w:sz w:val="18"/>
          <w:szCs w:val="18"/>
          <w:color w:val="auto"/>
        </w:rPr>
      </w:pPr>
    </w:p>
    <w:p>
      <w:pPr>
        <w:jc w:val="both"/>
        <w:ind w:left="552" w:right="280" w:firstLine="204"/>
        <w:spacing w:after="0" w:line="257" w:lineRule="auto"/>
        <w:tabs>
          <w:tab w:leader="none" w:pos="1258" w:val="left"/>
        </w:tabs>
        <w:numPr>
          <w:ilvl w:val="1"/>
          <w:numId w:val="146"/>
        </w:numPr>
        <w:rPr>
          <w:rFonts w:ascii="Arial" w:cs="Arial" w:eastAsia="Arial" w:hAnsi="Arial"/>
          <w:sz w:val="18"/>
          <w:szCs w:val="18"/>
          <w:color w:val="auto"/>
        </w:rPr>
      </w:pPr>
      <w:r>
        <w:rPr>
          <w:rFonts w:ascii="Arial" w:cs="Arial" w:eastAsia="Arial" w:hAnsi="Arial"/>
          <w:sz w:val="18"/>
          <w:szCs w:val="18"/>
          <w:color w:val="auto"/>
        </w:rPr>
        <w:t xml:space="preserve">The Committee shall have the authority to make such amendments to any terms and conditions applicable to outstanding Grants as are consistent with this Plan,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action shall modify any Grant in a manner that is disadvantageous in more than a de minimis manner to a Participant with respect to any outstanding Grants, other than to correct any good faith typographical error or omission, without the Participant's consent, except as such modification is provided for or contemplated in the terms of the Grant or this Plan (including, without limitation, Sections 8, 9 and 10(c) hereof).</w:t>
      </w:r>
    </w:p>
    <w:p>
      <w:pPr>
        <w:spacing w:after="0" w:line="187" w:lineRule="exact"/>
        <w:rPr>
          <w:rFonts w:ascii="Arial" w:cs="Arial" w:eastAsia="Arial" w:hAnsi="Arial"/>
          <w:sz w:val="18"/>
          <w:szCs w:val="18"/>
          <w:color w:val="auto"/>
        </w:rPr>
      </w:pPr>
    </w:p>
    <w:p>
      <w:pPr>
        <w:jc w:val="both"/>
        <w:ind w:left="552" w:right="280" w:firstLine="204"/>
        <w:spacing w:after="0" w:line="296" w:lineRule="auto"/>
        <w:tabs>
          <w:tab w:leader="none" w:pos="1350" w:val="left"/>
        </w:tabs>
        <w:numPr>
          <w:ilvl w:val="1"/>
          <w:numId w:val="146"/>
        </w:numPr>
        <w:rPr>
          <w:rFonts w:ascii="Arial" w:cs="Arial" w:eastAsia="Arial" w:hAnsi="Arial"/>
          <w:sz w:val="16"/>
          <w:szCs w:val="16"/>
          <w:color w:val="auto"/>
        </w:rPr>
      </w:pPr>
      <w:r>
        <w:rPr>
          <w:rFonts w:ascii="Arial" w:cs="Arial" w:eastAsia="Arial" w:hAnsi="Arial"/>
          <w:sz w:val="16"/>
          <w:szCs w:val="16"/>
          <w:color w:val="auto"/>
        </w:rPr>
        <w:t xml:space="preserve">The Board may amend, suspend or terminate the Plan, </w:t>
      </w:r>
      <w:r>
        <w:rPr>
          <w:rFonts w:ascii="Arial" w:cs="Arial" w:eastAsia="Arial" w:hAnsi="Arial"/>
          <w:sz w:val="16"/>
          <w:szCs w:val="16"/>
          <w:u w:val="single" w:color="auto"/>
          <w:color w:val="auto"/>
        </w:rPr>
        <w:t>except</w:t>
      </w:r>
      <w:r>
        <w:rPr>
          <w:rFonts w:ascii="Arial" w:cs="Arial" w:eastAsia="Arial" w:hAnsi="Arial"/>
          <w:sz w:val="16"/>
          <w:szCs w:val="16"/>
          <w:color w:val="auto"/>
        </w:rPr>
        <w:t xml:space="preserve"> that no such action, other than an action under Section 8, 9 or 10(c) hereof, may be taken which would, without stockholder approval, increase the aggregate number of Shares available for Grants under the Plan, decrease the price of outstanding Grants, change the requirements relating to the Committee or, extend the term of the Plan. However, no such action by the Board shall be materially disadvantageous to a Participant with respect to any outstanding Grants, without the Participant's consent, except as otherwise contemplated in the terms of the Grant or the Plan (including, without limitation, Sections 8, 9 and 10(c) hereof).</w:t>
      </w:r>
    </w:p>
    <w:p>
      <w:pPr>
        <w:spacing w:after="0" w:line="161" w:lineRule="exact"/>
        <w:rPr>
          <w:rFonts w:ascii="Arial" w:cs="Arial" w:eastAsia="Arial" w:hAnsi="Arial"/>
          <w:sz w:val="16"/>
          <w:szCs w:val="16"/>
          <w:color w:val="auto"/>
        </w:rPr>
      </w:pPr>
    </w:p>
    <w:p>
      <w:pPr>
        <w:jc w:val="both"/>
        <w:ind w:left="552" w:right="280" w:firstLine="204"/>
        <w:spacing w:after="0" w:line="286" w:lineRule="auto"/>
        <w:tabs>
          <w:tab w:leader="none" w:pos="1295" w:val="left"/>
        </w:tabs>
        <w:numPr>
          <w:ilvl w:val="1"/>
          <w:numId w:val="146"/>
        </w:numPr>
        <w:rPr>
          <w:rFonts w:ascii="Arial" w:cs="Arial" w:eastAsia="Arial" w:hAnsi="Arial"/>
          <w:sz w:val="16"/>
          <w:szCs w:val="16"/>
          <w:color w:val="auto"/>
        </w:rPr>
      </w:pPr>
      <w:r>
        <w:rPr>
          <w:rFonts w:ascii="Arial" w:cs="Arial" w:eastAsia="Arial" w:hAnsi="Arial"/>
          <w:sz w:val="16"/>
          <w:szCs w:val="16"/>
          <w:color w:val="auto"/>
        </w:rPr>
        <w:t>This Plan is intended to comply with Section 409A of the Code and will be interpreted in a manner intended to comply with Section 409A of the Code. Notwithstanding anything herein to the contrary, (i) if at the time of the Participant's termination of employment with any Service Recipient the Participant is a "specified employee" as defined in Section 409A of the Code, and the deferral of the commencement of any payments or benefits otherwise payable hereunder as a result of such termination of service is necessary in order to prevent the imposition of any accelerated or additional tax under Section 409A of the Code, then the Company will defer the commencement of the payment of any such payments or benefits hereunder (without any reduction in such payments or benefits ultimately paid or provided to the Participant) until the date that is six months and one day following the Participant's termination of employment with all Service Recipients (or the earliest date as is permitted under Section 409A of the Code), if such payment or benefit is payable upon a termination of employment and (ii) if any other payments of money or other benefits due to the Participant hereunder would cause the application of an accelerated or additional tax under Section 409A of the Code, such payments or other benefits shall be deferred, if deferral will make such payment or other benefits compliant under Section 409A of the Code, or otherwise such payment or other benefits shall be restructured, to the extent possible, in a manner, reasonably determined by the Board in consultation with the Participant, that does not cause such an accelerated or additional tax or result in an additional cost to the Company (without any reduction in such payments or benefits ultimately paid or provided to the Participant). Any payment of any Award that is payable in installments shall be deemed a "separate payment" for purposes of Section 409A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417195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341" w:right="339" w:bottom="1440" w:gutter="0" w:footer="0" w:header="0"/>
        </w:sectPr>
      </w:pPr>
    </w:p>
    <w:bookmarkStart w:id="82" w:name="page83"/>
    <w:bookmarkEnd w:id="82"/>
    <w:p>
      <w:pPr>
        <w:ind w:left="552" w:hanging="552"/>
        <w:spacing w:after="0"/>
        <w:tabs>
          <w:tab w:leader="none" w:pos="552"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Governing Law; International Participants</w:t>
      </w:r>
    </w:p>
    <w:p>
      <w:pPr>
        <w:spacing w:after="0" w:line="225" w:lineRule="exact"/>
        <w:rPr>
          <w:rFonts w:ascii="Arial" w:cs="Arial" w:eastAsia="Arial" w:hAnsi="Arial"/>
          <w:sz w:val="18"/>
          <w:szCs w:val="18"/>
          <w:color w:val="auto"/>
        </w:rPr>
      </w:pPr>
    </w:p>
    <w:p>
      <w:pPr>
        <w:ind w:left="1272" w:hanging="516"/>
        <w:spacing w:after="0"/>
        <w:tabs>
          <w:tab w:leader="none" w:pos="1272" w:val="left"/>
        </w:tabs>
        <w:numPr>
          <w:ilvl w:val="1"/>
          <w:numId w:val="147"/>
        </w:numPr>
        <w:rPr>
          <w:rFonts w:ascii="Arial" w:cs="Arial" w:eastAsia="Arial" w:hAnsi="Arial"/>
          <w:sz w:val="18"/>
          <w:szCs w:val="18"/>
          <w:color w:val="auto"/>
        </w:rPr>
      </w:pPr>
      <w:r>
        <w:rPr>
          <w:rFonts w:ascii="Arial" w:cs="Arial" w:eastAsia="Arial" w:hAnsi="Arial"/>
          <w:sz w:val="18"/>
          <w:szCs w:val="18"/>
          <w:color w:val="auto"/>
        </w:rPr>
        <w:t>This Plan shall be governed by and construed in accordance with the laws of the State of New York applicable therein.</w:t>
      </w:r>
    </w:p>
    <w:p>
      <w:pPr>
        <w:spacing w:after="0" w:line="225" w:lineRule="exact"/>
        <w:rPr>
          <w:rFonts w:ascii="Arial" w:cs="Arial" w:eastAsia="Arial" w:hAnsi="Arial"/>
          <w:sz w:val="18"/>
          <w:szCs w:val="18"/>
          <w:color w:val="auto"/>
        </w:rPr>
      </w:pPr>
    </w:p>
    <w:p>
      <w:pPr>
        <w:jc w:val="both"/>
        <w:ind w:left="552" w:right="280" w:firstLine="204"/>
        <w:spacing w:after="0" w:line="279" w:lineRule="auto"/>
        <w:tabs>
          <w:tab w:leader="none" w:pos="1389" w:val="left"/>
        </w:tabs>
        <w:numPr>
          <w:ilvl w:val="1"/>
          <w:numId w:val="147"/>
        </w:numPr>
        <w:rPr>
          <w:rFonts w:ascii="Arial" w:cs="Arial" w:eastAsia="Arial" w:hAnsi="Arial"/>
          <w:sz w:val="17"/>
          <w:szCs w:val="17"/>
          <w:color w:val="auto"/>
        </w:rPr>
      </w:pPr>
      <w:r>
        <w:rPr>
          <w:rFonts w:ascii="Arial" w:cs="Arial" w:eastAsia="Arial" w:hAnsi="Arial"/>
          <w:sz w:val="17"/>
          <w:szCs w:val="17"/>
          <w:color w:val="auto"/>
        </w:rPr>
        <w:t>With respect to Participants who reside or work outside the United States of America, the Committee may, in its sole discretion, amend the terms of the Plan or awards with respect to such Participants in order to conform such terms with the requirements of local law or to obtain more favorable tax or other treatment for a Participant, the Company or any other Service Recipient, including establish a sub-plan containing terms identical to those contained in this Plan document and any Grant Agreement.</w:t>
      </w:r>
    </w:p>
    <w:p>
      <w:pPr>
        <w:spacing w:after="0" w:line="171" w:lineRule="exact"/>
        <w:rPr>
          <w:rFonts w:ascii="Arial" w:cs="Arial" w:eastAsia="Arial" w:hAnsi="Arial"/>
          <w:sz w:val="17"/>
          <w:szCs w:val="17"/>
          <w:color w:val="auto"/>
        </w:rPr>
      </w:pPr>
    </w:p>
    <w:p>
      <w:pPr>
        <w:ind w:left="552" w:hanging="552"/>
        <w:spacing w:after="0"/>
        <w:tabs>
          <w:tab w:leader="none" w:pos="552"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Withholding Taxes</w:t>
      </w:r>
    </w:p>
    <w:p>
      <w:pPr>
        <w:spacing w:after="0" w:line="225" w:lineRule="exact"/>
        <w:rPr>
          <w:rFonts w:ascii="Arial" w:cs="Arial" w:eastAsia="Arial" w:hAnsi="Arial"/>
          <w:sz w:val="18"/>
          <w:szCs w:val="18"/>
          <w:color w:val="auto"/>
        </w:rPr>
      </w:pPr>
    </w:p>
    <w:p>
      <w:pPr>
        <w:jc w:val="both"/>
        <w:ind w:left="552"/>
        <w:spacing w:after="0" w:line="259" w:lineRule="auto"/>
        <w:rPr>
          <w:rFonts w:ascii="Arial" w:cs="Arial" w:eastAsia="Arial" w:hAnsi="Arial"/>
          <w:sz w:val="18"/>
          <w:szCs w:val="18"/>
          <w:color w:val="auto"/>
        </w:rPr>
      </w:pPr>
      <w:r>
        <w:rPr>
          <w:rFonts w:ascii="Arial" w:cs="Arial" w:eastAsia="Arial" w:hAnsi="Arial"/>
          <w:sz w:val="18"/>
          <w:szCs w:val="18"/>
          <w:color w:val="auto"/>
        </w:rPr>
        <w:t>The Company shall have the right to deduct from any payment made under the Plan any federal, state or local income or other taxes required by law to be withheld with respect to such payment. It shall be a condition to the obligation of the Company to deliver Shares upon the exercise of a Stock Option that the Participant pays to the Company such amount as may be requested by the Company for the purpose of satisfying any liability for such withholding taxes.</w:t>
      </w:r>
    </w:p>
    <w:p>
      <w:pPr>
        <w:spacing w:after="0" w:line="186" w:lineRule="exact"/>
        <w:rPr>
          <w:rFonts w:ascii="Arial" w:cs="Arial" w:eastAsia="Arial" w:hAnsi="Arial"/>
          <w:sz w:val="18"/>
          <w:szCs w:val="18"/>
          <w:color w:val="auto"/>
        </w:rPr>
      </w:pPr>
    </w:p>
    <w:p>
      <w:pPr>
        <w:ind w:left="552" w:hanging="552"/>
        <w:spacing w:after="0"/>
        <w:tabs>
          <w:tab w:leader="none" w:pos="552"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Effective Date and Termination Dates</w:t>
      </w:r>
    </w:p>
    <w:p>
      <w:pPr>
        <w:spacing w:after="0" w:line="225" w:lineRule="exact"/>
        <w:rPr>
          <w:rFonts w:ascii="Arial" w:cs="Arial" w:eastAsia="Arial" w:hAnsi="Arial"/>
          <w:sz w:val="18"/>
          <w:szCs w:val="18"/>
          <w:color w:val="auto"/>
        </w:rPr>
      </w:pPr>
    </w:p>
    <w:p>
      <w:pPr>
        <w:jc w:val="both"/>
        <w:ind w:left="552"/>
        <w:spacing w:after="0" w:line="263" w:lineRule="auto"/>
        <w:rPr>
          <w:rFonts w:ascii="Arial" w:cs="Arial" w:eastAsia="Arial" w:hAnsi="Arial"/>
          <w:sz w:val="18"/>
          <w:szCs w:val="18"/>
          <w:color w:val="auto"/>
        </w:rPr>
      </w:pPr>
      <w:r>
        <w:rPr>
          <w:rFonts w:ascii="Arial" w:cs="Arial" w:eastAsia="Arial" w:hAnsi="Arial"/>
          <w:sz w:val="18"/>
          <w:szCs w:val="18"/>
          <w:color w:val="auto"/>
        </w:rPr>
        <w:t>The Plan became effective on September 23, 2013 and shall terminate ten years later, subject to earlier termination by the Board pursuant to Section 10, but the terms of Grants made on or before the expiration of the Plan shall extend beyond such expiration in accordance with their terms. As of the Assumption Date, no new awards have been or shall be granted under the Plan.</w:t>
      </w:r>
    </w:p>
    <w:p>
      <w:pPr>
        <w:spacing w:after="0" w:line="183" w:lineRule="exact"/>
        <w:rPr>
          <w:rFonts w:ascii="Arial" w:cs="Arial" w:eastAsia="Arial" w:hAnsi="Arial"/>
          <w:sz w:val="18"/>
          <w:szCs w:val="18"/>
          <w:color w:val="auto"/>
        </w:rPr>
      </w:pPr>
    </w:p>
    <w:p>
      <w:pPr>
        <w:ind w:left="552" w:hanging="552"/>
        <w:spacing w:after="0"/>
        <w:tabs>
          <w:tab w:leader="none" w:pos="552"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Compliance</w:t>
      </w:r>
    </w:p>
    <w:p>
      <w:pPr>
        <w:spacing w:after="0" w:line="225" w:lineRule="exact"/>
        <w:rPr>
          <w:rFonts w:ascii="Arial" w:cs="Arial" w:eastAsia="Arial" w:hAnsi="Arial"/>
          <w:sz w:val="18"/>
          <w:szCs w:val="18"/>
          <w:color w:val="auto"/>
        </w:rPr>
      </w:pPr>
    </w:p>
    <w:p>
      <w:pPr>
        <w:jc w:val="both"/>
        <w:ind w:left="552"/>
        <w:spacing w:after="0" w:line="257" w:lineRule="auto"/>
        <w:rPr>
          <w:rFonts w:ascii="Arial" w:cs="Arial" w:eastAsia="Arial" w:hAnsi="Arial"/>
          <w:sz w:val="18"/>
          <w:szCs w:val="18"/>
          <w:color w:val="auto"/>
        </w:rPr>
      </w:pPr>
      <w:r>
        <w:rPr>
          <w:rFonts w:ascii="Arial" w:cs="Arial" w:eastAsia="Arial" w:hAnsi="Arial"/>
          <w:sz w:val="18"/>
          <w:szCs w:val="18"/>
          <w:color w:val="auto"/>
        </w:rPr>
        <w:t>Notwithstanding any other provision of this Plan, (a) the Company shall not be obliged to issue any Shares pursuant to an award unless at least the nominal value of each such newly issued Share has been fully paid in advance in accordance with applicable law (which requirement may mean the holder of an award is obliged to make such payment) and (b) the Company shall not be obliged to issue or deliver any Shares in satisfaction of awards until all legal and regulatory requirements associated with such issue or delivery have been complied with to the satisfaction of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428625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341" w:right="339" w:bottom="1440" w:gutter="0" w:footer="0" w:header="0"/>
        </w:sectPr>
      </w:pPr>
    </w:p>
    <w:bookmarkStart w:id="83" w:name="page84"/>
    <w:bookmarkEnd w:id="83"/>
    <w:p>
      <w:pPr>
        <w:jc w:val="center"/>
        <w:ind w:right="560"/>
        <w:spacing w:after="0"/>
        <w:rPr>
          <w:sz w:val="20"/>
          <w:szCs w:val="20"/>
          <w:color w:val="auto"/>
        </w:rPr>
      </w:pPr>
      <w:r>
        <w:rPr>
          <w:rFonts w:ascii="Arial" w:cs="Arial" w:eastAsia="Arial" w:hAnsi="Arial"/>
          <w:sz w:val="18"/>
          <w:szCs w:val="18"/>
          <w:b w:val="1"/>
          <w:bCs w:val="1"/>
          <w:i w:val="1"/>
          <w:iCs w:val="1"/>
          <w:color w:val="31859B"/>
        </w:rPr>
        <w:t>APPENDIX</w:t>
      </w:r>
    </w:p>
    <w:p>
      <w:pPr>
        <w:spacing w:after="0" w:line="225" w:lineRule="exact"/>
        <w:rPr>
          <w:sz w:val="20"/>
          <w:szCs w:val="20"/>
          <w:color w:val="auto"/>
        </w:rPr>
      </w:pPr>
    </w:p>
    <w:p>
      <w:pPr>
        <w:jc w:val="center"/>
        <w:ind w:right="560"/>
        <w:spacing w:after="0"/>
        <w:rPr>
          <w:sz w:val="20"/>
          <w:szCs w:val="20"/>
          <w:color w:val="auto"/>
        </w:rPr>
      </w:pPr>
      <w:r>
        <w:rPr>
          <w:rFonts w:ascii="Arial" w:cs="Arial" w:eastAsia="Arial" w:hAnsi="Arial"/>
          <w:sz w:val="18"/>
          <w:szCs w:val="18"/>
          <w:b w:val="1"/>
          <w:bCs w:val="1"/>
          <w:i w:val="1"/>
          <w:iCs w:val="1"/>
          <w:color w:val="31859B"/>
        </w:rPr>
        <w:t>TO THE 2013 STOCK INCENTIVE PLAN</w:t>
      </w:r>
    </w:p>
    <w:p>
      <w:pPr>
        <w:spacing w:after="0" w:line="221"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FOR ALL OPTIONEES OUTSIDE OF THE UNITED STATES</w:t>
      </w:r>
    </w:p>
    <w:p>
      <w:pPr>
        <w:spacing w:after="0" w:line="225"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NON-U.S. OPTIONEE ADDENDUM TO THE "</w:t>
      </w:r>
      <w:r>
        <w:rPr>
          <w:rFonts w:ascii="Arial" w:cs="Arial" w:eastAsia="Arial" w:hAnsi="Arial"/>
          <w:sz w:val="18"/>
          <w:szCs w:val="18"/>
          <w:b w:val="1"/>
          <w:bCs w:val="1"/>
          <w:i w:val="1"/>
          <w:iCs w:val="1"/>
          <w:color w:val="auto"/>
        </w:rPr>
        <w:t>PLAN</w:t>
      </w:r>
      <w:r>
        <w:rPr>
          <w:rFonts w:ascii="Arial" w:cs="Arial" w:eastAsia="Arial" w:hAnsi="Arial"/>
          <w:sz w:val="18"/>
          <w:szCs w:val="18"/>
          <w:b w:val="1"/>
          <w:bCs w:val="1"/>
          <w:color w:val="auto"/>
        </w:rPr>
        <w:t>"</w:t>
      </w:r>
    </w:p>
    <w:p>
      <w:pPr>
        <w:spacing w:after="0" w:line="225"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GOVERNING STOCK OPTION AWARDS</w:t>
      </w:r>
    </w:p>
    <w:p>
      <w:pPr>
        <w:spacing w:after="0" w:line="225" w:lineRule="exact"/>
        <w:rPr>
          <w:sz w:val="20"/>
          <w:szCs w:val="20"/>
          <w:color w:val="auto"/>
        </w:rPr>
      </w:pPr>
    </w:p>
    <w:p>
      <w:pPr>
        <w:ind w:left="2460"/>
        <w:spacing w:after="0"/>
        <w:rPr>
          <w:sz w:val="20"/>
          <w:szCs w:val="20"/>
          <w:color w:val="auto"/>
        </w:rPr>
      </w:pPr>
      <w:r>
        <w:rPr>
          <w:rFonts w:ascii="Arial" w:cs="Arial" w:eastAsia="Arial" w:hAnsi="Arial"/>
          <w:sz w:val="18"/>
          <w:szCs w:val="18"/>
          <w:b w:val="1"/>
          <w:bCs w:val="1"/>
          <w:color w:val="auto"/>
        </w:rPr>
        <w:t>OFFERED TO OPTIONEES OUTSIDE OF THE UNITED STATES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Appendix includes additional terms and conditions that govern Stock Options for Optionees residing outside of the United States.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Data Privacy – Non EU residents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The Optionee hereby explicitly and unambiguously consents to the collection, use and transfer, in electronic or other form, of the Optionee's personal data as described in this Agreement and any other Award materials by and among, as applicable, the Company and its Affiliates for the exclusive purpose of implementing, administering and managing the Optionee's participation in the Plan.</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The Optionee understands that the Company may hold certain personal information about the Optionee, including, but not limited to, the Optionee's name, home address and telephone number, date of birth, social insurance number or other identification number, salary, nationality, job title, any Common Stock or directorships held in the Company, details of all Stock Options or any other entitlement to Common Stock awarded, canceled, exercised, vested, unvested or outstanding in the Optionee's favor, for the exclusive purpose of implementing, administering and managing the Plan ("Data").</w:t>
      </w:r>
    </w:p>
    <w:p>
      <w:pPr>
        <w:spacing w:after="0" w:line="188" w:lineRule="exact"/>
        <w:rPr>
          <w:sz w:val="20"/>
          <w:szCs w:val="20"/>
          <w:color w:val="auto"/>
        </w:rPr>
      </w:pPr>
    </w:p>
    <w:p>
      <w:pPr>
        <w:jc w:val="both"/>
        <w:spacing w:after="0" w:line="307" w:lineRule="auto"/>
        <w:rPr>
          <w:sz w:val="20"/>
          <w:szCs w:val="20"/>
          <w:color w:val="auto"/>
        </w:rPr>
      </w:pPr>
      <w:r>
        <w:rPr>
          <w:rFonts w:ascii="Arial" w:cs="Arial" w:eastAsia="Arial" w:hAnsi="Arial"/>
          <w:sz w:val="15"/>
          <w:szCs w:val="15"/>
          <w:b w:val="1"/>
          <w:bCs w:val="1"/>
          <w:i w:val="1"/>
          <w:iCs w:val="1"/>
          <w:color w:val="auto"/>
        </w:rPr>
        <w:t>The Optionee understands that Data will be transferred to any third parties assisting the Company with the implementation, administration and management of the Plan. The Optionee understands that the recipients of the Data may be located in the United States or elsewhere, and that the recipients' country (e.g., the United States) may have different data privacy laws and protections than the Optionee's country. The Optionee understands that he or she may request a list with the names and addresses of any potential recipients of the Data by contacting his or her local human resources representative. The Optionee authorizes the Company and its subsidiaries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his or her participation in the Plan. The Optionee understands that Data will be held only as long as is necessary to implement, administer and manage the Optionee's participation in the Plan. The Optionee understands that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The Optionee understands, however, that refusing or withdrawing his or her consent may affect the Optionee's ability to participate in the Plan. For more information on the consequences of the Optionee's refusal to consent or withdrawal of consent, the Optionee understands that he or she may contact his or her local human resources representative.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Data Privacy – EU residents</w:t>
      </w:r>
    </w:p>
    <w:p>
      <w:pPr>
        <w:spacing w:after="0" w:line="2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All data transferred or handled in connection with the Plan will be dealt with strictly in accordance with the General Data Protection Regulation (EU 2016/679).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414020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80"/>
          </w:cols>
          <w:pgMar w:left="880" w:top="328" w:right="339" w:bottom="1440" w:gutter="0" w:footer="0" w:header="0"/>
        </w:sectPr>
      </w:pPr>
    </w:p>
    <w:bookmarkStart w:id="84" w:name="page85"/>
    <w:bookmarkEnd w:id="84"/>
    <w:p>
      <w:pPr>
        <w:jc w:val="center"/>
        <w:ind w:right="80"/>
        <w:spacing w:after="0"/>
        <w:rPr>
          <w:sz w:val="20"/>
          <w:szCs w:val="20"/>
          <w:color w:val="auto"/>
        </w:rPr>
      </w:pPr>
      <w:r>
        <w:rPr>
          <w:rFonts w:ascii="Arial" w:cs="Arial" w:eastAsia="Arial" w:hAnsi="Arial"/>
          <w:sz w:val="18"/>
          <w:szCs w:val="18"/>
          <w:b w:val="1"/>
          <w:bCs w:val="1"/>
          <w:color w:val="auto"/>
        </w:rPr>
        <w:t>FOR OPTIONEES IN UNITED KINGDOM</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The Company hereby establishes the "United Kingdom Sub-Plan for Option Grants", which sub-plan shall be maintained for residents in the United Kingdom and shall have the same terms and conditions as the Plan, and the Options granted to such residents shall be granted under the Plan pursuant to this sub-plan.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423545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00"/>
          </w:cols>
          <w:pgMar w:left="880" w:top="337" w:right="81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FOR OPTIONEES IN FRANCE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FRENCH ADDENDUM TO THE "</w:t>
      </w:r>
      <w:r>
        <w:rPr>
          <w:rFonts w:ascii="Arial" w:cs="Arial" w:eastAsia="Arial" w:hAnsi="Arial"/>
          <w:sz w:val="18"/>
          <w:szCs w:val="18"/>
          <w:b w:val="1"/>
          <w:bCs w:val="1"/>
          <w:i w:val="1"/>
          <w:iCs w:val="1"/>
          <w:color w:val="auto"/>
        </w:rPr>
        <w:t>PLAN</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GOVERNING STOCK OPTION GRANTS OFFERED TO FRENCH OPTIONEES</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This Appendix includes additional terms and conditions that govern Stock Options for Optionees residing in France.</w:t>
      </w:r>
    </w:p>
    <w:p>
      <w:pPr>
        <w:spacing w:after="0" w:line="225" w:lineRule="exact"/>
        <w:rPr>
          <w:sz w:val="20"/>
          <w:szCs w:val="20"/>
          <w:color w:val="auto"/>
        </w:rPr>
      </w:pPr>
    </w:p>
    <w:p>
      <w:pPr>
        <w:jc w:val="both"/>
        <w:ind w:left="560"/>
        <w:spacing w:after="0" w:line="263" w:lineRule="auto"/>
        <w:rPr>
          <w:sz w:val="20"/>
          <w:szCs w:val="20"/>
          <w:color w:val="auto"/>
        </w:rPr>
      </w:pPr>
      <w:r>
        <w:rPr>
          <w:rFonts w:ascii="Arial" w:cs="Arial" w:eastAsia="Arial" w:hAnsi="Arial"/>
          <w:sz w:val="18"/>
          <w:szCs w:val="18"/>
          <w:color w:val="auto"/>
        </w:rPr>
        <w:t>This Appendix constitutes a French addendum to the 2013 Stock Incentive Plan for Key Employees of PRA Health Sciences, Inc. and its Subsidiaries (formerly known as the 2013 Stock Incentive Plan for Key Employees of PRA Global Holdings, Inc. and its Subsidiaries) (the "Plan") governing Stock Option Awards offered to French Optionees (the "French Addendum").</w:t>
      </w:r>
    </w:p>
    <w:p>
      <w:pPr>
        <w:spacing w:after="0" w:line="184" w:lineRule="exact"/>
        <w:rPr>
          <w:sz w:val="20"/>
          <w:szCs w:val="20"/>
          <w:color w:val="auto"/>
        </w:rPr>
      </w:pPr>
    </w:p>
    <w:p>
      <w:pPr>
        <w:jc w:val="both"/>
        <w:ind w:left="560"/>
        <w:spacing w:after="0" w:line="311" w:lineRule="auto"/>
        <w:rPr>
          <w:sz w:val="20"/>
          <w:szCs w:val="20"/>
          <w:color w:val="auto"/>
        </w:rPr>
      </w:pPr>
      <w:r>
        <w:rPr>
          <w:rFonts w:ascii="Arial" w:cs="Arial" w:eastAsia="Arial" w:hAnsi="Arial"/>
          <w:sz w:val="16"/>
          <w:szCs w:val="16"/>
          <w:color w:val="auto"/>
        </w:rPr>
        <w:t xml:space="preserve">As per Section 11(b) </w:t>
      </w:r>
      <w:r>
        <w:rPr>
          <w:rFonts w:ascii="Arial" w:cs="Arial" w:eastAsia="Arial" w:hAnsi="Arial"/>
          <w:sz w:val="16"/>
          <w:szCs w:val="16"/>
          <w:i w:val="1"/>
          <w:iCs w:val="1"/>
          <w:color w:val="auto"/>
        </w:rPr>
        <w:t>"Governing Law; International Participants"</w:t>
      </w:r>
      <w:r>
        <w:rPr>
          <w:rFonts w:ascii="Arial" w:cs="Arial" w:eastAsia="Arial" w:hAnsi="Arial"/>
          <w:sz w:val="16"/>
          <w:szCs w:val="16"/>
          <w:color w:val="auto"/>
        </w:rPr>
        <w:t xml:space="preserve"> of the Plan, the Committee has decided to adapt the Plan rules in order to strictly comply with French laws, regulations and accounting rules governing Stock Option Awards and to ensure continued eligibility to Optionees in France to the associated specific tax and social security regime currently in force in France with respect to such Stock Option Awards.</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Therefore, the Award of Stock Options that Optionees have been granted pursuant to</w:t>
      </w:r>
    </w:p>
    <w:p>
      <w:pPr>
        <w:spacing w:after="0" w:line="225" w:lineRule="exact"/>
        <w:rPr>
          <w:sz w:val="20"/>
          <w:szCs w:val="20"/>
          <w:color w:val="auto"/>
        </w:rPr>
      </w:pPr>
    </w:p>
    <w:p>
      <w:pPr>
        <w:jc w:val="both"/>
        <w:ind w:left="560"/>
        <w:spacing w:after="0" w:line="277" w:lineRule="auto"/>
        <w:rPr>
          <w:sz w:val="20"/>
          <w:szCs w:val="20"/>
          <w:color w:val="auto"/>
        </w:rPr>
      </w:pPr>
      <w:r>
        <w:rPr>
          <w:rFonts w:ascii="Arial" w:cs="Arial" w:eastAsia="Arial" w:hAnsi="Arial"/>
          <w:sz w:val="18"/>
          <w:szCs w:val="18"/>
          <w:color w:val="auto"/>
        </w:rPr>
        <w:t>Section 5(a) "</w:t>
      </w:r>
      <w:r>
        <w:rPr>
          <w:rFonts w:ascii="Arial" w:cs="Arial" w:eastAsia="Arial" w:hAnsi="Arial"/>
          <w:sz w:val="18"/>
          <w:szCs w:val="18"/>
          <w:i w:val="1"/>
          <w:iCs w:val="1"/>
          <w:color w:val="auto"/>
        </w:rPr>
        <w:t>Stock Options</w:t>
      </w:r>
      <w:r>
        <w:rPr>
          <w:rFonts w:ascii="Arial" w:cs="Arial" w:eastAsia="Arial" w:hAnsi="Arial"/>
          <w:sz w:val="18"/>
          <w:szCs w:val="18"/>
          <w:color w:val="auto"/>
        </w:rPr>
        <w:t>" of the Plan, shall take the form of a Stock Option Award in accordance with the definition set forth in Articles L. 225-177 through L. 225-186-1 of the French Commercial Code and shall be governed by the French Addendum rules.</w:t>
      </w:r>
    </w:p>
    <w:p>
      <w:pPr>
        <w:spacing w:after="0" w:line="170" w:lineRule="exact"/>
        <w:rPr>
          <w:sz w:val="20"/>
          <w:szCs w:val="20"/>
          <w:color w:val="auto"/>
        </w:rPr>
      </w:pPr>
    </w:p>
    <w:p>
      <w:pPr>
        <w:jc w:val="both"/>
        <w:ind w:left="560"/>
        <w:spacing w:after="0" w:line="277" w:lineRule="auto"/>
        <w:rPr>
          <w:sz w:val="20"/>
          <w:szCs w:val="20"/>
          <w:color w:val="auto"/>
        </w:rPr>
      </w:pPr>
      <w:r>
        <w:rPr>
          <w:rFonts w:ascii="Arial" w:cs="Arial" w:eastAsia="Arial" w:hAnsi="Arial"/>
          <w:sz w:val="18"/>
          <w:szCs w:val="18"/>
          <w:color w:val="auto"/>
        </w:rPr>
        <w:t>The terms and conditions of this French Addendum are identical to the Plan except as provided below. Words and expressions used in this French Addendum have the same meanings as those words and expressions used in the Plan Rules.</w:t>
      </w:r>
    </w:p>
    <w:p>
      <w:pPr>
        <w:spacing w:after="0" w:line="170" w:lineRule="exact"/>
        <w:rPr>
          <w:sz w:val="20"/>
          <w:szCs w:val="20"/>
          <w:color w:val="auto"/>
        </w:rPr>
      </w:pPr>
    </w:p>
    <w:p>
      <w:pPr>
        <w:jc w:val="both"/>
        <w:ind w:left="560"/>
        <w:spacing w:after="0" w:line="277" w:lineRule="auto"/>
        <w:rPr>
          <w:sz w:val="20"/>
          <w:szCs w:val="20"/>
          <w:color w:val="auto"/>
        </w:rPr>
      </w:pPr>
      <w:r>
        <w:rPr>
          <w:rFonts w:ascii="Arial" w:cs="Arial" w:eastAsia="Arial" w:hAnsi="Arial"/>
          <w:sz w:val="18"/>
          <w:szCs w:val="18"/>
          <w:color w:val="auto"/>
        </w:rPr>
        <w:t>In addition, should the Stock Option terms and conditions specified in the Stock Option Agreement contradict the provisions set forth hereinafter, the provisions of the French Addendum shall prevail.</w:t>
      </w:r>
    </w:p>
    <w:p>
      <w:pPr>
        <w:spacing w:after="0" w:line="166" w:lineRule="exact"/>
        <w:rPr>
          <w:sz w:val="20"/>
          <w:szCs w:val="20"/>
          <w:color w:val="auto"/>
        </w:rPr>
      </w:pPr>
    </w:p>
    <w:p>
      <w:pPr>
        <w:ind w:left="560" w:hanging="552"/>
        <w:spacing w:after="0"/>
        <w:tabs>
          <w:tab w:leader="none" w:pos="560" w:val="left"/>
        </w:tabs>
        <w:numPr>
          <w:ilvl w:val="0"/>
          <w:numId w:val="148"/>
        </w:numPr>
        <w:rPr>
          <w:rFonts w:ascii="Arial" w:cs="Arial" w:eastAsia="Arial" w:hAnsi="Arial"/>
          <w:sz w:val="18"/>
          <w:szCs w:val="18"/>
          <w:color w:val="auto"/>
        </w:rPr>
      </w:pPr>
      <w:r>
        <w:rPr>
          <w:rFonts w:ascii="Arial" w:cs="Arial" w:eastAsia="Arial" w:hAnsi="Arial"/>
          <w:sz w:val="18"/>
          <w:szCs w:val="18"/>
          <w:b w:val="1"/>
          <w:bCs w:val="1"/>
          <w:color w:val="auto"/>
        </w:rPr>
        <w:t>GRANT OF OPTIONS</w:t>
      </w:r>
    </w:p>
    <w:p>
      <w:pPr>
        <w:spacing w:after="0" w:line="229" w:lineRule="exact"/>
        <w:rPr>
          <w:rFonts w:ascii="Arial" w:cs="Arial" w:eastAsia="Arial" w:hAnsi="Arial"/>
          <w:sz w:val="18"/>
          <w:szCs w:val="18"/>
          <w:color w:val="auto"/>
        </w:rPr>
      </w:pPr>
    </w:p>
    <w:p>
      <w:pPr>
        <w:ind w:left="1620" w:hanging="289"/>
        <w:spacing w:after="0"/>
        <w:tabs>
          <w:tab w:leader="none" w:pos="1620" w:val="left"/>
        </w:tabs>
        <w:numPr>
          <w:ilvl w:val="1"/>
          <w:numId w:val="148"/>
        </w:numPr>
        <w:rPr>
          <w:rFonts w:ascii="Arial" w:cs="Arial" w:eastAsia="Arial" w:hAnsi="Arial"/>
          <w:sz w:val="18"/>
          <w:szCs w:val="18"/>
          <w:color w:val="auto"/>
        </w:rPr>
      </w:pPr>
      <w:r>
        <w:rPr>
          <w:rFonts w:ascii="Arial" w:cs="Arial" w:eastAsia="Arial" w:hAnsi="Arial"/>
          <w:sz w:val="18"/>
          <w:szCs w:val="18"/>
          <w:i w:val="1"/>
          <w:iCs w:val="1"/>
          <w:color w:val="auto"/>
        </w:rPr>
        <w:t>Type of Awards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This French Addendum contains the exclusive terms and conditions of Stock Options to be granted under the Plan to eligible Participants in France.</w:t>
      </w:r>
    </w:p>
    <w:p>
      <w:pPr>
        <w:spacing w:after="0" w:line="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This French Addendum does not apply to other types of Awards defined in the Plan.</w:t>
      </w:r>
    </w:p>
    <w:p>
      <w:pPr>
        <w:spacing w:after="0" w:line="211" w:lineRule="exact"/>
        <w:rPr>
          <w:sz w:val="20"/>
          <w:szCs w:val="20"/>
          <w:color w:val="auto"/>
        </w:rPr>
      </w:pPr>
    </w:p>
    <w:p>
      <w:pPr>
        <w:ind w:left="1620" w:hanging="289"/>
        <w:spacing w:after="0"/>
        <w:tabs>
          <w:tab w:leader="none" w:pos="1620" w:val="left"/>
        </w:tabs>
        <w:numPr>
          <w:ilvl w:val="0"/>
          <w:numId w:val="149"/>
        </w:numPr>
        <w:rPr>
          <w:rFonts w:ascii="Arial" w:cs="Arial" w:eastAsia="Arial" w:hAnsi="Arial"/>
          <w:sz w:val="18"/>
          <w:szCs w:val="18"/>
          <w:color w:val="auto"/>
        </w:rPr>
      </w:pPr>
      <w:r>
        <w:rPr>
          <w:rFonts w:ascii="Arial" w:cs="Arial" w:eastAsia="Arial" w:hAnsi="Arial"/>
          <w:sz w:val="18"/>
          <w:szCs w:val="18"/>
          <w:i w:val="1"/>
          <w:iCs w:val="1"/>
          <w:color w:val="auto"/>
        </w:rPr>
        <w:t>Shares Available</w:t>
      </w:r>
    </w:p>
    <w:p>
      <w:pPr>
        <w:spacing w:after="0" w:line="225" w:lineRule="exact"/>
        <w:rPr>
          <w:sz w:val="20"/>
          <w:szCs w:val="20"/>
          <w:color w:val="auto"/>
        </w:rPr>
      </w:pPr>
    </w:p>
    <w:p>
      <w:pPr>
        <w:jc w:val="both"/>
        <w:ind w:left="560"/>
        <w:spacing w:after="0" w:line="257" w:lineRule="auto"/>
        <w:rPr>
          <w:sz w:val="20"/>
          <w:szCs w:val="20"/>
          <w:color w:val="auto"/>
        </w:rPr>
      </w:pPr>
      <w:r>
        <w:rPr>
          <w:rFonts w:ascii="Arial" w:cs="Arial" w:eastAsia="Arial" w:hAnsi="Arial"/>
          <w:sz w:val="18"/>
          <w:szCs w:val="18"/>
          <w:color w:val="auto"/>
        </w:rPr>
        <w:t>Notwithstanding any provisions of the Plan to the contrary, the total number of shares to be delivered under the French Addendum shall not exceed the lower of: (i) the maximum number of shares available for Grant under the Plan or (ii) in respect of Options to acquire existing Shares, 10% of the Company's overall share capital on the Grant Date or (iii) in respect of Options to subscribe for new Shares, one third (1/3) of the Company's share capital. Outstanding unvested Stock Options shall be treated as "Shares" in order to determine the threshold of the granting Company's share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6" w:name="page87"/>
    <w:bookmarkEnd w:id="86"/>
    <w:p>
      <w:pPr>
        <w:ind w:left="1500" w:hanging="289"/>
        <w:spacing w:after="0"/>
        <w:tabs>
          <w:tab w:leader="none" w:pos="1500" w:val="left"/>
        </w:tabs>
        <w:numPr>
          <w:ilvl w:val="0"/>
          <w:numId w:val="150"/>
        </w:numPr>
        <w:rPr>
          <w:rFonts w:ascii="Arial" w:cs="Arial" w:eastAsia="Arial" w:hAnsi="Arial"/>
          <w:sz w:val="18"/>
          <w:szCs w:val="18"/>
          <w:color w:val="auto"/>
        </w:rPr>
      </w:pPr>
      <w:r>
        <w:rPr>
          <w:rFonts w:ascii="Arial" w:cs="Arial" w:eastAsia="Arial" w:hAnsi="Arial"/>
          <w:sz w:val="18"/>
          <w:szCs w:val="18"/>
          <w:i w:val="1"/>
          <w:iCs w:val="1"/>
          <w:color w:val="auto"/>
        </w:rPr>
        <w:t>Eligible Participants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Participants who are eligible to be granted Stock Options refer exclusively to employees and/or corporate officers, such as listed below, of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Company or of the French subsidiary(ies) of which at least 10% of the voting rights and/or equity are held, directly or indirectly, by the Company:</w:t>
      </w:r>
    </w:p>
    <w:p>
      <w:pPr>
        <w:spacing w:after="0" w:line="222" w:lineRule="exact"/>
        <w:rPr>
          <w:sz w:val="20"/>
          <w:szCs w:val="20"/>
          <w:color w:val="auto"/>
        </w:rPr>
      </w:pPr>
    </w:p>
    <w:p>
      <w:pPr>
        <w:ind w:left="1620" w:hanging="328"/>
        <w:spacing w:after="0"/>
        <w:tabs>
          <w:tab w:leader="none" w:pos="162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Président du Conseil d'Administration</w:t>
      </w:r>
      <w:r>
        <w:rPr>
          <w:rFonts w:ascii="Arial" w:cs="Arial" w:eastAsia="Arial" w:hAnsi="Arial"/>
          <w:sz w:val="18"/>
          <w:szCs w:val="18"/>
          <w:color w:val="auto"/>
        </w:rPr>
        <w:t>" (Chairman of the Board);</w:t>
      </w:r>
    </w:p>
    <w:p>
      <w:pPr>
        <w:spacing w:after="0" w:line="225" w:lineRule="exact"/>
        <w:rPr>
          <w:rFonts w:ascii="Arial" w:cs="Arial" w:eastAsia="Arial" w:hAnsi="Arial"/>
          <w:sz w:val="18"/>
          <w:szCs w:val="18"/>
          <w:color w:val="auto"/>
        </w:rPr>
      </w:pPr>
    </w:p>
    <w:p>
      <w:pPr>
        <w:ind w:left="1600" w:hanging="308"/>
        <w:spacing w:after="0"/>
        <w:tabs>
          <w:tab w:leader="none" w:pos="160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Directeur Général</w:t>
      </w:r>
      <w:r>
        <w:rPr>
          <w:rFonts w:ascii="Arial" w:cs="Arial" w:eastAsia="Arial" w:hAnsi="Arial"/>
          <w:sz w:val="18"/>
          <w:szCs w:val="18"/>
          <w:color w:val="auto"/>
        </w:rPr>
        <w:t>" (Chief Executive Officer);</w:t>
      </w:r>
    </w:p>
    <w:p>
      <w:pPr>
        <w:spacing w:after="0" w:line="225" w:lineRule="exact"/>
        <w:rPr>
          <w:rFonts w:ascii="Arial" w:cs="Arial" w:eastAsia="Arial" w:hAnsi="Arial"/>
          <w:sz w:val="18"/>
          <w:szCs w:val="18"/>
          <w:color w:val="auto"/>
        </w:rPr>
      </w:pPr>
    </w:p>
    <w:p>
      <w:pPr>
        <w:ind w:left="1600" w:hanging="322"/>
        <w:spacing w:after="0"/>
        <w:tabs>
          <w:tab w:leader="none" w:pos="16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Directeurs Généraux Délégués</w:t>
      </w:r>
      <w:r>
        <w:rPr>
          <w:rFonts w:ascii="Arial" w:cs="Arial" w:eastAsia="Arial" w:hAnsi="Arial"/>
          <w:sz w:val="18"/>
          <w:szCs w:val="18"/>
          <w:color w:val="auto"/>
        </w:rPr>
        <w:t>" (Deputy Chief Executive Officers) ;</w:t>
      </w:r>
    </w:p>
    <w:p>
      <w:pPr>
        <w:spacing w:after="0" w:line="225" w:lineRule="exact"/>
        <w:rPr>
          <w:rFonts w:ascii="Arial" w:cs="Arial" w:eastAsia="Arial" w:hAnsi="Arial"/>
          <w:sz w:val="18"/>
          <w:szCs w:val="18"/>
          <w:color w:val="auto"/>
        </w:rPr>
      </w:pPr>
    </w:p>
    <w:p>
      <w:pPr>
        <w:ind w:left="1600" w:hanging="322"/>
        <w:spacing w:after="0"/>
        <w:tabs>
          <w:tab w:leader="none" w:pos="16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Members of the "</w:t>
      </w:r>
      <w:r>
        <w:rPr>
          <w:rFonts w:ascii="Arial" w:cs="Arial" w:eastAsia="Arial" w:hAnsi="Arial"/>
          <w:sz w:val="18"/>
          <w:szCs w:val="18"/>
          <w:i w:val="1"/>
          <w:iCs w:val="1"/>
          <w:color w:val="auto"/>
        </w:rPr>
        <w:t>Directoire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600" w:hanging="322"/>
        <w:spacing w:after="0"/>
        <w:tabs>
          <w:tab w:leader="none" w:pos="16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Gérant</w:t>
      </w:r>
      <w:r>
        <w:rPr>
          <w:rFonts w:ascii="Arial" w:cs="Arial" w:eastAsia="Arial" w:hAnsi="Arial"/>
          <w:sz w:val="18"/>
          <w:szCs w:val="18"/>
          <w:color w:val="auto"/>
        </w:rPr>
        <w:t>" (Manager) of a "</w:t>
      </w:r>
      <w:r>
        <w:rPr>
          <w:rFonts w:ascii="Arial" w:cs="Arial" w:eastAsia="Arial" w:hAnsi="Arial"/>
          <w:sz w:val="18"/>
          <w:szCs w:val="18"/>
          <w:i w:val="1"/>
          <w:iCs w:val="1"/>
          <w:color w:val="auto"/>
        </w:rPr>
        <w:t>Société en Commandite par Actions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600" w:hanging="322"/>
        <w:spacing w:after="0"/>
        <w:tabs>
          <w:tab w:leader="none" w:pos="16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Président</w:t>
      </w:r>
      <w:r>
        <w:rPr>
          <w:rFonts w:ascii="Arial" w:cs="Arial" w:eastAsia="Arial" w:hAnsi="Arial"/>
          <w:sz w:val="18"/>
          <w:szCs w:val="18"/>
          <w:color w:val="auto"/>
        </w:rPr>
        <w:t>" of a "</w:t>
      </w:r>
      <w:r>
        <w:rPr>
          <w:rFonts w:ascii="Arial" w:cs="Arial" w:eastAsia="Arial" w:hAnsi="Arial"/>
          <w:sz w:val="18"/>
          <w:szCs w:val="18"/>
          <w:i w:val="1"/>
          <w:iCs w:val="1"/>
          <w:color w:val="auto"/>
        </w:rPr>
        <w:t>Société par Actions Simplifiée</w:t>
      </w:r>
      <w:r>
        <w:rPr>
          <w:rFonts w:ascii="Arial" w:cs="Arial" w:eastAsia="Arial" w:hAnsi="Arial"/>
          <w:sz w:val="18"/>
          <w:szCs w:val="18"/>
          <w:color w:val="auto"/>
        </w:rPr>
        <w:t>".</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No Stock Options can be granted to non-employee members of the Board of Directors, consultants or other person having service relationship with the Company or other Service Recipient.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 Stock Options shall be granted to an eligible Participant holding more than 10% of the Company's share capital on the Grant Date.</w:t>
      </w:r>
    </w:p>
    <w:p>
      <w:pPr>
        <w:spacing w:after="0" w:line="225" w:lineRule="exact"/>
        <w:rPr>
          <w:sz w:val="20"/>
          <w:szCs w:val="20"/>
          <w:color w:val="auto"/>
        </w:rPr>
      </w:pPr>
    </w:p>
    <w:p>
      <w:pPr>
        <w:ind w:left="1500" w:hanging="289"/>
        <w:spacing w:after="0"/>
        <w:tabs>
          <w:tab w:leader="none" w:pos="1500" w:val="left"/>
        </w:tabs>
        <w:numPr>
          <w:ilvl w:val="0"/>
          <w:numId w:val="152"/>
        </w:numPr>
        <w:rPr>
          <w:rFonts w:ascii="Arial" w:cs="Arial" w:eastAsia="Arial" w:hAnsi="Arial"/>
          <w:sz w:val="18"/>
          <w:szCs w:val="18"/>
          <w:color w:val="auto"/>
        </w:rPr>
      </w:pPr>
      <w:r>
        <w:rPr>
          <w:rFonts w:ascii="Arial" w:cs="Arial" w:eastAsia="Arial" w:hAnsi="Arial"/>
          <w:sz w:val="18"/>
          <w:szCs w:val="18"/>
          <w:i w:val="1"/>
          <w:iCs w:val="1"/>
          <w:color w:val="auto"/>
        </w:rPr>
        <w:t>Adjustments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Should, after the Award's Grant Date, the provisions of Section 8 "</w:t>
      </w:r>
      <w:r>
        <w:rPr>
          <w:rFonts w:ascii="Arial" w:cs="Arial" w:eastAsia="Arial" w:hAnsi="Arial"/>
          <w:sz w:val="18"/>
          <w:szCs w:val="18"/>
          <w:i w:val="1"/>
          <w:iCs w:val="1"/>
          <w:color w:val="auto"/>
        </w:rPr>
        <w:t>Adjustments</w:t>
      </w:r>
      <w:r>
        <w:rPr>
          <w:rFonts w:ascii="Arial" w:cs="Arial" w:eastAsia="Arial" w:hAnsi="Arial"/>
          <w:sz w:val="18"/>
          <w:szCs w:val="18"/>
          <w:color w:val="auto"/>
        </w:rPr>
        <w:t>" of the Plan be enforced, the Board or the Committee shall take at its entire discretion, as soon as practicable after the occurrence of such event, the necessary measures in order to determine the impact on the legal, tax and social security treatment in France of the Awards granted hereunder.</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Pursuant to Article L. 225-181 of the French Commercial Code, in no event can the Exercise Price or the number of Shares be modified during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Option lifetime, unless an Adjustment is required upon occurrence of a corporate event as specified in this Article:</w:t>
      </w:r>
    </w:p>
    <w:p>
      <w:pPr>
        <w:spacing w:after="0" w:line="211" w:lineRule="exact"/>
        <w:rPr>
          <w:sz w:val="20"/>
          <w:szCs w:val="20"/>
          <w:color w:val="auto"/>
        </w:rPr>
      </w:pPr>
    </w:p>
    <w:p>
      <w:pPr>
        <w:ind w:left="640" w:hanging="320"/>
        <w:spacing w:after="0"/>
        <w:tabs>
          <w:tab w:leader="none" w:pos="64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Writing-off or reduction of the Company's capital;</w:t>
      </w:r>
    </w:p>
    <w:p>
      <w:pPr>
        <w:spacing w:after="0" w:line="225" w:lineRule="exact"/>
        <w:rPr>
          <w:rFonts w:ascii="Arial" w:cs="Arial" w:eastAsia="Arial" w:hAnsi="Arial"/>
          <w:sz w:val="18"/>
          <w:szCs w:val="18"/>
          <w:color w:val="auto"/>
        </w:rPr>
      </w:pPr>
    </w:p>
    <w:p>
      <w:pPr>
        <w:ind w:left="640" w:hanging="320"/>
        <w:spacing w:after="0"/>
        <w:tabs>
          <w:tab w:leader="none" w:pos="64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Modification of profits allocation;</w:t>
      </w:r>
    </w:p>
    <w:p>
      <w:pPr>
        <w:spacing w:after="0" w:line="225" w:lineRule="exact"/>
        <w:rPr>
          <w:rFonts w:ascii="Arial" w:cs="Arial" w:eastAsia="Arial" w:hAnsi="Arial"/>
          <w:sz w:val="18"/>
          <w:szCs w:val="18"/>
          <w:color w:val="auto"/>
        </w:rPr>
      </w:pPr>
    </w:p>
    <w:p>
      <w:pPr>
        <w:ind w:left="640" w:hanging="320"/>
        <w:spacing w:after="0"/>
        <w:tabs>
          <w:tab w:leader="none" w:pos="64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Free shares awards;</w:t>
      </w:r>
    </w:p>
    <w:p>
      <w:pPr>
        <w:spacing w:after="0" w:line="225" w:lineRule="exact"/>
        <w:rPr>
          <w:rFonts w:ascii="Arial" w:cs="Arial" w:eastAsia="Arial" w:hAnsi="Arial"/>
          <w:sz w:val="18"/>
          <w:szCs w:val="18"/>
          <w:color w:val="auto"/>
        </w:rPr>
      </w:pPr>
    </w:p>
    <w:p>
      <w:pPr>
        <w:ind w:left="640" w:hanging="320"/>
        <w:spacing w:after="0"/>
        <w:tabs>
          <w:tab w:leader="none" w:pos="64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Increase of Company's capital, either by incorporation of reserves, profits or premiums on newly issued shares;</w:t>
      </w:r>
    </w:p>
    <w:p>
      <w:pPr>
        <w:spacing w:after="0" w:line="225" w:lineRule="exact"/>
        <w:rPr>
          <w:rFonts w:ascii="Arial" w:cs="Arial" w:eastAsia="Arial" w:hAnsi="Arial"/>
          <w:sz w:val="18"/>
          <w:szCs w:val="18"/>
          <w:color w:val="auto"/>
        </w:rPr>
      </w:pPr>
    </w:p>
    <w:p>
      <w:pPr>
        <w:ind w:left="640" w:hanging="320"/>
        <w:spacing w:after="0"/>
        <w:tabs>
          <w:tab w:leader="none" w:pos="64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Distribution of reserves in cash or in shares,</w:t>
      </w:r>
    </w:p>
    <w:p>
      <w:pPr>
        <w:spacing w:after="0" w:line="225" w:lineRule="exact"/>
        <w:rPr>
          <w:rFonts w:ascii="Arial" w:cs="Arial" w:eastAsia="Arial" w:hAnsi="Arial"/>
          <w:sz w:val="18"/>
          <w:szCs w:val="18"/>
          <w:color w:val="auto"/>
        </w:rPr>
      </w:pPr>
    </w:p>
    <w:p>
      <w:pPr>
        <w:ind w:right="740" w:firstLine="320"/>
        <w:spacing w:after="0" w:line="500" w:lineRule="auto"/>
        <w:tabs>
          <w:tab w:leader="none" w:pos="649" w:val="left"/>
        </w:tabs>
        <w:numPr>
          <w:ilvl w:val="0"/>
          <w:numId w:val="153"/>
        </w:numPr>
        <w:rPr>
          <w:rFonts w:ascii="Arial" w:cs="Arial" w:eastAsia="Arial" w:hAnsi="Arial"/>
          <w:sz w:val="18"/>
          <w:szCs w:val="18"/>
          <w:color w:val="auto"/>
        </w:rPr>
      </w:pPr>
      <w:r>
        <w:rPr>
          <w:rFonts w:ascii="Arial" w:cs="Arial" w:eastAsia="Arial" w:hAnsi="Arial"/>
          <w:sz w:val="18"/>
          <w:szCs w:val="18"/>
          <w:color w:val="auto"/>
        </w:rPr>
        <w:t>Share capital increase or issue of securities giving access to the Company's capital with shareholder preferential subscription rights. The Board or the Committee shall inform the Participants in France accordingly.</w:t>
      </w:r>
    </w:p>
    <w:p>
      <w:pPr>
        <w:spacing w:after="0" w:line="1" w:lineRule="exact"/>
        <w:rPr>
          <w:rFonts w:ascii="Arial" w:cs="Arial" w:eastAsia="Arial" w:hAnsi="Arial"/>
          <w:sz w:val="18"/>
          <w:szCs w:val="18"/>
          <w:color w:val="auto"/>
        </w:rPr>
      </w:pPr>
    </w:p>
    <w:p>
      <w:pPr>
        <w:ind w:left="1500" w:hanging="289"/>
        <w:spacing w:after="0"/>
        <w:tabs>
          <w:tab w:leader="none" w:pos="1500" w:val="left"/>
        </w:tabs>
        <w:numPr>
          <w:ilvl w:val="1"/>
          <w:numId w:val="153"/>
        </w:numPr>
        <w:rPr>
          <w:rFonts w:ascii="Arial" w:cs="Arial" w:eastAsia="Arial" w:hAnsi="Arial"/>
          <w:sz w:val="18"/>
          <w:szCs w:val="18"/>
          <w:color w:val="auto"/>
        </w:rPr>
      </w:pPr>
      <w:r>
        <w:rPr>
          <w:rFonts w:ascii="Arial" w:cs="Arial" w:eastAsia="Arial" w:hAnsi="Arial"/>
          <w:sz w:val="18"/>
          <w:szCs w:val="18"/>
          <w:i w:val="1"/>
          <w:iCs w:val="1"/>
          <w:color w:val="auto"/>
        </w:rPr>
        <w:t>Dividend equivalents</w:t>
      </w:r>
    </w:p>
    <w:p>
      <w:pPr>
        <w:spacing w:after="0" w:line="200" w:lineRule="exact"/>
        <w:rPr>
          <w:sz w:val="20"/>
          <w:szCs w:val="20"/>
          <w:color w:val="auto"/>
        </w:rPr>
      </w:pPr>
    </w:p>
    <w:p>
      <w:pPr>
        <w:spacing w:after="0" w:line="22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48895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0"/>
          </w:cols>
          <w:pgMar w:left="440" w:top="368" w:right="619" w:bottom="1440" w:gutter="0" w:footer="0" w:header="0"/>
        </w:sectPr>
      </w:pPr>
    </w:p>
    <w:bookmarkStart w:id="87" w:name="page88"/>
    <w:bookmarkEnd w:id="87"/>
    <w:p>
      <w:pPr>
        <w:ind w:left="120" w:right="280"/>
        <w:spacing w:after="0" w:line="277" w:lineRule="auto"/>
        <w:rPr>
          <w:sz w:val="20"/>
          <w:szCs w:val="20"/>
          <w:color w:val="auto"/>
        </w:rPr>
      </w:pPr>
      <w:r>
        <w:rPr>
          <w:rFonts w:ascii="Arial" w:cs="Arial" w:eastAsia="Arial" w:hAnsi="Arial"/>
          <w:sz w:val="18"/>
          <w:szCs w:val="18"/>
          <w:color w:val="auto"/>
        </w:rPr>
        <w:t>Should the Optionee be eligible to dividend equivalent payments (either in cash or in shares) with respect to each vested Stock Option Award, it is specified that:</w:t>
      </w:r>
    </w:p>
    <w:p>
      <w:pPr>
        <w:spacing w:after="0" w:line="170" w:lineRule="exact"/>
        <w:rPr>
          <w:sz w:val="20"/>
          <w:szCs w:val="20"/>
          <w:color w:val="auto"/>
        </w:rPr>
      </w:pPr>
    </w:p>
    <w:p>
      <w:pPr>
        <w:ind w:left="1620" w:hanging="289"/>
        <w:spacing w:after="0" w:line="277" w:lineRule="auto"/>
        <w:tabs>
          <w:tab w:leader="none" w:pos="162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distribution of a dividend equivalent shall not modify and/or substitute the number of shares underlying the Stock Option Award as originally determined on the Grant Date; and</w:t>
      </w:r>
    </w:p>
    <w:p>
      <w:pPr>
        <w:spacing w:after="0" w:line="170" w:lineRule="exact"/>
        <w:rPr>
          <w:rFonts w:ascii="Arial" w:cs="Arial" w:eastAsia="Arial" w:hAnsi="Arial"/>
          <w:sz w:val="18"/>
          <w:szCs w:val="18"/>
          <w:color w:val="auto"/>
        </w:rPr>
      </w:pPr>
    </w:p>
    <w:p>
      <w:pPr>
        <w:ind w:left="1620" w:hanging="289"/>
        <w:spacing w:after="0" w:line="277" w:lineRule="auto"/>
        <w:tabs>
          <w:tab w:leader="none" w:pos="162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such dividend equivalent shall not be treated as a Stock Option Award for French social security and income tax purposes, so that the Optionee remains liable for bearing the related costs arising notably upon payment date.</w:t>
      </w:r>
    </w:p>
    <w:p>
      <w:pPr>
        <w:spacing w:after="0" w:line="166" w:lineRule="exact"/>
        <w:rPr>
          <w:sz w:val="20"/>
          <w:szCs w:val="20"/>
          <w:color w:val="auto"/>
        </w:rPr>
      </w:pPr>
    </w:p>
    <w:p>
      <w:pPr>
        <w:ind w:left="560" w:hanging="552"/>
        <w:spacing w:after="0"/>
        <w:tabs>
          <w:tab w:leader="none" w:pos="560" w:val="left"/>
        </w:tabs>
        <w:numPr>
          <w:ilvl w:val="0"/>
          <w:numId w:val="155"/>
        </w:numPr>
        <w:rPr>
          <w:rFonts w:ascii="Arial" w:cs="Arial" w:eastAsia="Arial" w:hAnsi="Arial"/>
          <w:sz w:val="18"/>
          <w:szCs w:val="18"/>
          <w:color w:val="auto"/>
        </w:rPr>
      </w:pPr>
      <w:r>
        <w:rPr>
          <w:rFonts w:ascii="Arial" w:cs="Arial" w:eastAsia="Arial" w:hAnsi="Arial"/>
          <w:sz w:val="18"/>
          <w:szCs w:val="18"/>
          <w:b w:val="1"/>
          <w:bCs w:val="1"/>
          <w:color w:val="auto"/>
        </w:rPr>
        <w:t>PERIOD OF EXERCISABILITY</w:t>
      </w:r>
    </w:p>
    <w:p>
      <w:pPr>
        <w:spacing w:after="0" w:line="229" w:lineRule="exact"/>
        <w:rPr>
          <w:rFonts w:ascii="Arial" w:cs="Arial" w:eastAsia="Arial" w:hAnsi="Arial"/>
          <w:sz w:val="18"/>
          <w:szCs w:val="18"/>
          <w:color w:val="auto"/>
        </w:rPr>
      </w:pPr>
    </w:p>
    <w:p>
      <w:pPr>
        <w:ind w:left="1620" w:hanging="289"/>
        <w:spacing w:after="0"/>
        <w:tabs>
          <w:tab w:leader="none" w:pos="1620" w:val="left"/>
        </w:tabs>
        <w:numPr>
          <w:ilvl w:val="1"/>
          <w:numId w:val="155"/>
        </w:numPr>
        <w:rPr>
          <w:rFonts w:ascii="Arial" w:cs="Arial" w:eastAsia="Arial" w:hAnsi="Arial"/>
          <w:sz w:val="18"/>
          <w:szCs w:val="18"/>
          <w:color w:val="auto"/>
        </w:rPr>
      </w:pPr>
      <w:r>
        <w:rPr>
          <w:rFonts w:ascii="Arial" w:cs="Arial" w:eastAsia="Arial" w:hAnsi="Arial"/>
          <w:sz w:val="18"/>
          <w:szCs w:val="18"/>
          <w:i w:val="1"/>
          <w:iCs w:val="1"/>
          <w:color w:val="auto"/>
        </w:rPr>
        <w:t>Exercisability</w:t>
      </w:r>
    </w:p>
    <w:p>
      <w:pPr>
        <w:spacing w:after="0" w:line="225"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 xml:space="preserve">The Optionee is entitled to exercise his/her Options in accordance with the vesting schedule set forth in Section 3.1 </w:t>
      </w:r>
      <w:r>
        <w:rPr>
          <w:rFonts w:ascii="Arial" w:cs="Arial" w:eastAsia="Arial" w:hAnsi="Arial"/>
          <w:sz w:val="18"/>
          <w:szCs w:val="18"/>
          <w:i w:val="1"/>
          <w:iCs w:val="1"/>
          <w:color w:val="auto"/>
        </w:rPr>
        <w:t>"Commencement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Exercisability" </w:t>
      </w:r>
      <w:r>
        <w:rPr>
          <w:rFonts w:ascii="Arial" w:cs="Arial" w:eastAsia="Arial" w:hAnsi="Arial"/>
          <w:sz w:val="18"/>
          <w:szCs w:val="18"/>
          <w:color w:val="auto"/>
        </w:rPr>
        <w:t>of the Stock Option Agreement.</w:t>
      </w:r>
    </w:p>
    <w:p>
      <w:pPr>
        <w:spacing w:after="0" w:line="170" w:lineRule="exact"/>
        <w:rPr>
          <w:sz w:val="20"/>
          <w:szCs w:val="20"/>
          <w:color w:val="auto"/>
        </w:rPr>
      </w:pPr>
    </w:p>
    <w:p>
      <w:pPr>
        <w:ind w:left="1620" w:hanging="289"/>
        <w:spacing w:after="0"/>
        <w:tabs>
          <w:tab w:leader="none" w:pos="1620" w:val="left"/>
        </w:tabs>
        <w:numPr>
          <w:ilvl w:val="0"/>
          <w:numId w:val="156"/>
        </w:numPr>
        <w:rPr>
          <w:rFonts w:ascii="Arial" w:cs="Arial" w:eastAsia="Arial" w:hAnsi="Arial"/>
          <w:sz w:val="18"/>
          <w:szCs w:val="18"/>
          <w:color w:val="auto"/>
        </w:rPr>
      </w:pPr>
      <w:r>
        <w:rPr>
          <w:rFonts w:ascii="Arial" w:cs="Arial" w:eastAsia="Arial" w:hAnsi="Arial"/>
          <w:sz w:val="18"/>
          <w:szCs w:val="18"/>
          <w:i w:val="1"/>
          <w:iCs w:val="1"/>
          <w:color w:val="auto"/>
        </w:rPr>
        <w:t>Share Sale Restriction Period</w:t>
      </w:r>
    </w:p>
    <w:p>
      <w:pPr>
        <w:spacing w:after="0" w:line="225"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The Optionee shall be subject to a 3-year Share Sale Restriction Period as of the first (1st) anniversary of the Grant Date so that no shares underlying Stock Options are sold before the fourth (4th) anniversary of the Grant Date.</w:t>
      </w:r>
    </w:p>
    <w:p>
      <w:pPr>
        <w:spacing w:after="0" w:line="170"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In the event that the Optionee is assigned outside of France, he/she shall be subject to the aforementioned Share Sale Restriction Period unless an individual waiver of the Share Sale Restriction Period is decided by the Board or the Committee at its own discretion.</w:t>
      </w:r>
    </w:p>
    <w:p>
      <w:pPr>
        <w:spacing w:after="0" w:line="170" w:lineRule="exact"/>
        <w:rPr>
          <w:sz w:val="20"/>
          <w:szCs w:val="20"/>
          <w:color w:val="auto"/>
        </w:rPr>
      </w:pPr>
    </w:p>
    <w:p>
      <w:pPr>
        <w:ind w:left="1620" w:hanging="289"/>
        <w:spacing w:after="0"/>
        <w:tabs>
          <w:tab w:leader="none" w:pos="1620" w:val="left"/>
        </w:tabs>
        <w:numPr>
          <w:ilvl w:val="0"/>
          <w:numId w:val="157"/>
        </w:numPr>
        <w:rPr>
          <w:rFonts w:ascii="Arial" w:cs="Arial" w:eastAsia="Arial" w:hAnsi="Arial"/>
          <w:sz w:val="18"/>
          <w:szCs w:val="18"/>
          <w:color w:val="auto"/>
        </w:rPr>
      </w:pPr>
      <w:r>
        <w:rPr>
          <w:rFonts w:ascii="Arial" w:cs="Arial" w:eastAsia="Arial" w:hAnsi="Arial"/>
          <w:sz w:val="18"/>
          <w:szCs w:val="18"/>
          <w:i w:val="1"/>
          <w:iCs w:val="1"/>
          <w:color w:val="auto"/>
        </w:rPr>
        <w:t>Change in Control</w:t>
      </w:r>
    </w:p>
    <w:p>
      <w:pPr>
        <w:spacing w:after="0" w:line="225" w:lineRule="exact"/>
        <w:rPr>
          <w:sz w:val="20"/>
          <w:szCs w:val="20"/>
          <w:color w:val="auto"/>
        </w:rPr>
      </w:pPr>
    </w:p>
    <w:p>
      <w:pPr>
        <w:jc w:val="both"/>
        <w:ind w:left="120" w:right="280"/>
        <w:spacing w:after="0" w:line="259" w:lineRule="auto"/>
        <w:rPr>
          <w:sz w:val="20"/>
          <w:szCs w:val="20"/>
          <w:color w:val="auto"/>
        </w:rPr>
      </w:pPr>
      <w:r>
        <w:rPr>
          <w:rFonts w:ascii="Arial" w:cs="Arial" w:eastAsia="Arial" w:hAnsi="Arial"/>
          <w:sz w:val="18"/>
          <w:szCs w:val="18"/>
          <w:color w:val="auto"/>
        </w:rPr>
        <w:t>Notwithstanding the provisions of the Plan rules, and notably Section 9 "</w:t>
      </w:r>
      <w:r>
        <w:rPr>
          <w:rFonts w:ascii="Arial" w:cs="Arial" w:eastAsia="Arial" w:hAnsi="Arial"/>
          <w:sz w:val="18"/>
          <w:szCs w:val="18"/>
          <w:i w:val="1"/>
          <w:iCs w:val="1"/>
          <w:color w:val="auto"/>
        </w:rPr>
        <w:t>Change in Control</w:t>
      </w:r>
      <w:r>
        <w:rPr>
          <w:rFonts w:ascii="Arial" w:cs="Arial" w:eastAsia="Arial" w:hAnsi="Arial"/>
          <w:sz w:val="18"/>
          <w:szCs w:val="18"/>
          <w:color w:val="auto"/>
        </w:rPr>
        <w:t>", should, after the Award's Grant Date, a reorganization of the Company's share capital or a Change in the Control of the Company occur, the Board or the Committee shall take at its entire discretion, as soon as practicable after the occurrence of such event, the necessary measures in order to determine the impact on the legal, tax and social security treatment in France of the Awards granted hereunder.</w:t>
      </w:r>
    </w:p>
    <w:p>
      <w:pPr>
        <w:spacing w:after="0" w:line="187" w:lineRule="exact"/>
        <w:rPr>
          <w:sz w:val="20"/>
          <w:szCs w:val="20"/>
          <w:color w:val="auto"/>
        </w:rPr>
      </w:pPr>
    </w:p>
    <w:p>
      <w:pPr>
        <w:jc w:val="both"/>
        <w:ind w:left="120" w:right="280"/>
        <w:spacing w:after="0" w:line="259" w:lineRule="auto"/>
        <w:rPr>
          <w:sz w:val="20"/>
          <w:szCs w:val="20"/>
          <w:color w:val="auto"/>
        </w:rPr>
      </w:pPr>
      <w:r>
        <w:rPr>
          <w:rFonts w:ascii="Arial" w:cs="Arial" w:eastAsia="Arial" w:hAnsi="Arial"/>
          <w:sz w:val="18"/>
          <w:szCs w:val="18"/>
          <w:color w:val="auto"/>
        </w:rPr>
        <w:t>The Board or the Committee shall, whenever possible, consider preserving the tax neutrality of the capital transaction consisting of exchange of shares with respect to the Awards herein, in accordance with the provisions of Article 163 bis C I bis of the French Tax Code. For the avoidance of doubt, the provisions of the Plan, of this French Addendum and the Vesting and Share Sale Restriction Periods as the case may be, shall continue to apply to the shares or rights received in exchange.</w:t>
      </w:r>
    </w:p>
    <w:p>
      <w:pPr>
        <w:spacing w:after="0" w:line="187" w:lineRule="exact"/>
        <w:rPr>
          <w:sz w:val="20"/>
          <w:szCs w:val="20"/>
          <w:color w:val="auto"/>
        </w:rPr>
      </w:pPr>
    </w:p>
    <w:p>
      <w:pPr>
        <w:jc w:val="both"/>
        <w:ind w:left="120" w:right="300"/>
        <w:spacing w:after="0" w:line="263" w:lineRule="auto"/>
        <w:rPr>
          <w:sz w:val="20"/>
          <w:szCs w:val="20"/>
          <w:color w:val="auto"/>
        </w:rPr>
      </w:pPr>
      <w:r>
        <w:rPr>
          <w:rFonts w:ascii="Arial" w:cs="Arial" w:eastAsia="Arial" w:hAnsi="Arial"/>
          <w:sz w:val="18"/>
          <w:szCs w:val="18"/>
          <w:color w:val="auto"/>
        </w:rPr>
        <w:t>At its discretion, the Board or the Committee reserves the right to apply a different treatment for Participants in France either (i) in accordance with the Plan rules only, or (ii) in accordance with the Plan rules and/or with the French Tax Code and regulations, the French Labor Code or the French Commercial Code, as modified from time to time, governing Stock Option Awards.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Board or the Committee shall inform the Participants in France accordingly.</w:t>
      </w:r>
    </w:p>
    <w:p>
      <w:pPr>
        <w:spacing w:after="0" w:line="221" w:lineRule="exact"/>
        <w:rPr>
          <w:sz w:val="20"/>
          <w:szCs w:val="20"/>
          <w:color w:val="auto"/>
        </w:rPr>
      </w:pPr>
    </w:p>
    <w:p>
      <w:pPr>
        <w:ind w:left="560" w:hanging="552"/>
        <w:spacing w:after="0"/>
        <w:tabs>
          <w:tab w:leader="none" w:pos="560" w:val="left"/>
        </w:tabs>
        <w:numPr>
          <w:ilvl w:val="0"/>
          <w:numId w:val="158"/>
        </w:numPr>
        <w:rPr>
          <w:rFonts w:ascii="Arial" w:cs="Arial" w:eastAsia="Arial" w:hAnsi="Arial"/>
          <w:sz w:val="18"/>
          <w:szCs w:val="18"/>
          <w:color w:val="auto"/>
        </w:rPr>
      </w:pPr>
      <w:r>
        <w:rPr>
          <w:rFonts w:ascii="Arial" w:cs="Arial" w:eastAsia="Arial" w:hAnsi="Arial"/>
          <w:sz w:val="18"/>
          <w:szCs w:val="18"/>
          <w:b w:val="1"/>
          <w:bCs w:val="1"/>
          <w:color w:val="auto"/>
        </w:rPr>
        <w:t>EXERCISE OF OPTIONS</w:t>
      </w:r>
    </w:p>
    <w:p>
      <w:pPr>
        <w:spacing w:after="0" w:line="229" w:lineRule="exact"/>
        <w:rPr>
          <w:rFonts w:ascii="Arial" w:cs="Arial" w:eastAsia="Arial" w:hAnsi="Arial"/>
          <w:sz w:val="18"/>
          <w:szCs w:val="18"/>
          <w:color w:val="auto"/>
        </w:rPr>
      </w:pPr>
    </w:p>
    <w:p>
      <w:pPr>
        <w:ind w:left="1620" w:hanging="289"/>
        <w:spacing w:after="0"/>
        <w:tabs>
          <w:tab w:leader="none" w:pos="1620" w:val="left"/>
        </w:tabs>
        <w:numPr>
          <w:ilvl w:val="1"/>
          <w:numId w:val="158"/>
        </w:numPr>
        <w:rPr>
          <w:rFonts w:ascii="Arial" w:cs="Arial" w:eastAsia="Arial" w:hAnsi="Arial"/>
          <w:sz w:val="18"/>
          <w:szCs w:val="18"/>
          <w:color w:val="auto"/>
        </w:rPr>
      </w:pPr>
      <w:r>
        <w:rPr>
          <w:rFonts w:ascii="Arial" w:cs="Arial" w:eastAsia="Arial" w:hAnsi="Arial"/>
          <w:sz w:val="18"/>
          <w:szCs w:val="18"/>
          <w:i w:val="1"/>
          <w:iCs w:val="1"/>
          <w:color w:val="auto"/>
        </w:rPr>
        <w:t>Timing of exercise</w:t>
      </w:r>
    </w:p>
    <w:p>
      <w:pPr>
        <w:spacing w:after="0" w:line="221" w:lineRule="exact"/>
        <w:rPr>
          <w:sz w:val="20"/>
          <w:szCs w:val="20"/>
          <w:color w:val="auto"/>
        </w:rPr>
      </w:pPr>
    </w:p>
    <w:p>
      <w:pPr>
        <w:jc w:val="both"/>
        <w:ind w:left="1620" w:hanging="289"/>
        <w:spacing w:after="0" w:line="281" w:lineRule="auto"/>
        <w:tabs>
          <w:tab w:leader="none" w:pos="1620" w:val="left"/>
        </w:tabs>
        <w:numPr>
          <w:ilvl w:val="0"/>
          <w:numId w:val="159"/>
        </w:numPr>
        <w:rPr>
          <w:rFonts w:ascii="Arial" w:cs="Arial" w:eastAsia="Arial" w:hAnsi="Arial"/>
          <w:sz w:val="17"/>
          <w:szCs w:val="17"/>
          <w:color w:val="auto"/>
        </w:rPr>
      </w:pPr>
      <w:r>
        <w:rPr>
          <w:rFonts w:ascii="Arial" w:cs="Arial" w:eastAsia="Arial" w:hAnsi="Arial"/>
          <w:sz w:val="17"/>
          <w:szCs w:val="17"/>
          <w:b w:val="1"/>
          <w:bCs w:val="1"/>
          <w:color w:val="auto"/>
        </w:rPr>
        <w:t>Optionee's death</w:t>
      </w:r>
      <w:r>
        <w:rPr>
          <w:rFonts w:ascii="Arial" w:cs="Arial" w:eastAsia="Arial" w:hAnsi="Arial"/>
          <w:sz w:val="17"/>
          <w:szCs w:val="17"/>
          <w:color w:val="auto"/>
        </w:rPr>
        <w:t>. In case of the Optionee's death, his/her personal representatives may exercise the vested Stock Options within a</w:t>
      </w:r>
      <w:r>
        <w:rPr>
          <w:rFonts w:ascii="Arial" w:cs="Arial" w:eastAsia="Arial" w:hAnsi="Arial"/>
          <w:sz w:val="17"/>
          <w:szCs w:val="17"/>
          <w:b w:val="1"/>
          <w:bCs w:val="1"/>
          <w:color w:val="auto"/>
        </w:rPr>
        <w:t xml:space="preserve"> </w:t>
      </w:r>
      <w:r>
        <w:rPr>
          <w:rFonts w:ascii="Arial" w:cs="Arial" w:eastAsia="Arial" w:hAnsi="Arial"/>
          <w:sz w:val="17"/>
          <w:szCs w:val="17"/>
          <w:color w:val="auto"/>
        </w:rPr>
        <w:t>period of time not to exceed six (6) months following the occurrence of such event, and the Share Sale Restriction Period set forth in Section 2(b) herein shall immediately terminate thereon. Failure of the Optionee's personal representatives to act within six (6) months of death shall result in the automatic cancellation of vested and unvested Stock Options.</w:t>
      </w:r>
    </w:p>
    <w:p>
      <w:pPr>
        <w:spacing w:after="0" w:line="37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8" w:name="page89"/>
    <w:bookmarkEnd w:id="88"/>
    <w:p>
      <w:pPr>
        <w:jc w:val="both"/>
        <w:ind w:left="1620" w:hanging="289"/>
        <w:spacing w:after="0" w:line="266" w:lineRule="auto"/>
        <w:tabs>
          <w:tab w:leader="none" w:pos="1620" w:val="left"/>
        </w:tabs>
        <w:numPr>
          <w:ilvl w:val="0"/>
          <w:numId w:val="160"/>
        </w:numPr>
        <w:rPr>
          <w:rFonts w:ascii="Arial" w:cs="Arial" w:eastAsia="Arial" w:hAnsi="Arial"/>
          <w:sz w:val="18"/>
          <w:szCs w:val="18"/>
          <w:color w:val="auto"/>
        </w:rPr>
      </w:pPr>
      <w:r>
        <w:rPr>
          <w:rFonts w:ascii="Arial" w:cs="Arial" w:eastAsia="Arial" w:hAnsi="Arial"/>
          <w:sz w:val="18"/>
          <w:szCs w:val="18"/>
          <w:b w:val="1"/>
          <w:bCs w:val="1"/>
          <w:color w:val="auto"/>
        </w:rPr>
        <w:t>Optionee's disability</w:t>
      </w:r>
      <w:r>
        <w:rPr>
          <w:rFonts w:ascii="Arial" w:cs="Arial" w:eastAsia="Arial" w:hAnsi="Arial"/>
          <w:sz w:val="18"/>
          <w:szCs w:val="18"/>
          <w:color w:val="auto"/>
        </w:rPr>
        <w:t>. In case of disability of second (2nd) or third (3rd) category as referred to in article L. 341-4 of the French</w:t>
      </w:r>
      <w:r>
        <w:rPr>
          <w:rFonts w:ascii="Arial" w:cs="Arial" w:eastAsia="Arial" w:hAnsi="Arial"/>
          <w:sz w:val="18"/>
          <w:szCs w:val="18"/>
          <w:b w:val="1"/>
          <w:bCs w:val="1"/>
          <w:color w:val="auto"/>
        </w:rPr>
        <w:t xml:space="preserve"> </w:t>
      </w:r>
      <w:r>
        <w:rPr>
          <w:rFonts w:ascii="Arial" w:cs="Arial" w:eastAsia="Arial" w:hAnsi="Arial"/>
          <w:sz w:val="18"/>
          <w:szCs w:val="18"/>
          <w:color w:val="auto"/>
        </w:rPr>
        <w:t>Social Security Code, the Optionee is entitled to exercise his/her vested Stock Options, and the Share Sale Restriction Period set forth in Section 2(b) herein shall immediately terminate thereon.</w:t>
      </w:r>
    </w:p>
    <w:p>
      <w:pPr>
        <w:spacing w:after="0" w:line="180" w:lineRule="exact"/>
        <w:rPr>
          <w:sz w:val="20"/>
          <w:szCs w:val="20"/>
          <w:color w:val="auto"/>
        </w:rPr>
      </w:pPr>
    </w:p>
    <w:p>
      <w:pPr>
        <w:ind w:left="1620" w:hanging="289"/>
        <w:spacing w:after="0"/>
        <w:tabs>
          <w:tab w:leader="none" w:pos="1620" w:val="left"/>
        </w:tabs>
        <w:numPr>
          <w:ilvl w:val="0"/>
          <w:numId w:val="161"/>
        </w:numPr>
        <w:rPr>
          <w:rFonts w:ascii="Arial" w:cs="Arial" w:eastAsia="Arial" w:hAnsi="Arial"/>
          <w:sz w:val="18"/>
          <w:szCs w:val="18"/>
          <w:color w:val="auto"/>
        </w:rPr>
      </w:pPr>
      <w:r>
        <w:rPr>
          <w:rFonts w:ascii="Arial" w:cs="Arial" w:eastAsia="Arial" w:hAnsi="Arial"/>
          <w:sz w:val="18"/>
          <w:szCs w:val="18"/>
          <w:i w:val="1"/>
          <w:iCs w:val="1"/>
          <w:color w:val="auto"/>
        </w:rPr>
        <w:t>Restrictions on Awards granted to corporate officers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Pursuant to Article L. 225-185 of the French Commercial Code, the Board or the Committee may either:</w:t>
      </w:r>
    </w:p>
    <w:p>
      <w:pPr>
        <w:spacing w:after="0" w:line="225" w:lineRule="exact"/>
        <w:rPr>
          <w:sz w:val="20"/>
          <w:szCs w:val="20"/>
          <w:color w:val="auto"/>
        </w:rPr>
      </w:pPr>
    </w:p>
    <w:p>
      <w:pPr>
        <w:jc w:val="both"/>
        <w:ind w:left="1320" w:right="20" w:hanging="755"/>
        <w:spacing w:after="0" w:line="277" w:lineRule="auto"/>
        <w:tabs>
          <w:tab w:leader="none" w:pos="13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decide that no Stock Option, acquired pursuant to a Stock Option Award, shall be exercised by corporate officers of French subsidiary(ies) prior to their removal from office ("</w:t>
      </w:r>
      <w:r>
        <w:rPr>
          <w:rFonts w:ascii="Arial" w:cs="Arial" w:eastAsia="Arial" w:hAnsi="Arial"/>
          <w:sz w:val="18"/>
          <w:szCs w:val="18"/>
          <w:i w:val="1"/>
          <w:iCs w:val="1"/>
          <w:color w:val="auto"/>
        </w:rPr>
        <w:t>révocation en qualité de mandataire social</w:t>
      </w:r>
      <w:r>
        <w:rPr>
          <w:rFonts w:ascii="Arial" w:cs="Arial" w:eastAsia="Arial" w:hAnsi="Arial"/>
          <w:sz w:val="18"/>
          <w:szCs w:val="18"/>
          <w:color w:val="auto"/>
        </w:rPr>
        <w:t>"); or</w:t>
      </w:r>
    </w:p>
    <w:p>
      <w:pPr>
        <w:spacing w:after="0" w:line="170" w:lineRule="exact"/>
        <w:rPr>
          <w:sz w:val="20"/>
          <w:szCs w:val="20"/>
          <w:color w:val="auto"/>
        </w:rPr>
      </w:pPr>
    </w:p>
    <w:p>
      <w:pPr>
        <w:jc w:val="both"/>
        <w:ind w:left="1320" w:hanging="755"/>
        <w:spacing w:after="0" w:line="263" w:lineRule="auto"/>
        <w:tabs>
          <w:tab w:leader="none" w:pos="1300"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8"/>
          <w:szCs w:val="18"/>
          <w:color w:val="auto"/>
        </w:rPr>
        <w:t>determine the number of Shares, acquired pursuant to a Stock Option Award, which have to be held by corporate officers until their removal from office ("</w:t>
      </w:r>
      <w:r>
        <w:rPr>
          <w:rFonts w:ascii="Arial" w:cs="Arial" w:eastAsia="Arial" w:hAnsi="Arial"/>
          <w:sz w:val="18"/>
          <w:szCs w:val="18"/>
          <w:i w:val="1"/>
          <w:iCs w:val="1"/>
          <w:color w:val="auto"/>
        </w:rPr>
        <w:t>révocation en qualité de mandataire social</w:t>
      </w:r>
      <w:r>
        <w:rPr>
          <w:rFonts w:ascii="Arial" w:cs="Arial" w:eastAsia="Arial" w:hAnsi="Arial"/>
          <w:sz w:val="18"/>
          <w:szCs w:val="18"/>
          <w:color w:val="auto"/>
        </w:rPr>
        <w:t>"). The renewal of mandate does not constitute a "removal from office". A removal from office must be valid pursuant to French laws and regulations.</w:t>
      </w:r>
    </w:p>
    <w:p>
      <w:pPr>
        <w:spacing w:after="0" w:line="184" w:lineRule="exact"/>
        <w:rPr>
          <w:sz w:val="20"/>
          <w:szCs w:val="20"/>
          <w:color w:val="auto"/>
        </w:rPr>
      </w:pPr>
    </w:p>
    <w:p>
      <w:pPr>
        <w:jc w:val="both"/>
        <w:ind w:left="120" w:right="280"/>
        <w:spacing w:after="0" w:line="263" w:lineRule="auto"/>
        <w:rPr>
          <w:sz w:val="20"/>
          <w:szCs w:val="20"/>
          <w:color w:val="auto"/>
        </w:rPr>
      </w:pPr>
      <w:r>
        <w:rPr>
          <w:rFonts w:ascii="Arial" w:cs="Arial" w:eastAsia="Arial" w:hAnsi="Arial"/>
          <w:sz w:val="18"/>
          <w:szCs w:val="18"/>
          <w:color w:val="auto"/>
        </w:rPr>
        <w:t>However, the Committee has taken note of the issuance of a French tax regulation 5 F-1-09 dated January 5, 2009 relating to qualifying stock option awards, whereby – under paragraph §32 – the aforementioned restrictions shall not apply to awards granted by a foreign company to the corporate officers of its French subsidiaries.</w:t>
      </w:r>
    </w:p>
    <w:p>
      <w:pPr>
        <w:spacing w:after="0" w:line="184" w:lineRule="exact"/>
        <w:rPr>
          <w:sz w:val="20"/>
          <w:szCs w:val="20"/>
          <w:color w:val="auto"/>
        </w:rPr>
      </w:pPr>
    </w:p>
    <w:p>
      <w:pPr>
        <w:ind w:left="1820" w:hanging="516"/>
        <w:spacing w:after="0"/>
        <w:tabs>
          <w:tab w:leader="none" w:pos="1820" w:val="left"/>
        </w:tabs>
        <w:numPr>
          <w:ilvl w:val="0"/>
          <w:numId w:val="162"/>
        </w:numPr>
        <w:rPr>
          <w:rFonts w:ascii="Arial" w:cs="Arial" w:eastAsia="Arial" w:hAnsi="Arial"/>
          <w:sz w:val="18"/>
          <w:szCs w:val="18"/>
          <w:color w:val="auto"/>
        </w:rPr>
      </w:pPr>
      <w:r>
        <w:rPr>
          <w:rFonts w:ascii="Arial" w:cs="Arial" w:eastAsia="Arial" w:hAnsi="Arial"/>
          <w:sz w:val="18"/>
          <w:szCs w:val="18"/>
          <w:i w:val="1"/>
          <w:iCs w:val="1"/>
          <w:color w:val="auto"/>
        </w:rPr>
        <w:t>Settlement of Awards.</w:t>
      </w:r>
    </w:p>
    <w:p>
      <w:pPr>
        <w:spacing w:after="0" w:line="225" w:lineRule="exact"/>
        <w:rPr>
          <w:sz w:val="20"/>
          <w:szCs w:val="20"/>
          <w:color w:val="auto"/>
        </w:rPr>
      </w:pPr>
    </w:p>
    <w:p>
      <w:pPr>
        <w:jc w:val="both"/>
        <w:ind w:left="120" w:right="300"/>
        <w:spacing w:after="0" w:line="263" w:lineRule="auto"/>
        <w:rPr>
          <w:sz w:val="20"/>
          <w:szCs w:val="20"/>
          <w:color w:val="auto"/>
        </w:rPr>
      </w:pPr>
      <w:r>
        <w:rPr>
          <w:rFonts w:ascii="Arial" w:cs="Arial" w:eastAsia="Arial" w:hAnsi="Arial"/>
          <w:sz w:val="18"/>
          <w:szCs w:val="18"/>
          <w:color w:val="auto"/>
        </w:rPr>
        <w:t>Subject to the terms of the Plan, settlement to be made by the Company or the French subsidiary upon exercise of the Stock Options shall exclusively be made in Shares. Upon payment of the Exercise Price, the Optionee receives Shares in a registered form. Upon exercise date, no cash replacement over Shares would be allowed.</w:t>
      </w:r>
    </w:p>
    <w:p>
      <w:pPr>
        <w:spacing w:after="0" w:line="180" w:lineRule="exact"/>
        <w:rPr>
          <w:sz w:val="20"/>
          <w:szCs w:val="20"/>
          <w:color w:val="auto"/>
        </w:rPr>
      </w:pPr>
    </w:p>
    <w:p>
      <w:pPr>
        <w:ind w:left="560" w:hanging="552"/>
        <w:spacing w:after="0"/>
        <w:tabs>
          <w:tab w:leader="none" w:pos="560" w:val="left"/>
        </w:tabs>
        <w:numPr>
          <w:ilvl w:val="0"/>
          <w:numId w:val="163"/>
        </w:numPr>
        <w:rPr>
          <w:rFonts w:ascii="Arial" w:cs="Arial" w:eastAsia="Arial" w:hAnsi="Arial"/>
          <w:sz w:val="18"/>
          <w:szCs w:val="18"/>
          <w:color w:val="auto"/>
        </w:rPr>
      </w:pPr>
      <w:r>
        <w:rPr>
          <w:rFonts w:ascii="Arial" w:cs="Arial" w:eastAsia="Arial" w:hAnsi="Arial"/>
          <w:sz w:val="18"/>
          <w:szCs w:val="18"/>
          <w:b w:val="1"/>
          <w:bCs w:val="1"/>
          <w:color w:val="auto"/>
        </w:rPr>
        <w:t>MISCELLANEOUS</w:t>
      </w:r>
    </w:p>
    <w:p>
      <w:pPr>
        <w:spacing w:after="0" w:line="229" w:lineRule="exact"/>
        <w:rPr>
          <w:rFonts w:ascii="Arial" w:cs="Arial" w:eastAsia="Arial" w:hAnsi="Arial"/>
          <w:sz w:val="18"/>
          <w:szCs w:val="18"/>
          <w:color w:val="auto"/>
        </w:rPr>
      </w:pPr>
    </w:p>
    <w:p>
      <w:pPr>
        <w:ind w:left="1620" w:hanging="289"/>
        <w:spacing w:after="0"/>
        <w:tabs>
          <w:tab w:leader="none" w:pos="1620" w:val="left"/>
        </w:tabs>
        <w:numPr>
          <w:ilvl w:val="1"/>
          <w:numId w:val="163"/>
        </w:numPr>
        <w:rPr>
          <w:rFonts w:ascii="Arial" w:cs="Arial" w:eastAsia="Arial" w:hAnsi="Arial"/>
          <w:sz w:val="18"/>
          <w:szCs w:val="18"/>
          <w:color w:val="auto"/>
        </w:rPr>
      </w:pPr>
      <w:r>
        <w:rPr>
          <w:rFonts w:ascii="Arial" w:cs="Arial" w:eastAsia="Arial" w:hAnsi="Arial"/>
          <w:sz w:val="18"/>
          <w:szCs w:val="18"/>
          <w:i w:val="1"/>
          <w:iCs w:val="1"/>
          <w:color w:val="auto"/>
        </w:rPr>
        <w:t>Withholding taxes</w:t>
      </w:r>
    </w:p>
    <w:p>
      <w:pPr>
        <w:spacing w:after="0" w:line="221" w:lineRule="exact"/>
        <w:rPr>
          <w:sz w:val="20"/>
          <w:szCs w:val="20"/>
          <w:color w:val="auto"/>
        </w:rPr>
      </w:pPr>
    </w:p>
    <w:p>
      <w:pPr>
        <w:jc w:val="both"/>
        <w:ind w:left="1320" w:hanging="755"/>
        <w:spacing w:after="0" w:line="266" w:lineRule="auto"/>
        <w:tabs>
          <w:tab w:leader="none" w:pos="1300" w:val="left"/>
        </w:tabs>
        <w:rPr>
          <w:sz w:val="20"/>
          <w:szCs w:val="20"/>
          <w:color w:val="auto"/>
        </w:rPr>
      </w:pPr>
      <w:r>
        <w:rPr>
          <w:rFonts w:ascii="Arial" w:cs="Arial" w:eastAsia="Arial" w:hAnsi="Arial"/>
          <w:sz w:val="18"/>
          <w:szCs w:val="18"/>
          <w:color w:val="auto"/>
        </w:rPr>
        <w:t>4.1.2</w:t>
      </w:r>
      <w:r>
        <w:rPr>
          <w:sz w:val="20"/>
          <w:szCs w:val="20"/>
          <w:color w:val="auto"/>
        </w:rPr>
        <w:tab/>
      </w:r>
      <w:r>
        <w:rPr>
          <w:rFonts w:ascii="Arial" w:cs="Arial" w:eastAsia="Arial" w:hAnsi="Arial"/>
          <w:sz w:val="18"/>
          <w:szCs w:val="18"/>
          <w:b w:val="1"/>
          <w:bCs w:val="1"/>
          <w:color w:val="auto"/>
        </w:rPr>
        <w:t xml:space="preserve">Mandatory social charges due on Awards. </w:t>
      </w:r>
      <w:r>
        <w:rPr>
          <w:rFonts w:ascii="Arial" w:cs="Arial" w:eastAsia="Arial" w:hAnsi="Arial"/>
          <w:sz w:val="18"/>
          <w:szCs w:val="18"/>
          <w:color w:val="auto"/>
        </w:rPr>
        <w:t>The French employer shall be responsible for remitting and withholding employee's social</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charges in the event that the Optionee decides to sell the Shares underlying his/her Stock Options before the fourth (4th) anniversary of the Grant Date.</w:t>
      </w:r>
    </w:p>
    <w:p>
      <w:pPr>
        <w:spacing w:after="0" w:line="180" w:lineRule="exact"/>
        <w:rPr>
          <w:sz w:val="20"/>
          <w:szCs w:val="20"/>
          <w:color w:val="auto"/>
        </w:rPr>
      </w:pPr>
    </w:p>
    <w:p>
      <w:pPr>
        <w:jc w:val="both"/>
        <w:ind w:left="1340"/>
        <w:spacing w:after="0" w:line="263" w:lineRule="auto"/>
        <w:rPr>
          <w:sz w:val="20"/>
          <w:szCs w:val="20"/>
          <w:color w:val="auto"/>
        </w:rPr>
      </w:pPr>
      <w:r>
        <w:rPr>
          <w:rFonts w:ascii="Arial" w:cs="Arial" w:eastAsia="Arial" w:hAnsi="Arial"/>
          <w:sz w:val="18"/>
          <w:szCs w:val="18"/>
          <w:color w:val="auto"/>
        </w:rPr>
        <w:t>However, in such event, the Optionee remains responsible for exclusively bearing employee social charges and accepts any corresponding withholding from his/her proceeds and/or any further settlement required by the employer in this respect. Employer social security charges shall always remain a liability of the employer.</w:t>
      </w:r>
    </w:p>
    <w:p>
      <w:pPr>
        <w:spacing w:after="0" w:line="180" w:lineRule="exact"/>
        <w:rPr>
          <w:sz w:val="20"/>
          <w:szCs w:val="20"/>
          <w:color w:val="auto"/>
        </w:rPr>
      </w:pPr>
    </w:p>
    <w:p>
      <w:pPr>
        <w:ind w:left="560"/>
        <w:spacing w:after="0"/>
        <w:tabs>
          <w:tab w:leader="none" w:pos="1300" w:val="left"/>
        </w:tabs>
        <w:rPr>
          <w:sz w:val="20"/>
          <w:szCs w:val="20"/>
          <w:color w:val="auto"/>
        </w:rPr>
      </w:pPr>
      <w:r>
        <w:rPr>
          <w:rFonts w:ascii="Arial" w:cs="Arial" w:eastAsia="Arial" w:hAnsi="Arial"/>
          <w:sz w:val="18"/>
          <w:szCs w:val="18"/>
          <w:color w:val="auto"/>
        </w:rPr>
        <w:t>4.1.3</w:t>
      </w:r>
      <w:r>
        <w:rPr>
          <w:sz w:val="20"/>
          <w:szCs w:val="20"/>
          <w:color w:val="auto"/>
        </w:rPr>
        <w:tab/>
      </w:r>
      <w:r>
        <w:rPr>
          <w:rFonts w:ascii="Arial" w:cs="Arial" w:eastAsia="Arial" w:hAnsi="Arial"/>
          <w:sz w:val="16"/>
          <w:szCs w:val="16"/>
          <w:b w:val="1"/>
          <w:bCs w:val="1"/>
          <w:color w:val="auto"/>
        </w:rPr>
        <w:t xml:space="preserve">Mandatory French income tax withholding. </w:t>
      </w:r>
      <w:r>
        <w:rPr>
          <w:rFonts w:ascii="Arial" w:cs="Arial" w:eastAsia="Arial" w:hAnsi="Arial"/>
          <w:sz w:val="16"/>
          <w:szCs w:val="16"/>
          <w:color w:val="auto"/>
        </w:rPr>
        <w:t>Subject to a change of legislation and/or regulations:</w:t>
      </w:r>
    </w:p>
    <w:p>
      <w:pPr>
        <w:spacing w:after="0" w:line="229" w:lineRule="exact"/>
        <w:rPr>
          <w:sz w:val="20"/>
          <w:szCs w:val="20"/>
          <w:color w:val="auto"/>
        </w:rPr>
      </w:pPr>
    </w:p>
    <w:p>
      <w:pPr>
        <w:ind w:left="2060" w:hanging="648"/>
        <w:spacing w:after="0"/>
        <w:tabs>
          <w:tab w:leader="none" w:pos="20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Optionee shall bear income tax, social charges or the employee taxes which are due,</w:t>
      </w:r>
    </w:p>
    <w:p>
      <w:pPr>
        <w:spacing w:after="0" w:line="225" w:lineRule="exact"/>
        <w:rPr>
          <w:rFonts w:ascii="Arial" w:cs="Arial" w:eastAsia="Arial" w:hAnsi="Arial"/>
          <w:sz w:val="18"/>
          <w:szCs w:val="18"/>
          <w:color w:val="auto"/>
        </w:rPr>
      </w:pPr>
    </w:p>
    <w:p>
      <w:pPr>
        <w:ind w:left="2060" w:hanging="648"/>
        <w:spacing w:after="0"/>
        <w:tabs>
          <w:tab w:leader="none" w:pos="20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Optionee expressly and irrevocably agrees:</w:t>
      </w:r>
    </w:p>
    <w:p>
      <w:pPr>
        <w:spacing w:after="0" w:line="225" w:lineRule="exact"/>
        <w:rPr>
          <w:rFonts w:ascii="Arial" w:cs="Arial" w:eastAsia="Arial" w:hAnsi="Arial"/>
          <w:sz w:val="18"/>
          <w:szCs w:val="18"/>
          <w:color w:val="auto"/>
        </w:rPr>
      </w:pPr>
    </w:p>
    <w:p>
      <w:pPr>
        <w:ind w:left="2700" w:right="280" w:hanging="316"/>
        <w:spacing w:after="0" w:line="277" w:lineRule="auto"/>
        <w:tabs>
          <w:tab w:leader="none" w:pos="270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to communicate any personal information necessary to comply with the reporting requirements, income tax or social charges pursuant to the law,</w:t>
      </w:r>
    </w:p>
    <w:p>
      <w:pPr>
        <w:spacing w:after="0" w:line="170" w:lineRule="exact"/>
        <w:rPr>
          <w:rFonts w:ascii="Arial" w:cs="Arial" w:eastAsia="Arial" w:hAnsi="Arial"/>
          <w:sz w:val="18"/>
          <w:szCs w:val="18"/>
          <w:color w:val="auto"/>
        </w:rPr>
      </w:pPr>
    </w:p>
    <w:p>
      <w:pPr>
        <w:ind w:left="2700" w:right="20" w:hanging="316"/>
        <w:spacing w:after="0" w:line="277" w:lineRule="auto"/>
        <w:tabs>
          <w:tab w:leader="none" w:pos="270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that employee's social security contributions or income tax at source be withheld on the share sale proceeds, if necessary.</w:t>
      </w:r>
    </w:p>
    <w:p>
      <w:pPr>
        <w:spacing w:after="0" w:line="37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9" w:name="page90"/>
    <w:bookmarkEnd w:id="89"/>
    <w:p>
      <w:pPr>
        <w:jc w:val="both"/>
        <w:spacing w:after="0" w:line="263" w:lineRule="auto"/>
        <w:rPr>
          <w:sz w:val="20"/>
          <w:szCs w:val="20"/>
          <w:color w:val="auto"/>
        </w:rPr>
      </w:pPr>
      <w:r>
        <w:rPr>
          <w:rFonts w:ascii="Arial" w:cs="Arial" w:eastAsia="Arial" w:hAnsi="Arial"/>
          <w:sz w:val="18"/>
          <w:szCs w:val="18"/>
          <w:color w:val="auto"/>
        </w:rPr>
        <w:t>Failing that and upon express request from the Company or one of its Subsidiaries, the Optionee can also be required to pay the amount of employee's contributions and/or income tax and/or any other tax of any kind owed to the Company or to the Subsidiary concerned, which the Optionee expressly undertakes to do.</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the Optionee is a French tax non-resident on the share sale date and if the Options have been granted with reference to a professional activity exercised in France or if the Optionee has exercised a taxable professional activity in France during the vesting period, a French withholding tax will be assessed on the portion of the Stock Option gain related to his/her French source activity further to Article 182 A ter of the French Tax Code.</w:t>
      </w:r>
    </w:p>
    <w:p>
      <w:pPr>
        <w:spacing w:after="0" w:line="187" w:lineRule="exact"/>
        <w:rPr>
          <w:sz w:val="20"/>
          <w:szCs w:val="20"/>
          <w:color w:val="auto"/>
        </w:rPr>
      </w:pPr>
    </w:p>
    <w:p>
      <w:pPr>
        <w:ind w:left="1340" w:hanging="515"/>
        <w:spacing w:after="0"/>
        <w:tabs>
          <w:tab w:leader="none" w:pos="1340" w:val="left"/>
        </w:tabs>
        <w:numPr>
          <w:ilvl w:val="0"/>
          <w:numId w:val="165"/>
        </w:numPr>
        <w:rPr>
          <w:rFonts w:ascii="Arial" w:cs="Arial" w:eastAsia="Arial" w:hAnsi="Arial"/>
          <w:sz w:val="18"/>
          <w:szCs w:val="18"/>
          <w:color w:val="auto"/>
        </w:rPr>
      </w:pPr>
      <w:r>
        <w:rPr>
          <w:rFonts w:ascii="Arial" w:cs="Arial" w:eastAsia="Arial" w:hAnsi="Arial"/>
          <w:sz w:val="18"/>
          <w:szCs w:val="18"/>
          <w:i w:val="1"/>
          <w:iCs w:val="1"/>
          <w:color w:val="auto"/>
        </w:rPr>
        <w:t>Consent to Receive Information in English</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By accepting the Options, the Optionee confirms having read and understood the Plan and the Agreement, including all terms and conditions included therein, which were provided in the English language. The Optionee accepts the terms of those documents accordingly.</w:t>
      </w:r>
    </w:p>
    <w:p>
      <w:pPr>
        <w:spacing w:after="0" w:line="146"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i w:val="1"/>
          <w:iCs w:val="1"/>
          <w:color w:val="auto"/>
        </w:rPr>
        <w:t>En acceptant cette Options, le Titulaire des Options confirme avoir lu et compris le Plan et le Contrat y relatifs, incluant tous leurs termes et conditions, qui ont été transmis en langue anglaise. Le Titulaire des Options accepte les dispositions de ces documents en connaissance de cause.</w:t>
      </w:r>
    </w:p>
    <w:p>
      <w:pPr>
        <w:spacing w:after="0" w:line="124"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186055</wp:posOffset>
            </wp:positionV>
            <wp:extent cx="713232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0680"/>
          </w:cols>
          <w:pgMar w:left="880" w:top="341" w:right="339" w:bottom="1440" w:gutter="0" w:footer="0" w:header="0"/>
        </w:sectPr>
      </w:pPr>
    </w:p>
    <w:bookmarkStart w:id="90" w:name="page91"/>
    <w:bookmarkEnd w:id="90"/>
    <w:tbl>
      <w:tblPr>
        <w:tblLayout w:type="fixed"/>
        <w:tblInd w:w="6880" w:type="dxa"/>
        <w:tblCellMar>
          <w:top w:w="0" w:type="dxa"/>
          <w:left w:w="0" w:type="dxa"/>
          <w:bottom w:w="0" w:type="dxa"/>
          <w:right w:w="0" w:type="dxa"/>
        </w:tblCellMar>
      </w:tblPr>
      <w:tr>
        <w:trPr>
          <w:trHeight w:val="280"/>
        </w:trPr>
        <w:tc>
          <w:tcPr>
            <w:tcW w:w="30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22"/>
                <w:szCs w:val="22"/>
                <w:b w:val="1"/>
                <w:bCs w:val="1"/>
                <w:color w:val="auto"/>
              </w:rPr>
              <w:t>Exhibit 5.1</w:t>
            </w:r>
          </w:p>
        </w:tc>
      </w:tr>
      <w:tr>
        <w:trPr>
          <w:trHeight w:val="435"/>
        </w:trPr>
        <w:tc>
          <w:tcPr>
            <w:tcW w:w="3080" w:type="dxa"/>
            <w:vAlign w:val="bottom"/>
          </w:tcPr>
          <w:p>
            <w:pPr>
              <w:spacing w:after="0"/>
              <w:rPr>
                <w:sz w:val="20"/>
                <w:szCs w:val="20"/>
                <w:color w:val="auto"/>
              </w:rPr>
            </w:pPr>
            <w:r>
              <w:rPr>
                <w:rFonts w:ascii="Arial" w:cs="Arial" w:eastAsia="Arial" w:hAnsi="Arial"/>
                <w:sz w:val="18"/>
                <w:szCs w:val="18"/>
                <w:b w:val="1"/>
                <w:bCs w:val="1"/>
                <w:color w:val="auto"/>
              </w:rPr>
              <w:t>A&amp;L Goodbody LLP</w:t>
            </w:r>
          </w:p>
        </w:tc>
        <w:tc>
          <w:tcPr>
            <w:tcW w:w="1280" w:type="dxa"/>
            <w:vAlign w:val="bottom"/>
          </w:tcPr>
          <w:p>
            <w:pPr>
              <w:jc w:val="right"/>
              <w:spacing w:after="0"/>
              <w:rPr>
                <w:sz w:val="20"/>
                <w:szCs w:val="20"/>
                <w:color w:val="auto"/>
              </w:rPr>
            </w:pPr>
            <w:r>
              <w:rPr>
                <w:rFonts w:ascii="Arial" w:cs="Arial" w:eastAsia="Arial" w:hAnsi="Arial"/>
                <w:sz w:val="18"/>
                <w:szCs w:val="18"/>
                <w:color w:val="auto"/>
              </w:rPr>
              <w:t>Dublin</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w w:val="98"/>
              </w:rPr>
              <w:t>International Financial Services Centre</w:t>
            </w:r>
          </w:p>
        </w:tc>
        <w:tc>
          <w:tcPr>
            <w:tcW w:w="1280" w:type="dxa"/>
            <w:vAlign w:val="bottom"/>
          </w:tcPr>
          <w:p>
            <w:pPr>
              <w:jc w:val="right"/>
              <w:spacing w:after="0"/>
              <w:rPr>
                <w:sz w:val="20"/>
                <w:szCs w:val="20"/>
                <w:color w:val="auto"/>
              </w:rPr>
            </w:pPr>
            <w:r>
              <w:rPr>
                <w:rFonts w:ascii="Arial" w:cs="Arial" w:eastAsia="Arial" w:hAnsi="Arial"/>
                <w:sz w:val="18"/>
                <w:szCs w:val="18"/>
                <w:color w:val="auto"/>
              </w:rPr>
              <w:t>Belfast</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25-28 North Wall Quay, Dublin 1</w:t>
            </w:r>
          </w:p>
        </w:tc>
        <w:tc>
          <w:tcPr>
            <w:tcW w:w="1280" w:type="dxa"/>
            <w:vAlign w:val="bottom"/>
          </w:tcPr>
          <w:p>
            <w:pPr>
              <w:jc w:val="right"/>
              <w:spacing w:after="0"/>
              <w:rPr>
                <w:sz w:val="20"/>
                <w:szCs w:val="20"/>
                <w:color w:val="auto"/>
              </w:rPr>
            </w:pPr>
            <w:r>
              <w:rPr>
                <w:rFonts w:ascii="Arial" w:cs="Arial" w:eastAsia="Arial" w:hAnsi="Arial"/>
                <w:sz w:val="18"/>
                <w:szCs w:val="18"/>
                <w:color w:val="auto"/>
              </w:rPr>
              <w:t>London</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D01 H104</w:t>
            </w:r>
          </w:p>
        </w:tc>
        <w:tc>
          <w:tcPr>
            <w:tcW w:w="1280" w:type="dxa"/>
            <w:vAlign w:val="bottom"/>
          </w:tcPr>
          <w:p>
            <w:pPr>
              <w:jc w:val="right"/>
              <w:spacing w:after="0"/>
              <w:rPr>
                <w:sz w:val="20"/>
                <w:szCs w:val="20"/>
                <w:color w:val="auto"/>
              </w:rPr>
            </w:pPr>
            <w:r>
              <w:rPr>
                <w:rFonts w:ascii="Arial" w:cs="Arial" w:eastAsia="Arial" w:hAnsi="Arial"/>
                <w:sz w:val="18"/>
                <w:szCs w:val="18"/>
                <w:color w:val="auto"/>
              </w:rPr>
              <w:t>New York</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T: +353 1 649 2000</w:t>
            </w:r>
          </w:p>
        </w:tc>
        <w:tc>
          <w:tcPr>
            <w:tcW w:w="1280" w:type="dxa"/>
            <w:vAlign w:val="bottom"/>
          </w:tcPr>
          <w:p>
            <w:pPr>
              <w:jc w:val="right"/>
              <w:spacing w:after="0"/>
              <w:rPr>
                <w:sz w:val="20"/>
                <w:szCs w:val="20"/>
                <w:color w:val="auto"/>
              </w:rPr>
            </w:pPr>
            <w:r>
              <w:rPr>
                <w:rFonts w:ascii="Arial" w:cs="Arial" w:eastAsia="Arial" w:hAnsi="Arial"/>
                <w:sz w:val="18"/>
                <w:szCs w:val="18"/>
                <w:color w:val="auto"/>
              </w:rPr>
              <w:t>San Francisco</w:t>
            </w:r>
          </w:p>
        </w:tc>
      </w:tr>
      <w:tr>
        <w:trPr>
          <w:trHeight w:val="230"/>
        </w:trPr>
        <w:tc>
          <w:tcPr>
            <w:tcW w:w="3080" w:type="dxa"/>
            <w:vAlign w:val="bottom"/>
          </w:tcPr>
          <w:p>
            <w:pPr>
              <w:spacing w:after="0"/>
              <w:rPr>
                <w:sz w:val="20"/>
                <w:szCs w:val="20"/>
                <w:color w:val="auto"/>
              </w:rPr>
            </w:pPr>
            <w:r>
              <w:rPr>
                <w:rFonts w:ascii="Arial" w:cs="Arial" w:eastAsia="Arial" w:hAnsi="Arial"/>
                <w:sz w:val="18"/>
                <w:szCs w:val="18"/>
                <w:color w:val="auto"/>
              </w:rPr>
              <w:t>DX: 29 Dublin | www.algoodbody.com</w:t>
            </w:r>
          </w:p>
        </w:tc>
        <w:tc>
          <w:tcPr>
            <w:tcW w:w="1280" w:type="dxa"/>
            <w:vAlign w:val="bottom"/>
          </w:tcPr>
          <w:p>
            <w:pPr>
              <w:jc w:val="right"/>
              <w:spacing w:after="0"/>
              <w:rPr>
                <w:sz w:val="20"/>
                <w:szCs w:val="20"/>
                <w:color w:val="auto"/>
              </w:rPr>
            </w:pPr>
            <w:r>
              <w:rPr>
                <w:rFonts w:ascii="Arial" w:cs="Arial" w:eastAsia="Arial" w:hAnsi="Arial"/>
                <w:sz w:val="18"/>
                <w:szCs w:val="18"/>
                <w:color w:val="auto"/>
              </w:rPr>
              <w:t>Palo Alto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-822325</wp:posOffset>
            </wp:positionV>
            <wp:extent cx="17145" cy="8229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3">
                      <a:extLst>
                        <a:ext uri="{28A0092B-C50C-407E-A947-70E740481C1C}"/>
                      </a:extLst>
                    </a:blip>
                    <a:srcRect/>
                    <a:stretch>
                      <a:fillRect/>
                    </a:stretch>
                  </pic:blipFill>
                  <pic:spPr bwMode="auto">
                    <a:xfrm>
                      <a:off x="0" y="0"/>
                      <a:ext cx="17145" cy="8229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-822325</wp:posOffset>
            </wp:positionV>
            <wp:extent cx="1628775" cy="2400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4">
                      <a:extLst>
                        <a:ext uri="{28A0092B-C50C-407E-A947-70E740481C1C}"/>
                      </a:extLst>
                    </a:blip>
                    <a:srcRect/>
                    <a:stretch>
                      <a:fillRect/>
                    </a:stretch>
                  </pic:blipFill>
                  <pic:spPr bwMode="auto">
                    <a:xfrm>
                      <a:off x="0" y="0"/>
                      <a:ext cx="1628775" cy="24003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Date</w:t>
            </w:r>
          </w:p>
        </w:tc>
        <w:tc>
          <w:tcPr>
            <w:tcW w:w="20" w:type="dxa"/>
            <w:vAlign w:val="bottom"/>
            <w:shd w:val="clear" w:color="auto" w:fill="000000"/>
          </w:tcPr>
          <w:p>
            <w:pPr>
              <w:spacing w:after="0"/>
              <w:rPr>
                <w:sz w:val="18"/>
                <w:szCs w:val="18"/>
                <w:color w:val="auto"/>
              </w:rPr>
            </w:pPr>
          </w:p>
        </w:tc>
        <w:tc>
          <w:tcPr>
            <w:tcW w:w="1660" w:type="dxa"/>
            <w:vAlign w:val="bottom"/>
          </w:tcPr>
          <w:p>
            <w:pPr>
              <w:ind w:left="120"/>
              <w:spacing w:after="0"/>
              <w:rPr>
                <w:sz w:val="20"/>
                <w:szCs w:val="20"/>
                <w:color w:val="auto"/>
              </w:rPr>
            </w:pPr>
            <w:r>
              <w:rPr>
                <w:rFonts w:ascii="Arial" w:cs="Arial" w:eastAsia="Arial" w:hAnsi="Arial"/>
                <w:sz w:val="18"/>
                <w:szCs w:val="18"/>
                <w:color w:val="auto"/>
              </w:rPr>
              <w:t>1 July 2021</w:t>
            </w:r>
          </w:p>
        </w:tc>
        <w:tc>
          <w:tcPr>
            <w:tcW w:w="0" w:type="dxa"/>
            <w:vAlign w:val="bottom"/>
          </w:tcPr>
          <w:p>
            <w:pPr>
              <w:spacing w:after="0"/>
              <w:rPr>
                <w:sz w:val="1"/>
                <w:szCs w:val="1"/>
                <w:color w:val="auto"/>
              </w:rPr>
            </w:pPr>
          </w:p>
        </w:tc>
      </w:tr>
      <w:tr>
        <w:trPr>
          <w:trHeight w:val="216"/>
        </w:trPr>
        <w:tc>
          <w:tcPr>
            <w:tcW w:w="1140" w:type="dxa"/>
            <w:vAlign w:val="bottom"/>
            <w:vMerge w:val="restart"/>
          </w:tcPr>
          <w:p>
            <w:pPr>
              <w:spacing w:after="0"/>
              <w:rPr>
                <w:sz w:val="20"/>
                <w:szCs w:val="20"/>
                <w:color w:val="auto"/>
              </w:rPr>
            </w:pPr>
            <w:r>
              <w:rPr>
                <w:rFonts w:ascii="Arial" w:cs="Arial" w:eastAsia="Arial" w:hAnsi="Arial"/>
                <w:sz w:val="18"/>
                <w:szCs w:val="18"/>
                <w:color w:val="auto"/>
              </w:rPr>
              <w:t>Our ref</w:t>
            </w:r>
          </w:p>
        </w:tc>
        <w:tc>
          <w:tcPr>
            <w:tcW w:w="20" w:type="dxa"/>
            <w:vAlign w:val="bottom"/>
          </w:tcPr>
          <w:p>
            <w:pPr>
              <w:spacing w:after="0"/>
              <w:rPr>
                <w:sz w:val="18"/>
                <w:szCs w:val="18"/>
                <w:color w:val="auto"/>
              </w:rPr>
            </w:pPr>
          </w:p>
        </w:tc>
        <w:tc>
          <w:tcPr>
            <w:tcW w:w="1660" w:type="dxa"/>
            <w:vAlign w:val="bottom"/>
            <w:vMerge w:val="restart"/>
          </w:tcPr>
          <w:p>
            <w:pPr>
              <w:ind w:left="120"/>
              <w:spacing w:after="0"/>
              <w:rPr>
                <w:sz w:val="20"/>
                <w:szCs w:val="20"/>
                <w:color w:val="auto"/>
              </w:rPr>
            </w:pPr>
            <w:r>
              <w:rPr>
                <w:rFonts w:ascii="Arial" w:cs="Arial" w:eastAsia="Arial" w:hAnsi="Arial"/>
                <w:sz w:val="18"/>
                <w:szCs w:val="18"/>
                <w:color w:val="auto"/>
                <w:w w:val="92"/>
              </w:rPr>
              <w:t>BHY/BOF 01435880</w:t>
            </w: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color w:val="auto"/>
        </w:rPr>
        <w:t>ICON plc</w:t>
      </w:r>
    </w:p>
    <w:p>
      <w:pPr>
        <w:spacing w:after="0" w:line="238" w:lineRule="auto"/>
        <w:rPr>
          <w:sz w:val="20"/>
          <w:szCs w:val="20"/>
          <w:color w:val="auto"/>
        </w:rPr>
      </w:pPr>
      <w:r>
        <w:rPr>
          <w:rFonts w:ascii="Arial" w:cs="Arial" w:eastAsia="Arial" w:hAnsi="Arial"/>
          <w:sz w:val="22"/>
          <w:szCs w:val="22"/>
          <w:color w:val="auto"/>
        </w:rPr>
        <w:t>South County Business Park</w:t>
      </w:r>
    </w:p>
    <w:p>
      <w:pPr>
        <w:spacing w:after="0" w:line="230" w:lineRule="auto"/>
        <w:rPr>
          <w:sz w:val="20"/>
          <w:szCs w:val="20"/>
          <w:color w:val="auto"/>
        </w:rPr>
      </w:pPr>
      <w:r>
        <w:rPr>
          <w:rFonts w:ascii="Arial" w:cs="Arial" w:eastAsia="Arial" w:hAnsi="Arial"/>
          <w:sz w:val="22"/>
          <w:szCs w:val="22"/>
          <w:color w:val="auto"/>
        </w:rPr>
        <w:t>Leopardstown</w:t>
      </w:r>
    </w:p>
    <w:p>
      <w:pPr>
        <w:spacing w:after="0" w:line="231" w:lineRule="auto"/>
        <w:rPr>
          <w:sz w:val="20"/>
          <w:szCs w:val="20"/>
          <w:color w:val="auto"/>
        </w:rPr>
      </w:pPr>
      <w:r>
        <w:rPr>
          <w:rFonts w:ascii="Arial" w:cs="Arial" w:eastAsia="Arial" w:hAnsi="Arial"/>
          <w:sz w:val="22"/>
          <w:szCs w:val="22"/>
          <w:color w:val="auto"/>
        </w:rPr>
        <w:t>Dublin 18</w:t>
      </w:r>
    </w:p>
    <w:p>
      <w:pPr>
        <w:spacing w:after="0"/>
        <w:rPr>
          <w:sz w:val="20"/>
          <w:szCs w:val="20"/>
          <w:color w:val="auto"/>
        </w:rPr>
      </w:pPr>
      <w:r>
        <w:rPr>
          <w:rFonts w:ascii="Arial" w:cs="Arial" w:eastAsia="Arial" w:hAnsi="Arial"/>
          <w:sz w:val="22"/>
          <w:szCs w:val="22"/>
          <w:color w:val="auto"/>
        </w:rPr>
        <w:t>Ireland</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ICON plc </w:t>
      </w:r>
      <w:r>
        <w:rPr>
          <w:rFonts w:ascii="Arial" w:cs="Arial" w:eastAsia="Arial" w:hAnsi="Arial"/>
          <w:sz w:val="22"/>
          <w:szCs w:val="22"/>
          <w:color w:val="auto"/>
        </w:rPr>
        <w:t>(the</w:t>
      </w:r>
      <w:r>
        <w:rPr>
          <w:rFonts w:ascii="Arial" w:cs="Arial" w:eastAsia="Arial" w:hAnsi="Arial"/>
          <w:sz w:val="22"/>
          <w:szCs w:val="22"/>
          <w:b w:val="1"/>
          <w:bCs w:val="1"/>
          <w:color w:val="auto"/>
        </w:rPr>
        <w:t xml:space="preserve"> Company</w:t>
      </w:r>
      <w:r>
        <w:rPr>
          <w:rFonts w:ascii="Arial" w:cs="Arial" w:eastAsia="Arial" w:hAnsi="Arial"/>
          <w:sz w:val="22"/>
          <w:szCs w:val="22"/>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Dear Sirs</w:t>
      </w:r>
    </w:p>
    <w:p>
      <w:pPr>
        <w:spacing w:after="0" w:line="236" w:lineRule="exact"/>
        <w:rPr>
          <w:sz w:val="20"/>
          <w:szCs w:val="20"/>
          <w:color w:val="auto"/>
        </w:rPr>
      </w:pPr>
    </w:p>
    <w:p>
      <w:pPr>
        <w:ind w:left="560" w:hanging="552"/>
        <w:spacing w:after="0"/>
        <w:tabs>
          <w:tab w:leader="none" w:pos="560" w:val="left"/>
        </w:tabs>
        <w:numPr>
          <w:ilvl w:val="0"/>
          <w:numId w:val="166"/>
        </w:numPr>
        <w:rPr>
          <w:rFonts w:ascii="Arial" w:cs="Arial" w:eastAsia="Arial" w:hAnsi="Arial"/>
          <w:sz w:val="18"/>
          <w:szCs w:val="18"/>
          <w:color w:val="auto"/>
        </w:rPr>
      </w:pPr>
      <w:r>
        <w:rPr>
          <w:rFonts w:ascii="Arial" w:cs="Arial" w:eastAsia="Arial" w:hAnsi="Arial"/>
          <w:sz w:val="18"/>
          <w:szCs w:val="18"/>
          <w:b w:val="1"/>
          <w:bCs w:val="1"/>
          <w:color w:val="auto"/>
        </w:rPr>
        <w:t>Context</w:t>
      </w:r>
    </w:p>
    <w:p>
      <w:pPr>
        <w:spacing w:after="0" w:line="256" w:lineRule="exact"/>
        <w:rPr>
          <w:sz w:val="20"/>
          <w:szCs w:val="20"/>
          <w:color w:val="auto"/>
        </w:rPr>
      </w:pPr>
    </w:p>
    <w:p>
      <w:pPr>
        <w:jc w:val="both"/>
        <w:ind w:left="560" w:hanging="552"/>
        <w:spacing w:after="0" w:line="254" w:lineRule="auto"/>
        <w:tabs>
          <w:tab w:leader="none" w:pos="5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 xml:space="preserve">We act as Irish counsel for the Company, registered number 145835, a public limited company limited by shares incorporated under the laws of Ireland, in connection with the Registration Statement on Form F-4, which includes the Joint Proxy Statement/Prospectus, filed with the United States Securities and Exchange Commission (the </w:t>
      </w:r>
      <w:r>
        <w:rPr>
          <w:rFonts w:ascii="Arial" w:cs="Arial" w:eastAsia="Arial" w:hAnsi="Arial"/>
          <w:sz w:val="18"/>
          <w:szCs w:val="18"/>
          <w:b w:val="1"/>
          <w:bCs w:val="1"/>
          <w:color w:val="auto"/>
        </w:rPr>
        <w:t>SEC</w:t>
      </w:r>
      <w:r>
        <w:rPr>
          <w:rFonts w:ascii="Arial" w:cs="Arial" w:eastAsia="Arial" w:hAnsi="Arial"/>
          <w:sz w:val="18"/>
          <w:szCs w:val="18"/>
          <w:color w:val="auto"/>
        </w:rPr>
        <w:t xml:space="preserve">) in or around 31 March 2021, under the Securities Act of 1933, as previously amended by the Amendment No. 1 filed with the Commission on April 26, 2021, and which became effective on April 27, 2021, and Registration Statement on Form F-4, filed with the Commission on June 30, 2021, which became effective on filing and the Post-Effective Amendment on Form S-8 to Form F-4 to be filed on or about the date of this letter (being all together, as amended or supplemented, is hereinafter referred to as the </w:t>
      </w:r>
      <w:r>
        <w:rPr>
          <w:rFonts w:ascii="Arial" w:cs="Arial" w:eastAsia="Arial" w:hAnsi="Arial"/>
          <w:sz w:val="18"/>
          <w:szCs w:val="18"/>
          <w:b w:val="1"/>
          <w:bCs w:val="1"/>
          <w:color w:val="auto"/>
        </w:rPr>
        <w:t>Registration</w:t>
      </w:r>
      <w:r>
        <w:rPr>
          <w:rFonts w:ascii="Arial" w:cs="Arial" w:eastAsia="Arial" w:hAnsi="Arial"/>
          <w:sz w:val="18"/>
          <w:szCs w:val="18"/>
          <w:color w:val="auto"/>
        </w:rPr>
        <w:t xml:space="preserve"> </w:t>
      </w:r>
      <w:r>
        <w:rPr>
          <w:rFonts w:ascii="Arial" w:cs="Arial" w:eastAsia="Arial" w:hAnsi="Arial"/>
          <w:sz w:val="18"/>
          <w:szCs w:val="18"/>
          <w:b w:val="1"/>
          <w:bCs w:val="1"/>
          <w:color w:val="auto"/>
        </w:rPr>
        <w:t>Statement</w:t>
      </w:r>
      <w:r>
        <w:rPr>
          <w:rFonts w:ascii="Arial" w:cs="Arial" w:eastAsia="Arial" w:hAnsi="Arial"/>
          <w:sz w:val="18"/>
          <w:szCs w:val="18"/>
          <w:color w:val="auto"/>
        </w:rPr>
        <w:t>).</w:t>
      </w:r>
    </w:p>
    <w:p>
      <w:pPr>
        <w:spacing w:after="0" w:line="222" w:lineRule="exact"/>
        <w:rPr>
          <w:sz w:val="20"/>
          <w:szCs w:val="20"/>
          <w:color w:val="auto"/>
        </w:rPr>
      </w:pPr>
    </w:p>
    <w:p>
      <w:pPr>
        <w:jc w:val="both"/>
        <w:ind w:left="560" w:hanging="552"/>
        <w:spacing w:after="0" w:line="254" w:lineRule="auto"/>
        <w:tabs>
          <w:tab w:leader="none" w:pos="5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 xml:space="preserve">In connection with the transactions contemplated by an Agreement and Plan of Merger, dated as of February 24, 2021, by and among the Company, ICON US Holdings, Inc., Indigo Merger Sub, Inc. and PRA Health Sciences, Inc. (the </w:t>
      </w:r>
      <w:r>
        <w:rPr>
          <w:rFonts w:ascii="Arial" w:cs="Arial" w:eastAsia="Arial" w:hAnsi="Arial"/>
          <w:sz w:val="18"/>
          <w:szCs w:val="18"/>
          <w:b w:val="1"/>
          <w:bCs w:val="1"/>
          <w:color w:val="auto"/>
        </w:rPr>
        <w:t>Merger Agreement</w:t>
      </w:r>
      <w:r>
        <w:rPr>
          <w:rFonts w:ascii="Arial" w:cs="Arial" w:eastAsia="Arial" w:hAnsi="Arial"/>
          <w:sz w:val="18"/>
          <w:szCs w:val="18"/>
          <w:color w:val="auto"/>
        </w:rPr>
        <w:t xml:space="preserve">), the Company may issue up to approximately 2,605,853 ordinary shares, par value €0.06 per share, in aggregate pursuant to outstanding stock options and restricted stock units previously granted under the PRA Health Sciences, Inc. 2020 Stock Incentive Plan, PRA Health Sciences, Inc. 2018 Stock Incentive Plan, PRA Health Sciences, Inc. 2014 Omnibus Incentive Plan or 2013 Stock Incentive Plan for Key Employees of PRA Health Sciences and its Subsidiaries (the </w:t>
      </w:r>
      <w:r>
        <w:rPr>
          <w:rFonts w:ascii="Arial" w:cs="Arial" w:eastAsia="Arial" w:hAnsi="Arial"/>
          <w:sz w:val="18"/>
          <w:szCs w:val="18"/>
          <w:b w:val="1"/>
          <w:bCs w:val="1"/>
          <w:color w:val="auto"/>
        </w:rPr>
        <w:t>PRA Plans</w:t>
      </w:r>
      <w:r>
        <w:rPr>
          <w:rFonts w:ascii="Arial" w:cs="Arial" w:eastAsia="Arial" w:hAnsi="Arial"/>
          <w:sz w:val="18"/>
          <w:szCs w:val="18"/>
          <w:color w:val="auto"/>
        </w:rPr>
        <w:t xml:space="preserve">). Such shares, when issued in accordance with the PRA Plans, are referred to in this opinion as the </w:t>
      </w:r>
      <w:r>
        <w:rPr>
          <w:rFonts w:ascii="Arial" w:cs="Arial" w:eastAsia="Arial" w:hAnsi="Arial"/>
          <w:sz w:val="18"/>
          <w:szCs w:val="18"/>
          <w:b w:val="1"/>
          <w:bCs w:val="1"/>
          <w:color w:val="auto"/>
        </w:rPr>
        <w:t>Shares</w:t>
      </w:r>
      <w:r>
        <w:rPr>
          <w:rFonts w:ascii="Arial" w:cs="Arial" w:eastAsia="Arial" w:hAnsi="Arial"/>
          <w:sz w:val="18"/>
          <w:szCs w:val="18"/>
          <w:color w:val="auto"/>
        </w:rPr>
        <w:t xml:space="preserve"> and the issuance of the Shares is referred to as the </w:t>
      </w:r>
      <w:r>
        <w:rPr>
          <w:rFonts w:ascii="Arial" w:cs="Arial" w:eastAsia="Arial" w:hAnsi="Arial"/>
          <w:sz w:val="18"/>
          <w:szCs w:val="18"/>
          <w:b w:val="1"/>
          <w:bCs w:val="1"/>
          <w:color w:val="auto"/>
        </w:rPr>
        <w:t>Issuance</w:t>
      </w:r>
      <w:r>
        <w:rPr>
          <w:rFonts w:ascii="Arial" w:cs="Arial" w:eastAsia="Arial" w:hAnsi="Arial"/>
          <w:sz w:val="18"/>
          <w:szCs w:val="18"/>
          <w:color w:val="auto"/>
        </w:rPr>
        <w:t>.</w:t>
      </w:r>
    </w:p>
    <w:p>
      <w:pPr>
        <w:spacing w:after="0" w:line="218" w:lineRule="exact"/>
        <w:rPr>
          <w:sz w:val="20"/>
          <w:szCs w:val="20"/>
          <w:color w:val="auto"/>
        </w:rPr>
      </w:pPr>
    </w:p>
    <w:p>
      <w:pPr>
        <w:ind w:left="560" w:hanging="552"/>
        <w:spacing w:after="0"/>
        <w:tabs>
          <w:tab w:leader="none" w:pos="560" w:val="left"/>
        </w:tabs>
        <w:numPr>
          <w:ilvl w:val="0"/>
          <w:numId w:val="167"/>
        </w:numPr>
        <w:rPr>
          <w:rFonts w:ascii="Arial" w:cs="Arial" w:eastAsia="Arial" w:hAnsi="Arial"/>
          <w:sz w:val="18"/>
          <w:szCs w:val="18"/>
          <w:color w:val="auto"/>
        </w:rPr>
      </w:pPr>
      <w:r>
        <w:rPr>
          <w:rFonts w:ascii="Arial" w:cs="Arial" w:eastAsia="Arial" w:hAnsi="Arial"/>
          <w:sz w:val="18"/>
          <w:szCs w:val="18"/>
          <w:b w:val="1"/>
          <w:bCs w:val="1"/>
          <w:color w:val="auto"/>
        </w:rPr>
        <w:t>Examination</w:t>
      </w:r>
    </w:p>
    <w:p>
      <w:pPr>
        <w:spacing w:after="0" w:line="249" w:lineRule="exact"/>
        <w:rPr>
          <w:sz w:val="20"/>
          <w:szCs w:val="20"/>
          <w:color w:val="auto"/>
        </w:rPr>
      </w:pPr>
    </w:p>
    <w:p>
      <w:pPr>
        <w:ind w:left="560"/>
        <w:spacing w:after="0" w:line="328" w:lineRule="auto"/>
        <w:rPr>
          <w:sz w:val="20"/>
          <w:szCs w:val="20"/>
          <w:color w:val="auto"/>
        </w:rPr>
      </w:pPr>
      <w:r>
        <w:rPr>
          <w:rFonts w:ascii="Arial" w:cs="Arial" w:eastAsia="Arial" w:hAnsi="Arial"/>
          <w:sz w:val="19"/>
          <w:szCs w:val="19"/>
          <w:color w:val="auto"/>
        </w:rPr>
        <w:t>In connection with this opinion, we have reviewed copies of such corporate records and other instruments of the Company as we have deemed necessary as a basis for the opinion as set out in paragraph 3 of this letter, including:</w:t>
      </w:r>
    </w:p>
    <w:p>
      <w:pPr>
        <w:spacing w:after="0" w:line="139" w:lineRule="exact"/>
        <w:rPr>
          <w:sz w:val="20"/>
          <w:szCs w:val="20"/>
          <w:color w:val="auto"/>
        </w:rPr>
      </w:pPr>
    </w:p>
    <w:p>
      <w:pPr>
        <w:ind w:left="1220" w:hanging="659"/>
        <w:spacing w:after="0"/>
        <w:tabs>
          <w:tab w:leader="none" w:pos="122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Merger Agreement;</w:t>
      </w:r>
    </w:p>
    <w:p>
      <w:pPr>
        <w:spacing w:after="0" w:line="252" w:lineRule="exact"/>
        <w:rPr>
          <w:rFonts w:ascii="Arial" w:cs="Arial" w:eastAsia="Arial" w:hAnsi="Arial"/>
          <w:sz w:val="18"/>
          <w:szCs w:val="18"/>
          <w:color w:val="auto"/>
        </w:rPr>
      </w:pPr>
    </w:p>
    <w:p>
      <w:pPr>
        <w:ind w:left="1220" w:hanging="659"/>
        <w:spacing w:after="0"/>
        <w:tabs>
          <w:tab w:leader="none" w:pos="122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Registration Statement;</w:t>
      </w:r>
    </w:p>
    <w:p>
      <w:pPr>
        <w:spacing w:after="0" w:line="252" w:lineRule="exact"/>
        <w:rPr>
          <w:rFonts w:ascii="Arial" w:cs="Arial" w:eastAsia="Arial" w:hAnsi="Arial"/>
          <w:sz w:val="18"/>
          <w:szCs w:val="18"/>
          <w:color w:val="auto"/>
        </w:rPr>
      </w:pPr>
    </w:p>
    <w:p>
      <w:pPr>
        <w:ind w:left="1220" w:hanging="659"/>
        <w:spacing w:after="0"/>
        <w:tabs>
          <w:tab w:leader="none" w:pos="1220" w:val="left"/>
        </w:tabs>
        <w:numPr>
          <w:ilvl w:val="0"/>
          <w:numId w:val="168"/>
        </w:numPr>
        <w:rPr>
          <w:rFonts w:ascii="Arial" w:cs="Arial" w:eastAsia="Arial" w:hAnsi="Arial"/>
          <w:sz w:val="17"/>
          <w:szCs w:val="17"/>
          <w:color w:val="auto"/>
        </w:rPr>
      </w:pPr>
      <w:r>
        <w:rPr>
          <w:rFonts w:ascii="Arial" w:cs="Arial" w:eastAsia="Arial" w:hAnsi="Arial"/>
          <w:sz w:val="17"/>
          <w:szCs w:val="17"/>
          <w:color w:val="auto"/>
        </w:rPr>
        <w:t>resolutions of the board of directors of the Company approving, amongst other things, the Merger Agreement and the Issuance;</w:t>
      </w:r>
    </w:p>
    <w:p>
      <w:pPr>
        <w:spacing w:after="0" w:line="263" w:lineRule="exact"/>
        <w:rPr>
          <w:rFonts w:ascii="Arial" w:cs="Arial" w:eastAsia="Arial" w:hAnsi="Arial"/>
          <w:sz w:val="17"/>
          <w:szCs w:val="17"/>
          <w:color w:val="auto"/>
        </w:rPr>
      </w:pPr>
    </w:p>
    <w:p>
      <w:pPr>
        <w:ind w:left="1220" w:hanging="659"/>
        <w:spacing w:after="0"/>
        <w:tabs>
          <w:tab w:leader="none" w:pos="122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PRA Plans;</w:t>
      </w:r>
    </w:p>
    <w:p>
      <w:pPr>
        <w:spacing w:after="0" w:line="248" w:lineRule="exact"/>
        <w:rPr>
          <w:rFonts w:ascii="Arial" w:cs="Arial" w:eastAsia="Arial" w:hAnsi="Arial"/>
          <w:sz w:val="18"/>
          <w:szCs w:val="18"/>
          <w:color w:val="auto"/>
        </w:rPr>
      </w:pPr>
    </w:p>
    <w:p>
      <w:pPr>
        <w:ind w:left="1220" w:hanging="659"/>
        <w:spacing w:after="0"/>
        <w:tabs>
          <w:tab w:leader="none" w:pos="122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 xml:space="preserve">a copy of the Constitution of the Company, in force as of the date hereof (the </w:t>
      </w:r>
      <w:r>
        <w:rPr>
          <w:rFonts w:ascii="Arial" w:cs="Arial" w:eastAsia="Arial" w:hAnsi="Arial"/>
          <w:sz w:val="18"/>
          <w:szCs w:val="18"/>
          <w:b w:val="1"/>
          <w:bCs w:val="1"/>
          <w:color w:val="auto"/>
        </w:rPr>
        <w:t>Constitution</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3"/>
          <w:szCs w:val="13"/>
          <w:color w:val="auto"/>
        </w:rPr>
        <w:t>CE Gill • JG Grennan • PD White • VJ Power • LA Kennedy • SM Doggett • B McDermott • PV Maher • S O’Riordan • MP McKenna • KA Feeney • M Sherlock • E MacNeill • KP Allen</w:t>
      </w:r>
    </w:p>
    <w:p>
      <w:pPr>
        <w:spacing w:after="0" w:line="11" w:lineRule="exact"/>
        <w:rPr>
          <w:sz w:val="20"/>
          <w:szCs w:val="20"/>
          <w:color w:val="auto"/>
        </w:rPr>
      </w:pPr>
    </w:p>
    <w:p>
      <w:pPr>
        <w:ind w:right="840"/>
        <w:spacing w:after="0" w:line="238" w:lineRule="auto"/>
        <w:rPr>
          <w:sz w:val="20"/>
          <w:szCs w:val="20"/>
          <w:color w:val="auto"/>
        </w:rPr>
      </w:pPr>
      <w:r>
        <w:rPr>
          <w:rFonts w:ascii="Arial" w:cs="Arial" w:eastAsia="Arial" w:hAnsi="Arial"/>
          <w:sz w:val="13"/>
          <w:szCs w:val="13"/>
          <w:color w:val="auto"/>
        </w:rPr>
        <w:t>EA Roberts • C Rogers • G O’Toole • JN Kelly • N O’Sullivan • MJ Ward • AC Burke • D Widger • C Christle • S O’Croinin • JW Yarr • DR Baxter • A McCarthy • JF Whelan • JB Somerville MF Barr • AM Curran • A Roberts • RM Moore • D Main • J Cahir • M Traynor • PM Murray • P Walker • K Furlong • PT Fahy • D Inverarity • M Coghlan • DR Francis • A Casey • B Hosty M O’Brien • L Mulleady • K Ryan • E Hurley • G Stanley • D Dagostino • R Grey • R Lyons • J Sheehy • C Carroll • SE Carson • P Diggin • J Williams • A O’Beirne • J Dallas SM Lynch • M McElhinney • C Owens • AD Ion • K O’Connor • JH Milne • T Casey • M Doyle • CJ Comerford • R Marron • D Berkery • K O’Shaughnessy • S O’Connor</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3"/>
          <w:szCs w:val="13"/>
          <w:color w:val="auto"/>
        </w:rPr>
        <w:t>SE Murphy • D Nangle • L Butler • A Lawler • C Ó Conluain • N McMahon • HP Brandt • A Sheridan • LM Byrne • N Cole • M Devane • D Fitzgerald • G McDonald • N Meehan • R O’Driscoll • B O’Malley</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color w:val="auto"/>
        </w:rPr>
        <w:t>Consultants: SW Haughey • Professor JCW Wylie • AF Browne • MA Greene • AV Fanagan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659" w:gutter="0" w:footer="0" w:header="0"/>
        </w:sectPr>
      </w:pPr>
    </w:p>
    <w:bookmarkStart w:id="91" w:name="page92"/>
    <w:bookmarkEnd w:id="91"/>
    <w:p>
      <w:pPr>
        <w:ind w:left="560" w:hanging="552"/>
        <w:spacing w:after="0"/>
        <w:tabs>
          <w:tab w:leader="none" w:pos="560" w:val="left"/>
        </w:tabs>
        <w:numPr>
          <w:ilvl w:val="0"/>
          <w:numId w:val="169"/>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628775" cy="2400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7">
                      <a:clrChange>
                        <a:clrFrom>
                          <a:srgbClr val="FFFFFF"/>
                        </a:clrFrom>
                        <a:clrTo>
                          <a:srgbClr val="FFFFFF">
                            <a:alpha val="0"/>
                          </a:srgbClr>
                        </a:clrTo>
                      </a:clrChange>
                      <a:extLst>
                        <a:ext uri="{28A0092B-C50C-407E-A947-70E740481C1C}"/>
                      </a:extLst>
                    </a:blip>
                    <a:srcRect/>
                    <a:stretch>
                      <a:fillRect/>
                    </a:stretch>
                  </pic:blipFill>
                  <pic:spPr bwMode="auto">
                    <a:xfrm>
                      <a:off x="0" y="0"/>
                      <a:ext cx="1628775" cy="240030"/>
                    </a:xfrm>
                    <a:prstGeom prst="rect">
                      <a:avLst/>
                    </a:prstGeom>
                    <a:noFill/>
                  </pic:spPr>
                </pic:pic>
              </a:graphicData>
            </a:graphic>
          </wp:anchor>
        </w:drawing>
        <w:t>Opinion</w:t>
      </w:r>
    </w:p>
    <w:p>
      <w:pPr>
        <w:spacing w:after="0" w:line="249" w:lineRule="exact"/>
        <w:rPr>
          <w:sz w:val="20"/>
          <w:szCs w:val="20"/>
          <w:color w:val="auto"/>
        </w:rPr>
      </w:pPr>
    </w:p>
    <w:p>
      <w:pPr>
        <w:ind w:left="560"/>
        <w:spacing w:after="0"/>
        <w:rPr>
          <w:sz w:val="20"/>
          <w:szCs w:val="20"/>
          <w:color w:val="auto"/>
        </w:rPr>
      </w:pPr>
      <w:r>
        <w:rPr>
          <w:rFonts w:ascii="Arial" w:cs="Arial" w:eastAsia="Arial" w:hAnsi="Arial"/>
          <w:sz w:val="21"/>
          <w:szCs w:val="21"/>
          <w:color w:val="auto"/>
        </w:rPr>
        <w:t>Based upon and subject to the assumptions, qualifications and limitations set out below, we are of the opinion that:</w:t>
      </w:r>
    </w:p>
    <w:p>
      <w:pPr>
        <w:spacing w:after="0" w:line="252" w:lineRule="exact"/>
        <w:rPr>
          <w:sz w:val="20"/>
          <w:szCs w:val="20"/>
          <w:color w:val="auto"/>
        </w:rPr>
      </w:pPr>
    </w:p>
    <w:p>
      <w:pPr>
        <w:ind w:left="1220" w:hanging="659"/>
        <w:spacing w:after="0"/>
        <w:tabs>
          <w:tab w:leader="none" w:pos="1220" w:val="left"/>
        </w:tabs>
        <w:numPr>
          <w:ilvl w:val="0"/>
          <w:numId w:val="170"/>
        </w:numPr>
        <w:rPr>
          <w:rFonts w:ascii="Arial" w:cs="Arial" w:eastAsia="Arial" w:hAnsi="Arial"/>
          <w:sz w:val="17"/>
          <w:szCs w:val="17"/>
          <w:color w:val="auto"/>
        </w:rPr>
      </w:pPr>
      <w:r>
        <w:rPr>
          <w:rFonts w:ascii="Arial" w:cs="Arial" w:eastAsia="Arial" w:hAnsi="Arial"/>
          <w:sz w:val="17"/>
          <w:szCs w:val="17"/>
          <w:color w:val="auto"/>
        </w:rPr>
        <w:t>the Company is a public company limited by shares and is duly incorporated and validly existing under the laws of Ireland; and</w:t>
      </w:r>
    </w:p>
    <w:p>
      <w:pPr>
        <w:spacing w:after="0" w:line="263" w:lineRule="exact"/>
        <w:rPr>
          <w:rFonts w:ascii="Arial" w:cs="Arial" w:eastAsia="Arial" w:hAnsi="Arial"/>
          <w:sz w:val="17"/>
          <w:szCs w:val="17"/>
          <w:color w:val="auto"/>
        </w:rPr>
      </w:pPr>
    </w:p>
    <w:p>
      <w:pPr>
        <w:ind w:left="1220" w:hanging="659"/>
        <w:spacing w:after="0" w:line="277" w:lineRule="auto"/>
        <w:tabs>
          <w:tab w:leader="none" w:pos="122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Shares, when issued by the Company in accordance with the terms of the Registration Statement and the PRA Plans, will have been duly authorised, validly issued fully paid and not subject to calls for any additional payments (“non-assessable”).</w:t>
      </w:r>
    </w:p>
    <w:p>
      <w:pPr>
        <w:spacing w:after="0" w:line="193" w:lineRule="exact"/>
        <w:rPr>
          <w:sz w:val="20"/>
          <w:szCs w:val="20"/>
          <w:color w:val="auto"/>
        </w:rPr>
      </w:pPr>
    </w:p>
    <w:p>
      <w:pPr>
        <w:ind w:left="560" w:hanging="552"/>
        <w:spacing w:after="0"/>
        <w:tabs>
          <w:tab w:leader="none" w:pos="560" w:val="left"/>
        </w:tabs>
        <w:numPr>
          <w:ilvl w:val="0"/>
          <w:numId w:val="171"/>
        </w:numPr>
        <w:rPr>
          <w:rFonts w:ascii="Arial" w:cs="Arial" w:eastAsia="Arial" w:hAnsi="Arial"/>
          <w:sz w:val="18"/>
          <w:szCs w:val="18"/>
          <w:color w:val="auto"/>
        </w:rPr>
      </w:pPr>
      <w:r>
        <w:rPr>
          <w:rFonts w:ascii="Arial" w:cs="Arial" w:eastAsia="Arial" w:hAnsi="Arial"/>
          <w:sz w:val="18"/>
          <w:szCs w:val="18"/>
          <w:b w:val="1"/>
          <w:bCs w:val="1"/>
          <w:color w:val="auto"/>
        </w:rPr>
        <w:t>Assumptions</w:t>
      </w:r>
    </w:p>
    <w:p>
      <w:pPr>
        <w:spacing w:after="0" w:line="256" w:lineRule="exact"/>
        <w:rPr>
          <w:sz w:val="20"/>
          <w:szCs w:val="20"/>
          <w:color w:val="auto"/>
        </w:rPr>
      </w:pPr>
    </w:p>
    <w:p>
      <w:pPr>
        <w:jc w:val="both"/>
        <w:ind w:left="560" w:hanging="552"/>
        <w:spacing w:after="0" w:line="263" w:lineRule="auto"/>
        <w:tabs>
          <w:tab w:leader="none" w:pos="5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In rendering this opinion, we have examined, and have assumed the truth and accuracy of the contents of, such documents and certificates of officers of the Company and of public officials as to factual matters and have conducted such searches in public registries in Ireland as we have deemed necessary or appropriate for the purposes of this opinion.</w:t>
      </w:r>
    </w:p>
    <w:p>
      <w:pPr>
        <w:spacing w:after="0" w:line="211"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5"/>
          <w:szCs w:val="15"/>
          <w:color w:val="auto"/>
        </w:rPr>
        <w:t>We have assumed that when the Issuance occurs:</w:t>
      </w:r>
    </w:p>
    <w:p>
      <w:pPr>
        <w:spacing w:after="0" w:line="252" w:lineRule="exact"/>
        <w:rPr>
          <w:sz w:val="20"/>
          <w:szCs w:val="20"/>
          <w:color w:val="auto"/>
        </w:rPr>
      </w:pPr>
    </w:p>
    <w:p>
      <w:pPr>
        <w:ind w:left="560"/>
        <w:spacing w:after="0"/>
        <w:tabs>
          <w:tab w:leader="none" w:pos="1200" w:val="left"/>
        </w:tabs>
        <w:rPr>
          <w:sz w:val="20"/>
          <w:szCs w:val="20"/>
          <w:color w:val="auto"/>
        </w:rPr>
      </w:pPr>
      <w:r>
        <w:rPr>
          <w:rFonts w:ascii="Arial" w:cs="Arial" w:eastAsia="Arial" w:hAnsi="Arial"/>
          <w:sz w:val="18"/>
          <w:szCs w:val="18"/>
          <w:color w:val="auto"/>
        </w:rPr>
        <w:t>4.2.1</w:t>
      </w:r>
      <w:r>
        <w:rPr>
          <w:sz w:val="20"/>
          <w:szCs w:val="20"/>
          <w:color w:val="auto"/>
        </w:rPr>
        <w:tab/>
      </w:r>
      <w:r>
        <w:rPr>
          <w:rFonts w:ascii="Arial" w:cs="Arial" w:eastAsia="Arial" w:hAnsi="Arial"/>
          <w:sz w:val="16"/>
          <w:szCs w:val="16"/>
          <w:color w:val="auto"/>
        </w:rPr>
        <w:t>the Constitution has not been amended or varied;</w:t>
      </w:r>
    </w:p>
    <w:p>
      <w:pPr>
        <w:spacing w:after="0" w:line="252" w:lineRule="exact"/>
        <w:rPr>
          <w:sz w:val="20"/>
          <w:szCs w:val="20"/>
          <w:color w:val="auto"/>
        </w:rPr>
      </w:pPr>
    </w:p>
    <w:p>
      <w:pPr>
        <w:ind w:left="560"/>
        <w:spacing w:after="0"/>
        <w:tabs>
          <w:tab w:leader="none" w:pos="1200" w:val="left"/>
        </w:tabs>
        <w:rPr>
          <w:sz w:val="20"/>
          <w:szCs w:val="20"/>
          <w:color w:val="auto"/>
        </w:rPr>
      </w:pPr>
      <w:r>
        <w:rPr>
          <w:rFonts w:ascii="Arial" w:cs="Arial" w:eastAsia="Arial" w:hAnsi="Arial"/>
          <w:sz w:val="18"/>
          <w:szCs w:val="18"/>
          <w:color w:val="auto"/>
        </w:rPr>
        <w:t>4.2.2</w:t>
      </w:r>
      <w:r>
        <w:rPr>
          <w:sz w:val="20"/>
          <w:szCs w:val="20"/>
          <w:color w:val="auto"/>
        </w:rPr>
        <w:tab/>
      </w:r>
      <w:r>
        <w:rPr>
          <w:rFonts w:ascii="Arial" w:cs="Arial" w:eastAsia="Arial" w:hAnsi="Arial"/>
          <w:sz w:val="16"/>
          <w:szCs w:val="16"/>
          <w:color w:val="auto"/>
        </w:rPr>
        <w:t>the Registration Statement has become effective;</w:t>
      </w:r>
    </w:p>
    <w:p>
      <w:pPr>
        <w:spacing w:after="0" w:line="252" w:lineRule="exact"/>
        <w:rPr>
          <w:sz w:val="20"/>
          <w:szCs w:val="20"/>
          <w:color w:val="auto"/>
        </w:rPr>
      </w:pPr>
    </w:p>
    <w:p>
      <w:pPr>
        <w:ind w:left="560"/>
        <w:spacing w:after="0"/>
        <w:tabs>
          <w:tab w:leader="none" w:pos="1200" w:val="left"/>
        </w:tabs>
        <w:rPr>
          <w:sz w:val="20"/>
          <w:szCs w:val="20"/>
          <w:color w:val="auto"/>
        </w:rPr>
      </w:pPr>
      <w:r>
        <w:rPr>
          <w:rFonts w:ascii="Arial" w:cs="Arial" w:eastAsia="Arial" w:hAnsi="Arial"/>
          <w:sz w:val="18"/>
          <w:szCs w:val="18"/>
          <w:color w:val="auto"/>
        </w:rPr>
        <w:t>4.2.3</w:t>
      </w:r>
      <w:r>
        <w:rPr>
          <w:sz w:val="20"/>
          <w:szCs w:val="20"/>
          <w:color w:val="auto"/>
        </w:rPr>
        <w:tab/>
      </w:r>
      <w:r>
        <w:rPr>
          <w:rFonts w:ascii="Arial" w:cs="Arial" w:eastAsia="Arial" w:hAnsi="Arial"/>
          <w:sz w:val="16"/>
          <w:szCs w:val="16"/>
          <w:color w:val="auto"/>
        </w:rPr>
        <w:t>the Company has sufficient authorised but unissued capital in its Constitution;</w:t>
      </w:r>
    </w:p>
    <w:p>
      <w:pPr>
        <w:spacing w:after="0" w:line="252" w:lineRule="exact"/>
        <w:rPr>
          <w:sz w:val="20"/>
          <w:szCs w:val="20"/>
          <w:color w:val="auto"/>
        </w:rPr>
      </w:pPr>
    </w:p>
    <w:p>
      <w:pPr>
        <w:ind w:left="560"/>
        <w:spacing w:after="0"/>
        <w:tabs>
          <w:tab w:leader="none" w:pos="1200" w:val="left"/>
        </w:tabs>
        <w:rPr>
          <w:sz w:val="20"/>
          <w:szCs w:val="20"/>
          <w:color w:val="auto"/>
        </w:rPr>
      </w:pPr>
      <w:r>
        <w:rPr>
          <w:rFonts w:ascii="Arial" w:cs="Arial" w:eastAsia="Arial" w:hAnsi="Arial"/>
          <w:sz w:val="18"/>
          <w:szCs w:val="18"/>
          <w:color w:val="auto"/>
        </w:rPr>
        <w:t>4.2.4</w:t>
      </w:r>
      <w:r>
        <w:rPr>
          <w:sz w:val="20"/>
          <w:szCs w:val="20"/>
          <w:color w:val="auto"/>
        </w:rPr>
        <w:tab/>
      </w:r>
      <w:r>
        <w:rPr>
          <w:rFonts w:ascii="Arial" w:cs="Arial" w:eastAsia="Arial" w:hAnsi="Arial"/>
          <w:sz w:val="16"/>
          <w:szCs w:val="16"/>
          <w:color w:val="auto"/>
        </w:rPr>
        <w:t>an amount at least equal to the par value of the Shares is paid up;</w:t>
      </w:r>
    </w:p>
    <w:p>
      <w:pPr>
        <w:spacing w:after="0" w:line="252" w:lineRule="exact"/>
        <w:rPr>
          <w:sz w:val="20"/>
          <w:szCs w:val="20"/>
          <w:color w:val="auto"/>
        </w:rPr>
      </w:pPr>
    </w:p>
    <w:p>
      <w:pPr>
        <w:jc w:val="both"/>
        <w:ind w:left="1220" w:hanging="661"/>
        <w:spacing w:after="0" w:line="279" w:lineRule="auto"/>
        <w:tabs>
          <w:tab w:leader="none" w:pos="1200" w:val="left"/>
        </w:tabs>
        <w:rPr>
          <w:sz w:val="20"/>
          <w:szCs w:val="20"/>
          <w:color w:val="auto"/>
        </w:rPr>
      </w:pPr>
      <w:r>
        <w:rPr>
          <w:rFonts w:ascii="Arial" w:cs="Arial" w:eastAsia="Arial" w:hAnsi="Arial"/>
          <w:sz w:val="18"/>
          <w:szCs w:val="18"/>
          <w:color w:val="auto"/>
        </w:rPr>
        <w:t>4.2.5</w:t>
      </w:r>
      <w:r>
        <w:rPr>
          <w:sz w:val="20"/>
          <w:szCs w:val="20"/>
          <w:color w:val="auto"/>
        </w:rPr>
        <w:tab/>
      </w:r>
      <w:r>
        <w:rPr>
          <w:rFonts w:ascii="Arial" w:cs="Arial" w:eastAsia="Arial" w:hAnsi="Arial"/>
          <w:sz w:val="17"/>
          <w:szCs w:val="17"/>
          <w:color w:val="auto"/>
        </w:rPr>
        <w:t>the Company is fully solvent at the time of and immediately following the Issuance (ii) no resolution or petition for the appointment of a liquidator or examiner has been presented prior to the Issuance (iii) no receiver will have been appointed in relation to any of the assets or undertaking of the Company and (iv) no composition in satisfaction of debts, scheme of arrangement, or compromise or arrangement with any creditors or members will be proposed, sanctioned or approved in relation to the Company.</w:t>
      </w:r>
    </w:p>
    <w:p>
      <w:pPr>
        <w:spacing w:after="0" w:line="198"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We have further assumed:</w:t>
      </w:r>
    </w:p>
    <w:p>
      <w:pPr>
        <w:spacing w:after="0" w:line="252" w:lineRule="exact"/>
        <w:rPr>
          <w:sz w:val="20"/>
          <w:szCs w:val="20"/>
          <w:color w:val="auto"/>
        </w:rPr>
      </w:pPr>
    </w:p>
    <w:p>
      <w:pPr>
        <w:jc w:val="both"/>
        <w:ind w:left="1220" w:right="20" w:hanging="661"/>
        <w:spacing w:after="0" w:line="277" w:lineRule="auto"/>
        <w:tabs>
          <w:tab w:leader="none" w:pos="1200" w:val="left"/>
        </w:tabs>
        <w:rPr>
          <w:sz w:val="20"/>
          <w:szCs w:val="20"/>
          <w:color w:val="auto"/>
        </w:rPr>
      </w:pPr>
      <w:r>
        <w:rPr>
          <w:rFonts w:ascii="Arial" w:cs="Arial" w:eastAsia="Arial" w:hAnsi="Arial"/>
          <w:sz w:val="18"/>
          <w:szCs w:val="18"/>
          <w:color w:val="auto"/>
        </w:rPr>
        <w:t>4.3.1</w:t>
      </w:r>
      <w:r>
        <w:rPr>
          <w:sz w:val="20"/>
          <w:szCs w:val="20"/>
          <w:color w:val="auto"/>
        </w:rPr>
        <w:tab/>
      </w:r>
      <w:r>
        <w:rPr>
          <w:rFonts w:ascii="Arial" w:cs="Arial" w:eastAsia="Arial" w:hAnsi="Arial"/>
          <w:sz w:val="18"/>
          <w:szCs w:val="18"/>
          <w:color w:val="auto"/>
        </w:rPr>
        <w:t>the authenticity of all documents submitted to us, the conformity to the originals of all documents submitted to us as copies and the authenticity of the originals of all documents submitted to us as copies;</w:t>
      </w:r>
    </w:p>
    <w:p>
      <w:pPr>
        <w:spacing w:after="0" w:line="197" w:lineRule="exact"/>
        <w:rPr>
          <w:sz w:val="20"/>
          <w:szCs w:val="20"/>
          <w:color w:val="auto"/>
        </w:rPr>
      </w:pPr>
    </w:p>
    <w:p>
      <w:pPr>
        <w:jc w:val="both"/>
        <w:ind w:left="1220" w:right="20" w:hanging="661"/>
        <w:spacing w:after="0" w:line="277" w:lineRule="auto"/>
        <w:tabs>
          <w:tab w:leader="none" w:pos="1200" w:val="left"/>
        </w:tabs>
        <w:rPr>
          <w:sz w:val="20"/>
          <w:szCs w:val="20"/>
          <w:color w:val="auto"/>
        </w:rPr>
      </w:pPr>
      <w:r>
        <w:rPr>
          <w:rFonts w:ascii="Arial" w:cs="Arial" w:eastAsia="Arial" w:hAnsi="Arial"/>
          <w:sz w:val="18"/>
          <w:szCs w:val="18"/>
          <w:color w:val="auto"/>
        </w:rPr>
        <w:t>4.3.2</w:t>
      </w:r>
      <w:r>
        <w:rPr>
          <w:sz w:val="20"/>
          <w:szCs w:val="20"/>
          <w:color w:val="auto"/>
        </w:rPr>
        <w:tab/>
      </w:r>
      <w:r>
        <w:rPr>
          <w:rFonts w:ascii="Arial" w:cs="Arial" w:eastAsia="Arial" w:hAnsi="Arial"/>
          <w:sz w:val="18"/>
          <w:szCs w:val="18"/>
          <w:color w:val="auto"/>
        </w:rPr>
        <w:t>the authority of persons signing on behalf of a particular party and the due authorisation, execution and delivery of all documents by the parties thereto other than the Company; and</w:t>
      </w:r>
    </w:p>
    <w:p>
      <w:pPr>
        <w:spacing w:after="0" w:line="197" w:lineRule="exact"/>
        <w:rPr>
          <w:sz w:val="20"/>
          <w:szCs w:val="20"/>
          <w:color w:val="auto"/>
        </w:rPr>
      </w:pPr>
    </w:p>
    <w:p>
      <w:pPr>
        <w:jc w:val="both"/>
        <w:ind w:left="1220" w:hanging="661"/>
        <w:spacing w:after="0" w:line="263" w:lineRule="auto"/>
        <w:tabs>
          <w:tab w:leader="none" w:pos="1200" w:val="left"/>
        </w:tabs>
        <w:rPr>
          <w:sz w:val="20"/>
          <w:szCs w:val="20"/>
          <w:color w:val="auto"/>
        </w:rPr>
      </w:pPr>
      <w:r>
        <w:rPr>
          <w:rFonts w:ascii="Arial" w:cs="Arial" w:eastAsia="Arial" w:hAnsi="Arial"/>
          <w:sz w:val="18"/>
          <w:szCs w:val="18"/>
          <w:color w:val="auto"/>
        </w:rPr>
        <w:t>4.3.3</w:t>
      </w:r>
      <w:r>
        <w:rPr>
          <w:sz w:val="20"/>
          <w:szCs w:val="20"/>
          <w:color w:val="auto"/>
        </w:rPr>
        <w:tab/>
      </w:r>
      <w:r>
        <w:rPr>
          <w:rFonts w:ascii="Arial" w:cs="Arial" w:eastAsia="Arial" w:hAnsi="Arial"/>
          <w:sz w:val="18"/>
          <w:szCs w:val="18"/>
          <w:color w:val="auto"/>
        </w:rPr>
        <w:t>that none of the resolutions and authorities of the shareholders or directors of the Company upon which we have relied have been varied, amended or revoked in any respect or have expired and that the Shares will be issued in accordance with such resolutions and authorities and the terms of the Merger Agreement.</w:t>
      </w:r>
    </w:p>
    <w:p>
      <w:pPr>
        <w:spacing w:after="0" w:line="379"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sectPr>
      </w:pPr>
    </w:p>
    <w:bookmarkStart w:id="92" w:name="page93"/>
    <w:bookmarkEnd w:id="92"/>
    <w:p>
      <w:pPr>
        <w:ind w:left="560" w:hanging="552"/>
        <w:spacing w:after="0"/>
        <w:tabs>
          <w:tab w:leader="none" w:pos="560" w:val="left"/>
        </w:tabs>
        <w:numPr>
          <w:ilvl w:val="0"/>
          <w:numId w:val="172"/>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628775" cy="2400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9">
                      <a:clrChange>
                        <a:clrFrom>
                          <a:srgbClr val="FFFFFF"/>
                        </a:clrFrom>
                        <a:clrTo>
                          <a:srgbClr val="FFFFFF">
                            <a:alpha val="0"/>
                          </a:srgbClr>
                        </a:clrTo>
                      </a:clrChange>
                      <a:extLst>
                        <a:ext uri="{28A0092B-C50C-407E-A947-70E740481C1C}"/>
                      </a:extLst>
                    </a:blip>
                    <a:srcRect/>
                    <a:stretch>
                      <a:fillRect/>
                    </a:stretch>
                  </pic:blipFill>
                  <pic:spPr bwMode="auto">
                    <a:xfrm>
                      <a:off x="0" y="0"/>
                      <a:ext cx="1628775" cy="240030"/>
                    </a:xfrm>
                    <a:prstGeom prst="rect">
                      <a:avLst/>
                    </a:prstGeom>
                    <a:noFill/>
                  </pic:spPr>
                </pic:pic>
              </a:graphicData>
            </a:graphic>
          </wp:anchor>
        </w:drawing>
        <w:t>Qualifications</w:t>
      </w:r>
    </w:p>
    <w:p>
      <w:pPr>
        <w:spacing w:after="0" w:line="256"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This opinion is limited to the specific issues addressed herein, and no opinion may be inferred or implied beyond that expressly stated herein.</w:t>
      </w:r>
    </w:p>
    <w:p>
      <w:pPr>
        <w:spacing w:after="0" w:line="252" w:lineRule="exact"/>
        <w:rPr>
          <w:sz w:val="20"/>
          <w:szCs w:val="20"/>
          <w:color w:val="auto"/>
        </w:rPr>
      </w:pPr>
    </w:p>
    <w:p>
      <w:pPr>
        <w:jc w:val="both"/>
        <w:ind w:left="560" w:hanging="552"/>
        <w:spacing w:after="0" w:line="301" w:lineRule="auto"/>
        <w:tabs>
          <w:tab w:leader="none" w:pos="5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color w:val="auto"/>
        </w:rPr>
        <w:t>This opinion is confined to and given in all respects on the basis of the laws of Ireland (meaning Ireland exclusive of Northern Ireland) in force as at the date of this opinion as currently applied by the courts of Ireland. We have made no investigations of, and we express no opinion as to the laws of, any other jurisdiction or their effect on this opinion. This opinion speaks only as of its date. We assume no obligation to update this opinion at any time in the future or to advise you of any change in law or change in interpretation of law which may occur after the date of this opinion.</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color w:val="auto"/>
        </w:rPr>
        <w:t>We hereby consent to the filing of this opinion with the SEC.</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Yours faithfully</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/s/ A&amp;L Goodbody LLP</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A&amp;L Goodbody LLP</w:t>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sectPr>
      </w:pPr>
    </w:p>
    <w:bookmarkStart w:id="93" w:name="page94"/>
    <w:bookmarkEnd w:id="93"/>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23.1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239" w:lineRule="exact"/>
        <w:rPr>
          <w:sz w:val="20"/>
          <w:szCs w:val="20"/>
          <w:color w:val="auto"/>
        </w:rPr>
      </w:pPr>
    </w:p>
    <w:p>
      <w:pPr>
        <w:spacing w:after="0" w:line="328" w:lineRule="auto"/>
        <w:rPr>
          <w:sz w:val="20"/>
          <w:szCs w:val="20"/>
          <w:color w:val="auto"/>
        </w:rPr>
      </w:pPr>
      <w:r>
        <w:rPr>
          <w:rFonts w:ascii="Arial" w:cs="Arial" w:eastAsia="Arial" w:hAnsi="Arial"/>
          <w:sz w:val="19"/>
          <w:szCs w:val="19"/>
          <w:color w:val="auto"/>
        </w:rPr>
        <w:t>We consent to the use of our reports dated February 24, 2021, with respect to the consolidated financial statements of ICON plc and subsidiaries, and the effectiveness of internal control over financial reporting, incorporated herein by reference.</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color w:val="auto"/>
        </w:rPr>
        <w:t>/s/ KPMG</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Dublin, Ireland</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85E1B"/>
    <w:multiLevelType w:val="hybridMultilevel"/>
    <w:lvl w:ilvl="0">
      <w:lvlJc w:val="left"/>
      <w:lvlText w:val="(%1)"/>
      <w:numFmt w:val="decimal"/>
      <w:start w:val="1"/>
    </w:lvl>
  </w:abstractNum>
  <w:abstractNum w:abstractNumId="1">
    <w:nsid w:val="76272110"/>
    <w:multiLevelType w:val="hybridMultilevel"/>
    <w:lvl w:ilvl="0">
      <w:lvlJc w:val="left"/>
      <w:lvlText w:val="●"/>
      <w:numFmt w:val="bullet"/>
      <w:start w:val="1"/>
    </w:lvl>
  </w:abstractNum>
  <w:abstractNum w:abstractNumId="2">
    <w:nsid w:val="4C04A8AF"/>
    <w:multiLevelType w:val="hybridMultilevel"/>
    <w:lvl w:ilvl="0">
      <w:lvlJc w:val="left"/>
      <w:lvlText w:val="(%1)"/>
      <w:numFmt w:val="lowerRoman"/>
      <w:start w:val="1"/>
    </w:lvl>
  </w:abstractNum>
  <w:abstractNum w:abstractNumId="3">
    <w:nsid w:val="1716703B"/>
    <w:multiLevelType w:val="hybridMultilevel"/>
    <w:lvl w:ilvl="0">
      <w:lvlJc w:val="left"/>
      <w:lvlText w:val="(%1)"/>
      <w:numFmt w:val="lowerRoman"/>
      <w:start w:val="3"/>
    </w:lvl>
  </w:abstractNum>
  <w:abstractNum w:abstractNumId="4">
    <w:nsid w:val="14E17E33"/>
    <w:multiLevelType w:val="hybridMultilevel"/>
    <w:lvl w:ilvl="0">
      <w:lvlJc w:val="left"/>
      <w:lvlText w:val="(%1)"/>
      <w:numFmt w:val="decimal"/>
      <w:start w:val="2"/>
    </w:lvl>
  </w:abstractNum>
  <w:abstractNum w:abstractNumId="5">
    <w:nsid w:val="3222E7CD"/>
    <w:multiLevelType w:val="hybridMultilevel"/>
    <w:lvl w:ilvl="0">
      <w:lvlJc w:val="left"/>
      <w:lvlText w:val="1"/>
      <w:numFmt w:val="bullet"/>
      <w:start w:val="1"/>
    </w:lvl>
    <w:lvl w:ilvl="1">
      <w:lvlJc w:val="left"/>
      <w:lvlText w:val="(%2)"/>
      <w:numFmt w:val="lowerLetter"/>
      <w:start w:val="1"/>
    </w:lvl>
  </w:abstractNum>
  <w:abstractNum w:abstractNumId="6">
    <w:nsid w:val="74DE0EE3"/>
    <w:multiLevelType w:val="hybridMultilevel"/>
    <w:lvl w:ilvl="0">
      <w:lvlJc w:val="left"/>
      <w:lvlText w:val="2"/>
      <w:numFmt w:val="bullet"/>
      <w:start w:val="1"/>
    </w:lvl>
    <w:lvl w:ilvl="1">
      <w:lvlJc w:val="left"/>
      <w:lvlText w:val="(%2)"/>
      <w:numFmt w:val="lowerLetter"/>
      <w:start w:val="1"/>
    </w:lvl>
  </w:abstractNum>
  <w:abstractNum w:abstractNumId="7">
    <w:nsid w:val="68EBC550"/>
    <w:multiLevelType w:val="hybridMultilevel"/>
    <w:lvl w:ilvl="0">
      <w:lvlJc w:val="left"/>
      <w:lvlText w:val="(%1)"/>
      <w:numFmt w:val="lowerLetter"/>
      <w:start w:val="8"/>
    </w:lvl>
    <w:lvl w:ilvl="1">
      <w:lvlJc w:val="left"/>
      <w:lvlText w:val="(%2)"/>
      <w:numFmt w:val="lowerRoman"/>
      <w:start w:val="1"/>
    </w:lvl>
  </w:abstractNum>
  <w:abstractNum w:abstractNumId="8">
    <w:nsid w:val="2DF6D648"/>
    <w:multiLevelType w:val="hybridMultilevel"/>
    <w:lvl w:ilvl="0">
      <w:lvlJc w:val="left"/>
      <w:lvlText w:val="(%1)"/>
      <w:numFmt w:val="lowerLetter"/>
      <w:start w:val="9"/>
    </w:lvl>
  </w:abstractNum>
  <w:abstractNum w:abstractNumId="9">
    <w:nsid w:val="46B7D447"/>
    <w:multiLevelType w:val="hybridMultilevel"/>
    <w:lvl w:ilvl="0">
      <w:lvlJc w:val="left"/>
      <w:lvlText w:val="(%1)"/>
      <w:numFmt w:val="lowerLetter"/>
      <w:start w:val="11"/>
    </w:lvl>
  </w:abstractNum>
  <w:abstractNum w:abstractNumId="10">
    <w:nsid w:val="4A2AC315"/>
    <w:multiLevelType w:val="hybridMultilevel"/>
    <w:lvl w:ilvl="0">
      <w:lvlJc w:val="left"/>
      <w:lvlText w:val="(%1)"/>
      <w:numFmt w:val="lowerLetter"/>
      <w:start w:val="23"/>
    </w:lvl>
  </w:abstractNum>
  <w:abstractNum w:abstractNumId="11">
    <w:nsid w:val="39EE015C"/>
    <w:multiLevelType w:val="hybridMultilevel"/>
    <w:lvl w:ilvl="0">
      <w:lvlJc w:val="left"/>
      <w:lvlText w:val="(%1)"/>
      <w:numFmt w:val="lowerLetter"/>
      <w:start w:val="27"/>
    </w:lvl>
  </w:abstractNum>
  <w:abstractNum w:abstractNumId="12">
    <w:nsid w:val="57FC4FBB"/>
    <w:multiLevelType w:val="hybridMultilevel"/>
    <w:lvl w:ilvl="0">
      <w:lvlJc w:val="left"/>
      <w:lvlText w:val="%1"/>
      <w:numFmt w:val="upperLetter"/>
      <w:start w:val="1"/>
    </w:lvl>
    <w:lvl w:ilvl="1">
      <w:lvlJc w:val="left"/>
      <w:lvlText w:val="(%2)"/>
      <w:numFmt w:val="lowerLetter"/>
      <w:start w:val="33"/>
    </w:lvl>
  </w:abstractNum>
  <w:abstractNum w:abstractNumId="13">
    <w:nsid w:val="CC1016F"/>
    <w:multiLevelType w:val="hybridMultilevel"/>
    <w:lvl w:ilvl="0">
      <w:lvlJc w:val="left"/>
      <w:lvlText w:val="(%1)"/>
      <w:numFmt w:val="upperLetter"/>
      <w:start w:val="1"/>
    </w:lvl>
    <w:lvl w:ilvl="1">
      <w:lvlJc w:val="left"/>
      <w:lvlText w:val="(%2)"/>
      <w:numFmt w:val="lowerLetter"/>
      <w:start w:val="48"/>
    </w:lvl>
  </w:abstractNum>
  <w:abstractNum w:abstractNumId="14">
    <w:nsid w:val="43F18422"/>
    <w:multiLevelType w:val="hybridMultilevel"/>
    <w:lvl w:ilvl="0">
      <w:lvlJc w:val="left"/>
      <w:lvlText w:val="(%1)"/>
      <w:numFmt w:val="lowerLetter"/>
      <w:start w:val="51"/>
    </w:lvl>
  </w:abstractNum>
  <w:abstractNum w:abstractNumId="15">
    <w:nsid w:val="60EF0119"/>
    <w:multiLevelType w:val="hybridMultilevel"/>
    <w:lvl w:ilvl="0">
      <w:lvlJc w:val="left"/>
      <w:lvlText w:val="(%1)"/>
      <w:numFmt w:val="lowerLetter"/>
      <w:start w:val="53"/>
    </w:lvl>
  </w:abstractNum>
  <w:abstractNum w:abstractNumId="16">
    <w:nsid w:val="26F324BA"/>
    <w:multiLevelType w:val="hybridMultilevel"/>
    <w:lvl w:ilvl="0">
      <w:lvlJc w:val="left"/>
      <w:lvlText w:val="(%1)"/>
      <w:numFmt w:val="lowerLetter"/>
      <w:start w:val="56"/>
    </w:lvl>
    <w:lvl w:ilvl="1">
      <w:lvlJc w:val="left"/>
      <w:lvlText w:val="(%2)"/>
      <w:numFmt w:val="lowerRoman"/>
      <w:start w:val="1"/>
    </w:lvl>
  </w:abstractNum>
  <w:abstractNum w:abstractNumId="17">
    <w:nsid w:val="7F01579B"/>
    <w:multiLevelType w:val="hybridMultilevel"/>
    <w:lvl w:ilvl="0">
      <w:lvlJc w:val="left"/>
      <w:lvlText w:val="(%1)"/>
      <w:numFmt w:val="lowerLetter"/>
      <w:start w:val="62"/>
    </w:lvl>
  </w:abstractNum>
  <w:abstractNum w:abstractNumId="18">
    <w:nsid w:val="49DA307D"/>
    <w:multiLevelType w:val="hybridMultilevel"/>
    <w:lvl w:ilvl="0">
      <w:lvlJc w:val="left"/>
      <w:lvlText w:val="3"/>
      <w:numFmt w:val="bullet"/>
      <w:start w:val="1"/>
    </w:lvl>
  </w:abstractNum>
  <w:abstractNum w:abstractNumId="19">
    <w:nsid w:val="7055A5F5"/>
    <w:multiLevelType w:val="hybridMultilevel"/>
    <w:lvl w:ilvl="0">
      <w:lvlJc w:val="left"/>
      <w:lvlText w:val="4"/>
      <w:numFmt w:val="bullet"/>
      <w:start w:val="1"/>
    </w:lvl>
    <w:lvl w:ilvl="1">
      <w:lvlJc w:val="left"/>
      <w:lvlText w:val="%2"/>
      <w:numFmt w:val="lowerLetter"/>
      <w:start w:val="1"/>
    </w:lvl>
    <w:lvl w:ilvl="2">
      <w:lvlJc w:val="left"/>
      <w:lvlText w:val="(%3)"/>
      <w:numFmt w:val="lowerLetter"/>
      <w:start w:val="1"/>
    </w:lvl>
  </w:abstractNum>
  <w:abstractNum w:abstractNumId="20">
    <w:nsid w:val="5FB8370B"/>
    <w:multiLevelType w:val="hybridMultilevel"/>
    <w:lvl w:ilvl="0">
      <w:lvlJc w:val="left"/>
      <w:lvlText w:val="4"/>
      <w:numFmt w:val="bullet"/>
      <w:start w:val="1"/>
    </w:lvl>
    <w:lvl w:ilvl="1">
      <w:lvlJc w:val="left"/>
      <w:lvlText w:val="(%2)"/>
      <w:numFmt w:val="lowerLetter"/>
      <w:start w:val="22"/>
    </w:lvl>
    <w:lvl w:ilvl="2">
      <w:lvlJc w:val="left"/>
      <w:lvlText w:val="(%3)"/>
      <w:numFmt w:val="lowerLetter"/>
      <w:start w:val="3"/>
    </w:lvl>
  </w:abstractNum>
  <w:abstractNum w:abstractNumId="21">
    <w:nsid w:val="50801EE1"/>
    <w:multiLevelType w:val="hybridMultilevel"/>
    <w:lvl w:ilvl="0">
      <w:lvlJc w:val="left"/>
      <w:lvlText w:val="(%1)"/>
      <w:numFmt w:val="lowerLetter"/>
      <w:start w:val="5"/>
    </w:lvl>
  </w:abstractNum>
  <w:abstractNum w:abstractNumId="22">
    <w:nsid w:val="488AC1A"/>
    <w:multiLevelType w:val="hybridMultilevel"/>
    <w:lvl w:ilvl="0">
      <w:lvlJc w:val="left"/>
      <w:lvlText w:val="5"/>
      <w:numFmt w:val="bullet"/>
      <w:start w:val="1"/>
    </w:lvl>
    <w:lvl w:ilvl="1">
      <w:lvlJc w:val="left"/>
      <w:lvlText w:val="(%2)"/>
      <w:numFmt w:val="lowerLetter"/>
      <w:start w:val="1"/>
    </w:lvl>
  </w:abstractNum>
  <w:abstractNum w:abstractNumId="23">
    <w:nsid w:val="5FB8011C"/>
    <w:multiLevelType w:val="hybridMultilevel"/>
    <w:lvl w:ilvl="0">
      <w:lvlJc w:val="left"/>
      <w:lvlText w:val="(%1)"/>
      <w:numFmt w:val="lowerLetter"/>
      <w:start w:val="4"/>
    </w:lvl>
  </w:abstractNum>
  <w:abstractNum w:abstractNumId="24">
    <w:nsid w:val="6AA78F7F"/>
    <w:multiLevelType w:val="hybridMultilevel"/>
    <w:lvl w:ilvl="0">
      <w:lvlJc w:val="left"/>
      <w:lvlText w:val="6"/>
      <w:numFmt w:val="bullet"/>
      <w:start w:val="1"/>
    </w:lvl>
    <w:lvl w:ilvl="1">
      <w:lvlJc w:val="left"/>
      <w:lvlText w:val="(%2)"/>
      <w:numFmt w:val="lowerLetter"/>
      <w:start w:val="1"/>
    </w:lvl>
  </w:abstractNum>
  <w:abstractNum w:abstractNumId="25">
    <w:nsid w:val="7672BD23"/>
    <w:multiLevelType w:val="hybridMultilevel"/>
    <w:lvl w:ilvl="0">
      <w:lvlJc w:val="left"/>
      <w:lvlText w:val="(%1)"/>
      <w:numFmt w:val="lowerLetter"/>
      <w:start w:val="2"/>
    </w:lvl>
    <w:lvl w:ilvl="1">
      <w:lvlJc w:val="left"/>
      <w:lvlText w:val="(%2)"/>
      <w:numFmt w:val="lowerRoman"/>
      <w:start w:val="1"/>
    </w:lvl>
  </w:abstractNum>
  <w:abstractNum w:abstractNumId="26">
    <w:nsid w:val="6FC75AF8"/>
    <w:multiLevelType w:val="hybridMultilevel"/>
    <w:lvl w:ilvl="0">
      <w:lvlJc w:val="left"/>
      <w:lvlText w:val="(%1)"/>
      <w:numFmt w:val="lowerLetter"/>
      <w:start w:val="5"/>
    </w:lvl>
  </w:abstractNum>
  <w:abstractNum w:abstractNumId="27">
    <w:nsid w:val="6A5F7029"/>
    <w:multiLevelType w:val="hybridMultilevel"/>
    <w:lvl w:ilvl="0">
      <w:lvlJc w:val="left"/>
      <w:lvlText w:val="8"/>
      <w:numFmt w:val="bullet"/>
      <w:start w:val="1"/>
    </w:lvl>
    <w:lvl w:ilvl="1">
      <w:lvlJc w:val="left"/>
      <w:lvlText w:val="(%2)"/>
      <w:numFmt w:val="lowerLetter"/>
      <w:start w:val="1"/>
    </w:lvl>
    <w:lvl w:ilvl="2">
      <w:lvlJc w:val="left"/>
      <w:lvlText w:val="(%3)"/>
      <w:numFmt w:val="lowerLetter"/>
      <w:start w:val="9"/>
    </w:lvl>
  </w:abstractNum>
  <w:abstractNum w:abstractNumId="28">
    <w:nsid w:val="7D5E18F8"/>
    <w:multiLevelType w:val="hybridMultilevel"/>
    <w:lvl w:ilvl="0">
      <w:lvlJc w:val="left"/>
      <w:lvlText w:val="(%1)"/>
      <w:numFmt w:val="lowerRoman"/>
      <w:start w:val="2"/>
    </w:lvl>
  </w:abstractNum>
  <w:abstractNum w:abstractNumId="29">
    <w:nsid w:val="5F3534A4"/>
    <w:multiLevelType w:val="hybridMultilevel"/>
    <w:lvl w:ilvl="0">
      <w:lvlJc w:val="left"/>
      <w:lvlText w:val="9"/>
      <w:numFmt w:val="bullet"/>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30">
    <w:nsid w:val="73A1821B"/>
    <w:multiLevelType w:val="hybridMultilevel"/>
    <w:lvl w:ilvl="0">
      <w:lvlJc w:val="left"/>
      <w:lvlText w:val="9"/>
      <w:numFmt w:val="bullet"/>
      <w:start w:val="1"/>
    </w:lvl>
    <w:lvl w:ilvl="1">
      <w:lvlJc w:val="left"/>
      <w:lvlText w:val="(%2)"/>
      <w:numFmt w:val="decimal"/>
      <w:start w:val="3"/>
    </w:lvl>
    <w:lvl w:ilvl="2">
      <w:lvlJc w:val="left"/>
      <w:lvlText w:val="(%3)"/>
      <w:numFmt w:val="lowerLetter"/>
      <w:start w:val="4"/>
    </w:lvl>
    <w:lvl w:ilvl="3">
      <w:lvlJc w:val="left"/>
      <w:lvlText w:val="%4"/>
      <w:numFmt w:val="lowerRoman"/>
      <w:start w:val="1"/>
    </w:lvl>
  </w:abstractNum>
  <w:abstractNum w:abstractNumId="31">
    <w:nsid w:val="7DE67713"/>
    <w:multiLevelType w:val="hybridMultilevel"/>
    <w:lvl w:ilvl="0">
      <w:lvlJc w:val="left"/>
      <w:lvlText w:val="(%1)"/>
      <w:numFmt w:val="lowerLetter"/>
      <w:start w:val="5"/>
    </w:lvl>
  </w:abstractNum>
  <w:abstractNum w:abstractNumId="32">
    <w:nsid w:val="555C55B5"/>
    <w:multiLevelType w:val="hybridMultilevel"/>
    <w:lvl w:ilvl="0">
      <w:lvlJc w:val="left"/>
      <w:lvlText w:val="%1"/>
      <w:numFmt w:val="decimal"/>
      <w:start w:val="10"/>
    </w:lvl>
    <w:lvl w:ilvl="1">
      <w:lvlJc w:val="left"/>
      <w:lvlText w:val="(%2)"/>
      <w:numFmt w:val="lowerLetter"/>
      <w:start w:val="1"/>
    </w:lvl>
  </w:abstractNum>
  <w:abstractNum w:abstractNumId="33">
    <w:nsid w:val="3FA62ACA"/>
    <w:multiLevelType w:val="hybridMultilevel"/>
    <w:lvl w:ilvl="0">
      <w:lvlJc w:val="left"/>
      <w:lvlText w:val="%1"/>
      <w:numFmt w:val="decimal"/>
      <w:start w:val="12"/>
    </w:lvl>
    <w:lvl w:ilvl="1">
      <w:lvlJc w:val="left"/>
      <w:lvlText w:val="(%2)"/>
      <w:numFmt w:val="lowerLetter"/>
      <w:start w:val="1"/>
    </w:lvl>
  </w:abstractNum>
  <w:abstractNum w:abstractNumId="34">
    <w:nsid w:val="14FCE74E"/>
    <w:multiLevelType w:val="hybridMultilevel"/>
    <w:lvl w:ilvl="0">
      <w:lvlJc w:val="left"/>
      <w:lvlText w:val="(%1)"/>
      <w:numFmt w:val="lowerLetter"/>
      <w:start w:val="2"/>
    </w:lvl>
    <w:lvl w:ilvl="1">
      <w:lvlJc w:val="left"/>
      <w:lvlText w:val="(%2)"/>
      <w:numFmt w:val="lowerRoman"/>
      <w:start w:val="1"/>
    </w:lvl>
  </w:abstractNum>
  <w:abstractNum w:abstractNumId="35">
    <w:nsid w:val="6A3DD3E8"/>
    <w:multiLevelType w:val="hybridMultilevel"/>
    <w:lvl w:ilvl="0">
      <w:lvlJc w:val="left"/>
      <w:lvlText w:val="(%1)"/>
      <w:numFmt w:val="lowerLetter"/>
      <w:start w:val="3"/>
    </w:lvl>
  </w:abstractNum>
  <w:abstractNum w:abstractNumId="36">
    <w:nsid w:val="71C91298"/>
    <w:multiLevelType w:val="hybridMultilevel"/>
    <w:lvl w:ilvl="0">
      <w:lvlJc w:val="left"/>
      <w:lvlText w:val="%1"/>
      <w:numFmt w:val="decimal"/>
      <w:start w:val="13"/>
    </w:lvl>
    <w:lvl w:ilvl="1">
      <w:lvlJc w:val="left"/>
      <w:lvlText w:val="(%2)"/>
      <w:numFmt w:val="lowerLetter"/>
      <w:start w:val="1"/>
    </w:lvl>
  </w:abstractNum>
  <w:abstractNum w:abstractNumId="37">
    <w:nsid w:val="9DAF632"/>
    <w:multiLevelType w:val="hybridMultilevel"/>
    <w:lvl w:ilvl="0">
      <w:lvlJc w:val="left"/>
      <w:lvlText w:val="%1"/>
      <w:numFmt w:val="decimal"/>
      <w:start w:val="14"/>
    </w:lvl>
    <w:lvl w:ilvl="1">
      <w:lvlJc w:val="left"/>
      <w:lvlText w:val="(%2)"/>
      <w:numFmt w:val="upperLetter"/>
    </w:lvl>
    <w:lvl w:ilvl="2">
      <w:lvlJc w:val="left"/>
      <w:lvlText w:val="(%3)"/>
      <w:numFmt w:val="lowerLetter"/>
      <w:start w:val="1"/>
    </w:lvl>
    <w:lvl w:ilvl="3">
      <w:lvlJc w:val="left"/>
      <w:lvlText w:val="(%4)"/>
      <w:numFmt w:val="lowerRoman"/>
      <w:start w:val="1"/>
    </w:lvl>
  </w:abstractNum>
  <w:abstractNum w:abstractNumId="38">
    <w:nsid w:val="53299938"/>
    <w:multiLevelType w:val="hybridMultilevel"/>
    <w:lvl w:ilvl="0">
      <w:lvlJc w:val="left"/>
      <w:lvlText w:val="(%1)"/>
      <w:numFmt w:val="lowerLetter"/>
      <w:start w:val="3"/>
    </w:lvl>
    <w:lvl w:ilvl="1">
      <w:lvlJc w:val="left"/>
      <w:lvlText w:val="(%2)"/>
      <w:numFmt w:val="lowerRoman"/>
      <w:start w:val="1"/>
    </w:lvl>
  </w:abstractNum>
  <w:abstractNum w:abstractNumId="39">
    <w:nsid w:val="1FBFE8E0"/>
    <w:multiLevelType w:val="hybridMultilevel"/>
    <w:lvl w:ilvl="0">
      <w:lvlJc w:val="left"/>
      <w:lvlText w:val="(%1)"/>
      <w:numFmt w:val="lowerLetter"/>
      <w:start w:val="6"/>
    </w:lvl>
    <w:lvl w:ilvl="1">
      <w:lvlJc w:val="left"/>
      <w:lvlText w:val="(%2)"/>
      <w:numFmt w:val="lowerLetter"/>
      <w:start w:val="9"/>
    </w:lvl>
  </w:abstractNum>
  <w:abstractNum w:abstractNumId="40">
    <w:nsid w:val="5092CA79"/>
    <w:multiLevelType w:val="hybridMultilevel"/>
    <w:lvl w:ilvl="0">
      <w:lvlJc w:val="left"/>
      <w:lvlText w:val="%1"/>
      <w:numFmt w:val="lowerLetter"/>
      <w:start w:val="1"/>
    </w:lvl>
    <w:lvl w:ilvl="1">
      <w:lvlJc w:val="left"/>
      <w:lvlText w:val="(%2)"/>
      <w:numFmt w:val="lowerLetter"/>
      <w:start w:val="35"/>
    </w:lvl>
  </w:abstractNum>
  <w:abstractNum w:abstractNumId="41">
    <w:nsid w:val="1D545C4D"/>
    <w:multiLevelType w:val="hybridMultilevel"/>
    <w:lvl w:ilvl="0">
      <w:lvlJc w:val="left"/>
      <w:lvlText w:val="(%1)"/>
      <w:numFmt w:val="lowerLetter"/>
      <w:start w:val="11"/>
    </w:lvl>
    <w:lvl w:ilvl="1">
      <w:lvlJc w:val="left"/>
      <w:lvlText w:val="%2"/>
      <w:numFmt w:val="lowerLetter"/>
      <w:start w:val="1"/>
    </w:lvl>
  </w:abstractNum>
  <w:abstractNum w:abstractNumId="42">
    <w:nsid w:val="59ADEA3D"/>
    <w:multiLevelType w:val="hybridMultilevel"/>
    <w:lvl w:ilvl="0">
      <w:lvlJc w:val="left"/>
      <w:lvlText w:val="(%1)"/>
      <w:numFmt w:val="lowerLetter"/>
      <w:start w:val="15"/>
    </w:lvl>
    <w:lvl w:ilvl="1">
      <w:lvlJc w:val="left"/>
      <w:lvlText w:val="(%2)"/>
      <w:numFmt w:val="lowerLetter"/>
      <w:start w:val="9"/>
    </w:lvl>
  </w:abstractNum>
  <w:abstractNum w:abstractNumId="43">
    <w:nsid w:val="288F1A34"/>
    <w:multiLevelType w:val="hybridMultilevel"/>
    <w:lvl w:ilvl="0">
      <w:lvlJc w:val="left"/>
      <w:lvlText w:val="%1"/>
      <w:numFmt w:val="lowerLetter"/>
      <w:start w:val="1"/>
    </w:lvl>
    <w:lvl w:ilvl="1">
      <w:lvlJc w:val="left"/>
      <w:lvlText w:val="(%2)"/>
      <w:numFmt w:val="lowerRoman"/>
      <w:start w:val="2"/>
    </w:lvl>
  </w:abstractNum>
  <w:abstractNum w:abstractNumId="44">
    <w:nsid w:val="2A155DBC"/>
    <w:multiLevelType w:val="hybridMultilevel"/>
    <w:lvl w:ilvl="0">
      <w:lvlJc w:val="left"/>
      <w:lvlText w:val="(%1)"/>
      <w:numFmt w:val="lowerLetter"/>
      <w:start w:val="21"/>
    </w:lvl>
    <w:lvl w:ilvl="1">
      <w:lvlJc w:val="left"/>
      <w:lvlText w:val="(%2)"/>
      <w:numFmt w:val="lowerRoman"/>
      <w:start w:val="1"/>
    </w:lvl>
  </w:abstractNum>
  <w:abstractNum w:abstractNumId="45">
    <w:nsid w:val="1D9F6E5F"/>
    <w:multiLevelType w:val="hybridMultilevel"/>
    <w:lvl w:ilvl="0">
      <w:lvlJc w:val="left"/>
      <w:lvlText w:val="(%1)"/>
      <w:numFmt w:val="lowerLetter"/>
      <w:start w:val="26"/>
    </w:lvl>
  </w:abstractNum>
  <w:abstractNum w:abstractNumId="46">
    <w:nsid w:val="97E1B4E"/>
    <w:multiLevelType w:val="hybridMultilevel"/>
    <w:lvl w:ilvl="0">
      <w:lvlJc w:val="left"/>
      <w:lvlText w:val="(%1)"/>
      <w:numFmt w:val="lowerLetter"/>
      <w:start w:val="27"/>
    </w:lvl>
  </w:abstractNum>
  <w:abstractNum w:abstractNumId="47">
    <w:nsid w:val="51088277"/>
    <w:multiLevelType w:val="hybridMultilevel"/>
    <w:lvl w:ilvl="0">
      <w:lvlJc w:val="left"/>
      <w:lvlText w:val="1"/>
      <w:numFmt w:val="bullet"/>
      <w:start w:val="1"/>
    </w:lvl>
    <w:lvl w:ilvl="1">
      <w:lvlJc w:val="left"/>
      <w:lvlText w:val="(%2)"/>
      <w:numFmt w:val="lowerLetter"/>
      <w:start w:val="1"/>
    </w:lvl>
  </w:abstractNum>
  <w:abstractNum w:abstractNumId="48">
    <w:nsid w:val="1CA0C5FA"/>
    <w:multiLevelType w:val="hybridMultilevel"/>
    <w:lvl w:ilvl="0">
      <w:lvlJc w:val="left"/>
      <w:lvlText w:val="2"/>
      <w:numFmt w:val="bullet"/>
      <w:start w:val="1"/>
    </w:lvl>
    <w:lvl w:ilvl="1">
      <w:lvlJc w:val="left"/>
      <w:lvlText w:val="(%2)"/>
      <w:numFmt w:val="lowerLetter"/>
      <w:start w:val="1"/>
    </w:lvl>
  </w:abstractNum>
  <w:abstractNum w:abstractNumId="49">
    <w:nsid w:val="53584BCB"/>
    <w:multiLevelType w:val="hybridMultilevel"/>
    <w:lvl w:ilvl="0">
      <w:lvlJc w:val="left"/>
      <w:lvlText w:val="(%1)"/>
      <w:numFmt w:val="lowerLetter"/>
      <w:start w:val="8"/>
    </w:lvl>
    <w:lvl w:ilvl="1">
      <w:lvlJc w:val="left"/>
      <w:lvlText w:val="(%2)"/>
      <w:numFmt w:val="lowerRoman"/>
      <w:start w:val="1"/>
    </w:lvl>
  </w:abstractNum>
  <w:abstractNum w:abstractNumId="50">
    <w:nsid w:val="415E286C"/>
    <w:multiLevelType w:val="hybridMultilevel"/>
    <w:lvl w:ilvl="0">
      <w:lvlJc w:val="left"/>
      <w:lvlText w:val="(%1)"/>
      <w:numFmt w:val="lowerLetter"/>
      <w:start w:val="14"/>
    </w:lvl>
  </w:abstractNum>
  <w:abstractNum w:abstractNumId="51">
    <w:nsid w:val="7C58FD05"/>
    <w:multiLevelType w:val="hybridMultilevel"/>
    <w:lvl w:ilvl="0">
      <w:lvlJc w:val="left"/>
      <w:lvlText w:val="(%1)"/>
      <w:numFmt w:val="lowerLetter"/>
      <w:start w:val="26"/>
    </w:lvl>
  </w:abstractNum>
  <w:abstractNum w:abstractNumId="52">
    <w:nsid w:val="23D86AAC"/>
    <w:multiLevelType w:val="hybridMultilevel"/>
    <w:lvl w:ilvl="0">
      <w:lvlJc w:val="left"/>
      <w:lvlText w:val="(%1)"/>
      <w:numFmt w:val="lowerLetter"/>
      <w:start w:val="27"/>
    </w:lvl>
  </w:abstractNum>
  <w:abstractNum w:abstractNumId="53">
    <w:nsid w:val="45E6D486"/>
    <w:multiLevelType w:val="hybridMultilevel"/>
    <w:lvl w:ilvl="0">
      <w:lvlJc w:val="left"/>
      <w:lvlText w:val="%1"/>
      <w:numFmt w:val="upperLetter"/>
      <w:start w:val="1"/>
    </w:lvl>
    <w:lvl w:ilvl="1">
      <w:lvlJc w:val="left"/>
      <w:lvlText w:val="(%2)"/>
      <w:numFmt w:val="lowerLetter"/>
      <w:start w:val="39"/>
    </w:lvl>
  </w:abstractNum>
  <w:abstractNum w:abstractNumId="54">
    <w:nsid w:val="5C10FE21"/>
    <w:multiLevelType w:val="hybridMultilevel"/>
    <w:lvl w:ilvl="0">
      <w:lvlJc w:val="left"/>
      <w:lvlText w:val="(%1)"/>
      <w:numFmt w:val="upperLetter"/>
      <w:start w:val="1"/>
    </w:lvl>
    <w:lvl w:ilvl="1">
      <w:lvlJc w:val="left"/>
      <w:lvlText w:val="(%2)"/>
      <w:numFmt w:val="lowerLetter"/>
      <w:start w:val="49"/>
    </w:lvl>
  </w:abstractNum>
  <w:abstractNum w:abstractNumId="55">
    <w:nsid w:val="E7FFA2B"/>
    <w:multiLevelType w:val="hybridMultilevel"/>
    <w:lvl w:ilvl="0">
      <w:lvlJc w:val="left"/>
      <w:lvlText w:val="(%1)"/>
      <w:numFmt w:val="lowerLetter"/>
      <w:start w:val="53"/>
    </w:lvl>
    <w:lvl w:ilvl="1">
      <w:lvlJc w:val="left"/>
      <w:lvlText w:val="(%2)"/>
      <w:numFmt w:val="lowerRoman"/>
      <w:start w:val="1"/>
    </w:lvl>
  </w:abstractNum>
  <w:abstractNum w:abstractNumId="56">
    <w:nsid w:val="3C5991AA"/>
    <w:multiLevelType w:val="hybridMultilevel"/>
    <w:lvl w:ilvl="0">
      <w:lvlJc w:val="left"/>
      <w:lvlText w:val="3"/>
      <w:numFmt w:val="bullet"/>
      <w:start w:val="1"/>
    </w:lvl>
  </w:abstractNum>
  <w:abstractNum w:abstractNumId="57">
    <w:nsid w:val="4BD8591A"/>
    <w:multiLevelType w:val="hybridMultilevel"/>
    <w:lvl w:ilvl="0">
      <w:lvlJc w:val="left"/>
      <w:lvlText w:val="4"/>
      <w:numFmt w:val="bullet"/>
      <w:start w:val="1"/>
    </w:lvl>
    <w:lvl w:ilvl="1">
      <w:lvlJc w:val="left"/>
      <w:lvlText w:val="(%2)"/>
      <w:numFmt w:val="lowerLetter"/>
      <w:start w:val="1"/>
    </w:lvl>
  </w:abstractNum>
  <w:abstractNum w:abstractNumId="58">
    <w:nsid w:val="78DF6A55"/>
    <w:multiLevelType w:val="hybridMultilevel"/>
    <w:lvl w:ilvl="0">
      <w:lvlJc w:val="left"/>
      <w:lvlText w:val="(%1)"/>
      <w:numFmt w:val="lowerLetter"/>
      <w:start w:val="2"/>
    </w:lvl>
  </w:abstractNum>
  <w:abstractNum w:abstractNumId="59">
    <w:nsid w:val="39B7AAA2"/>
    <w:multiLevelType w:val="hybridMultilevel"/>
    <w:lvl w:ilvl="0">
      <w:lvlJc w:val="left"/>
      <w:lvlText w:val="(%1)"/>
      <w:numFmt w:val="lowerLetter"/>
      <w:start w:val="6"/>
    </w:lvl>
  </w:abstractNum>
  <w:abstractNum w:abstractNumId="60">
    <w:nsid w:val="2B0D8DBE"/>
    <w:multiLevelType w:val="hybridMultilevel"/>
    <w:lvl w:ilvl="0">
      <w:lvlJc w:val="left"/>
      <w:lvlText w:val="5"/>
      <w:numFmt w:val="bullet"/>
      <w:start w:val="1"/>
    </w:lvl>
    <w:lvl w:ilvl="1">
      <w:lvlJc w:val="left"/>
      <w:lvlText w:val="(%2)"/>
      <w:numFmt w:val="lowerLetter"/>
      <w:start w:val="1"/>
    </w:lvl>
  </w:abstractNum>
  <w:abstractNum w:abstractNumId="61">
    <w:nsid w:val="6C80EC70"/>
    <w:multiLevelType w:val="hybridMultilevel"/>
    <w:lvl w:ilvl="0">
      <w:lvlJc w:val="left"/>
      <w:lvlText w:val="(%1)"/>
      <w:numFmt w:val="lowerLetter"/>
      <w:start w:val="6"/>
    </w:lvl>
  </w:abstractNum>
  <w:abstractNum w:abstractNumId="62">
    <w:nsid w:val="379E21B5"/>
    <w:multiLevelType w:val="hybridMultilevel"/>
    <w:lvl w:ilvl="0">
      <w:lvlJc w:val="left"/>
      <w:lvlText w:val="6"/>
      <w:numFmt w:val="bullet"/>
      <w:start w:val="1"/>
    </w:lvl>
    <w:lvl w:ilvl="1">
      <w:lvlJc w:val="left"/>
      <w:lvlText w:val="(%2)"/>
      <w:numFmt w:val="lowerLetter"/>
      <w:start w:val="1"/>
    </w:lvl>
    <w:lvl w:ilvl="2">
      <w:lvlJc w:val="left"/>
      <w:lvlText w:val="(%3)"/>
      <w:numFmt w:val="lowerLetter"/>
      <w:start w:val="9"/>
    </w:lvl>
  </w:abstractNum>
  <w:abstractNum w:abstractNumId="63">
    <w:nsid w:val="69E373"/>
    <w:multiLevelType w:val="hybridMultilevel"/>
    <w:lvl w:ilvl="0">
      <w:lvlJc w:val="left"/>
      <w:lvlText w:val="%1"/>
      <w:numFmt w:val="lowerLetter"/>
      <w:start w:val="1"/>
    </w:lvl>
    <w:lvl w:ilvl="1">
      <w:lvlJc w:val="left"/>
      <w:lvlText w:val="(%2)"/>
      <w:numFmt w:val="lowerRoman"/>
      <w:start w:val="2"/>
    </w:lvl>
  </w:abstractNum>
  <w:abstractNum w:abstractNumId="64">
    <w:nsid w:val="2C27173B"/>
    <w:multiLevelType w:val="hybridMultilevel"/>
    <w:lvl w:ilvl="0">
      <w:lvlJc w:val="left"/>
      <w:lvlText w:val="(%1)"/>
      <w:numFmt w:val="lowerLetter"/>
      <w:start w:val="4"/>
    </w:lvl>
    <w:lvl w:ilvl="1">
      <w:lvlJc w:val="left"/>
      <w:lvlText w:val="%2"/>
      <w:numFmt w:val="lowerRoman"/>
      <w:start w:val="1"/>
    </w:lvl>
  </w:abstractNum>
  <w:abstractNum w:abstractNumId="65">
    <w:nsid w:val="4C9B0904"/>
    <w:multiLevelType w:val="hybridMultilevel"/>
    <w:lvl w:ilvl="0">
      <w:lvlJc w:val="left"/>
      <w:lvlText w:val="(%1)"/>
      <w:numFmt w:val="lowerLetter"/>
      <w:start w:val="6"/>
    </w:lvl>
  </w:abstractNum>
  <w:abstractNum w:abstractNumId="66">
    <w:nsid w:val="6AA7B75C"/>
    <w:multiLevelType w:val="hybridMultilevel"/>
    <w:lvl w:ilvl="0">
      <w:lvlJc w:val="left"/>
      <w:lvlText w:val="8"/>
      <w:numFmt w:val="bullet"/>
      <w:start w:val="1"/>
    </w:lvl>
    <w:lvl w:ilvl="1">
      <w:lvlJc w:val="left"/>
      <w:lvlText w:val="(%2)"/>
      <w:numFmt w:val="lowerLetter"/>
      <w:start w:val="1"/>
    </w:lvl>
    <w:lvl w:ilvl="2">
      <w:lvlJc w:val="left"/>
      <w:lvlText w:val="(%3)"/>
      <w:numFmt w:val="lowerRoman"/>
      <w:start w:val="1"/>
    </w:lvl>
  </w:abstractNum>
  <w:abstractNum w:abstractNumId="67">
    <w:nsid w:val="1DF029D3"/>
    <w:multiLevelType w:val="hybridMultilevel"/>
    <w:lvl w:ilvl="0">
      <w:lvlJc w:val="left"/>
      <w:lvlText w:val="(%1)"/>
      <w:numFmt w:val="lowerLetter"/>
      <w:start w:val="5"/>
    </w:lvl>
  </w:abstractNum>
  <w:abstractNum w:abstractNumId="68">
    <w:nsid w:val="5675FF36"/>
    <w:multiLevelType w:val="hybridMultilevel"/>
    <w:lvl w:ilvl="0">
      <w:lvlJc w:val="left"/>
      <w:lvlText w:val="9"/>
      <w:numFmt w:val="bullet"/>
      <w:start w:val="1"/>
    </w:lvl>
  </w:abstractNum>
  <w:abstractNum w:abstractNumId="69">
    <w:nsid w:val="3DD15094"/>
    <w:multiLevelType w:val="hybridMultilevel"/>
    <w:lvl w:ilvl="0">
      <w:lvlJc w:val="left"/>
      <w:lvlText w:val="%1"/>
      <w:numFmt w:val="decimal"/>
      <w:start w:val="10"/>
    </w:lvl>
    <w:lvl w:ilvl="1">
      <w:lvlJc w:val="left"/>
      <w:lvlText w:val="(%2)"/>
      <w:numFmt w:val="lowerLetter"/>
      <w:start w:val="1"/>
    </w:lvl>
  </w:abstractNum>
  <w:abstractNum w:abstractNumId="70">
    <w:nsid w:val="3DB012B3"/>
    <w:multiLevelType w:val="hybridMultilevel"/>
    <w:lvl w:ilvl="0">
      <w:lvlJc w:val="left"/>
      <w:lvlText w:val="(%1)"/>
      <w:numFmt w:val="lowerLetter"/>
      <w:start w:val="2"/>
    </w:lvl>
    <w:lvl w:ilvl="1">
      <w:lvlJc w:val="left"/>
      <w:lvlText w:val="(%2)"/>
      <w:numFmt w:val="lowerRoman"/>
      <w:start w:val="1"/>
    </w:lvl>
  </w:abstractNum>
  <w:abstractNum w:abstractNumId="71">
    <w:nsid w:val="2708C9AF"/>
    <w:multiLevelType w:val="hybridMultilevel"/>
    <w:lvl w:ilvl="0">
      <w:lvlJc w:val="left"/>
      <w:lvlText w:val="(%1)"/>
      <w:numFmt w:val="lowerLetter"/>
      <w:start w:val="3"/>
    </w:lvl>
  </w:abstractNum>
  <w:abstractNum w:abstractNumId="72">
    <w:nsid w:val="5B25ACE2"/>
    <w:multiLevelType w:val="hybridMultilevel"/>
    <w:lvl w:ilvl="0">
      <w:lvlJc w:val="left"/>
      <w:lvlText w:val="%1"/>
      <w:numFmt w:val="decimal"/>
      <w:start w:val="12"/>
    </w:lvl>
    <w:lvl w:ilvl="1">
      <w:lvlJc w:val="left"/>
      <w:lvlText w:val="(%2)"/>
      <w:numFmt w:val="lowerLetter"/>
      <w:start w:val="1"/>
    </w:lvl>
  </w:abstractNum>
  <w:abstractNum w:abstractNumId="73">
    <w:nsid w:val="175DFCF0"/>
    <w:multiLevelType w:val="hybridMultilevel"/>
    <w:lvl w:ilvl="0">
      <w:lvlJc w:val="left"/>
      <w:lvlText w:val="(%1)"/>
      <w:numFmt w:val="lowerLetter"/>
      <w:start w:val="2"/>
    </w:lvl>
  </w:abstractNum>
  <w:abstractNum w:abstractNumId="74">
    <w:nsid w:val="4F97E3E4"/>
    <w:multiLevelType w:val="hybridMultilevel"/>
    <w:lvl w:ilvl="0">
      <w:lvlJc w:val="left"/>
      <w:lvlText w:val="%1"/>
      <w:numFmt w:val="decimal"/>
      <w:start w:val="13"/>
    </w:lvl>
    <w:lvl w:ilvl="1">
      <w:lvlJc w:val="left"/>
      <w:lvlText w:val="(%2)"/>
      <w:numFmt w:val="lowerLetter"/>
      <w:start w:val="1"/>
    </w:lvl>
    <w:lvl w:ilvl="2">
      <w:lvlJc w:val="left"/>
      <w:lvlText w:val="(%3)"/>
      <w:numFmt w:val="lowerRoman"/>
      <w:start w:val="1"/>
    </w:lvl>
  </w:abstractNum>
  <w:abstractNum w:abstractNumId="75">
    <w:nsid w:val="53B0A9E"/>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61"/>
    </w:lvl>
  </w:abstractNum>
  <w:abstractNum w:abstractNumId="76">
    <w:nsid w:val="34FD6B4F"/>
    <w:multiLevelType w:val="hybridMultilevel"/>
    <w:lvl w:ilvl="0">
      <w:lvlJc w:val="left"/>
      <w:lvlText w:val="(%1)"/>
      <w:numFmt w:val="upperLetter"/>
      <w:start w:val="1"/>
    </w:lvl>
    <w:lvl w:ilvl="1">
      <w:lvlJc w:val="left"/>
      <w:lvlText w:val="(%2)"/>
      <w:numFmt w:val="lowerLetter"/>
      <w:start w:val="3"/>
    </w:lvl>
    <w:lvl w:ilvl="2">
      <w:lvlJc w:val="left"/>
      <w:lvlText w:val="(%3)"/>
      <w:numFmt w:val="lowerLetter"/>
      <w:start w:val="9"/>
    </w:lvl>
  </w:abstractNum>
  <w:abstractNum w:abstractNumId="77">
    <w:nsid w:val="5915FF32"/>
    <w:multiLevelType w:val="hybridMultilevel"/>
    <w:lvl w:ilvl="0">
      <w:lvlJc w:val="left"/>
      <w:lvlText w:val="%1"/>
      <w:numFmt w:val="lowerLetter"/>
      <w:start w:val="1"/>
    </w:lvl>
    <w:lvl w:ilvl="1">
      <w:lvlJc w:val="left"/>
      <w:lvlText w:val="(%2)"/>
      <w:numFmt w:val="lowerRoman"/>
      <w:start w:val="2"/>
    </w:lvl>
  </w:abstractNum>
  <w:abstractNum w:abstractNumId="78">
    <w:nsid w:val="56438D15"/>
    <w:multiLevelType w:val="hybridMultilevel"/>
    <w:lvl w:ilvl="0">
      <w:lvlJc w:val="left"/>
      <w:lvlText w:val="(%1)"/>
      <w:numFmt w:val="lowerLetter"/>
      <w:start w:val="4"/>
    </w:lvl>
    <w:lvl w:ilvl="1">
      <w:lvlJc w:val="left"/>
      <w:lvlText w:val="(%2)"/>
      <w:numFmt w:val="lowerRoman"/>
      <w:start w:val="1"/>
    </w:lvl>
  </w:abstractNum>
  <w:abstractNum w:abstractNumId="79">
    <w:nsid w:val="519E3149"/>
    <w:multiLevelType w:val="hybridMultilevel"/>
    <w:lvl w:ilvl="0">
      <w:lvlJc w:val="left"/>
      <w:lvlText w:val="%1"/>
      <w:numFmt w:val="lowerLetter"/>
      <w:start w:val="1"/>
    </w:lvl>
    <w:lvl w:ilvl="1">
      <w:lvlJc w:val="left"/>
      <w:lvlText w:val="(%2)"/>
      <w:numFmt w:val="lowerLetter"/>
      <w:start w:val="61"/>
    </w:lvl>
  </w:abstractNum>
  <w:abstractNum w:abstractNumId="80">
    <w:nsid w:val="2C6E4AFD"/>
    <w:multiLevelType w:val="hybridMultilevel"/>
    <w:lvl w:ilvl="0">
      <w:lvlJc w:val="left"/>
      <w:lvlText w:val="(%1)"/>
      <w:numFmt w:val="lowerLetter"/>
      <w:start w:val="5"/>
    </w:lvl>
    <w:lvl w:ilvl="1">
      <w:lvlJc w:val="left"/>
      <w:lvlText w:val="%2"/>
      <w:numFmt w:val="lowerLetter"/>
      <w:start w:val="1"/>
    </w:lvl>
  </w:abstractNum>
  <w:abstractNum w:abstractNumId="81">
    <w:nsid w:val="17A1B582"/>
    <w:multiLevelType w:val="hybridMultilevel"/>
    <w:lvl w:ilvl="0">
      <w:lvlJc w:val="left"/>
      <w:lvlText w:val="(%1)"/>
      <w:numFmt w:val="lowerLetter"/>
      <w:start w:val="9"/>
    </w:lvl>
    <w:lvl w:ilvl="1">
      <w:lvlJc w:val="left"/>
      <w:lvlText w:val="(%2)"/>
      <w:numFmt w:val="lowerLetter"/>
      <w:start w:val="9"/>
    </w:lvl>
  </w:abstractNum>
  <w:abstractNum w:abstractNumId="82">
    <w:nsid w:val="4DF72E4E"/>
    <w:multiLevelType w:val="hybridMultilevel"/>
    <w:lvl w:ilvl="0">
      <w:lvlJc w:val="left"/>
      <w:lvlText w:val="%1"/>
      <w:numFmt w:val="lowerLetter"/>
      <w:start w:val="1"/>
    </w:lvl>
    <w:lvl w:ilvl="1">
      <w:lvlJc w:val="left"/>
      <w:lvlText w:val="(%2)"/>
      <w:numFmt w:val="lowerLetter"/>
      <w:start w:val="35"/>
    </w:lvl>
  </w:abstractNum>
  <w:abstractNum w:abstractNumId="83">
    <w:nsid w:val="5046B5A9"/>
    <w:multiLevelType w:val="hybridMultilevel"/>
    <w:lvl w:ilvl="0">
      <w:lvlJc w:val="left"/>
      <w:lvlText w:val="(%1)"/>
      <w:numFmt w:val="lowerLetter"/>
      <w:start w:val="12"/>
    </w:lvl>
    <w:lvl w:ilvl="1">
      <w:lvlJc w:val="left"/>
      <w:lvlText w:val="%2"/>
      <w:numFmt w:val="lowerLetter"/>
      <w:start w:val="1"/>
    </w:lvl>
  </w:abstractNum>
  <w:abstractNum w:abstractNumId="84">
    <w:nsid w:val="5D888A08"/>
    <w:multiLevelType w:val="hybridMultilevel"/>
    <w:lvl w:ilvl="0">
      <w:lvlJc w:val="left"/>
      <w:lvlText w:val="(%1)"/>
      <w:numFmt w:val="lowerLetter"/>
      <w:start w:val="17"/>
    </w:lvl>
    <w:lvl w:ilvl="1">
      <w:lvlJc w:val="left"/>
      <w:lvlText w:val="(%2)"/>
      <w:numFmt w:val="lowerRoman"/>
      <w:start w:val="1"/>
    </w:lvl>
  </w:abstractNum>
  <w:abstractNum w:abstractNumId="85">
    <w:nsid w:val="2A082C70"/>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3"/>
    </w:lvl>
  </w:abstractNum>
  <w:abstractNum w:abstractNumId="86">
    <w:nsid w:val="5EC6AFD4"/>
    <w:multiLevelType w:val="hybridMultilevel"/>
    <w:lvl w:ilvl="0">
      <w:lvlJc w:val="left"/>
      <w:lvlText w:val="%1"/>
      <w:numFmt w:val="lowerLetter"/>
      <w:start w:val="1"/>
    </w:lvl>
    <w:lvl w:ilvl="1">
      <w:lvlJc w:val="left"/>
      <w:lvlText w:val="(%2)"/>
      <w:numFmt w:val="lowerLetter"/>
      <w:start w:val="22"/>
    </w:lvl>
    <w:lvl w:ilvl="2">
      <w:lvlJc w:val="left"/>
      <w:lvlText w:val="%3"/>
      <w:numFmt w:val="lowerRoman"/>
      <w:start w:val="1"/>
    </w:lvl>
  </w:abstractNum>
  <w:abstractNum w:abstractNumId="87">
    <w:nsid w:val="19E21BB2"/>
    <w:multiLevelType w:val="hybridMultilevel"/>
    <w:lvl w:ilvl="0">
      <w:lvlJc w:val="left"/>
      <w:lvlText w:val="(%1)"/>
      <w:numFmt w:val="lowerLetter"/>
      <w:start w:val="35"/>
    </w:lvl>
    <w:lvl w:ilvl="1">
      <w:lvlJc w:val="left"/>
      <w:lvlText w:val="(%2)"/>
      <w:numFmt w:val="lowerLetter"/>
      <w:start w:val="23"/>
    </w:lvl>
    <w:lvl w:ilvl="2">
      <w:lvlJc w:val="left"/>
      <w:lvlText w:val="(%3)"/>
      <w:numFmt w:val="lowerRoman"/>
      <w:start w:val="1"/>
    </w:lvl>
  </w:abstractNum>
  <w:abstractNum w:abstractNumId="88">
    <w:nsid w:val="75E0858A"/>
    <w:multiLevelType w:val="hybridMultilevel"/>
    <w:lvl w:ilvl="0">
      <w:lvlJc w:val="left"/>
      <w:lvlText w:val="1"/>
      <w:numFmt w:val="bullet"/>
      <w:start w:val="1"/>
    </w:lvl>
    <w:lvl w:ilvl="1">
      <w:lvlJc w:val="left"/>
      <w:lvlText w:val="(%2)"/>
      <w:numFmt w:val="lowerLetter"/>
      <w:start w:val="1"/>
    </w:lvl>
  </w:abstractNum>
  <w:abstractNum w:abstractNumId="89">
    <w:nsid w:val="57A61A29"/>
    <w:multiLevelType w:val="hybridMultilevel"/>
    <w:lvl w:ilvl="0">
      <w:lvlJc w:val="left"/>
      <w:lvlText w:val="2"/>
      <w:numFmt w:val="bullet"/>
      <w:start w:val="1"/>
    </w:lvl>
    <w:lvl w:ilvl="1">
      <w:lvlJc w:val="left"/>
      <w:lvlText w:val="(%2)"/>
      <w:numFmt w:val="lowerLetter"/>
      <w:start w:val="1"/>
    </w:lvl>
  </w:abstractNum>
  <w:abstractNum w:abstractNumId="90">
    <w:nsid w:val="5399C654"/>
    <w:multiLevelType w:val="hybridMultilevel"/>
    <w:lvl w:ilvl="0">
      <w:lvlJc w:val="left"/>
      <w:lvlText w:val="(%1)"/>
      <w:numFmt w:val="lowerLetter"/>
      <w:start w:val="7"/>
    </w:lvl>
    <w:lvl w:ilvl="1">
      <w:lvlJc w:val="left"/>
      <w:lvlText w:val="(%2)"/>
      <w:numFmt w:val="lowerRoman"/>
      <w:start w:val="1"/>
    </w:lvl>
  </w:abstractNum>
  <w:abstractNum w:abstractNumId="91">
    <w:nsid w:val="20EE1348"/>
    <w:multiLevelType w:val="hybridMultilevel"/>
    <w:lvl w:ilvl="0">
      <w:lvlJc w:val="left"/>
      <w:lvlText w:val="(%1)"/>
      <w:numFmt w:val="lowerLetter"/>
      <w:start w:val="15"/>
    </w:lvl>
  </w:abstractNum>
  <w:abstractNum w:abstractNumId="92">
    <w:nsid w:val="4427069A"/>
    <w:multiLevelType w:val="hybridMultilevel"/>
    <w:lvl w:ilvl="0">
      <w:lvlJc w:val="left"/>
      <w:lvlText w:val="(%1)"/>
      <w:numFmt w:val="lowerLetter"/>
      <w:start w:val="21"/>
    </w:lvl>
  </w:abstractNum>
  <w:abstractNum w:abstractNumId="93">
    <w:nsid w:val="B37E80A"/>
    <w:multiLevelType w:val="hybridMultilevel"/>
    <w:lvl w:ilvl="0">
      <w:lvlJc w:val="left"/>
      <w:lvlText w:val="(%1)"/>
      <w:numFmt w:val="lowerLetter"/>
      <w:start w:val="27"/>
    </w:lvl>
  </w:abstractNum>
  <w:abstractNum w:abstractNumId="94">
    <w:nsid w:val="2157F6BC"/>
    <w:multiLevelType w:val="hybridMultilevel"/>
    <w:lvl w:ilvl="0">
      <w:lvlJc w:val="left"/>
      <w:lvlText w:val="(%1)"/>
      <w:numFmt w:val="lowerLetter"/>
      <w:start w:val="38"/>
    </w:lvl>
    <w:lvl w:ilvl="1">
      <w:lvlJc w:val="left"/>
      <w:lvlText w:val="(%2)"/>
      <w:numFmt w:val="lowerLetter"/>
      <w:start w:val="50"/>
    </w:lvl>
    <w:lvl w:ilvl="2">
      <w:lvlJc w:val="left"/>
      <w:lvlText w:val="(%3)"/>
      <w:numFmt w:val="lowerRoman"/>
      <w:start w:val="1"/>
    </w:lvl>
  </w:abstractNum>
  <w:abstractNum w:abstractNumId="95">
    <w:nsid w:val="704E1DD5"/>
    <w:multiLevelType w:val="hybridMultilevel"/>
    <w:lvl w:ilvl="0">
      <w:lvlJc w:val="left"/>
      <w:lvlText w:val="(%1)"/>
      <w:numFmt w:val="lowerLetter"/>
      <w:start w:val="52"/>
    </w:lvl>
    <w:lvl w:ilvl="1">
      <w:lvlJc w:val="left"/>
      <w:lvlText w:val="%2"/>
      <w:numFmt w:val="lowerLetter"/>
      <w:start w:val="1"/>
    </w:lvl>
  </w:abstractNum>
  <w:abstractNum w:abstractNumId="96">
    <w:nsid w:val="57D2F10E"/>
    <w:multiLevelType w:val="hybridMultilevel"/>
    <w:lvl w:ilvl="0">
      <w:lvlJc w:val="left"/>
      <w:lvlText w:val="3"/>
      <w:numFmt w:val="bullet"/>
      <w:start w:val="1"/>
    </w:lvl>
  </w:abstractNum>
  <w:abstractNum w:abstractNumId="97">
    <w:nsid w:val="BFFAE18"/>
    <w:multiLevelType w:val="hybridMultilevel"/>
    <w:lvl w:ilvl="0">
      <w:lvlJc w:val="left"/>
      <w:lvlText w:val="4"/>
      <w:numFmt w:val="bullet"/>
      <w:start w:val="1"/>
    </w:lvl>
    <w:lvl w:ilvl="1">
      <w:lvlJc w:val="left"/>
      <w:lvlText w:val="%2"/>
      <w:numFmt w:val="lowerLetter"/>
      <w:start w:val="1"/>
    </w:lvl>
    <w:lvl w:ilvl="2">
      <w:lvlJc w:val="left"/>
      <w:lvlText w:val="(%3)"/>
      <w:numFmt w:val="lowerLetter"/>
      <w:start w:val="1"/>
    </w:lvl>
  </w:abstractNum>
  <w:abstractNum w:abstractNumId="98">
    <w:nsid w:val="E3E47A8"/>
    <w:multiLevelType w:val="hybridMultilevel"/>
    <w:lvl w:ilvl="0">
      <w:lvlJc w:val="left"/>
      <w:lvlText w:val="4"/>
      <w:numFmt w:val="bullet"/>
      <w:start w:val="1"/>
    </w:lvl>
    <w:lvl w:ilvl="1">
      <w:lvlJc w:val="left"/>
      <w:lvlText w:val="(%2)"/>
      <w:numFmt w:val="lowerLetter"/>
      <w:start w:val="35"/>
    </w:lvl>
    <w:lvl w:ilvl="2">
      <w:lvlJc w:val="left"/>
      <w:lvlText w:val="%3"/>
      <w:numFmt w:val="lowerLetter"/>
      <w:start w:val="1"/>
    </w:lvl>
  </w:abstractNum>
  <w:abstractNum w:abstractNumId="99">
    <w:nsid w:val="2E48F044"/>
    <w:multiLevelType w:val="hybridMultilevel"/>
    <w:lvl w:ilvl="0">
      <w:lvlJc w:val="left"/>
      <w:lvlText w:val="(%1)"/>
      <w:numFmt w:val="lowerLetter"/>
      <w:start w:val="4"/>
    </w:lvl>
  </w:abstractNum>
  <w:abstractNum w:abstractNumId="100">
    <w:nsid w:val="49D0FEAC"/>
    <w:multiLevelType w:val="hybridMultilevel"/>
    <w:lvl w:ilvl="0">
      <w:lvlJc w:val="left"/>
      <w:lvlText w:val="5"/>
      <w:numFmt w:val="bullet"/>
      <w:start w:val="1"/>
    </w:lvl>
    <w:lvl w:ilvl="1">
      <w:lvlJc w:val="left"/>
      <w:lvlText w:val="(%2)"/>
      <w:numFmt w:val="lowerLetter"/>
      <w:start w:val="1"/>
    </w:lvl>
  </w:abstractNum>
  <w:abstractNum w:abstractNumId="101">
    <w:nsid w:val="4BEE5A5B"/>
    <w:multiLevelType w:val="hybridMultilevel"/>
    <w:lvl w:ilvl="0">
      <w:lvlJc w:val="left"/>
      <w:lvlText w:val="(%1)"/>
      <w:numFmt w:val="lowerLetter"/>
      <w:start w:val="2"/>
    </w:lvl>
  </w:abstractNum>
  <w:abstractNum w:abstractNumId="102">
    <w:nsid w:val="5551B9F3"/>
    <w:multiLevelType w:val="hybridMultilevel"/>
    <w:lvl w:ilvl="0">
      <w:lvlJc w:val="left"/>
      <w:lvlText w:val="6"/>
      <w:numFmt w:val="bullet"/>
      <w:start w:val="1"/>
    </w:lvl>
    <w:lvl w:ilvl="1">
      <w:lvlJc w:val="left"/>
      <w:lvlText w:val="(%2)"/>
      <w:numFmt w:val="lowerLetter"/>
      <w:start w:val="1"/>
    </w:lvl>
    <w:lvl w:ilvl="2">
      <w:lvlJc w:val="left"/>
      <w:lvlText w:val="(%3)"/>
      <w:numFmt w:val="lowerRoman"/>
      <w:start w:val="1"/>
    </w:lvl>
  </w:abstractNum>
  <w:abstractNum w:abstractNumId="103">
    <w:nsid w:val="24F6AB8E"/>
    <w:multiLevelType w:val="hybridMultilevel"/>
    <w:lvl w:ilvl="0">
      <w:lvlJc w:val="left"/>
      <w:lvlText w:val="(%1)"/>
      <w:numFmt w:val="lowerLetter"/>
      <w:start w:val="4"/>
    </w:lvl>
  </w:abstractNum>
  <w:abstractNum w:abstractNumId="104">
    <w:nsid w:val="634C574C"/>
    <w:multiLevelType w:val="hybridMultilevel"/>
    <w:lvl w:ilvl="0">
      <w:lvlJc w:val="left"/>
      <w:lvlText w:val="8"/>
      <w:numFmt w:val="bullet"/>
      <w:start w:val="1"/>
    </w:lvl>
    <w:lvl w:ilvl="1">
      <w:lvlJc w:val="left"/>
      <w:lvlText w:val="(%2)"/>
      <w:numFmt w:val="lowerLetter"/>
      <w:start w:val="1"/>
    </w:lvl>
  </w:abstractNum>
  <w:abstractNum w:abstractNumId="105">
    <w:nsid w:val="24E99DD7"/>
    <w:multiLevelType w:val="hybridMultilevel"/>
    <w:lvl w:ilvl="0">
      <w:lvlJc w:val="left"/>
      <w:lvlText w:val="(%1)"/>
      <w:numFmt w:val="lowerLetter"/>
      <w:start w:val="2"/>
    </w:lvl>
    <w:lvl w:ilvl="1">
      <w:lvlJc w:val="left"/>
      <w:lvlText w:val="(%2)"/>
      <w:numFmt w:val="lowerRoman"/>
      <w:start w:val="1"/>
    </w:lvl>
  </w:abstractNum>
  <w:abstractNum w:abstractNumId="106">
    <w:nsid w:val="2A31B62D"/>
    <w:multiLevelType w:val="hybridMultilevel"/>
    <w:lvl w:ilvl="0">
      <w:lvlJc w:val="left"/>
      <w:lvlText w:val="9"/>
      <w:numFmt w:val="bullet"/>
      <w:start w:val="1"/>
    </w:lvl>
    <w:lvl w:ilvl="1">
      <w:lvlJc w:val="left"/>
      <w:lvlText w:val="(%2)"/>
      <w:numFmt w:val="lowerLetter"/>
      <w:start w:val="1"/>
    </w:lvl>
  </w:abstractNum>
  <w:abstractNum w:abstractNumId="107">
    <w:nsid w:val="1849C29B"/>
    <w:multiLevelType w:val="hybridMultilevel"/>
    <w:lvl w:ilvl="0">
      <w:lvlJc w:val="left"/>
      <w:lvlText w:val="(%1)"/>
      <w:numFmt w:val="lowerLetter"/>
      <w:start w:val="2"/>
    </w:lvl>
    <w:lvl w:ilvl="1">
      <w:lvlJc w:val="left"/>
      <w:lvlText w:val="(%2)"/>
      <w:numFmt w:val="lowerRoman"/>
      <w:start w:val="1"/>
    </w:lvl>
  </w:abstractNum>
  <w:abstractNum w:abstractNumId="108">
    <w:nsid w:val="7DFF9D09"/>
    <w:multiLevelType w:val="hybridMultilevel"/>
    <w:lvl w:ilvl="0">
      <w:lvlJc w:val="left"/>
      <w:lvlText w:val="%1"/>
      <w:numFmt w:val="lowerLetter"/>
      <w:start w:val="1"/>
    </w:lvl>
    <w:lvl w:ilvl="1">
      <w:lvlJc w:val="left"/>
      <w:lvlText w:val="(%2)"/>
      <w:numFmt w:val="lowerLetter"/>
      <w:start w:val="35"/>
    </w:lvl>
  </w:abstractNum>
  <w:abstractNum w:abstractNumId="109">
    <w:nsid w:val="754342"/>
    <w:multiLevelType w:val="hybridMultilevel"/>
    <w:lvl w:ilvl="0">
      <w:lvlJc w:val="left"/>
      <w:lvlText w:val="(%1)"/>
      <w:numFmt w:val="lowerLetter"/>
      <w:start w:val="5"/>
    </w:lvl>
    <w:lvl w:ilvl="1">
      <w:lvlJc w:val="left"/>
      <w:lvlText w:val="%2"/>
      <w:numFmt w:val="lowerLetter"/>
      <w:start w:val="1"/>
    </w:lvl>
  </w:abstractNum>
  <w:abstractNum w:abstractNumId="110">
    <w:nsid w:val="69E7F3E5"/>
    <w:multiLevelType w:val="hybridMultilevel"/>
    <w:lvl w:ilvl="0">
      <w:lvlJc w:val="left"/>
      <w:lvlText w:val="%1"/>
      <w:numFmt w:val="decimal"/>
      <w:start w:val="10"/>
    </w:lvl>
    <w:lvl w:ilvl="1">
      <w:lvlJc w:val="left"/>
      <w:lvlText w:val="(%2)"/>
      <w:numFmt w:val="lowerLetter"/>
      <w:start w:val="1"/>
    </w:lvl>
  </w:abstractNum>
  <w:abstractNum w:abstractNumId="111">
    <w:nsid w:val="2A6DE806"/>
    <w:multiLevelType w:val="hybridMultilevel"/>
    <w:lvl w:ilvl="0">
      <w:lvlJc w:val="left"/>
      <w:lvlText w:val="%1"/>
      <w:numFmt w:val="lowerRoman"/>
      <w:start w:val="1"/>
    </w:lvl>
    <w:lvl w:ilvl="1">
      <w:lvlJc w:val="left"/>
      <w:lvlText w:val="(%2)"/>
      <w:numFmt w:val="lowerLetter"/>
      <w:start w:val="3"/>
    </w:lvl>
  </w:abstractNum>
  <w:abstractNum w:abstractNumId="112">
    <w:nsid w:val="1816F8C4"/>
    <w:multiLevelType w:val="hybridMultilevel"/>
    <w:lvl w:ilvl="0">
      <w:lvlJc w:val="left"/>
      <w:lvlText w:val="(%1)"/>
      <w:numFmt w:val="lowerRoman"/>
      <w:start w:val="9"/>
    </w:lvl>
    <w:lvl w:ilvl="1">
      <w:lvlJc w:val="left"/>
      <w:lvlText w:val="%2"/>
      <w:numFmt w:val="lowerLetter"/>
      <w:start w:val="1"/>
    </w:lvl>
  </w:abstractNum>
  <w:abstractNum w:abstractNumId="113">
    <w:nsid w:val="37DF2233"/>
    <w:multiLevelType w:val="hybridMultilevel"/>
    <w:lvl w:ilvl="0">
      <w:lvlJc w:val="left"/>
      <w:lvlText w:val="(%1)"/>
      <w:numFmt w:val="lowerRoman"/>
      <w:start w:val="21"/>
    </w:lvl>
    <w:lvl w:ilvl="1">
      <w:lvlJc w:val="left"/>
      <w:lvlText w:val="(%2)"/>
      <w:numFmt w:val="lowerLetter"/>
      <w:start w:val="4"/>
    </w:lvl>
  </w:abstractNum>
  <w:abstractNum w:abstractNumId="114">
    <w:nsid w:val="7AB49DAF"/>
    <w:multiLevelType w:val="hybridMultilevel"/>
    <w:lvl w:ilvl="0">
      <w:lvlJc w:val="left"/>
      <w:lvlText w:val="(%1)"/>
      <w:numFmt w:val="lowerRoman"/>
      <w:start w:val="6"/>
    </w:lvl>
    <w:lvl w:ilvl="1">
      <w:lvlJc w:val="left"/>
      <w:lvlText w:val="%2"/>
      <w:numFmt w:val="lowerLetter"/>
      <w:start w:val="1"/>
    </w:lvl>
  </w:abstractNum>
  <w:abstractNum w:abstractNumId="115">
    <w:nsid w:val="759F82CD"/>
    <w:multiLevelType w:val="hybridMultilevel"/>
    <w:lvl w:ilvl="0">
      <w:lvlJc w:val="left"/>
      <w:lvlText w:val="(%1)"/>
      <w:numFmt w:val="lowerLetter"/>
      <w:start w:val="5"/>
    </w:lvl>
    <w:lvl w:ilvl="1">
      <w:lvlJc w:val="left"/>
      <w:lvlText w:val="(%2)"/>
      <w:numFmt w:val="lowerRoman"/>
      <w:start w:val="1"/>
    </w:lvl>
  </w:abstractNum>
  <w:abstractNum w:abstractNumId="116">
    <w:nsid w:val="61E74EA3"/>
    <w:multiLevelType w:val="hybridMultilevel"/>
    <w:lvl w:ilvl="0">
      <w:lvlJc w:val="left"/>
      <w:lvlText w:val="%1"/>
      <w:numFmt w:val="decimal"/>
      <w:start w:val="12"/>
    </w:lvl>
  </w:abstractNum>
  <w:abstractNum w:abstractNumId="117">
    <w:nsid w:val="597B4D84"/>
    <w:multiLevelType w:val="hybridMultilevel"/>
    <w:lvl w:ilvl="0">
      <w:lvlJc w:val="left"/>
      <w:lvlText w:val="(%1)"/>
      <w:numFmt w:val="lowerRoman"/>
      <w:start w:val="1"/>
    </w:lvl>
  </w:abstractNum>
  <w:abstractNum w:abstractNumId="118">
    <w:nsid w:val="F819E7F"/>
    <w:multiLevelType w:val="hybridMultilevel"/>
    <w:lvl w:ilvl="0">
      <w:lvlJc w:val="left"/>
      <w:lvlText w:val="%1"/>
      <w:numFmt w:val="decimal"/>
      <w:start w:val="13"/>
    </w:lvl>
    <w:lvl w:ilvl="1">
      <w:lvlJc w:val="left"/>
      <w:lvlText w:val="(%2)"/>
      <w:numFmt w:val="lowerLetter"/>
      <w:start w:val="1"/>
    </w:lvl>
    <w:lvl w:ilvl="2">
      <w:lvlJc w:val="left"/>
      <w:lvlText w:val="(%3)"/>
      <w:numFmt w:val="lowerLetter"/>
      <w:start w:val="1"/>
    </w:lvl>
    <w:lvl w:ilvl="3">
      <w:lvlJc w:val="left"/>
      <w:lvlText w:val="(%4)"/>
      <w:numFmt w:val="lowerLetter"/>
      <w:start w:val="9"/>
    </w:lvl>
  </w:abstractNum>
  <w:abstractNum w:abstractNumId="119">
    <w:nsid w:val="57C7D42D"/>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35"/>
    </w:lvl>
  </w:abstractNum>
  <w:abstractNum w:abstractNumId="120">
    <w:nsid w:val="312167AD"/>
    <w:multiLevelType w:val="hybridMultilevel"/>
    <w:lvl w:ilvl="0">
      <w:lvlJc w:val="left"/>
      <w:lvlText w:val="(%1)"/>
      <w:numFmt w:val="upperLetter"/>
      <w:start w:val="4"/>
    </w:lvl>
    <w:lvl w:ilvl="1">
      <w:lvlJc w:val="left"/>
      <w:lvlText w:val="(%2)"/>
      <w:numFmt w:val="lowerLetter"/>
      <w:start w:val="2"/>
    </w:lvl>
    <w:lvl w:ilvl="2">
      <w:lvlJc w:val="left"/>
      <w:lvlText w:val="(%3)"/>
      <w:numFmt w:val="lowerLetter"/>
      <w:start w:val="61"/>
    </w:lvl>
  </w:abstractNum>
  <w:abstractNum w:abstractNumId="121">
    <w:nsid w:val="631B64D4"/>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35"/>
    </w:lvl>
  </w:abstractNum>
  <w:abstractNum w:abstractNumId="122">
    <w:nsid w:val="78B5E776"/>
    <w:multiLevelType w:val="hybridMultilevel"/>
    <w:lvl w:ilvl="0">
      <w:lvlJc w:val="left"/>
      <w:lvlText w:val="(%1)"/>
      <w:numFmt w:val="lowerRoman"/>
      <w:start w:val="3"/>
    </w:lvl>
  </w:abstractNum>
  <w:abstractNum w:abstractNumId="123">
    <w:nsid w:val="75486E47"/>
    <w:multiLevelType w:val="hybridMultilevel"/>
    <w:lvl w:ilvl="0">
      <w:lvlJc w:val="left"/>
      <w:lvlText w:val="(%1)"/>
      <w:numFmt w:val="lowerLetter"/>
      <w:start w:val="5"/>
    </w:lvl>
  </w:abstractNum>
  <w:abstractNum w:abstractNumId="124">
    <w:nsid w:val="6E534CDE"/>
    <w:multiLevelType w:val="hybridMultilevel"/>
    <w:lvl w:ilvl="0">
      <w:lvlJc w:val="left"/>
      <w:lvlText w:val="(%1)"/>
      <w:numFmt w:val="lowerLetter"/>
      <w:start w:val="9"/>
    </w:lvl>
    <w:lvl w:ilvl="1">
      <w:lvlJc w:val="left"/>
      <w:lvlText w:val="(%2)"/>
      <w:numFmt w:val="lowerRoman"/>
      <w:start w:val="2"/>
    </w:lvl>
  </w:abstractNum>
  <w:abstractNum w:abstractNumId="125">
    <w:nsid w:val="1A0DDE32"/>
    <w:multiLevelType w:val="hybridMultilevel"/>
    <w:lvl w:ilvl="0">
      <w:lvlJc w:val="left"/>
      <w:lvlText w:val="(%1)"/>
      <w:numFmt w:val="lowerLetter"/>
      <w:start w:val="11"/>
    </w:lvl>
  </w:abstractNum>
  <w:abstractNum w:abstractNumId="126">
    <w:nsid w:val="65968C1C"/>
    <w:multiLevelType w:val="hybridMultilevel"/>
    <w:lvl w:ilvl="0">
      <w:lvlJc w:val="left"/>
      <w:lvlText w:val="(%1)"/>
      <w:numFmt w:val="lowerLetter"/>
      <w:start w:val="19"/>
    </w:lvl>
    <w:lvl w:ilvl="1">
      <w:lvlJc w:val="left"/>
      <w:lvlText w:val="(%2)"/>
      <w:numFmt w:val="lowerRoman"/>
      <w:start w:val="2"/>
    </w:lvl>
  </w:abstractNum>
  <w:abstractNum w:abstractNumId="127">
    <w:nsid w:val="46263DEC"/>
    <w:multiLevelType w:val="hybridMultilevel"/>
    <w:lvl w:ilvl="0">
      <w:lvlJc w:val="left"/>
      <w:lvlText w:val="(%1)"/>
      <w:numFmt w:val="lowerLetter"/>
      <w:start w:val="22"/>
    </w:lvl>
  </w:abstractNum>
  <w:abstractNum w:abstractNumId="128">
    <w:nsid w:val="260D8C4A"/>
    <w:multiLevelType w:val="hybridMultilevel"/>
    <w:lvl w:ilvl="0">
      <w:lvlJc w:val="left"/>
      <w:lvlText w:val="(%1)"/>
      <w:numFmt w:val="lowerLetter"/>
      <w:start w:val="21"/>
    </w:lvl>
  </w:abstractNum>
  <w:abstractNum w:abstractNumId="129">
    <w:nsid w:val="73D4D3C4"/>
    <w:multiLevelType w:val="hybridMultilevel"/>
    <w:lvl w:ilvl="0">
      <w:lvlJc w:val="left"/>
      <w:lvlText w:val="1"/>
      <w:numFmt w:val="bullet"/>
      <w:start w:val="1"/>
    </w:lvl>
    <w:lvl w:ilvl="1">
      <w:lvlJc w:val="left"/>
      <w:lvlText w:val="(%2)"/>
      <w:numFmt w:val="lowerLetter"/>
      <w:start w:val="1"/>
    </w:lvl>
  </w:abstractNum>
  <w:abstractNum w:abstractNumId="130">
    <w:nsid w:val="746F2E30"/>
    <w:multiLevelType w:val="hybridMultilevel"/>
    <w:lvl w:ilvl="0">
      <w:lvlJc w:val="left"/>
      <w:lvlText w:val="2"/>
      <w:numFmt w:val="bullet"/>
      <w:start w:val="1"/>
    </w:lvl>
  </w:abstractNum>
  <w:abstractNum w:abstractNumId="131">
    <w:nsid w:val="6FDE8AF6"/>
    <w:multiLevelType w:val="hybridMultilevel"/>
    <w:lvl w:ilvl="0">
      <w:lvlJc w:val="left"/>
      <w:lvlText w:val="(%1)"/>
      <w:numFmt w:val="lowerLetter"/>
      <w:start w:val="1"/>
    </w:lvl>
  </w:abstractNum>
  <w:abstractNum w:abstractNumId="132">
    <w:nsid w:val="3FC32E20"/>
    <w:multiLevelType w:val="hybridMultilevel"/>
    <w:lvl w:ilvl="0">
      <w:lvlJc w:val="left"/>
      <w:lvlText w:val="●"/>
      <w:numFmt w:val="bullet"/>
      <w:start w:val="1"/>
    </w:lvl>
    <w:lvl w:ilvl="1">
      <w:lvlJc w:val="left"/>
      <w:lvlText w:val="(%2)"/>
      <w:numFmt w:val="lowerLetter"/>
      <w:start w:val="6"/>
    </w:lvl>
  </w:abstractNum>
  <w:abstractNum w:abstractNumId="133">
    <w:nsid w:val="49C0E823"/>
    <w:multiLevelType w:val="hybridMultilevel"/>
    <w:lvl w:ilvl="0">
      <w:lvlJc w:val="left"/>
      <w:lvlText w:val="●"/>
      <w:numFmt w:val="bullet"/>
      <w:start w:val="1"/>
    </w:lvl>
  </w:abstractNum>
  <w:abstractNum w:abstractNumId="134">
    <w:nsid w:val="14D53685"/>
    <w:multiLevelType w:val="hybridMultilevel"/>
    <w:lvl w:ilvl="0">
      <w:lvlJc w:val="left"/>
      <w:lvlText w:val="(%1)"/>
      <w:numFmt w:val="lowerLetter"/>
      <w:start w:val="15"/>
    </w:lvl>
  </w:abstractNum>
  <w:abstractNum w:abstractNumId="135">
    <w:nsid w:val="230F856C"/>
    <w:multiLevelType w:val="hybridMultilevel"/>
    <w:lvl w:ilvl="0">
      <w:lvlJc w:val="left"/>
      <w:lvlText w:val="(%1)"/>
      <w:numFmt w:val="lowerLetter"/>
      <w:start w:val="19"/>
    </w:lvl>
  </w:abstractNum>
  <w:abstractNum w:abstractNumId="136">
    <w:nsid w:val="6EAA85FB"/>
    <w:multiLevelType w:val="hybridMultilevel"/>
    <w:lvl w:ilvl="0">
      <w:lvlJc w:val="left"/>
      <w:lvlText w:val="3"/>
      <w:numFmt w:val="bullet"/>
      <w:start w:val="1"/>
    </w:lvl>
    <w:lvl w:ilvl="1">
      <w:lvlJc w:val="left"/>
      <w:lvlText w:val="(%2)"/>
      <w:numFmt w:val="lowerLetter"/>
      <w:start w:val="1"/>
    </w:lvl>
  </w:abstractNum>
  <w:abstractNum w:abstractNumId="137">
    <w:nsid w:val="3F06ECB2"/>
    <w:multiLevelType w:val="hybridMultilevel"/>
    <w:lvl w:ilvl="0">
      <w:lvlJc w:val="left"/>
      <w:lvlText w:val="4"/>
      <w:numFmt w:val="bullet"/>
      <w:start w:val="1"/>
    </w:lvl>
  </w:abstractNum>
  <w:abstractNum w:abstractNumId="138">
    <w:nsid w:val="3B594807"/>
    <w:multiLevelType w:val="hybridMultilevel"/>
    <w:lvl w:ilvl="0">
      <w:lvlJc w:val="left"/>
      <w:lvlText w:val="5"/>
      <w:numFmt w:val="bullet"/>
      <w:start w:val="1"/>
    </w:lvl>
    <w:lvl w:ilvl="1">
      <w:lvlJc w:val="left"/>
      <w:lvlText w:val="(%2)"/>
      <w:numFmt w:val="lowerLetter"/>
      <w:start w:val="1"/>
    </w:lvl>
  </w:abstractNum>
  <w:abstractNum w:abstractNumId="139">
    <w:nsid w:val="6CAA2304"/>
    <w:multiLevelType w:val="hybridMultilevel"/>
    <w:lvl w:ilvl="0">
      <w:lvlJc w:val="left"/>
      <w:lvlText w:val="(%1)"/>
      <w:numFmt w:val="lowerLetter"/>
      <w:start w:val="2"/>
    </w:lvl>
  </w:abstractNum>
  <w:abstractNum w:abstractNumId="140">
    <w:nsid w:val="3F7C2FF4"/>
    <w:multiLevelType w:val="hybridMultilevel"/>
    <w:lvl w:ilvl="0">
      <w:lvlJc w:val="left"/>
      <w:lvlText w:val="6"/>
      <w:numFmt w:val="bullet"/>
      <w:start w:val="1"/>
    </w:lvl>
    <w:lvl w:ilvl="1">
      <w:lvlJc w:val="left"/>
      <w:lvlText w:val="(%2)"/>
      <w:numFmt w:val="lowerLetter"/>
      <w:start w:val="1"/>
    </w:lvl>
  </w:abstractNum>
  <w:abstractNum w:abstractNumId="141">
    <w:nsid w:val="25413BEC"/>
    <w:multiLevelType w:val="hybridMultilevel"/>
    <w:lvl w:ilvl="0">
      <w:lvlJc w:val="left"/>
      <w:lvlText w:val="(%1)"/>
      <w:numFmt w:val="lowerLetter"/>
      <w:start w:val="6"/>
    </w:lvl>
  </w:abstractNum>
  <w:abstractNum w:abstractNumId="142">
    <w:nsid w:val="17180B0B"/>
    <w:multiLevelType w:val="hybridMultilevel"/>
    <w:lvl w:ilvl="0">
      <w:lvlJc w:val="left"/>
      <w:lvlText w:val="7"/>
      <w:numFmt w:val="bullet"/>
      <w:start w:val="1"/>
    </w:lvl>
  </w:abstractNum>
  <w:abstractNum w:abstractNumId="143">
    <w:nsid w:val="579328B9"/>
    <w:multiLevelType w:val="hybridMultilevel"/>
    <w:lvl w:ilvl="0">
      <w:lvlJc w:val="left"/>
      <w:lvlText w:val="8"/>
      <w:numFmt w:val="bullet"/>
      <w:start w:val="1"/>
    </w:lvl>
  </w:abstractNum>
  <w:abstractNum w:abstractNumId="144">
    <w:nsid w:val="5D205E20"/>
    <w:multiLevelType w:val="hybridMultilevel"/>
    <w:lvl w:ilvl="0">
      <w:lvlJc w:val="left"/>
      <w:lvlText w:val="9"/>
      <w:numFmt w:val="bullet"/>
      <w:start w:val="1"/>
    </w:lvl>
  </w:abstractNum>
  <w:abstractNum w:abstractNumId="145">
    <w:nsid w:val="11CCA8BA"/>
    <w:multiLevelType w:val="hybridMultilevel"/>
    <w:lvl w:ilvl="0">
      <w:lvlJc w:val="left"/>
      <w:lvlText w:val="%1"/>
      <w:numFmt w:val="decimal"/>
      <w:start w:val="10"/>
    </w:lvl>
    <w:lvl w:ilvl="1">
      <w:lvlJc w:val="left"/>
      <w:lvlText w:val="(%2)"/>
      <w:numFmt w:val="lowerLetter"/>
      <w:start w:val="1"/>
    </w:lvl>
  </w:abstractNum>
  <w:abstractNum w:abstractNumId="146">
    <w:nsid w:val="4D32AB86"/>
    <w:multiLevelType w:val="hybridMultilevel"/>
    <w:lvl w:ilvl="0">
      <w:lvlJc w:val="left"/>
      <w:lvlText w:val="%1"/>
      <w:numFmt w:val="decimal"/>
      <w:start w:val="11"/>
    </w:lvl>
    <w:lvl w:ilvl="1">
      <w:lvlJc w:val="left"/>
      <w:lvlText w:val="(%2)"/>
      <w:numFmt w:val="lowerLetter"/>
      <w:start w:val="1"/>
    </w:lvl>
  </w:abstractNum>
  <w:abstractNum w:abstractNumId="147">
    <w:nsid w:val="3F07ACC3"/>
    <w:multiLevelType w:val="hybridMultilevel"/>
    <w:lvl w:ilvl="0">
      <w:lvlJc w:val="left"/>
      <w:lvlText w:val="1"/>
      <w:numFmt w:val="bullet"/>
      <w:start w:val="1"/>
    </w:lvl>
    <w:lvl w:ilvl="1">
      <w:lvlJc w:val="left"/>
      <w:lvlText w:val="(%2)"/>
      <w:numFmt w:val="lowerLetter"/>
      <w:start w:val="1"/>
    </w:lvl>
  </w:abstractNum>
  <w:abstractNum w:abstractNumId="148">
    <w:nsid w:val="6B47F63E"/>
    <w:multiLevelType w:val="hybridMultilevel"/>
    <w:lvl w:ilvl="0">
      <w:lvlJc w:val="left"/>
      <w:lvlText w:val="(%1)"/>
      <w:numFmt w:val="lowerLetter"/>
      <w:start w:val="2"/>
    </w:lvl>
  </w:abstractNum>
  <w:abstractNum w:abstractNumId="149">
    <w:nsid w:val="5CB44A05"/>
    <w:multiLevelType w:val="hybridMultilevel"/>
    <w:lvl w:ilvl="0">
      <w:lvlJc w:val="left"/>
      <w:lvlText w:val="(%1)"/>
      <w:numFmt w:val="lowerLetter"/>
      <w:start w:val="3"/>
    </w:lvl>
  </w:abstractNum>
  <w:abstractNum w:abstractNumId="150">
    <w:nsid w:val="16CF80F1"/>
    <w:multiLevelType w:val="hybridMultilevel"/>
    <w:lvl w:ilvl="0">
      <w:lvlJc w:val="left"/>
      <w:lvlText w:val="●"/>
      <w:numFmt w:val="bullet"/>
      <w:start w:val="1"/>
    </w:lvl>
    <w:lvl w:ilvl="1">
      <w:lvlJc w:val="left"/>
      <w:lvlText w:val="●"/>
      <w:numFmt w:val="bullet"/>
      <w:start w:val="1"/>
    </w:lvl>
  </w:abstractNum>
  <w:abstractNum w:abstractNumId="151">
    <w:nsid w:val="1C695DEC"/>
    <w:multiLevelType w:val="hybridMultilevel"/>
    <w:lvl w:ilvl="0">
      <w:lvlJc w:val="left"/>
      <w:lvlText w:val="(%1)"/>
      <w:numFmt w:val="lowerLetter"/>
      <w:start w:val="4"/>
    </w:lvl>
  </w:abstractNum>
  <w:abstractNum w:abstractNumId="152">
    <w:nsid w:val="3FCFAED9"/>
    <w:multiLevelType w:val="hybridMultilevel"/>
    <w:lvl w:ilvl="0">
      <w:lvlJc w:val="left"/>
      <w:lvlText w:val="●"/>
      <w:numFmt w:val="bullet"/>
      <w:start w:val="1"/>
    </w:lvl>
    <w:lvl w:ilvl="1">
      <w:lvlJc w:val="left"/>
      <w:lvlText w:val="(%2)"/>
      <w:numFmt w:val="lowerLetter"/>
      <w:start w:val="5"/>
    </w:lvl>
  </w:abstractNum>
  <w:abstractNum w:abstractNumId="153">
    <w:nsid w:val="F856867"/>
    <w:multiLevelType w:val="hybridMultilevel"/>
    <w:lvl w:ilvl="0">
      <w:lvlJc w:val="left"/>
      <w:lvlText w:val="(%1)"/>
      <w:numFmt w:val="lowerRoman"/>
      <w:start w:val="1"/>
    </w:lvl>
  </w:abstractNum>
  <w:abstractNum w:abstractNumId="154">
    <w:nsid w:val="11B1CC33"/>
    <w:multiLevelType w:val="hybridMultilevel"/>
    <w:lvl w:ilvl="0">
      <w:lvlJc w:val="left"/>
      <w:lvlText w:val="2"/>
      <w:numFmt w:val="bullet"/>
      <w:start w:val="1"/>
    </w:lvl>
    <w:lvl w:ilvl="1">
      <w:lvlJc w:val="left"/>
      <w:lvlText w:val="(%2)"/>
      <w:numFmt w:val="lowerLetter"/>
      <w:start w:val="1"/>
    </w:lvl>
  </w:abstractNum>
  <w:abstractNum w:abstractNumId="155">
    <w:nsid w:val="2E22FBB7"/>
    <w:multiLevelType w:val="hybridMultilevel"/>
    <w:lvl w:ilvl="0">
      <w:lvlJc w:val="left"/>
      <w:lvlText w:val="(%1)"/>
      <w:numFmt w:val="lowerLetter"/>
      <w:start w:val="2"/>
    </w:lvl>
  </w:abstractNum>
  <w:abstractNum w:abstractNumId="156">
    <w:nsid w:val="29934699"/>
    <w:multiLevelType w:val="hybridMultilevel"/>
    <w:lvl w:ilvl="0">
      <w:lvlJc w:val="left"/>
      <w:lvlText w:val="(%1)"/>
      <w:numFmt w:val="lowerLetter"/>
      <w:start w:val="3"/>
    </w:lvl>
  </w:abstractNum>
  <w:abstractNum w:abstractNumId="157">
    <w:nsid w:val="77485850"/>
    <w:multiLevelType w:val="hybridMultilevel"/>
    <w:lvl w:ilvl="0">
      <w:lvlJc w:val="left"/>
      <w:lvlText w:val="3"/>
      <w:numFmt w:val="bullet"/>
      <w:start w:val="1"/>
    </w:lvl>
    <w:lvl w:ilvl="1">
      <w:lvlJc w:val="left"/>
      <w:lvlText w:val="(%2)"/>
      <w:numFmt w:val="lowerLetter"/>
      <w:start w:val="1"/>
    </w:lvl>
  </w:abstractNum>
  <w:abstractNum w:abstractNumId="158">
    <w:nsid w:val="744939A3"/>
    <w:multiLevelType w:val="hybridMultilevel"/>
    <w:lvl w:ilvl="0">
      <w:lvlJc w:val="left"/>
      <w:lvlText w:val="(%1)"/>
      <w:numFmt w:val="lowerRoman"/>
      <w:start w:val="1"/>
    </w:lvl>
  </w:abstractNum>
  <w:abstractNum w:abstractNumId="159">
    <w:nsid w:val="4FA0D2E3"/>
    <w:multiLevelType w:val="hybridMultilevel"/>
    <w:lvl w:ilvl="0">
      <w:lvlJc w:val="left"/>
      <w:lvlText w:val="(%1)"/>
      <w:numFmt w:val="lowerRoman"/>
      <w:start w:val="2"/>
    </w:lvl>
  </w:abstractNum>
  <w:abstractNum w:abstractNumId="160">
    <w:nsid w:val="6B1D2C14"/>
    <w:multiLevelType w:val="hybridMultilevel"/>
    <w:lvl w:ilvl="0">
      <w:lvlJc w:val="left"/>
      <w:lvlText w:val="(%1)"/>
      <w:numFmt w:val="lowerLetter"/>
      <w:start w:val="2"/>
    </w:lvl>
  </w:abstractNum>
  <w:abstractNum w:abstractNumId="161">
    <w:nsid w:val="68B867D3"/>
    <w:multiLevelType w:val="hybridMultilevel"/>
    <w:lvl w:ilvl="0">
      <w:lvlJc w:val="left"/>
      <w:lvlText w:val="(%1)"/>
      <w:numFmt w:val="lowerLetter"/>
      <w:start w:val="3"/>
    </w:lvl>
  </w:abstractNum>
  <w:abstractNum w:abstractNumId="162">
    <w:nsid w:val="3F7F5DD9"/>
    <w:multiLevelType w:val="hybridMultilevel"/>
    <w:lvl w:ilvl="0">
      <w:lvlJc w:val="left"/>
      <w:lvlText w:val="4"/>
      <w:numFmt w:val="bullet"/>
      <w:start w:val="1"/>
    </w:lvl>
    <w:lvl w:ilvl="1">
      <w:lvlJc w:val="left"/>
      <w:lvlText w:val="(%2)"/>
      <w:numFmt w:val="lowerLetter"/>
      <w:start w:val="1"/>
    </w:lvl>
  </w:abstractNum>
  <w:abstractNum w:abstractNumId="163">
    <w:nsid w:val="2AE05A34"/>
    <w:multiLevelType w:val="hybridMultilevel"/>
    <w:lvl w:ilvl="0">
      <w:lvlJc w:val="left"/>
      <w:lvlText w:val="●"/>
      <w:numFmt w:val="bullet"/>
      <w:start w:val="1"/>
    </w:lvl>
    <w:lvl w:ilvl="1">
      <w:lvlJc w:val="left"/>
      <w:lvlText w:val="●"/>
      <w:numFmt w:val="bullet"/>
      <w:start w:val="1"/>
    </w:lvl>
  </w:abstractNum>
  <w:abstractNum w:abstractNumId="164">
    <w:nsid w:val="32794FF7"/>
    <w:multiLevelType w:val="hybridMultilevel"/>
    <w:lvl w:ilvl="0">
      <w:lvlJc w:val="left"/>
      <w:lvlText w:val="(%1)"/>
      <w:numFmt w:val="lowerLetter"/>
      <w:start w:val="2"/>
    </w:lvl>
  </w:abstractNum>
  <w:abstractNum w:abstractNumId="165">
    <w:nsid w:val="5454945E"/>
    <w:multiLevelType w:val="hybridMultilevel"/>
    <w:lvl w:ilvl="0">
      <w:lvlJc w:val="left"/>
      <w:lvlText w:val="1"/>
      <w:numFmt w:val="bullet"/>
      <w:start w:val="1"/>
    </w:lvl>
  </w:abstractNum>
  <w:abstractNum w:abstractNumId="166">
    <w:nsid w:val="4DEFDFA0"/>
    <w:multiLevelType w:val="hybridMultilevel"/>
    <w:lvl w:ilvl="0">
      <w:lvlJc w:val="left"/>
      <w:lvlText w:val="2"/>
      <w:numFmt w:val="bullet"/>
      <w:start w:val="1"/>
    </w:lvl>
  </w:abstractNum>
  <w:abstractNum w:abstractNumId="167">
    <w:nsid w:val="2123D5F2"/>
    <w:multiLevelType w:val="hybridMultilevel"/>
    <w:lvl w:ilvl="0">
      <w:lvlJc w:val="left"/>
      <w:lvlText w:val="(%1)"/>
      <w:numFmt w:val="lowerRoman"/>
      <w:start w:val="1"/>
    </w:lvl>
  </w:abstractNum>
  <w:abstractNum w:abstractNumId="168">
    <w:nsid w:val="135B8110"/>
    <w:multiLevelType w:val="hybridMultilevel"/>
    <w:lvl w:ilvl="0">
      <w:lvlJc w:val="left"/>
      <w:lvlText w:val="3"/>
      <w:numFmt w:val="bullet"/>
      <w:start w:val="1"/>
    </w:lvl>
  </w:abstractNum>
  <w:abstractNum w:abstractNumId="169">
    <w:nsid w:val="94927A8"/>
    <w:multiLevelType w:val="hybridMultilevel"/>
    <w:lvl w:ilvl="0">
      <w:lvlJc w:val="left"/>
      <w:lvlText w:val="(%1)"/>
      <w:numFmt w:val="lowerRoman"/>
      <w:start w:val="1"/>
    </w:lvl>
  </w:abstractNum>
  <w:abstractNum w:abstractNumId="170">
    <w:nsid w:val="DCDF8F6"/>
    <w:multiLevelType w:val="hybridMultilevel"/>
    <w:lvl w:ilvl="0">
      <w:lvlJc w:val="left"/>
      <w:lvlText w:val="4"/>
      <w:numFmt w:val="bullet"/>
      <w:start w:val="1"/>
    </w:lvl>
  </w:abstractNum>
  <w:abstractNum w:abstractNumId="171">
    <w:nsid w:val="52D7B105"/>
    <w:multiLevelType w:val="hybridMultilevel"/>
    <w:lvl w:ilvl="0">
      <w:lvlJc w:val="left"/>
      <w:lvlText w:val="5"/>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2"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36" Type="http://schemas.openxmlformats.org/officeDocument/2006/relationships/image" Target="media/image25.png"/><Relationship Id="rId37" Type="http://schemas.openxmlformats.org/officeDocument/2006/relationships/image" Target="media/image26.png"/><Relationship Id="rId38" Type="http://schemas.openxmlformats.org/officeDocument/2006/relationships/image" Target="media/image27.png"/><Relationship Id="rId39" Type="http://schemas.openxmlformats.org/officeDocument/2006/relationships/image" Target="media/image28.png"/><Relationship Id="rId40" Type="http://schemas.openxmlformats.org/officeDocument/2006/relationships/image" Target="media/image29.png"/><Relationship Id="rId41" Type="http://schemas.openxmlformats.org/officeDocument/2006/relationships/image" Target="media/image30.png"/><Relationship Id="rId42" Type="http://schemas.openxmlformats.org/officeDocument/2006/relationships/image" Target="media/image31.png"/><Relationship Id="rId43" Type="http://schemas.openxmlformats.org/officeDocument/2006/relationships/image" Target="media/image32.png"/><Relationship Id="rId44" Type="http://schemas.openxmlformats.org/officeDocument/2006/relationships/image" Target="media/image33.png"/><Relationship Id="rId45" Type="http://schemas.openxmlformats.org/officeDocument/2006/relationships/image" Target="media/image34.png"/><Relationship Id="rId46" Type="http://schemas.openxmlformats.org/officeDocument/2006/relationships/image" Target="media/image35.png"/><Relationship Id="rId47" Type="http://schemas.openxmlformats.org/officeDocument/2006/relationships/image" Target="media/image36.png"/><Relationship Id="rId48" Type="http://schemas.openxmlformats.org/officeDocument/2006/relationships/image" Target="media/image37.png"/><Relationship Id="rId49" Type="http://schemas.openxmlformats.org/officeDocument/2006/relationships/image" Target="media/image38.png"/><Relationship Id="rId50" Type="http://schemas.openxmlformats.org/officeDocument/2006/relationships/image" Target="media/image39.png"/><Relationship Id="rId51" Type="http://schemas.openxmlformats.org/officeDocument/2006/relationships/image" Target="media/image40.png"/><Relationship Id="rId52" Type="http://schemas.openxmlformats.org/officeDocument/2006/relationships/image" Target="media/image41.png"/><Relationship Id="rId53" Type="http://schemas.openxmlformats.org/officeDocument/2006/relationships/image" Target="media/image42.png"/><Relationship Id="rId54" Type="http://schemas.openxmlformats.org/officeDocument/2006/relationships/image" Target="media/image43.png"/><Relationship Id="rId55" Type="http://schemas.openxmlformats.org/officeDocument/2006/relationships/image" Target="media/image44.png"/><Relationship Id="rId56" Type="http://schemas.openxmlformats.org/officeDocument/2006/relationships/image" Target="media/image45.png"/><Relationship Id="rId57" Type="http://schemas.openxmlformats.org/officeDocument/2006/relationships/image" Target="media/image46.png"/><Relationship Id="rId58" Type="http://schemas.openxmlformats.org/officeDocument/2006/relationships/image" Target="media/image47.png"/><Relationship Id="rId59" Type="http://schemas.openxmlformats.org/officeDocument/2006/relationships/image" Target="media/image48.png"/><Relationship Id="rId60"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png"/><Relationship Id="rId73" Type="http://schemas.openxmlformats.org/officeDocument/2006/relationships/image" Target="media/image62.png"/><Relationship Id="rId74" Type="http://schemas.openxmlformats.org/officeDocument/2006/relationships/image" Target="media/image63.png"/><Relationship Id="rId75" Type="http://schemas.openxmlformats.org/officeDocument/2006/relationships/image" Target="media/image64.png"/><Relationship Id="rId76" Type="http://schemas.openxmlformats.org/officeDocument/2006/relationships/image" Target="media/image65.png"/><Relationship Id="rId77" Type="http://schemas.openxmlformats.org/officeDocument/2006/relationships/image" Target="media/image66.png"/><Relationship Id="rId78" Type="http://schemas.openxmlformats.org/officeDocument/2006/relationships/image" Target="media/image67.png"/><Relationship Id="rId79" Type="http://schemas.openxmlformats.org/officeDocument/2006/relationships/image" Target="media/image68.png"/><Relationship Id="rId80" Type="http://schemas.openxmlformats.org/officeDocument/2006/relationships/image" Target="media/image69.png"/><Relationship Id="rId81" Type="http://schemas.openxmlformats.org/officeDocument/2006/relationships/image" Target="media/image70.png"/><Relationship Id="rId82" Type="http://schemas.openxmlformats.org/officeDocument/2006/relationships/image" Target="media/image71.png"/><Relationship Id="rId83" Type="http://schemas.openxmlformats.org/officeDocument/2006/relationships/image" Target="media/image72.png"/><Relationship Id="rId84" Type="http://schemas.openxmlformats.org/officeDocument/2006/relationships/image" Target="media/image73.png"/><Relationship Id="rId85" Type="http://schemas.openxmlformats.org/officeDocument/2006/relationships/image" Target="media/image74.png"/><Relationship Id="rId86" Type="http://schemas.openxmlformats.org/officeDocument/2006/relationships/image" Target="media/image75.png"/><Relationship Id="rId87" Type="http://schemas.openxmlformats.org/officeDocument/2006/relationships/image" Target="media/image76.png"/><Relationship Id="rId88" Type="http://schemas.openxmlformats.org/officeDocument/2006/relationships/image" Target="media/image77.png"/><Relationship Id="rId89" Type="http://schemas.openxmlformats.org/officeDocument/2006/relationships/image" Target="media/image78.png"/><Relationship Id="rId90" Type="http://schemas.openxmlformats.org/officeDocument/2006/relationships/image" Target="media/image79.png"/><Relationship Id="rId91" Type="http://schemas.openxmlformats.org/officeDocument/2006/relationships/image" Target="media/image80.png"/><Relationship Id="rId92" Type="http://schemas.openxmlformats.org/officeDocument/2006/relationships/image" Target="media/image81.png"/><Relationship Id="rId93" Type="http://schemas.openxmlformats.org/officeDocument/2006/relationships/image" Target="media/image82.png"/><Relationship Id="rId94" Type="http://schemas.openxmlformats.org/officeDocument/2006/relationships/image" Target="media/image83.png"/><Relationship Id="rId95" Type="http://schemas.openxmlformats.org/officeDocument/2006/relationships/image" Target="media/image84.png"/><Relationship Id="rId96" Type="http://schemas.openxmlformats.org/officeDocument/2006/relationships/image" Target="media/image85.png"/><Relationship Id="rId97" Type="http://schemas.openxmlformats.org/officeDocument/2006/relationships/image" Target="media/image86.png"/><Relationship Id="rId98" Type="http://schemas.openxmlformats.org/officeDocument/2006/relationships/image" Target="media/image87.png"/><Relationship Id="rId99" Type="http://schemas.openxmlformats.org/officeDocument/2006/relationships/image" Target="media/image88.png"/><Relationship Id="rId100" Type="http://schemas.openxmlformats.org/officeDocument/2006/relationships/image" Target="media/image89.png"/><Relationship Id="rId101" Type="http://schemas.openxmlformats.org/officeDocument/2006/relationships/image" Target="media/image90.png"/><Relationship Id="rId102" Type="http://schemas.openxmlformats.org/officeDocument/2006/relationships/image" Target="media/image91.png"/><Relationship Id="rId103" Type="http://schemas.openxmlformats.org/officeDocument/2006/relationships/image" Target="media/image92.png"/><Relationship Id="rId104" Type="http://schemas.openxmlformats.org/officeDocument/2006/relationships/image" Target="media/image93.png"/><Relationship Id="rId105" Type="http://schemas.openxmlformats.org/officeDocument/2006/relationships/image" Target="media/image94.png"/><Relationship Id="rId106" Type="http://schemas.openxmlformats.org/officeDocument/2006/relationships/image" Target="media/image95.png"/><Relationship Id="rId107" Type="http://schemas.openxmlformats.org/officeDocument/2006/relationships/image" Target="media/image96.png"/><Relationship Id="rId108" Type="http://schemas.openxmlformats.org/officeDocument/2006/relationships/image" Target="media/image97.png"/><Relationship Id="rId109" Type="http://schemas.openxmlformats.org/officeDocument/2006/relationships/image" Target="media/image98.png"/><Relationship Id="rId110" Type="http://schemas.openxmlformats.org/officeDocument/2006/relationships/image" Target="media/image99.png"/><Relationship Id="rId111" Type="http://schemas.openxmlformats.org/officeDocument/2006/relationships/image" Target="media/image100.png"/><Relationship Id="rId112" Type="http://schemas.openxmlformats.org/officeDocument/2006/relationships/image" Target="media/image101.png"/><Relationship Id="rId113" Type="http://schemas.openxmlformats.org/officeDocument/2006/relationships/image" Target="media/image102.png"/><Relationship Id="rId114" Type="http://schemas.openxmlformats.org/officeDocument/2006/relationships/image" Target="media/image103.jpeg"/><Relationship Id="rId115" Type="http://schemas.openxmlformats.org/officeDocument/2006/relationships/image" Target="media/image104.png"/><Relationship Id="rId116" Type="http://schemas.openxmlformats.org/officeDocument/2006/relationships/image" Target="media/image105.png"/><Relationship Id="rId117" Type="http://schemas.openxmlformats.org/officeDocument/2006/relationships/image" Target="media/image106.jpeg"/><Relationship Id="rId118" Type="http://schemas.openxmlformats.org/officeDocument/2006/relationships/image" Target="media/image107.png"/><Relationship Id="rId119" Type="http://schemas.openxmlformats.org/officeDocument/2006/relationships/image" Target="media/image108.jpeg"/><Relationship Id="rId120" Type="http://schemas.openxmlformats.org/officeDocument/2006/relationships/image" Target="media/image109.png"/><Relationship Id="rId121" Type="http://schemas.openxmlformats.org/officeDocument/2006/relationships/image" Target="media/image110.png"/><Relationship Id="rId122" Type="http://schemas.openxmlformats.org/officeDocument/2006/relationships/image" Target="media/image111.png"/><Relationship Id="rId19" Type="http://schemas.openxmlformats.org/officeDocument/2006/relationships/hyperlink" Target="https://www.sec.gov/Archives/edgar/data/1060955/000106095521000004/iclr-20201231.htm" TargetMode="External"/><Relationship Id="rId20" Type="http://schemas.openxmlformats.org/officeDocument/2006/relationships/hyperlink" Target="https://www.sec.gov/Archives/edgar/data/1060955/000114036121023058/nt10026444x8_6k.htm" TargetMode="External"/><Relationship Id="rId21" Type="http://schemas.openxmlformats.org/officeDocument/2006/relationships/hyperlink" Target="https://www.sec.gov/Archives/edgar/data/1060955/000106095521000004/exhibit22-2020.htm" TargetMode="External"/><Relationship Id="rId23" Type="http://schemas.openxmlformats.org/officeDocument/2006/relationships/hyperlink" Target="https://www.sec.gov/Archives/edgar/data/1060955/000114036121010936/nt10020839x1_f4.htm#tSIG"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2021-07-01T15:20:02Z</dcterms:created>
  <dcterms:modified xsi:type="dcterms:W3CDTF">2021-07-01T15:20:02Z</dcterms:modified>
</cp:coreProperties>
</file>