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bookmarkStart w:id="0" w:name="a53400520.htm"/>
      <w:bookmarkStart w:id="1" w:name="ksa53400520"/>
      <w:bookmarkEnd w:id="0"/>
      <w:bookmarkEnd w:id="1"/>
      <w:r>
        <w:rPr>
          <w:rFonts w:ascii="Times New Roman;Times;serif" w:hAnsi="Times New Roman;Times;serif"/>
          <w:b/>
          <w:i w:val="false"/>
          <w:caps w:val="false"/>
          <w:smallCaps w:val="false"/>
          <w:color w:val="000000"/>
          <w:sz w:val="32"/>
          <w:shd w:fill="FFFFFF" w:val="clear"/>
        </w:rPr>
        <w:t>FORM 6-K</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SECURITIES AND EXCHANGE COMMISSION</w:t>
      </w:r>
    </w:p>
    <w:p>
      <w:pPr>
        <w:pStyle w:val="TextBody"/>
        <w:bidi w:val="0"/>
        <w:spacing w:before="0" w:after="0"/>
        <w:jc w:val="left"/>
        <w:rPr/>
      </w:pPr>
      <w:r>
        <w:rPr/>
      </w:r>
    </w:p>
    <w:p>
      <w:pPr>
        <w:pStyle w:val="TextBody"/>
        <w:bidi w:val="0"/>
        <w:spacing w:before="0" w:after="0"/>
        <w:jc w:val="center"/>
        <w:rPr/>
      </w:pPr>
      <w:r>
        <w:rPr/>
        <w:t>Washington, D.C. 20549</w:t>
      </w:r>
    </w:p>
    <w:p>
      <w:pPr>
        <w:pStyle w:val="TextBody"/>
        <w:bidi w:val="0"/>
        <w:spacing w:before="0" w:after="0"/>
        <w:jc w:val="left"/>
        <w:rPr/>
      </w:pPr>
      <w:r>
        <w:rPr/>
      </w:r>
    </w:p>
    <w:p>
      <w:pPr>
        <w:pStyle w:val="TextBody"/>
        <w:bidi w:val="0"/>
        <w:spacing w:before="0" w:after="0"/>
        <w:jc w:val="center"/>
        <w:rPr>
          <w:b/>
        </w:rPr>
      </w:pPr>
      <w:r>
        <w:rPr>
          <w:b/>
        </w:rPr>
        <w:t>Report of Foreign Private Issuer</w:t>
      </w:r>
    </w:p>
    <w:p>
      <w:pPr>
        <w:pStyle w:val="TextBody"/>
        <w:bidi w:val="0"/>
        <w:spacing w:before="0" w:after="0"/>
        <w:jc w:val="center"/>
        <w:rPr>
          <w:b/>
        </w:rPr>
      </w:pPr>
      <w:r>
        <w:rPr>
          <w:b/>
        </w:rPr>
        <w:t>Pursuant to Rule 13a-16 under</w:t>
      </w:r>
    </w:p>
    <w:p>
      <w:pPr>
        <w:pStyle w:val="TextBody"/>
        <w:bidi w:val="0"/>
        <w:spacing w:before="0" w:after="0"/>
        <w:jc w:val="center"/>
        <w:rPr/>
      </w:pPr>
      <w:r>
        <w:rPr/>
        <w:t>t</w:t>
      </w:r>
      <w:r>
        <w:rPr>
          <w:b/>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t>For the month of May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ICON plc</w:t>
      </w:r>
    </w:p>
    <w:p>
      <w:pPr>
        <w:pStyle w:val="TextBody"/>
        <w:bidi w:val="0"/>
        <w:spacing w:before="0" w:after="0"/>
        <w:jc w:val="center"/>
        <w:rPr/>
      </w:pPr>
      <w: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b/>
        </w:rPr>
      </w:pPr>
      <w:r>
        <w:rPr>
          <w:b/>
        </w:rPr>
        <w:t>333-08704</w:t>
      </w:r>
    </w:p>
    <w:p>
      <w:pPr>
        <w:pStyle w:val="TextBody"/>
        <w:bidi w:val="0"/>
        <w:spacing w:before="0" w:after="0"/>
        <w:jc w:val="center"/>
        <w:rPr/>
      </w:pPr>
      <w:r>
        <w:rPr/>
        <w:t> </w:t>
      </w:r>
      <w:r>
        <w:rPr/>
        <w:t>(Commission file number)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t>South County Business Park, Leopardstown, Dublin 18, Ireland</w:t>
      </w:r>
    </w:p>
    <w:p>
      <w:pPr>
        <w:pStyle w:val="TextBody"/>
        <w:bidi w:val="0"/>
        <w:spacing w:before="0" w:after="0"/>
        <w:jc w:val="center"/>
        <w:rPr/>
      </w:pPr>
      <w:r>
        <w:rPr/>
        <w:t>(Address of principal executive offices)</w:t>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2" w:name="zd3c5d795ea49419b91a32b29d5111f6d"/>
      <w:bookmarkStart w:id="3" w:name="zd3c5d795ea49419b91a32b29d5111f6d"/>
      <w:bookmarkEnd w:id="3"/>
    </w:p>
    <w:tbl>
      <w:tblPr>
        <w:tblW w:w="10205" w:type="dxa"/>
        <w:jc w:val="left"/>
        <w:tblInd w:w="0" w:type="dxa"/>
        <w:tblLayout w:type="fixed"/>
        <w:tblCellMar>
          <w:top w:w="0" w:type="dxa"/>
          <w:left w:w="0" w:type="dxa"/>
          <w:bottom w:w="0" w:type="dxa"/>
          <w:right w:w="0" w:type="dxa"/>
        </w:tblCellMar>
      </w:tblPr>
      <w:tblGrid>
        <w:gridCol w:w="210"/>
        <w:gridCol w:w="5075"/>
        <w:gridCol w:w="4920"/>
      </w:tblGrid>
      <w:tr>
        <w:trPr/>
        <w:tc>
          <w:tcPr>
            <w:tcW w:w="10205" w:type="dxa"/>
            <w:gridSpan w:val="3"/>
            <w:tcBorders/>
            <w:vAlign w:val="center"/>
          </w:tcPr>
          <w:p>
            <w:pPr>
              <w:pStyle w:val="TableContents"/>
              <w:bidi w:val="0"/>
              <w:spacing w:before="0" w:after="0"/>
              <w:jc w:val="left"/>
              <w:rPr/>
            </w:pPr>
            <w:r>
              <w:rPr/>
              <w:t>Indicate by check mark whether the registrant files or will file annual reports under cover Form 20-F or Form 40-F.</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Form 20-F __</w:t>
            </w:r>
            <w:r>
              <w:rPr>
                <w:b/>
              </w:rPr>
              <w:t>X</w:t>
            </w:r>
            <w:r>
              <w:rPr/>
              <w:t>___</w:t>
            </w:r>
          </w:p>
        </w:tc>
        <w:tc>
          <w:tcPr>
            <w:tcW w:w="4920" w:type="dxa"/>
            <w:tcBorders/>
            <w:vAlign w:val="center"/>
          </w:tcPr>
          <w:p>
            <w:pPr>
              <w:pStyle w:val="TableContents"/>
              <w:bidi w:val="0"/>
              <w:spacing w:before="0" w:after="0"/>
              <w:jc w:val="left"/>
              <w:rPr/>
            </w:pPr>
            <w:r>
              <w:rPr/>
              <w:t>Form 40-F ______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101(b)(1):</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r>
        <w:trPr/>
        <w:tc>
          <w:tcPr>
            <w:tcW w:w="10205" w:type="dxa"/>
            <w:gridSpan w:val="3"/>
            <w:tcBorders/>
            <w:vAlign w:val="center"/>
          </w:tcPr>
          <w:p>
            <w:pPr>
              <w:pStyle w:val="TableContents"/>
              <w:bidi w:val="0"/>
              <w:spacing w:before="0" w:after="0"/>
              <w:jc w:val="left"/>
              <w:rPr/>
            </w:pPr>
            <w:r>
              <w:rPr/>
              <w:t> </w:t>
            </w:r>
          </w:p>
        </w:tc>
      </w:tr>
      <w:tr>
        <w:trPr/>
        <w:tc>
          <w:tcPr>
            <w:tcW w:w="10205" w:type="dxa"/>
            <w:gridSpan w:val="3"/>
            <w:tcBorders/>
            <w:vAlign w:val="center"/>
          </w:tcPr>
          <w:p>
            <w:pPr>
              <w:pStyle w:val="TableContents"/>
              <w:bidi w:val="0"/>
              <w:spacing w:before="0" w:after="0"/>
              <w:jc w:val="left"/>
              <w:rPr/>
            </w:pPr>
            <w:r>
              <w:rPr/>
              <w:t>Indicate by check mark whether the registrant is submitting the Form 6-K in paper as permitted by Regulation S-T Rule 101(b)(7):</w:t>
            </w:r>
          </w:p>
        </w:tc>
      </w:tr>
      <w:tr>
        <w:trPr/>
        <w:tc>
          <w:tcPr>
            <w:tcW w:w="210" w:type="dxa"/>
            <w:tcBorders/>
            <w:vAlign w:val="center"/>
          </w:tcPr>
          <w:p>
            <w:pPr>
              <w:pStyle w:val="TableContents"/>
              <w:bidi w:val="0"/>
              <w:spacing w:before="0" w:after="0"/>
              <w:jc w:val="left"/>
              <w:rPr/>
            </w:pPr>
            <w:r>
              <w:rPr/>
              <w:t> </w:t>
            </w:r>
          </w:p>
        </w:tc>
        <w:tc>
          <w:tcPr>
            <w:tcW w:w="5075" w:type="dxa"/>
            <w:tcBorders/>
            <w:vAlign w:val="center"/>
          </w:tcPr>
          <w:p>
            <w:pPr>
              <w:pStyle w:val="TableContents"/>
              <w:bidi w:val="0"/>
              <w:spacing w:before="0" w:after="0"/>
              <w:jc w:val="left"/>
              <w:rPr/>
            </w:pPr>
            <w:r>
              <w:rPr/>
              <w:t>Yes______</w:t>
            </w:r>
          </w:p>
        </w:tc>
        <w:tc>
          <w:tcPr>
            <w:tcW w:w="4920" w:type="dxa"/>
            <w:tcBorders/>
            <w:vAlign w:val="center"/>
          </w:tcPr>
          <w:p>
            <w:pPr>
              <w:pStyle w:val="TableContents"/>
              <w:bidi w:val="0"/>
              <w:spacing w:before="0" w:after="0"/>
              <w:jc w:val="left"/>
              <w:rPr/>
            </w:pPr>
            <w:r>
              <w:rPr/>
              <w:t>No___</w:t>
            </w:r>
            <w:r>
              <w:rPr>
                <w:b/>
              </w:rPr>
              <w:t>X</w:t>
            </w:r>
            <w:r>
              <w:rPr/>
              <w:t>___</w:t>
            </w:r>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t xml:space="preserve">  </w:t>
      </w:r>
    </w:p>
    <w:p>
      <w:pPr>
        <w:pStyle w:val="TextBody"/>
        <w:bidi w:val="0"/>
        <w:spacing w:before="0" w:after="0"/>
        <w:jc w:val="center"/>
        <w:rPr>
          <w:b/>
          <w:u w:val="single"/>
        </w:rPr>
      </w:pPr>
      <w:r>
        <w:rPr>
          <w:b/>
          <w:u w:val="single"/>
        </w:rPr>
        <w:t>EXHIBIT LIST</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4" w:name="z00851c116bb541cc99e2de6277f2404f"/>
      <w:bookmarkStart w:id="5" w:name="z00851c116bb541cc99e2de6277f2404f"/>
      <w:bookmarkEnd w:id="5"/>
    </w:p>
    <w:tbl>
      <w:tblPr>
        <w:tblW w:w="10090" w:type="dxa"/>
        <w:jc w:val="left"/>
        <w:tblInd w:w="0" w:type="dxa"/>
        <w:tblLayout w:type="fixed"/>
        <w:tblCellMar>
          <w:top w:w="0" w:type="dxa"/>
          <w:left w:w="0" w:type="dxa"/>
          <w:bottom w:w="0" w:type="dxa"/>
          <w:right w:w="0" w:type="dxa"/>
        </w:tblCellMar>
      </w:tblPr>
      <w:tblGrid>
        <w:gridCol w:w="725"/>
        <w:gridCol w:w="60"/>
        <w:gridCol w:w="9305"/>
      </w:tblGrid>
      <w:tr>
        <w:trPr/>
        <w:tc>
          <w:tcPr>
            <w:tcW w:w="725" w:type="dxa"/>
            <w:tcBorders/>
            <w:vAlign w:val="center"/>
          </w:tcPr>
          <w:p>
            <w:pPr>
              <w:pStyle w:val="TableContents"/>
              <w:bidi w:val="0"/>
              <w:spacing w:before="0" w:after="0"/>
              <w:jc w:val="left"/>
              <w:rPr>
                <w:u w:val="single"/>
              </w:rPr>
            </w:pPr>
            <w:r>
              <w:rPr>
                <w:u w:val="single"/>
              </w:rPr>
              <w:t>Exhibit</w:t>
            </w:r>
          </w:p>
        </w:tc>
        <w:tc>
          <w:tcPr>
            <w:tcW w:w="6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u w:val="single"/>
              </w:rPr>
            </w:pPr>
            <w:r>
              <w:rPr>
                <w:u w:val="single"/>
              </w:rPr>
              <w:t>Description</w:t>
            </w:r>
          </w:p>
        </w:tc>
      </w:tr>
      <w:tr>
        <w:trPr/>
        <w:tc>
          <w:tcPr>
            <w:tcW w:w="7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725" w:type="dxa"/>
            <w:tcBorders/>
            <w:vAlign w:val="center"/>
          </w:tcPr>
          <w:p>
            <w:pPr>
              <w:pStyle w:val="TableContents"/>
              <w:bidi w:val="0"/>
              <w:spacing w:before="0" w:after="0"/>
              <w:jc w:val="left"/>
              <w:rPr/>
            </w:pPr>
            <w:hyperlink w:anchor="a53400520ex99_1.htm">
              <w:r>
                <w:rPr>
                  <w:rStyle w:val="InternetLink"/>
                </w:rPr>
                <w:t>99.1</w:t>
              </w:r>
            </w:hyperlink>
          </w:p>
        </w:tc>
        <w:tc>
          <w:tcPr>
            <w:tcW w:w="6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hyperlink w:anchor="a53400520ex99_1.htm">
              <w:r>
                <w:rPr>
                  <w:rStyle w:val="InternetLink"/>
                </w:rPr>
                <w:t>ICON plc Press Release issued May 16, 2023 – ICON releases its 2022 ICON Cares ESG Report</w:t>
              </w:r>
            </w:hyperlink>
          </w:p>
        </w:tc>
      </w:tr>
    </w:tbl>
    <w:p>
      <w:pPr>
        <w:pStyle w:val="TextBody"/>
        <w:bidi w:val="0"/>
        <w:spacing w:before="0" w:after="0"/>
        <w:jc w:val="left"/>
        <w:rPr/>
      </w:pPr>
      <w:r>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b/>
        </w:rPr>
      </w:pPr>
      <w:r>
        <w:rPr>
          <w:b/>
        </w:rPr>
        <w:t>SIGNATURES</w:t>
      </w:r>
    </w:p>
    <w:p>
      <w:pPr>
        <w:pStyle w:val="TextBody"/>
        <w:bidi w:val="0"/>
        <w:spacing w:before="0" w:after="0"/>
        <w:jc w:val="left"/>
        <w:rPr/>
      </w:pPr>
      <w:r>
        <w:rPr/>
      </w:r>
    </w:p>
    <w:p>
      <w:pPr>
        <w:pStyle w:val="TextBody"/>
        <w:bidi w:val="0"/>
        <w:spacing w:before="0" w:after="0"/>
        <w:jc w:val="left"/>
        <w:rPr/>
      </w:pPr>
      <w: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p>
      <w:pPr>
        <w:pStyle w:val="TextBody"/>
        <w:bidi w:val="0"/>
        <w:spacing w:before="0" w:after="0"/>
        <w:jc w:val="left"/>
        <w:rPr/>
      </w:pPr>
      <w:r>
        <w:rPr/>
        <w:t> </w:t>
      </w:r>
    </w:p>
    <w:p>
      <w:pPr>
        <w:pStyle w:val="Normal"/>
        <w:bidi w:val="0"/>
        <w:spacing w:before="0" w:after="0"/>
        <w:jc w:val="left"/>
        <w:rPr>
          <w:sz w:val="4"/>
          <w:szCs w:val="4"/>
        </w:rPr>
      </w:pPr>
      <w:r>
        <w:rPr>
          <w:sz w:val="4"/>
          <w:szCs w:val="4"/>
        </w:rPr>
      </w:r>
      <w:bookmarkStart w:id="6" w:name="zd2477af526ca407e94bcdd5fc6bc8416"/>
      <w:bookmarkStart w:id="7" w:name="zd2477af526ca407e94bcdd5fc6bc8416"/>
      <w:bookmarkEnd w:id="7"/>
    </w:p>
    <w:tbl>
      <w:tblPr>
        <w:tblW w:w="4225" w:type="dxa"/>
        <w:jc w:val="left"/>
        <w:tblInd w:w="0" w:type="dxa"/>
        <w:tblLayout w:type="fixed"/>
        <w:tblCellMar>
          <w:top w:w="0" w:type="dxa"/>
          <w:left w:w="0" w:type="dxa"/>
          <w:bottom w:w="0" w:type="dxa"/>
          <w:right w:w="0" w:type="dxa"/>
        </w:tblCellMar>
      </w:tblPr>
      <w:tblGrid>
        <w:gridCol w:w="1940"/>
        <w:gridCol w:w="60"/>
        <w:gridCol w:w="2225"/>
      </w:tblGrid>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b/>
              </w:rPr>
            </w:pPr>
            <w:r>
              <w:rPr>
                <w:b/>
              </w:rPr>
              <w:t>ICON plc</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bottom w:val="single" w:sz="12" w:space="0" w:color="000000"/>
            </w:tcBorders>
            <w:tcMar>
              <w:bottom w:w="28" w:type="dxa"/>
            </w:tcMar>
            <w:vAlign w:val="center"/>
          </w:tcPr>
          <w:p>
            <w:pPr>
              <w:pStyle w:val="TableContents"/>
              <w:bidi w:val="0"/>
              <w:spacing w:before="0" w:after="0"/>
              <w:jc w:val="left"/>
              <w:rPr/>
            </w:pPr>
            <w:r>
              <w:rPr/>
              <w:t>/s/ Brendan Brennan</w:t>
            </w:r>
          </w:p>
        </w:tc>
      </w:tr>
      <w:tr>
        <w:trPr/>
        <w:tc>
          <w:tcPr>
            <w:tcW w:w="1940" w:type="dxa"/>
            <w:tcBorders/>
            <w:vAlign w:val="center"/>
          </w:tcPr>
          <w:p>
            <w:pPr>
              <w:pStyle w:val="TableContents"/>
              <w:bidi w:val="0"/>
              <w:spacing w:before="0" w:after="0"/>
              <w:jc w:val="left"/>
              <w:rPr/>
            </w:pPr>
            <w:r>
              <w:rPr/>
              <w:t>Date: May 16, 2023</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Brendan Brennan</w:t>
            </w:r>
          </w:p>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8" w:name="z216c6d11d051468baf9047023af349b4"/>
      <w:bookmarkStart w:id="9" w:name="a53400520ex99_1.htm"/>
      <w:bookmarkStart w:id="10" w:name="ksa53400520ex99_1"/>
      <w:bookmarkStart w:id="11" w:name="z216c6d11d051468baf9047023af349b4"/>
      <w:bookmarkStart w:id="12" w:name="a53400520ex99_1.htm"/>
      <w:bookmarkStart w:id="13" w:name="ksa53400520ex99_1"/>
      <w:bookmarkEnd w:id="11"/>
      <w:bookmarkEnd w:id="12"/>
      <w:bookmarkEnd w:id="13"/>
      <w:r>
        <w:br w:type="page"/>
      </w:r>
    </w:p>
    <w:tbl>
      <w:tblPr>
        <w:tblW w:w="1250" w:type="dxa"/>
        <w:jc w:val="left"/>
        <w:tblInd w:w="0" w:type="dxa"/>
        <w:tblLayout w:type="fixed"/>
        <w:tblCellMar>
          <w:top w:w="0" w:type="dxa"/>
          <w:left w:w="0" w:type="dxa"/>
          <w:bottom w:w="0" w:type="dxa"/>
          <w:right w:w="0" w:type="dxa"/>
        </w:tblCellMar>
      </w:tblPr>
      <w:tblGrid>
        <w:gridCol w:w="1250"/>
      </w:tblGrid>
      <w:tr>
        <w:trPr/>
        <w:tc>
          <w:tcPr>
            <w:tcW w:w="1250" w:type="dxa"/>
            <w:tcBorders/>
            <w:vAlign w:val="center"/>
          </w:tcPr>
          <w:p>
            <w:pPr>
              <w:pStyle w:val="TableContents"/>
              <w:bidi w:val="0"/>
              <w:spacing w:before="0" w:after="283"/>
              <w:jc w:val="right"/>
              <w:rPr>
                <w:b/>
              </w:rPr>
            </w:pPr>
            <w:r>
              <w:rPr>
                <w:b/>
              </w:rPr>
              <w:t>Exhibit 99.1</w:t>
            </w:r>
          </w:p>
        </w:tc>
      </w:tr>
    </w:tbl>
    <w:p>
      <w:pPr>
        <w:pStyle w:val="TextBody"/>
        <w:bidi w:val="0"/>
        <w:spacing w:before="0" w:after="283"/>
        <w:jc w:val="left"/>
        <w:rPr/>
      </w:pPr>
      <w:r>
        <w:rPr/>
      </w:r>
    </w:p>
    <w:p>
      <w:pPr>
        <w:pStyle w:val="Heading1"/>
        <w:bidi w:val="0"/>
        <w:jc w:val="center"/>
        <w:rPr>
          <w:sz w:val="28"/>
        </w:rPr>
      </w:pPr>
      <w:r>
        <w:rPr>
          <w:b/>
          <w:sz w:val="28"/>
        </w:rPr>
        <w:t>ICON releases its 2022 ICON Cares ESG Report</w:t>
      </w:r>
      <w:r>
        <w:rPr>
          <w:sz w:val="28"/>
        </w:rPr>
        <w:t xml:space="preserve"> </w:t>
      </w:r>
    </w:p>
    <w:p>
      <w:pPr>
        <w:pStyle w:val="TextBody"/>
        <w:bidi w:val="0"/>
        <w:spacing w:before="0" w:after="283"/>
        <w:jc w:val="left"/>
        <w:rPr/>
      </w:pPr>
      <w:r>
        <w:rPr/>
        <w:t xml:space="preserve">DUBLIN--(BUSINESS WIRE)--May 16, 2023--ICON plc, (NASDAQ: ICLR) a world-leading healthcare intelligence and clinical research organisation, today releases its ICON Cares 2022 Environmental, Social and Governance (ESG) Report. The company’s ICON Cares initiative incorporates its ESG, Diversity, Inclusion and Belonging and Corporate Social Responsibility initiatives under one program. </w:t>
      </w:r>
    </w:p>
    <w:p>
      <w:pPr>
        <w:pStyle w:val="TextBody"/>
        <w:bidi w:val="0"/>
        <w:spacing w:before="0" w:after="283"/>
        <w:jc w:val="left"/>
        <w:rPr/>
      </w:pPr>
      <w:r>
        <w:rPr/>
        <w:t xml:space="preserve">The report provides an overview of ICON’s ESG activities in 2022 and the progress it has made in advancing its ESG priorities. These priorities include advancing public health and delivering increased access to clinical trials, providing a diverse and inclusive workplace with continuous opportunities for professional development and conducting business sustainably. </w:t>
      </w:r>
    </w:p>
    <w:p>
      <w:pPr>
        <w:pStyle w:val="TextBody"/>
        <w:bidi w:val="0"/>
        <w:spacing w:before="0" w:after="283"/>
        <w:jc w:val="left"/>
        <w:rPr/>
      </w:pPr>
      <w:r>
        <w:rPr/>
        <w:t xml:space="preserve">In recognition of progress made in its ESG efforts, in 2022, ICON was awarded a silver medal by EcoVadis, a leading provider of business sustainability ratings. ICON’s score positioned the company in the 87th percentile of firms assessed by EcoVadis. To drive further progress on reducing GHG emissions, in April 2023, ICON signed its commitment letter to the Science Based Targets initiative (SBTi) as a first step in setting science-based climate targets. </w:t>
      </w:r>
    </w:p>
    <w:p>
      <w:pPr>
        <w:pStyle w:val="TextBody"/>
        <w:bidi w:val="0"/>
        <w:spacing w:before="0" w:after="283"/>
        <w:jc w:val="left"/>
        <w:rPr/>
      </w:pPr>
      <w:r>
        <w:rPr/>
        <w:t>On the publication of the report, Dr Steve Cutler, CEO, ICON commented: “</w:t>
      </w:r>
      <w:r>
        <w:rPr>
          <w:i/>
        </w:rPr>
        <w:t>This report shows what we can achieve for our customers, people, patients and communities as a leader in our industry. Our ESG priorities are in areas where we believe we can deliver the greatest impact, and we have made important progress toward these goals. Every advancement is underpinned by the energy, ambition and delivery of our global staff. I am highly encouraged as to what more we can accomplish in the future.”</w:t>
      </w:r>
      <w:r>
        <w:rPr/>
        <w:t xml:space="preserve"> </w:t>
      </w:r>
    </w:p>
    <w:p>
      <w:pPr>
        <w:pStyle w:val="TextBody"/>
        <w:bidi w:val="0"/>
        <w:spacing w:before="0" w:after="283"/>
        <w:jc w:val="left"/>
        <w:rPr/>
      </w:pPr>
      <w:r>
        <w:rPr>
          <w:b/>
        </w:rPr>
        <w:t>Advancing public health and increased access to clinical trials</w:t>
      </w:r>
      <w:r>
        <w:rPr/>
        <w:t xml:space="preserve"> </w:t>
      </w:r>
    </w:p>
    <w:p>
      <w:pPr>
        <w:pStyle w:val="TextBody"/>
        <w:bidi w:val="0"/>
        <w:spacing w:before="0" w:after="283"/>
        <w:jc w:val="left"/>
        <w:rPr/>
      </w:pPr>
      <w:r>
        <w:rPr/>
        <w:t xml:space="preserve">ICON has focused on creating a strong foundation that enables the execution of new and innovative methods for meeting patient needs and advancing public health. It is focusing its innovation efforts in three critical areas - improving clinical trial design and execution, enabling faster and more predictable patient recruitment, and evolving clinical trials to be more patient-centric. </w:t>
      </w:r>
    </w:p>
    <w:p>
      <w:pPr>
        <w:pStyle w:val="TextBody"/>
        <w:bidi w:val="0"/>
        <w:spacing w:before="0" w:after="283"/>
        <w:jc w:val="left"/>
        <w:rPr/>
      </w:pPr>
      <w:r>
        <w:rPr/>
        <w:t xml:space="preserve">Examples of activities in 2022 in this regard include: </w:t>
      </w:r>
    </w:p>
    <w:p>
      <w:pPr>
        <w:pStyle w:val="TextBody"/>
        <w:numPr>
          <w:ilvl w:val="0"/>
          <w:numId w:val="2"/>
        </w:numPr>
        <w:tabs>
          <w:tab w:val="clear" w:pos="1134"/>
          <w:tab w:val="left" w:pos="709" w:leader="none"/>
        </w:tabs>
        <w:bidi w:val="0"/>
        <w:spacing w:before="0" w:after="0"/>
        <w:ind w:left="709" w:hanging="283"/>
        <w:jc w:val="left"/>
        <w:rPr/>
      </w:pPr>
      <w:r>
        <w:rPr/>
        <w:t xml:space="preserve">ICON released a major artificial intelligence enhancement to its proprietary OneSearch tool, which identifies the best sites for a trial opportunity. The results include significantly improved study start-up and site cycle times. </w:t>
      </w:r>
    </w:p>
    <w:p>
      <w:pPr>
        <w:pStyle w:val="TextBody"/>
        <w:numPr>
          <w:ilvl w:val="0"/>
          <w:numId w:val="2"/>
        </w:numPr>
        <w:tabs>
          <w:tab w:val="clear" w:pos="1134"/>
          <w:tab w:val="left" w:pos="709" w:leader="none"/>
        </w:tabs>
        <w:bidi w:val="0"/>
        <w:ind w:left="709" w:hanging="283"/>
        <w:jc w:val="left"/>
        <w:rPr/>
      </w:pPr>
      <w:r>
        <w:rPr/>
        <w:t xml:space="preserve">In partnership with Veradigm, a health information technology, analytics and intervention solutions company, ICON created an electronic health records-based clinical research network. The partnership enables clinical research as a care option, which can help reach more diverse populations, increase recruitment rates and accelerate time-to-market for new therapies.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b/>
        </w:rPr>
        <w:t>An inclusive workplace with continuous access to professional development</w:t>
      </w:r>
      <w:r>
        <w:rPr/>
        <w:t xml:space="preserve"> </w:t>
      </w:r>
    </w:p>
    <w:p>
      <w:pPr>
        <w:pStyle w:val="TextBody"/>
        <w:bidi w:val="0"/>
        <w:spacing w:before="0" w:after="283"/>
        <w:jc w:val="left"/>
        <w:rPr/>
      </w:pPr>
      <w:r>
        <w:rPr/>
        <w:t xml:space="preserve">ICON continued its focus on building a diverse and inclusive workforce that provides professional advancement and career opportunities for its people. As an example of progress in this regard, in 2022, 59% of all promotions at VP level and above were female, bringing the total number of females at the VP level and above to 42%. This is important progress toward its goal to achieve gender parity at the VP level and above by 2025. </w:t>
      </w:r>
    </w:p>
    <w:p>
      <w:pPr>
        <w:pStyle w:val="TextBody"/>
        <w:bidi w:val="0"/>
        <w:spacing w:before="0" w:after="283"/>
        <w:jc w:val="left"/>
        <w:rPr/>
      </w:pPr>
      <w:r>
        <w:rPr>
          <w:b/>
        </w:rPr>
        <w:t>Conducting business sustainably</w:t>
      </w:r>
      <w:r>
        <w:rPr/>
        <w:t xml:space="preserve"> </w:t>
      </w:r>
    </w:p>
    <w:p>
      <w:pPr>
        <w:pStyle w:val="TextBody"/>
        <w:bidi w:val="0"/>
        <w:spacing w:before="0" w:after="283"/>
        <w:jc w:val="left"/>
        <w:rPr/>
      </w:pPr>
      <w:r>
        <w:rPr/>
        <w:t xml:space="preserve">ICON is actively managing its environmental impact across its global business. Progress made in 2022 included: </w:t>
      </w:r>
    </w:p>
    <w:p>
      <w:pPr>
        <w:pStyle w:val="TextBody"/>
        <w:numPr>
          <w:ilvl w:val="0"/>
          <w:numId w:val="3"/>
        </w:numPr>
        <w:tabs>
          <w:tab w:val="clear" w:pos="1134"/>
          <w:tab w:val="left" w:pos="709" w:leader="none"/>
        </w:tabs>
        <w:bidi w:val="0"/>
        <w:spacing w:before="0" w:after="0"/>
        <w:ind w:left="709" w:hanging="283"/>
        <w:jc w:val="left"/>
        <w:rPr/>
      </w:pPr>
      <w:r>
        <w:rPr/>
        <w:t xml:space="preserve">61.7% of electricity consumed in 2022 came from renewable sources </w:t>
      </w:r>
    </w:p>
    <w:p>
      <w:pPr>
        <w:pStyle w:val="TextBody"/>
        <w:numPr>
          <w:ilvl w:val="0"/>
          <w:numId w:val="3"/>
        </w:numPr>
        <w:tabs>
          <w:tab w:val="clear" w:pos="1134"/>
          <w:tab w:val="left" w:pos="709" w:leader="none"/>
        </w:tabs>
        <w:bidi w:val="0"/>
        <w:spacing w:before="0" w:after="0"/>
        <w:ind w:left="709" w:hanging="283"/>
        <w:jc w:val="left"/>
        <w:rPr/>
      </w:pPr>
      <w:r>
        <w:rPr/>
        <w:t xml:space="preserve">ICON’s combined Scope 1 and 2 GHG emissions decreased by 23.5% since 2018 and 10% since 2021 </w:t>
      </w:r>
    </w:p>
    <w:p>
      <w:pPr>
        <w:pStyle w:val="TextBody"/>
        <w:numPr>
          <w:ilvl w:val="0"/>
          <w:numId w:val="3"/>
        </w:numPr>
        <w:tabs>
          <w:tab w:val="clear" w:pos="1134"/>
          <w:tab w:val="left" w:pos="709" w:leader="none"/>
        </w:tabs>
        <w:bidi w:val="0"/>
        <w:ind w:left="709" w:hanging="283"/>
        <w:jc w:val="left"/>
        <w:rPr/>
      </w:pPr>
      <w:r>
        <w:rPr/>
        <w:t xml:space="preserve">10% reduction in kilowatt hours of electricity since 2018 </w:t>
      </w:r>
    </w:p>
    <w:p>
      <w:pPr>
        <w:pStyle w:val="TextBody"/>
        <w:bidi w:val="0"/>
        <w:spacing w:before="0" w:after="283"/>
        <w:jc w:val="left"/>
        <w:rPr/>
      </w:pPr>
      <w:r>
        <w:rPr>
          <w:b/>
        </w:rPr>
        <w:t>Strengthening communities</w:t>
      </w:r>
      <w:r>
        <w:rPr/>
        <w:t xml:space="preserve"> </w:t>
      </w:r>
    </w:p>
    <w:p>
      <w:pPr>
        <w:pStyle w:val="TextBody"/>
        <w:bidi w:val="0"/>
        <w:spacing w:before="0" w:after="283"/>
        <w:jc w:val="left"/>
        <w:rPr/>
      </w:pPr>
      <w:r>
        <w:rPr/>
        <w:t xml:space="preserve">The report also outlines how ICON supports communities through corporate giving programs, employee volunteering opportunities and industry–academia partnerships. The company has aligned its efforts to the United Nations Sustainable Development Goals and its organisational goals of diversity, inclusion and belonging. </w:t>
      </w:r>
    </w:p>
    <w:p>
      <w:pPr>
        <w:pStyle w:val="TextBody"/>
        <w:bidi w:val="0"/>
        <w:spacing w:before="0" w:after="283"/>
        <w:jc w:val="left"/>
        <w:rPr/>
      </w:pPr>
      <w:r>
        <w:rPr/>
        <w:t xml:space="preserve">In 2022, ICON created a new scholarship program to provide greater opportunities for underrepresented groups to study STEM subjects. For the 2022/2023 academic year, ICON is funding 33 scholarships for STEM course students in partnership with three universities in Ireland and the Thurgood Marshall College Fund in the US. The latter is a not-for-profit organisation that supports nearly 300,000 students attending its 47 member schools, including publicly supported Historically Black Colleges and Universities. </w:t>
      </w:r>
    </w:p>
    <w:p>
      <w:pPr>
        <w:pStyle w:val="TextBody"/>
        <w:bidi w:val="0"/>
        <w:spacing w:before="0" w:after="283"/>
        <w:jc w:val="left"/>
        <w:rPr/>
      </w:pPr>
      <w:r>
        <w:rPr/>
        <w:t xml:space="preserve">For further information about ICON’s ESG efforts, please visit www.iconplc.com/about/esg/. </w:t>
      </w:r>
    </w:p>
    <w:p>
      <w:pPr>
        <w:pStyle w:val="TextBody"/>
        <w:bidi w:val="0"/>
        <w:spacing w:before="0" w:after="283"/>
        <w:jc w:val="left"/>
        <w:rPr/>
      </w:pPr>
      <w:r>
        <w:rPr>
          <w:b/>
        </w:rPr>
        <w:t>Ends</w:t>
      </w:r>
      <w: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 w:name="DSPFPageBreakArea"/>
      <w:bookmarkStart w:id="15" w:name="DSPFPageBreakArea"/>
      <w:bookmarkEnd w:id="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bookmarkStart w:id="16" w:name="DSPFPageBreak"/>
      <w:bookmarkStart w:id="17" w:name="DSPFPageBreak"/>
      <w:bookmarkEnd w:id="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283"/>
        <w:jc w:val="left"/>
        <w:rPr/>
      </w:pPr>
      <w:r>
        <w:rPr>
          <w:b/>
        </w:rPr>
        <w:t>About ICON plc</w:t>
      </w:r>
      <w:r>
        <w:rPr/>
        <w:t xml:space="preserve"> </w:t>
      </w:r>
    </w:p>
    <w:p>
      <w:pPr>
        <w:pStyle w:val="TextBody"/>
        <w:bidi w:val="0"/>
        <w:spacing w:before="0" w:after="283"/>
        <w:jc w:val="left"/>
        <w:rPr/>
      </w:pPr>
      <w:r>
        <w:rPr/>
        <w:t xml:space="preserve">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109 locations in 53 countries as at March 31, 2023. For further information about ICON, visit: www.iconplc.com. </w:t>
      </w:r>
    </w:p>
    <w:p>
      <w:pPr>
        <w:pStyle w:val="TextBody"/>
        <w:bidi w:val="0"/>
        <w:spacing w:before="0" w:after="283"/>
        <w:jc w:val="left"/>
        <w:rPr/>
      </w:pPr>
      <w:r>
        <w:rPr/>
        <w:t xml:space="preserve">ICON/ICLR-G </w:t>
      </w:r>
    </w:p>
    <w:p>
      <w:pPr>
        <w:pStyle w:val="Heading2"/>
        <w:bidi w:val="0"/>
        <w:jc w:val="left"/>
        <w:rPr>
          <w:sz w:val="28"/>
        </w:rPr>
      </w:pPr>
      <w:r>
        <w:rPr>
          <w:sz w:val="28"/>
        </w:rPr>
        <w:t>Contacts</w:t>
      </w:r>
    </w:p>
    <w:p>
      <w:pPr>
        <w:pStyle w:val="TextBody"/>
        <w:bidi w:val="0"/>
        <w:spacing w:before="0" w:after="283"/>
        <w:jc w:val="left"/>
        <w:rPr/>
      </w:pPr>
      <w:r>
        <w:rPr>
          <w:b/>
        </w:rPr>
        <w:t xml:space="preserve">Media contacts: </w:t>
      </w:r>
      <w:r>
        <w:rPr/>
        <w:br/>
        <w:t xml:space="preserve">Claire Quinn </w:t>
        <w:br/>
        <w:t xml:space="preserve">Corporate Communications, ICON </w:t>
        <w:br/>
        <w:t xml:space="preserve">+353 87 4066091 </w:t>
        <w:br/>
        <w:t xml:space="preserve">claire.quinn@iconplc.com </w:t>
      </w:r>
    </w:p>
    <w:p>
      <w:pPr>
        <w:pStyle w:val="TextBody"/>
        <w:bidi w:val="0"/>
        <w:spacing w:before="0" w:after="283"/>
        <w:jc w:val="left"/>
        <w:rPr/>
      </w:pPr>
      <w:r>
        <w:rPr/>
        <w:t xml:space="preserve">Weber Shandwick (PR adviser) </w:t>
        <w:br/>
        <w:t xml:space="preserve">Lisa Henry </w:t>
        <w:br/>
        <w:t xml:space="preserve">+44 7785 458203 </w:t>
        <w:br/>
        <w:t xml:space="preserve">lhenry@webershandwick.com </w:t>
      </w:r>
    </w:p>
    <w:p>
      <w:pPr>
        <w:pStyle w:val="TextBody"/>
        <w:bidi w:val="0"/>
        <w:spacing w:before="0" w:after="283"/>
        <w:jc w:val="left"/>
        <w:rPr/>
      </w:pPr>
      <w:r>
        <w:rPr/>
        <w:t xml:space="preserve">Kate Haven </w:t>
        <w:br/>
        <w:t xml:space="preserve">Vice President Investor Relations, ICON </w:t>
        <w:br/>
        <w:t xml:space="preserve">+1-888-381-7923 </w:t>
        <w:br/>
        <w:t xml:space="preserve">IR@iconplc.com </w:t>
      </w:r>
    </w:p>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1270</Words>
  <Characters>7412</Characters>
  <CharactersWithSpaces>8681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